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213360</wp:posOffset>
            </wp:positionH>
            <wp:positionV relativeFrom="page">
              <wp:posOffset>530860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555625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1720850</wp:posOffset>
            </wp:positionH>
            <wp:positionV relativeFrom="paragraph">
              <wp:posOffset>109220</wp:posOffset>
            </wp:positionV>
            <wp:extent cx="3708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1720850</wp:posOffset>
            </wp:positionH>
            <wp:positionV relativeFrom="paragraph">
              <wp:posOffset>86360</wp:posOffset>
            </wp:positionV>
            <wp:extent cx="3708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ectPr>
          <w:pgSz w:w="11900" w:h="16838" w:orient="portrait"/>
          <w:cols w:equalWidth="0" w:num="1">
            <w:col w:w="11240"/>
          </w:cols>
          <w:pgMar w:left="320" w:top="974" w:right="339" w:bottom="516" w:gutter="0" w:footer="0" w:header="0"/>
        </w:sectPr>
      </w:pPr>
    </w:p>
    <w:p>
      <w:pPr>
        <w:spacing w:after="0" w:line="29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3" w:lineRule="exact"/>
        <w:rPr>
          <w:sz w:val="24"/>
          <w:szCs w:val="24"/>
          <w:color w:val="auto"/>
        </w:rPr>
      </w:pPr>
    </w:p>
    <w:p>
      <w:pPr>
        <w:ind w:left="1140"/>
        <w:spacing w:after="0" w:line="191" w:lineRule="exact"/>
        <w:rPr>
          <w:sz w:val="20"/>
          <w:szCs w:val="20"/>
          <w:color w:val="auto"/>
        </w:rPr>
      </w:pPr>
      <w:r>
        <w:rPr>
          <w:rFonts w:ascii="MS PGothic" w:cs="MS PGothic" w:eastAsia="MS PGothic" w:hAnsi="MS PGothic"/>
          <w:sz w:val="19"/>
          <w:szCs w:val="19"/>
          <w:color w:val="auto"/>
        </w:rPr>
        <w:t>☒</w:t>
      </w:r>
    </w:p>
    <w:p>
      <w:pPr>
        <w:spacing w:after="0" w:line="151" w:lineRule="exact"/>
        <w:rPr>
          <w:sz w:val="24"/>
          <w:szCs w:val="24"/>
          <w:color w:val="auto"/>
        </w:rPr>
      </w:pPr>
    </w:p>
    <w:p>
      <w:pPr>
        <w:ind w:left="1140"/>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ind w:right="1140"/>
        <w:spacing w:after="0" w:line="251" w:lineRule="auto"/>
        <w:rPr>
          <w:sz w:val="20"/>
          <w:szCs w:val="20"/>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25, 2022</w:t>
      </w:r>
    </w:p>
    <w:p>
      <w:pPr>
        <w:ind w:right="1400"/>
        <w:spacing w:after="0" w:line="258" w:lineRule="auto"/>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AND EXCHANGE ACT OF 1934</w:t>
      </w:r>
    </w:p>
    <w:p>
      <w:pPr>
        <w:spacing w:after="0" w:line="7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Commission file number 001-34460</w:t>
      </w:r>
    </w:p>
    <w:p>
      <w:pPr>
        <w:spacing w:after="0" w:line="10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21"/>
          <w:szCs w:val="21"/>
          <w:b w:val="1"/>
          <w:bCs w:val="1"/>
          <w:color w:val="auto"/>
        </w:rPr>
        <w:t>KRATOS DEFENSE &amp; SECURITY SOLUTIONS, INC.</w:t>
      </w:r>
    </w:p>
    <w:p>
      <w:pPr>
        <w:spacing w:after="0" w:line="30"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7"/>
          <w:szCs w:val="17"/>
          <w:color w:val="auto"/>
        </w:rPr>
        <w:t>)</w:t>
      </w:r>
    </w:p>
    <w:p>
      <w:pPr>
        <w:spacing w:after="0" w:line="109" w:lineRule="exact"/>
        <w:rPr>
          <w:sz w:val="24"/>
          <w:szCs w:val="24"/>
          <w:color w:val="auto"/>
        </w:rPr>
      </w:pPr>
    </w:p>
    <w:p>
      <w:pPr>
        <w:ind w:left="820"/>
        <w:spacing w:after="0"/>
        <w:tabs>
          <w:tab w:leader="none" w:pos="53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13-3818604</w:t>
      </w:r>
    </w:p>
    <w:p>
      <w:pPr>
        <w:spacing w:after="0" w:line="18" w:lineRule="exact"/>
        <w:rPr>
          <w:sz w:val="24"/>
          <w:szCs w:val="24"/>
          <w:color w:val="auto"/>
        </w:rPr>
      </w:pPr>
    </w:p>
    <w:p>
      <w:pPr>
        <w:ind w:left="360"/>
        <w:spacing w:after="0"/>
        <w:tabs>
          <w:tab w:leader="none" w:pos="470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3"/>
          <w:szCs w:val="13"/>
          <w:color w:val="auto"/>
        </w:rPr>
        <w:t>(I.R.S. Employer Identification No.)</w:t>
      </w:r>
    </w:p>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126" w:lineRule="exact"/>
        <w:rPr>
          <w:sz w:val="24"/>
          <w:szCs w:val="24"/>
          <w:color w:val="auto"/>
        </w:rPr>
      </w:pPr>
    </w:p>
    <w:p>
      <w:pPr>
        <w:sectPr>
          <w:pgSz w:w="11900" w:h="16838" w:orient="portrait"/>
          <w:cols w:equalWidth="0" w:num="2">
            <w:col w:w="2000" w:space="180"/>
            <w:col w:w="9060"/>
          </w:cols>
          <w:pgMar w:left="320" w:top="974" w:right="339" w:bottom="516" w:gutter="0" w:footer="0" w:header="0"/>
          <w:type w:val="continuous"/>
        </w:sectPr>
      </w:pPr>
    </w:p>
    <w:tbl>
      <w:tblPr>
        <w:tblLayout w:type="fixed"/>
        <w:tblInd w:w="124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 Chisholm Trail, Suite 300</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Round Rock, TX</w:t>
            </w: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78681</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23"/>
        </w:trPr>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08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(Zip Code)</w:t>
            </w:r>
          </w:p>
        </w:tc>
        <w:tc>
          <w:tcPr>
            <w:tcW w:w="4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438"/>
        </w:trPr>
        <w:tc>
          <w:tcPr>
            <w:tcW w:w="620" w:type="dxa"/>
            <w:vAlign w:val="bottom"/>
          </w:tcPr>
          <w:p>
            <w:pPr>
              <w:spacing w:after="0"/>
              <w:rPr>
                <w:sz w:val="24"/>
                <w:szCs w:val="24"/>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Registrant’s telephone number, including area code   (512) 238-9840</w:t>
            </w: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38"/>
        </w:trPr>
        <w:tc>
          <w:tcPr>
            <w:tcW w:w="620" w:type="dxa"/>
            <w:vAlign w:val="bottom"/>
          </w:tcPr>
          <w:p>
            <w:pPr>
              <w:spacing w:after="0"/>
              <w:rPr>
                <w:sz w:val="24"/>
                <w:szCs w:val="24"/>
                <w:color w:val="auto"/>
              </w:rPr>
            </w:pPr>
          </w:p>
        </w:tc>
        <w:tc>
          <w:tcPr>
            <w:tcW w:w="8260" w:type="dxa"/>
            <w:vAlign w:val="bottom"/>
            <w:gridSpan w:val="7"/>
          </w:tcPr>
          <w:p>
            <w:pPr>
              <w:ind w:left="10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r>
      <w:tr>
        <w:trPr>
          <w:trHeight w:val="245"/>
        </w:trPr>
        <w:tc>
          <w:tcPr>
            <w:tcW w:w="6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000" w:type="dxa"/>
            <w:vAlign w:val="bottom"/>
            <w:gridSpan w:val="2"/>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20"/>
        </w:trPr>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02"/>
        </w:trPr>
        <w:tc>
          <w:tcPr>
            <w:tcW w:w="28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1080" w:type="dxa"/>
            <w:vAlign w:val="bottom"/>
          </w:tcPr>
          <w:p>
            <w:pPr>
              <w:spacing w:after="0"/>
              <w:rPr>
                <w:sz w:val="17"/>
                <w:szCs w:val="17"/>
                <w:color w:val="auto"/>
              </w:rPr>
            </w:pPr>
          </w:p>
        </w:tc>
        <w:tc>
          <w:tcPr>
            <w:tcW w:w="20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w w:val="98"/>
              </w:rPr>
              <w:t>KTOS</w:t>
            </w:r>
          </w:p>
        </w:tc>
        <w:tc>
          <w:tcPr>
            <w:tcW w:w="46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NASDAQ Global Select Market</w:t>
            </w:r>
          </w:p>
        </w:tc>
      </w:tr>
    </w:tbl>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11" w:lineRule="exact"/>
        <w:rPr>
          <w:sz w:val="24"/>
          <w:szCs w:val="24"/>
          <w:color w:val="auto"/>
        </w:rPr>
      </w:pPr>
    </w:p>
    <w:p>
      <w:pPr>
        <w:ind w:left="320" w:right="3600"/>
        <w:spacing w:after="0" w:line="23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6" w:lineRule="exact"/>
        <w:rPr>
          <w:sz w:val="24"/>
          <w:szCs w:val="24"/>
          <w:color w:val="auto"/>
        </w:rPr>
      </w:pPr>
    </w:p>
    <w:p>
      <w:pPr>
        <w:ind w:right="120" w:firstLine="3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80" w:lineRule="exact"/>
        <w:rPr>
          <w:sz w:val="24"/>
          <w:szCs w:val="24"/>
          <w:color w:val="auto"/>
        </w:rPr>
      </w:pPr>
    </w:p>
    <w:p>
      <w:pPr>
        <w:ind w:right="260" w:firstLine="3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80" w:lineRule="exact"/>
        <w:rPr>
          <w:sz w:val="24"/>
          <w:szCs w:val="24"/>
          <w:color w:val="auto"/>
        </w:rPr>
      </w:pPr>
    </w:p>
    <w:p>
      <w:pPr>
        <w:ind w:firstLine="309"/>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p>
      <w:pPr>
        <w:ind w:left="4780"/>
        <w:spacing w:after="0" w:line="171" w:lineRule="exact"/>
        <w:tabs>
          <w:tab w:leader="none" w:pos="104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36" w:lineRule="exact"/>
        <w:rPr>
          <w:sz w:val="24"/>
          <w:szCs w:val="24"/>
          <w:color w:val="auto"/>
        </w:rPr>
      </w:pPr>
    </w:p>
    <w:p>
      <w:pPr>
        <w:ind w:left="1620"/>
        <w:spacing w:after="0"/>
        <w:tabs>
          <w:tab w:leader="none" w:pos="73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Times New Roman" w:cs="Times New Roman" w:eastAsia="Times New Roman" w:hAnsi="Times New Roman"/>
          <w:sz w:val="13"/>
          <w:szCs w:val="13"/>
          <w:color w:val="auto"/>
        </w:rPr>
        <w:t>Accelerated filer</w:t>
      </w:r>
    </w:p>
    <w:p>
      <w:pPr>
        <w:spacing w:after="0" w:line="213" w:lineRule="exact"/>
        <w:rPr>
          <w:sz w:val="24"/>
          <w:szCs w:val="24"/>
          <w:color w:val="auto"/>
        </w:rPr>
      </w:pPr>
    </w:p>
    <w:p>
      <w:pPr>
        <w:ind w:left="4780"/>
        <w:spacing w:after="0" w:line="171" w:lineRule="exact"/>
        <w:tabs>
          <w:tab w:leader="none" w:pos="104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36" w:lineRule="exact"/>
        <w:rPr>
          <w:sz w:val="24"/>
          <w:szCs w:val="24"/>
          <w:color w:val="auto"/>
        </w:rPr>
      </w:pPr>
    </w:p>
    <w:p>
      <w:pPr>
        <w:ind w:left="1640"/>
        <w:spacing w:after="0"/>
        <w:tabs>
          <w:tab w:leader="none" w:pos="70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46" w:lineRule="exact"/>
        <w:rPr>
          <w:sz w:val="24"/>
          <w:szCs w:val="24"/>
          <w:color w:val="auto"/>
        </w:rPr>
      </w:pPr>
    </w:p>
    <w:p>
      <w:pPr>
        <w:ind w:left="10460"/>
        <w:spacing w:after="0" w:line="171" w:lineRule="exact"/>
        <w:rPr>
          <w:sz w:val="20"/>
          <w:szCs w:val="20"/>
          <w:color w:val="auto"/>
        </w:rPr>
      </w:pPr>
      <w:r>
        <w:rPr>
          <w:rFonts w:ascii="MS PGothic" w:cs="MS PGothic" w:eastAsia="MS PGothic" w:hAnsi="MS PGothic"/>
          <w:sz w:val="17"/>
          <w:szCs w:val="17"/>
          <w:color w:val="auto"/>
        </w:rPr>
        <w:t>☐</w:t>
      </w:r>
    </w:p>
    <w:p>
      <w:pPr>
        <w:spacing w:after="0" w:line="36" w:lineRule="exact"/>
        <w:rPr>
          <w:sz w:val="24"/>
          <w:szCs w:val="24"/>
          <w:color w:val="auto"/>
        </w:rPr>
      </w:pPr>
    </w:p>
    <w:p>
      <w:pPr>
        <w:ind w:left="71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86" w:lineRule="exact"/>
        <w:rPr>
          <w:sz w:val="24"/>
          <w:szCs w:val="24"/>
          <w:color w:val="auto"/>
        </w:rPr>
      </w:pPr>
    </w:p>
    <w:p>
      <w:pPr>
        <w:ind w:right="200" w:firstLine="309"/>
        <w:spacing w:after="0" w:line="29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right="260" w:firstLine="309"/>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58" w:lineRule="exact"/>
        <w:rPr>
          <w:sz w:val="24"/>
          <w:szCs w:val="24"/>
          <w:color w:val="auto"/>
        </w:rPr>
      </w:pPr>
    </w:p>
    <w:p>
      <w:pPr>
        <w:ind w:right="320" w:firstLine="309"/>
        <w:spacing w:after="0" w:line="295"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right="20" w:firstLine="309"/>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left="3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20" w:firstLine="309"/>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as of June 24, 2022, the last business day of the registrant’s most recently completed second fiscal quarter, was approximately $1.8 billion, based on the closing sale price for shares of the registrant’s common stock as reported by the NASDAQ Global Select Market on such date. This disclosure excludes shares of common stock held by executive officers, directors and stockholders whose individual ownership exceeded 10% of the common stock outstanding on June 24, 2022 because such persons may be deemed to be affiliates. This determination of affiliate status is not necessarily a conclusive determination for any other purpose.</w:t>
      </w:r>
    </w:p>
    <w:p>
      <w:pPr>
        <w:spacing w:after="0" w:line="8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17, 2023, 126,659,953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107315</wp:posOffset>
            </wp:positionV>
            <wp:extent cx="7122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132080</wp:posOffset>
            </wp:positionV>
            <wp:extent cx="7122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1" w:lineRule="exact"/>
        <w:rPr>
          <w:sz w:val="24"/>
          <w:szCs w:val="24"/>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Items 10, 11, 12, 13 and 14 of Part III of this annual report on Form 10-K incorporate information by reference from the registrant’s definitive proxy statement to be filed pursuant to Regulation 14A in connection with the registrant’s 2023 Annual Meeting of Stockholders or an amendment to this annual report on Form 10-K to be filed with the Securities and Exchange Commission within 120 days after the close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532130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4" w:right="339" w:bottom="51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gridSpan w:val="11"/>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20" w:type="dxa"/>
            <w:vAlign w:val="bottom"/>
            <w:gridSpan w:val="7"/>
          </w:tcPr>
          <w:p>
            <w:pPr>
              <w:jc w:val="center"/>
              <w:ind w:right="372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80" w:type="dxa"/>
            <w:vAlign w:val="bottom"/>
            <w:gridSpan w:val="11"/>
          </w:tcPr>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25, 2022</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gridSpan w:val="8"/>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4"/>
              </w:rPr>
              <w:t>PART I</w:t>
            </w:r>
          </w:p>
        </w:tc>
        <w:tc>
          <w:tcPr>
            <w:tcW w:w="360" w:type="dxa"/>
            <w:vAlign w:val="bottom"/>
            <w:gridSpan w:val="6"/>
            <w:vMerge w:val="restart"/>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3"/>
                <w:szCs w:val="13"/>
                <w:color w:val="auto"/>
              </w:rPr>
            </w:pPr>
          </w:p>
        </w:tc>
        <w:tc>
          <w:tcPr>
            <w:tcW w:w="560" w:type="dxa"/>
            <w:vAlign w:val="bottom"/>
            <w:tcBorders>
              <w:bottom w:val="single" w:sz="8" w:color="0000FF"/>
            </w:tcBorders>
            <w:gridSpan w:val="2"/>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Business</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300" w:type="dxa"/>
            <w:vAlign w:val="bottom"/>
            <w:gridSpan w:val="4"/>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Risk Factors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7"/>
              </w:rPr>
              <w:t>Item 1B.</w:t>
            </w:r>
          </w:p>
        </w:tc>
        <w:tc>
          <w:tcPr>
            <w:tcW w:w="20" w:type="dxa"/>
            <w:vAlign w:val="bottom"/>
          </w:tcPr>
          <w:p>
            <w:pPr>
              <w:spacing w:after="0"/>
              <w:rPr>
                <w:sz w:val="17"/>
                <w:szCs w:val="17"/>
                <w:color w:val="auto"/>
              </w:rPr>
            </w:pPr>
          </w:p>
        </w:tc>
        <w:tc>
          <w:tcPr>
            <w:tcW w:w="300" w:type="dxa"/>
            <w:vAlign w:val="bottom"/>
            <w:gridSpan w:val="4"/>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120" w:type="dxa"/>
            <w:vAlign w:val="bottom"/>
            <w:gridSpan w:val="2"/>
          </w:tcPr>
          <w:p>
            <w:pPr>
              <w:spacing w:after="0"/>
              <w:rPr>
                <w:sz w:val="17"/>
                <w:szCs w:val="17"/>
                <w:color w:val="auto"/>
              </w:rPr>
            </w:pPr>
          </w:p>
        </w:tc>
        <w:tc>
          <w:tcPr>
            <w:tcW w:w="320" w:type="dxa"/>
            <w:vAlign w:val="bottom"/>
            <w:gridSpan w:val="5"/>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Properties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Legal Proceedings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5.</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Market for the Registrant’s Common Equity, Related Stockholder Matters and Issuer Purchases of Equity Securities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Reserved</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7.</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7A.</w:t>
            </w:r>
          </w:p>
        </w:tc>
        <w:tc>
          <w:tcPr>
            <w:tcW w:w="300" w:type="dxa"/>
            <w:vAlign w:val="bottom"/>
            <w:gridSpan w:val="4"/>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8.</w:t>
            </w:r>
          </w:p>
        </w:tc>
        <w:tc>
          <w:tcPr>
            <w:tcW w:w="140" w:type="dxa"/>
            <w:vAlign w:val="bottom"/>
            <w:gridSpan w:val="3"/>
          </w:tcPr>
          <w:p>
            <w:pPr>
              <w:spacing w:after="0"/>
              <w:rPr>
                <w:sz w:val="17"/>
                <w:szCs w:val="17"/>
                <w:color w:val="auto"/>
              </w:rPr>
            </w:pPr>
          </w:p>
        </w:tc>
        <w:tc>
          <w:tcPr>
            <w:tcW w:w="300" w:type="dxa"/>
            <w:vAlign w:val="bottom"/>
            <w:gridSpan w:val="4"/>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9.</w:t>
            </w:r>
          </w:p>
        </w:tc>
        <w:tc>
          <w:tcPr>
            <w:tcW w:w="440" w:type="dxa"/>
            <w:vAlign w:val="bottom"/>
            <w:gridSpan w:val="7"/>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9A.</w:t>
            </w:r>
          </w:p>
        </w:tc>
        <w:tc>
          <w:tcPr>
            <w:tcW w:w="300" w:type="dxa"/>
            <w:vAlign w:val="bottom"/>
            <w:gridSpan w:val="4"/>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7"/>
              </w:rPr>
              <w:t>Item 9B.</w:t>
            </w:r>
          </w:p>
        </w:tc>
        <w:tc>
          <w:tcPr>
            <w:tcW w:w="20" w:type="dxa"/>
            <w:vAlign w:val="bottom"/>
          </w:tcPr>
          <w:p>
            <w:pPr>
              <w:spacing w:after="0"/>
              <w:rPr>
                <w:sz w:val="17"/>
                <w:szCs w:val="17"/>
                <w:color w:val="auto"/>
              </w:rPr>
            </w:pPr>
          </w:p>
        </w:tc>
        <w:tc>
          <w:tcPr>
            <w:tcW w:w="300" w:type="dxa"/>
            <w:vAlign w:val="bottom"/>
            <w:gridSpan w:val="4"/>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Other Information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7"/>
              </w:rPr>
              <w:t>Item 9C.</w:t>
            </w:r>
          </w:p>
        </w:tc>
        <w:tc>
          <w:tcPr>
            <w:tcW w:w="320" w:type="dxa"/>
            <w:vAlign w:val="bottom"/>
            <w:gridSpan w:val="5"/>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Disclosure Regarding Foreign Jurisdiction that Prevent Inspection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10.</w:t>
            </w: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360" w:type="dxa"/>
            <w:vAlign w:val="bottom"/>
            <w:gridSpan w:val="6"/>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Executive Compensation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12.</w:t>
            </w:r>
          </w:p>
        </w:tc>
        <w:tc>
          <w:tcPr>
            <w:tcW w:w="240" w:type="dxa"/>
            <w:vAlign w:val="bottom"/>
            <w:gridSpan w:val="2"/>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13.</w:t>
            </w:r>
          </w:p>
        </w:tc>
        <w:tc>
          <w:tcPr>
            <w:tcW w:w="240" w:type="dxa"/>
            <w:vAlign w:val="bottom"/>
            <w:gridSpan w:val="2"/>
          </w:tcPr>
          <w:p>
            <w:pPr>
              <w:spacing w:after="0"/>
              <w:rPr>
                <w:sz w:val="17"/>
                <w:szCs w:val="17"/>
                <w:color w:val="auto"/>
              </w:rPr>
            </w:pP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14.</w:t>
            </w: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w w:val="95"/>
              </w:rPr>
              <w:t>PART IV</w:t>
            </w:r>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15.</w:t>
            </w: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Exhibit and Financial Statement Schedules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16.</w:t>
            </w:r>
          </w:p>
        </w:tc>
        <w:tc>
          <w:tcPr>
            <w:tcW w:w="8960" w:type="dxa"/>
            <w:vAlign w:val="bottom"/>
            <w:gridSpan w:val="20"/>
          </w:tcPr>
          <w:p>
            <w:pPr>
              <w:ind w:left="240"/>
              <w:spacing w:after="0"/>
              <w:rPr>
                <w:sz w:val="20"/>
                <w:szCs w:val="20"/>
                <w:color w:val="auto"/>
              </w:rPr>
            </w:pPr>
            <w:r>
              <w:rPr>
                <w:rFonts w:ascii="Times New Roman" w:cs="Times New Roman" w:eastAsia="Times New Roman" w:hAnsi="Times New Roman"/>
                <w:sz w:val="17"/>
                <w:szCs w:val="17"/>
                <w:color w:val="0000FF"/>
              </w:rPr>
              <w:t>Form 10-K Summary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3"/>
        </w:trPr>
        <w:tc>
          <w:tcPr>
            <w:tcW w:w="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top w:val="single" w:sz="8" w:color="0000FF"/>
            </w:tcBorders>
            <w:gridSpan w:val="5"/>
          </w:tcPr>
          <w:p>
            <w:pPr>
              <w:spacing w:after="0"/>
              <w:rPr>
                <w:sz w:val="24"/>
                <w:szCs w:val="24"/>
                <w:color w:val="auto"/>
              </w:rPr>
            </w:pPr>
          </w:p>
        </w:tc>
        <w:tc>
          <w:tcPr>
            <w:tcW w:w="3060" w:type="dxa"/>
            <w:vAlign w:val="bottom"/>
            <w:gridSpan w:val="9"/>
          </w:tcPr>
          <w:p>
            <w:pPr>
              <w:jc w:val="center"/>
              <w:ind w:left="2734"/>
              <w:spacing w:after="0"/>
              <w:rPr>
                <w:sz w:val="20"/>
                <w:szCs w:val="20"/>
                <w:color w:val="auto"/>
              </w:rPr>
            </w:pPr>
            <w:r>
              <w:rPr>
                <w:rFonts w:ascii="Times New Roman" w:cs="Times New Roman" w:eastAsia="Times New Roman" w:hAnsi="Times New Roman"/>
                <w:sz w:val="17"/>
                <w:szCs w:val="17"/>
                <w:color w:val="auto"/>
                <w:w w:val="93"/>
              </w:rPr>
              <w:t>2</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All references to “us,” “we,” “our,” the “Company” and “Kratos” refer to Kratos Defense &amp; Security Solutions, Inc., a Delaware corporation, and its subsidiaries.</w:t>
      </w:r>
    </w:p>
    <w:p>
      <w:pPr>
        <w:spacing w:after="0" w:line="123" w:lineRule="exact"/>
        <w:rPr>
          <w:sz w:val="20"/>
          <w:szCs w:val="20"/>
          <w:color w:val="auto"/>
        </w:rPr>
      </w:pPr>
    </w:p>
    <w:p>
      <w:pPr>
        <w:jc w:val="center"/>
        <w:ind w:right="-19"/>
        <w:spacing w:after="0" w:line="196" w:lineRule="exact"/>
        <w:rPr>
          <w:sz w:val="20"/>
          <w:szCs w:val="20"/>
          <w:color w:val="auto"/>
        </w:rPr>
      </w:pPr>
      <w:r>
        <w:rPr>
          <w:rFonts w:ascii="Times New Roman" w:cs="Times New Roman" w:eastAsia="Times New Roman" w:hAnsi="Times New Roman"/>
          <w:sz w:val="17"/>
          <w:szCs w:val="17"/>
          <w:b w:val="1"/>
          <w:bCs w:val="1"/>
          <w:color w:val="auto"/>
        </w:rPr>
        <w:t>FORWARD</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LOOKING STATEMENTS</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COVID-19 or any other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Additional significant risks and uncertainties that could cause our actual results or achievements to differ materially from the results or achievements</w:t>
      </w:r>
    </w:p>
    <w:p>
      <w:pPr>
        <w:spacing w:after="0" w:line="3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i w:val="1"/>
          <w:iCs w:val="1"/>
          <w:color w:val="auto"/>
        </w:rPr>
        <w:t>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73"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Kratos is a technology company addressing the defense, National Security and commercial markets. Kratos is recognized as a leading technology, intellectual property, proprietary product and system company and a recognized industry leader in the rapid development, demonstration and fielding of disruptive, transformative and high technology systems and products at an affordable cost. At Kratos, affordability is a technology and Kratos’ focus areas, including areas where Kratos is successfully disrupting its market focus areas, include unmanned systems, space and satellite communications, microwave electronics, cybersecurity/warfare, rocket, hypersonic and missile defense systems, turbine and engine propulsion technologies, Command, Control, Communication, Computing, Combat, Intelligence Surveillance and Reconnaissance (“C5ISR”) systems and training systems. We believe that our being “first to market” and our technology, intellectual property, proprietary products, reputation and designed-in positions on our customers’ programs, platforms and systems, and our ability to rapidly develop, demonstrate and field affordable leading technology systems that are disrupting certain of our market focus areas gives us a competitive advantage and creates a high barrier to entry into our markets. Our workforce is primarily engineering and technically oriented with a significant number of our employees holding national security clearances. Much of our work is performed at customer locations, facilities and sites, or at secure manufacturing and other facilities. Our primary end customers are National Security related agencies with our satellite communication business also addressing the commercial markets. Our entire organization is focused on executing our strategy of being the leading technology and intellectual property based product and system company and being “first to market” in each of our industry leading core competency areas.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incorporated in the state of New York on December 19, 1994 and began operations in March 1995. We reincorporated in the state of Delaware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1998.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Update</w:t>
      </w:r>
    </w:p>
    <w:p>
      <w:pPr>
        <w:spacing w:after="0" w:line="221" w:lineRule="exact"/>
        <w:rPr>
          <w:sz w:val="20"/>
          <w:szCs w:val="20"/>
          <w:color w:val="auto"/>
        </w:rPr>
      </w:pPr>
    </w:p>
    <w:p>
      <w:pPr>
        <w:ind w:firstLine="541"/>
        <w:spacing w:after="0" w:line="258" w:lineRule="auto"/>
        <w:rPr>
          <w:sz w:val="20"/>
          <w:szCs w:val="20"/>
          <w:color w:val="auto"/>
        </w:rPr>
      </w:pPr>
      <w:r>
        <w:rPr>
          <w:rFonts w:ascii="Times New Roman" w:cs="Times New Roman" w:eastAsia="Times New Roman" w:hAnsi="Times New Roman"/>
          <w:sz w:val="17"/>
          <w:szCs w:val="17"/>
          <w:color w:val="auto"/>
        </w:rPr>
        <w:t>On December 29, 2022, President Biden signed into law the Consolidated Appropriations Act of 2023, a $1.7 trillion spending bill funding the U.S. federal budget for the 2023 federal fiscal year. The funding bill includes a $775.2 billion appropriation for domestic initiatives, a roughly 6% increase in spending for domestic initiatives from the 2022 fiscal year spending, with Defense and National Security programs also increasing by approximately 10% to $858 billion. The bill also includes approximately $45 billion for Ukraine and NATO allies. On January 19, 2023, the U.S. reached its $31.4 trillion debt ceiling and, as a result, the U.S. Treasury Department began taking extraordinary special measures to maintain the payment of the U.S. Government’s bills. These actions, which include suspending investments for certain government accounts, are expected to allow the Treasury to keep paying obligations to bondholders, Social Security recipients and others until at least June 2023.</w:t>
      </w:r>
    </w:p>
    <w:p>
      <w:pPr>
        <w:spacing w:after="0" w:line="205" w:lineRule="exact"/>
        <w:rPr>
          <w:sz w:val="20"/>
          <w:szCs w:val="20"/>
          <w:color w:val="auto"/>
        </w:rPr>
      </w:pPr>
    </w:p>
    <w:p>
      <w:pPr>
        <w:ind w:right="60" w:firstLine="541"/>
        <w:spacing w:after="0" w:line="264" w:lineRule="auto"/>
        <w:rPr>
          <w:sz w:val="20"/>
          <w:szCs w:val="20"/>
          <w:color w:val="auto"/>
        </w:rPr>
      </w:pPr>
      <w:r>
        <w:rPr>
          <w:rFonts w:ascii="Times New Roman" w:cs="Times New Roman" w:eastAsia="Times New Roman" w:hAnsi="Times New Roman"/>
          <w:sz w:val="17"/>
          <w:szCs w:val="17"/>
          <w:color w:val="auto"/>
        </w:rPr>
        <w:t>The current budget environment, including COVID-19 expenditures, Ukraine funding support, heightened levels of inflation, related supply chain disruptions and uncertainty surrounding the debt ceiling and the appropriations process, creates significant short and long-term risks, including heightened rates of inflation. Additionally, with the recent change of party in Congress, considerable uncertainty exists regarding how future budget and program decisions will unfold, including the defense spending priorities of the Biden administration and the Congress.</w:t>
      </w:r>
    </w:p>
    <w:p>
      <w:pPr>
        <w:spacing w:after="0" w:line="197" w:lineRule="exact"/>
        <w:rPr>
          <w:sz w:val="20"/>
          <w:szCs w:val="20"/>
          <w:color w:val="auto"/>
        </w:rPr>
      </w:pPr>
    </w:p>
    <w:p>
      <w:pPr>
        <w:ind w:right="140" w:firstLine="541"/>
        <w:spacing w:after="0" w:line="264" w:lineRule="auto"/>
        <w:rPr>
          <w:sz w:val="20"/>
          <w:szCs w:val="20"/>
          <w:color w:val="auto"/>
        </w:rPr>
      </w:pPr>
      <w:r>
        <w:rPr>
          <w:rFonts w:ascii="Times New Roman" w:cs="Times New Roman" w:eastAsia="Times New Roman" w:hAnsi="Times New Roman"/>
          <w:sz w:val="17"/>
          <w:szCs w:val="17"/>
          <w:color w:val="auto"/>
        </w:rPr>
        <w:t>We believe any continued budget pressures, Continuing Resolution Authorizations (“CRAs”), Federal Government debt ceiling issues, or Federal Government shutdowns could have serious negative consequences for the security of our country and the defense industrial base, including the Company and the customers, employees, suppliers, investors, and communities that rely on companies in the defense industrial base. It is likely that budget and program decisions made in such an uncertain environment would have long-term implications for our Company and the entire defense industry.</w:t>
      </w:r>
    </w:p>
    <w:p>
      <w:pPr>
        <w:spacing w:after="0" w:line="184" w:lineRule="exact"/>
        <w:rPr>
          <w:sz w:val="20"/>
          <w:szCs w:val="20"/>
          <w:color w:val="auto"/>
        </w:rPr>
      </w:pPr>
    </w:p>
    <w:p>
      <w:pPr>
        <w:ind w:right="20" w:firstLine="541"/>
        <w:spacing w:after="0"/>
        <w:rPr>
          <w:sz w:val="20"/>
          <w:szCs w:val="20"/>
          <w:color w:val="auto"/>
        </w:rPr>
      </w:pPr>
      <w:r>
        <w:rPr>
          <w:rFonts w:ascii="Times New Roman" w:cs="Times New Roman" w:eastAsia="Times New Roman" w:hAnsi="Times New Roman"/>
          <w:sz w:val="17"/>
          <w:szCs w:val="17"/>
          <w:color w:val="auto"/>
        </w:rPr>
        <w:t>Additionally, funding for certain programs, including those in which we currently participate, may be reduced, delayed or cancelled, and budget uncertainty or funding cuts globally could adversely affect the viability of our partners, teammates, subcontractors and suppliers, and our employee base. We believe that our business is well-positioned in areas that the U.S. Department of Defense (“DoD”) and other customers indicate are priorities for future defense spending, including those based on the recently released 2022 National Security Strategy document. However, due to federal budgetary uncertainty, CRAs, potential budgetary restrictions or limitations, defense or other spending cuts, including the budgetary impacts of ongoing COVID-19 spending and support for the conflict in Ukraine, challenges in the appropriations process, the debt ceiling and ongoing fiscal debates, the short and long term impacts to the industry and to our business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sectPr>
      </w:pPr>
    </w:p>
    <w:bookmarkStart w:id="4" w:name="page5"/>
    <w:bookmarkEnd w:id="4"/>
    <w:p>
      <w:pPr>
        <w:ind w:left="540"/>
        <w:spacing w:after="0"/>
        <w:rPr>
          <w:sz w:val="20"/>
          <w:szCs w:val="20"/>
          <w:color w:val="auto"/>
        </w:rPr>
      </w:pPr>
      <w:r>
        <w:rPr>
          <w:rFonts w:ascii="Times New Roman" w:cs="Times New Roman" w:eastAsia="Times New Roman" w:hAnsi="Times New Roman"/>
          <w:sz w:val="17"/>
          <w:szCs w:val="17"/>
          <w:color w:val="auto"/>
        </w:rPr>
        <w:t>The nature of our operations exposes us to risks associated with pandemics, epidemics or other public health emergencies, such as the outbreak of COVID-</w:t>
      </w:r>
    </w:p>
    <w:p>
      <w:pPr>
        <w:spacing w:after="0" w:line="28" w:lineRule="exact"/>
        <w:rPr>
          <w:sz w:val="20"/>
          <w:szCs w:val="20"/>
          <w:color w:val="auto"/>
        </w:rPr>
      </w:pPr>
    </w:p>
    <w:p>
      <w:pPr>
        <w:ind w:right="20" w:firstLine="3"/>
        <w:spacing w:after="0" w:line="254" w:lineRule="auto"/>
        <w:tabs>
          <w:tab w:leader="none" w:pos="258"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company operating in a “critical infrastructure industry”, as defined by the U.S. Department of Homeland Security. Consistent with federal guidelines and with state and local orders to date, we have continued to operate, including our international operations. Notwithstanding our continued operations, COVID-19 has had negative impacts on, and continues to impact, certain of our operations, workforce, supply chain, vendors, transportation networks and customers, which have reduced certain of our sales and our margins, including as a result of preventative and precautionary measures that we, our suppliers, other businesses and governments have taken. The COVID-19 outbreak is a widespread public health crisis that is adversely affecting the economies and financial markets globally. Any resulting economic downturn could adversely affect demand for our products. Any progression of the COVID-19 pandemic could also negatively impact our business or results of operations as global economic activity and the resulting impacts on our business remain uncertain and cannot be predicted with confidence.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10" w:lineRule="exact"/>
        <w:rPr>
          <w:sz w:val="20"/>
          <w:szCs w:val="20"/>
          <w:color w:val="auto"/>
        </w:rPr>
      </w:pPr>
    </w:p>
    <w:p>
      <w:pPr>
        <w:ind w:firstLine="541"/>
        <w:spacing w:after="0" w:line="257" w:lineRule="auto"/>
        <w:rPr>
          <w:sz w:val="20"/>
          <w:szCs w:val="20"/>
          <w:color w:val="auto"/>
        </w:rPr>
      </w:pPr>
      <w:r>
        <w:rPr>
          <w:rFonts w:ascii="Times New Roman" w:cs="Times New Roman" w:eastAsia="Times New Roman" w:hAnsi="Times New Roman"/>
          <w:sz w:val="17"/>
          <w:szCs w:val="17"/>
          <w:color w:val="auto"/>
        </w:rPr>
        <w:t>In addition to the challenges presented by the ongoing COVID-19 pandemic, the Company has also been affected by other unfavorable macroeconomic conditions. Significant adverse supply chain disruptions continue throughout the industry and for the Company, including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 Also, the cost of labor for the Company’s employees and labor base has also increased significantly and current challenges in hiring, obtaining and retaining employees is adversely impacting Kratos’ ability to execute its business. There is also a significant industry wide labor shortage, including in the Science, Technology, Engineering, and Math discipline areas, and for employees willing and/or able to obtain National Security clearances, including for high level manufacturing and production. In addition, recent actions by the Federal Reserve to increase interest rates have impacted our interest expense on our outstanding debt borrowings. Each of these matters and issues are expected to continue for the foreseeable future and are expected to continue to adversely impact the Company’s operations, financial results and financial forecasts.</w:t>
      </w:r>
    </w:p>
    <w:p>
      <w:pPr>
        <w:spacing w:after="0" w:line="201" w:lineRule="exact"/>
        <w:rPr>
          <w:sz w:val="20"/>
          <w:szCs w:val="20"/>
          <w:color w:val="auto"/>
        </w:rPr>
      </w:pPr>
    </w:p>
    <w:p>
      <w:pPr>
        <w:jc w:val="both"/>
        <w:ind w:right="20" w:firstLine="541"/>
        <w:spacing w:after="0" w:line="270" w:lineRule="auto"/>
        <w:rPr>
          <w:sz w:val="20"/>
          <w:szCs w:val="20"/>
          <w:color w:val="auto"/>
        </w:rPr>
      </w:pPr>
      <w:r>
        <w:rPr>
          <w:rFonts w:ascii="Times New Roman" w:cs="Times New Roman" w:eastAsia="Times New Roman" w:hAnsi="Times New Roman"/>
          <w:sz w:val="17"/>
          <w:szCs w:val="17"/>
          <w:color w:val="auto"/>
        </w:rPr>
        <w:t>Our Consolidated Financial Statements and Management’s Discussion and Analysis of Financial Condition and Results of Operations reflect estimates and assumptions made by management as of December 25, 2022. Events and changes in circumstances arising after December 25, 2022, including those resulting from the continuing impacts of the current unfavorable macroeconomic climate, will be reflected in management’s estimates for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Reporting Segments</w:t>
      </w:r>
    </w:p>
    <w:p>
      <w:pPr>
        <w:spacing w:after="0" w:line="221" w:lineRule="exact"/>
        <w:rPr>
          <w:sz w:val="20"/>
          <w:szCs w:val="20"/>
          <w:color w:val="auto"/>
        </w:rPr>
      </w:pPr>
    </w:p>
    <w:p>
      <w:pPr>
        <w:ind w:right="200" w:firstLine="541"/>
        <w:spacing w:after="0" w:line="264" w:lineRule="auto"/>
        <w:rPr>
          <w:sz w:val="20"/>
          <w:szCs w:val="20"/>
          <w:color w:val="auto"/>
        </w:rPr>
      </w:pPr>
      <w:r>
        <w:rPr>
          <w:rFonts w:ascii="Times New Roman" w:cs="Times New Roman" w:eastAsia="Times New Roman" w:hAnsi="Times New Roman"/>
          <w:sz w:val="17"/>
          <w:szCs w:val="17"/>
          <w:color w:val="auto"/>
        </w:rPr>
        <w:t>The Company currently operates in two reportable segments. The Kratos Government Solutions (“KGS”) reportable segment is comprised of an aggregation of KGS operating segments, including our microwave electronic products, space, satellite and cyber, training solutions, C5ISR/modular systems, turbine technologies, and defense and rocket support services operating segments. The Unmanned Systems (“US”) reportable segment consists of our unmanned aerial, unmanned ground, unmanned seaborne and related command, control and communications system businesses.</w:t>
      </w:r>
    </w:p>
    <w:p>
      <w:pPr>
        <w:spacing w:after="0" w:line="197" w:lineRule="exact"/>
        <w:rPr>
          <w:sz w:val="20"/>
          <w:szCs w:val="20"/>
          <w:color w:val="auto"/>
        </w:rPr>
      </w:pPr>
    </w:p>
    <w:p>
      <w:pPr>
        <w:ind w:right="340" w:firstLine="619"/>
        <w:spacing w:after="0" w:line="261" w:lineRule="auto"/>
        <w:rPr>
          <w:sz w:val="20"/>
          <w:szCs w:val="20"/>
          <w:color w:val="auto"/>
        </w:rPr>
      </w:pPr>
      <w:r>
        <w:rPr>
          <w:rFonts w:ascii="Times New Roman" w:cs="Times New Roman" w:eastAsia="Times New Roman" w:hAnsi="Times New Roman"/>
          <w:sz w:val="17"/>
          <w:szCs w:val="17"/>
          <w:color w:val="auto"/>
        </w:rPr>
        <w:t>We organize our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14 of the Notes to Consolidated Financial Statements contained within this Annual Report. From a customer and solutions perspective, we view our business as an integrated whole, leveraging skills and assets wherever possible.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47" w:lineRule="exact"/>
        <w:rPr>
          <w:sz w:val="20"/>
          <w:szCs w:val="20"/>
          <w:color w:val="auto"/>
        </w:rPr>
      </w:pPr>
    </w:p>
    <w:p>
      <w:pPr>
        <w:ind w:right="40" w:firstLine="541"/>
        <w:spacing w:after="0" w:line="243" w:lineRule="auto"/>
        <w:rPr>
          <w:sz w:val="20"/>
          <w:szCs w:val="20"/>
          <w:color w:val="auto"/>
        </w:rPr>
      </w:pPr>
      <w:r>
        <w:rPr>
          <w:rFonts w:ascii="Times New Roman" w:cs="Times New Roman" w:eastAsia="Times New Roman" w:hAnsi="Times New Roman"/>
          <w:sz w:val="17"/>
          <w:szCs w:val="17"/>
          <w:color w:val="auto"/>
        </w:rPr>
        <w:t>We believe that our status as a technology company, including the composition and experience of our Board of Directors and Executive management team, our ability to act and make decisions quickly, our culture of affordable innovation and our intellectual property, proprietary products, and technology, which are strongly aligned with certain of the highest priority spending areas of the DoD, the U.S. National Security Strategy, and the DoD’s focus on leveraging technology to defeat or deter peer and near-peer adversaries, are competitive advantages. Additionally, Kratos’ strategy of being “first to market” with our systems, products, technology and solutions, we believe is also a competitive differentiator, including as compared to the traditional defense industrial complex prime system integrators. We also believe that our proven ability to rapidly design, develop, demonstrate and field disruptive, transformative and leading technology products and systems at an affordable cost also differentiates us from our competitors. We believe that our reputation, longstanding customer relationships,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 w:name="page6"/>
    <w:bookmarkEnd w:id="5"/>
    <w:p>
      <w:pPr>
        <w:ind w:right="160"/>
        <w:spacing w:after="0" w:line="261" w:lineRule="auto"/>
        <w:rPr>
          <w:sz w:val="20"/>
          <w:szCs w:val="20"/>
          <w:color w:val="auto"/>
        </w:rPr>
      </w:pPr>
      <w:r>
        <w:rPr>
          <w:rFonts w:ascii="Times New Roman" w:cs="Times New Roman" w:eastAsia="Times New Roman" w:hAnsi="Times New Roman"/>
          <w:sz w:val="17"/>
          <w:szCs w:val="17"/>
          <w:color w:val="auto"/>
        </w:rPr>
        <w:t>and the designed-in position of our systems, technology and products into our customers’ platforms, programs and systems, provide a unique competitive advantage and position us well for accelerated growth. We believe a recent example of Kratos’ competitive strengths is that certain of Kratos Space, Satellite and</w:t>
      </w:r>
    </w:p>
    <w:p>
      <w:pPr>
        <w:ind w:right="60"/>
        <w:spacing w:after="0" w:line="259" w:lineRule="auto"/>
        <w:rPr>
          <w:sz w:val="20"/>
          <w:szCs w:val="20"/>
          <w:color w:val="auto"/>
        </w:rPr>
      </w:pPr>
      <w:r>
        <w:rPr>
          <w:rFonts w:ascii="Times New Roman" w:cs="Times New Roman" w:eastAsia="Times New Roman" w:hAnsi="Times New Roman"/>
          <w:sz w:val="17"/>
          <w:szCs w:val="17"/>
          <w:color w:val="auto"/>
        </w:rPr>
        <w:t>Cyber business areas are uniquely positioned, as represented by certain new program awards, to address the DoD, National Security and commercial market areas, including with our first to market proprietary virtualized OpenSpace™ products and technology, which we believe provides our Company a competitive advantage.</w:t>
      </w:r>
    </w:p>
    <w:p>
      <w:pPr>
        <w:spacing w:after="0" w:line="386" w:lineRule="exact"/>
        <w:rPr>
          <w:sz w:val="20"/>
          <w:szCs w:val="20"/>
          <w:color w:val="auto"/>
        </w:rPr>
      </w:pPr>
    </w:p>
    <w:p>
      <w:pPr>
        <w:ind w:right="40" w:firstLine="541"/>
        <w:spacing w:after="0" w:line="239" w:lineRule="auto"/>
        <w:rPr>
          <w:sz w:val="20"/>
          <w:szCs w:val="20"/>
          <w:color w:val="auto"/>
        </w:rPr>
      </w:pPr>
      <w:r>
        <w:rPr>
          <w:rFonts w:ascii="Times New Roman" w:cs="Times New Roman" w:eastAsia="Times New Roman" w:hAnsi="Times New Roman"/>
          <w:sz w:val="17"/>
          <w:szCs w:val="17"/>
          <w:i w:val="1"/>
          <w:iCs w:val="1"/>
          <w:color w:val="auto"/>
        </w:rPr>
        <w:t xml:space="preserve">Kratos’ specialized National Security focus aligned with mission-critical National Security priorities. </w:t>
      </w:r>
      <w:r>
        <w:rPr>
          <w:rFonts w:ascii="Times New Roman" w:cs="Times New Roman" w:eastAsia="Times New Roman" w:hAnsi="Times New Roman"/>
          <w:sz w:val="17"/>
          <w:szCs w:val="17"/>
          <w:color w:val="auto"/>
        </w:rPr>
        <w:t>Continued and increased concerns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threats posed by certain foreign nations, including nations with peer or near peer capabilities, have caused the U.S. Government to identify National Security as an area of enhanced functional and spending priority, including as described in the 2022 National Security Strategy document. Budget pressures, particularly related to DoD spending, have placed a premium on developing and fielding low-cost, high-technology solutions, that can be fielded in quantities, to assist in National Security missions. While budget pressures routinely cause delays in contracts or orders for our business, the global threat environment as described in the recently released National Security Strategy documents and current budget projections suggest defense spending will continue to be significant over the next few years, including to address the increasing threats to the United States and its allies. The outlook for defense spending is primarily focused on deterring and defeating our adversaries, power projection, warfighting readiness, lethality, and recapitalization of key strategic defense systems to address peer and near peer threats. Our primary capabilities and areas of focus, certain which are listed below, are aligned with the objectives of the U.S. Government including those outlined in the 2022 National Defense Strategy documents:</w:t>
      </w:r>
    </w:p>
    <w:p>
      <w:pPr>
        <w:spacing w:after="0" w:line="223" w:lineRule="exact"/>
        <w:rPr>
          <w:sz w:val="20"/>
          <w:szCs w:val="20"/>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Unmanned aerial drone, unmanned ground and unmanned seaborne systems and related artificial intelligence.</w:t>
      </w:r>
    </w:p>
    <w:p>
      <w:pPr>
        <w:spacing w:after="0" w:line="1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Satellite communications and Space Domain Awareness capabilities and technology.</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Microwave electronics, including in support of warfare, missile, radar, space, satellite and communication systems.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warfare, attack, missile, and radar systems.</w:t>
      </w: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Intelligence, surveillance and reconnaissance technology, platforms solutions and systems.</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Ballistic missile defense, hypersonic and other “High Performance” type systems.</w:t>
      </w: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C5ISR systems, including Strategic Deterrence Systems and support of the “Strategic Triad”.</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information assurance,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Specialized training and operational readiness systems and solutions.</w:t>
      </w:r>
    </w:p>
    <w:p>
      <w:pPr>
        <w:spacing w:after="0" w:line="209" w:lineRule="exact"/>
        <w:rPr>
          <w:sz w:val="20"/>
          <w:szCs w:val="20"/>
          <w:color w:val="auto"/>
        </w:rPr>
      </w:pPr>
    </w:p>
    <w:p>
      <w:pPr>
        <w:ind w:firstLine="541"/>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IP-centric technology company with proprietary products, technology and systems which address critical current and emerging threats faced by U.S. and allied militaries. </w:t>
      </w:r>
      <w:r>
        <w:rPr>
          <w:rFonts w:ascii="Times New Roman" w:cs="Times New Roman" w:eastAsia="Times New Roman" w:hAnsi="Times New Roman"/>
          <w:sz w:val="17"/>
          <w:szCs w:val="17"/>
          <w:color w:val="auto"/>
        </w:rPr>
        <w:t>As a technology-focused company at the forefront of the DoD’s strategy for technology rich, transformative, disruptive and affordable systems,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current and growing portfolio of proprietary systems, products, solutions, and related intellectual property addresses some of the most critical mission needs and requirements of U.S. and allied militaries. At Kratos, affordability is a technology, a core competence and a focus that we believe is disruptive and brings an important value proposition to our customers. Kratos business focus areas include: unmanned systems, space, satellite communications, microwave electronics, cybersecurity/warfare, missile defense, hypersonic systems, C5ISR, turbine technologies and training systems. A key element of our customers’ and the National Security strategy, and an area where we have invested significantly, is the development of capabilities and intellectual property addressing the recent and potential challenges faced by U.S. and allied militaries in potential Anti-Access and Aerial-Denial (“A2/AD”) environments. This is evidenced by our significant investment in high-performance Unmanned Aerial Drone System (“UADS”) platforms and technology, which has resulted in a series of Unmanned Combat Aerial System (“UCAS”) contract wins for Kratos. Additionally, with our space &amp; satellite, terrestrial ground segment command, control, radio frequency interference monitoring, geolocation and mitigation products and capabilities, we believe we are well-positioned to capitalize on the DoD, National Security and commercial markets increasing budgets and funding for space investments, including a significant portion of which is for the development and protection of U.S. National Security space assets and infrastructure. Accordingly, our proprietary products, systems and technologies, many of which are open architecture providing our customers technology and vendor flexibility and reduced costs, are developed and refined with the goal of enabling our customers to maintain an advantage over the advanced and constantly evolving threats of adversaries, at an affordable cost. In many instances, we are one of the few companies that invest in, develop, produce and are first to market with the mission-critical technology our customers require, or we outperformed our peers in a competitive bidding process, including as related to affordability. We also maintain a strategy of internally funding research and development and owning the intellectual property of many of these high-performance capabilities and systems.</w:t>
      </w:r>
    </w:p>
    <w:p>
      <w:pPr>
        <w:spacing w:after="0" w:line="212" w:lineRule="exact"/>
        <w:rPr>
          <w:sz w:val="20"/>
          <w:szCs w:val="20"/>
          <w:color w:val="auto"/>
        </w:rPr>
      </w:pPr>
    </w:p>
    <w:p>
      <w:pPr>
        <w:ind w:firstLine="54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Technology-driven company aligned with and supporting our customers’ increased innovation, technology, and strategic National Security initiatives, with focus on speed and affordability. </w:t>
      </w:r>
      <w:r>
        <w:rPr>
          <w:rFonts w:ascii="Times New Roman" w:cs="Times New Roman" w:eastAsia="Times New Roman" w:hAnsi="Times New Roman"/>
          <w:sz w:val="17"/>
          <w:szCs w:val="17"/>
          <w:color w:val="auto"/>
        </w:rPr>
        <w:t>As the DoD works to increase, maintain or achieve a technological advantage over adversaries, it has continued its efforts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 breakthrough technologies for national security and related commercial markets, accelerate innovation to the warfighter and repurpose current capabilities to</w:t>
      </w:r>
    </w:p>
    <w:p>
      <w:pPr>
        <w:spacing w:after="0" w:line="2" w:lineRule="exact"/>
        <w:rPr>
          <w:sz w:val="20"/>
          <w:szCs w:val="20"/>
          <w:color w:val="auto"/>
        </w:rPr>
      </w:pPr>
    </w:p>
    <w:p>
      <w:pPr>
        <w:ind w:right="520"/>
        <w:spacing w:after="0" w:line="254" w:lineRule="auto"/>
        <w:rPr>
          <w:sz w:val="20"/>
          <w:szCs w:val="20"/>
          <w:color w:val="auto"/>
        </w:rPr>
      </w:pPr>
      <w:r>
        <w:rPr>
          <w:rFonts w:ascii="Times New Roman" w:cs="Times New Roman" w:eastAsia="Times New Roman" w:hAnsi="Times New Roman"/>
          <w:sz w:val="17"/>
          <w:szCs w:val="17"/>
          <w:color w:val="auto"/>
        </w:rPr>
        <w:t>create cost-effective, disruptive technology advances that result in fielded systems and products. With our focus on delivering proven leading edge systems, products and technologies that address the most critical current and emerging threats, our customers include some of the most technologically advanced organizations of the defense establishment, including the U.S. Air Force,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 w:name="page7"/>
    <w:bookmarkEnd w:id="6"/>
    <w:p>
      <w:pPr>
        <w:ind w:right="40"/>
        <w:spacing w:after="0" w:line="244" w:lineRule="auto"/>
        <w:rPr>
          <w:sz w:val="20"/>
          <w:szCs w:val="20"/>
          <w:color w:val="auto"/>
        </w:rPr>
      </w:pPr>
      <w:r>
        <w:rPr>
          <w:rFonts w:ascii="Times New Roman" w:cs="Times New Roman" w:eastAsia="Times New Roman" w:hAnsi="Times New Roman"/>
          <w:sz w:val="17"/>
          <w:szCs w:val="17"/>
          <w:color w:val="auto"/>
        </w:rPr>
        <w:t>the U.S. Navy, the U.S. Army and the U.S. Marine Corps. Additionally, Kratos customers also include the Defense Innovation Unit (“DIU”) (formerly the Defense Innovation Unit Experimental (“DIUx”)), Defense Advanced Research Projects Agency (“DARPA”), Air Force Research Laboratory (“AFRL”), the Strategic Capabilities Office (“SCO”), the Strategic Command (“STRATCOM”), the National Aeronautics and Space Administration (“NASA”), the U.S. intelligence community, and other confidential customers. We believe our focus on constant innovation, capability improvements across our product and solutions portfolio, speed of development, and production and affordability are key differentiators that are disruptive to certain traditional market norms and align us with and address our customers’ key initiatives.</w:t>
      </w:r>
    </w:p>
    <w:p>
      <w:pPr>
        <w:spacing w:after="0" w:line="196" w:lineRule="exact"/>
        <w:rPr>
          <w:sz w:val="20"/>
          <w:szCs w:val="20"/>
          <w:color w:val="auto"/>
        </w:rPr>
      </w:pPr>
    </w:p>
    <w:p>
      <w:pPr>
        <w:ind w:right="80" w:firstLine="541"/>
        <w:spacing w:after="0"/>
        <w:rPr>
          <w:sz w:val="20"/>
          <w:szCs w:val="20"/>
          <w:color w:val="auto"/>
        </w:rPr>
      </w:pPr>
      <w:r>
        <w:rPr>
          <w:rFonts w:ascii="Times New Roman" w:cs="Times New Roman" w:eastAsia="Times New Roman" w:hAnsi="Times New Roman"/>
          <w:sz w:val="17"/>
          <w:szCs w:val="17"/>
          <w:i w:val="1"/>
          <w:iCs w:val="1"/>
          <w:color w:val="auto"/>
        </w:rPr>
        <w:t xml:space="preserve">In-depth understanding of customer missions. </w:t>
      </w:r>
      <w:r>
        <w:rPr>
          <w:rFonts w:ascii="Times New Roman" w:cs="Times New Roman" w:eastAsia="Times New Roman" w:hAnsi="Times New Roman"/>
          <w:sz w:val="17"/>
          <w:szCs w:val="17"/>
          <w:color w:val="auto"/>
        </w:rPr>
        <w:t>Kratos has a reputation for being the industry disruptor, including by successfully rapidly designing,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developing, demonstrating and fielding mission-critical products, solutions and services to our customers, at an affordable cost. Our long-term relationships with the U.S. Air Force, U.S. Army, U.S. Navy, other National Security related customers and agencies, commercial and other customers and entities enable us to develop an in-depth understanding of their missions, problems and technical requirements. In addition, a substantial number of our employees are located at our customer locations, or at secure manufacturing and other secure facilities, all of which provides Kratos with valuable strategic insight into our customers’ ongoing missions and future program and mission requirements. This understanding of our customers’ missions, requirements, and needs, in conjunction with the strategic location of our employees, enables us to offer technical solutions tailored to our customers’ specific requirements and evolving mission objectives. In addition, once our products are “designed in” and we are on-site with a customer and providing our products and solutions, we have historically been successful in winning new and recompete business.</w:t>
      </w:r>
    </w:p>
    <w:p>
      <w:pPr>
        <w:spacing w:after="0" w:line="204"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7"/>
          <w:szCs w:val="17"/>
          <w:color w:val="auto"/>
        </w:rPr>
        <w:t>Kratos is an industry leader in high performance, jet powered, unmanned aerial target drone systems which are designed to replicate state of the art adversarial fighter aircraft, missiles, drones and other threats. Kratos is the sole source or primary unmanned aerial target drone system provider to the U.S. Air Force, U.S. Army, U.S. Navy, and numerous allied foreign defense agencies. Leveraging off of this technology, for which Kratos owns important intellectual property, since 2013 we have made significant investments developing Kratos’ first UCAS, our Unmanned Tactical Aerial Platform (“UTAP-22”), also formally called the “Mako.” After successfully achieving the Mako’s first concept flights at the end of 2015, in 2016 we received a $12.6 million single-award contract to demonstrate certain payload integration and loyal wingman teaming with manned aircraft in a major military exercise. We believe that Kratos was first to market in</w:t>
      </w:r>
    </w:p>
    <w:p>
      <w:pPr>
        <w:spacing w:after="0" w:line="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flying high performance, jet powered UCASs of this class with manned jet fighter aircraft. At the time, this contract was one of the largest awarded contracts by the DIUx.</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Since Kratos’ success with the development of the Mako, other Kratos’ unmanned aerial systems (“UAS”) products and contracts include:</w:t>
      </w:r>
    </w:p>
    <w:p>
      <w:pPr>
        <w:spacing w:after="0" w:line="204" w:lineRule="exact"/>
        <w:rPr>
          <w:sz w:val="20"/>
          <w:szCs w:val="20"/>
          <w:color w:val="auto"/>
        </w:rPr>
      </w:pPr>
    </w:p>
    <w:p>
      <w:pPr>
        <w:ind w:left="1240" w:right="120" w:hanging="309"/>
        <w:spacing w:after="0" w:line="250"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2016, we were awarded the AFRL Low Cost Attritable Strike Demonstration (“LCASD”) UCAS single-award cost share contract. The LCASD UCAS, or Valkyrie, is an approximately 30 foot by 22 foot unmanned strike aerial drone system. During 2019, approximately 30 months after aircraft conception,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for the test flight airbag system following certain previous flights. In March 2021, the Kratos/AFRL team successfully completed the XQ-58A Valkyrie’s sixth test/demonstration flight and first release from the Valkyrie’s internal weapons bay.</w:t>
      </w:r>
    </w:p>
    <w:p>
      <w:pPr>
        <w:spacing w:after="0" w:line="21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2019, the Kratos XQ-58A Valkyrie was awarded Aviation Week’s Laureate Award for Defense Technology and Innovation.</w:t>
      </w:r>
    </w:p>
    <w:p>
      <w:pPr>
        <w:spacing w:after="0" w:line="139" w:lineRule="exact"/>
        <w:rPr>
          <w:rFonts w:ascii="Times New Roman" w:cs="Times New Roman" w:eastAsia="Times New Roman" w:hAnsi="Times New Roman"/>
          <w:sz w:val="17"/>
          <w:szCs w:val="17"/>
          <w:color w:val="auto"/>
        </w:rPr>
      </w:pPr>
    </w:p>
    <w:p>
      <w:pPr>
        <w:ind w:left="1240" w:right="60" w:hanging="309"/>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2020, the Company was awarded a five-year indefinite delivery indefinite quantity (“IDIQ”) contract valued at up to $400 million for the development, integration, and prototype air vehicle delivery in support of the Air Force’s Skyborg program.</w:t>
      </w:r>
    </w:p>
    <w:p>
      <w:pPr>
        <w:spacing w:after="0" w:line="86" w:lineRule="exact"/>
        <w:rPr>
          <w:rFonts w:ascii="Times New Roman" w:cs="Times New Roman" w:eastAsia="Times New Roman" w:hAnsi="Times New Roman"/>
          <w:sz w:val="17"/>
          <w:szCs w:val="17"/>
          <w:color w:val="auto"/>
        </w:rPr>
      </w:pPr>
    </w:p>
    <w:p>
      <w:pPr>
        <w:ind w:left="1240" w:right="60" w:hanging="309"/>
        <w:spacing w:after="0" w:line="264"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or other systems, integrating multiple customer-defined mission payloads and customer-defined autonomy in coordination/cooperation with the Skyborg System Design Agent.</w:t>
      </w:r>
    </w:p>
    <w:p>
      <w:pPr>
        <w:spacing w:after="0" w:line="106" w:lineRule="exact"/>
        <w:rPr>
          <w:rFonts w:ascii="Times New Roman" w:cs="Times New Roman" w:eastAsia="Times New Roman" w:hAnsi="Times New Roman"/>
          <w:sz w:val="17"/>
          <w:szCs w:val="17"/>
          <w:color w:val="auto"/>
        </w:rPr>
      </w:pPr>
    </w:p>
    <w:p>
      <w:pPr>
        <w:ind w:left="1240" w:right="400" w:hanging="309"/>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we received a $17.8 million award from the AFRL for work in support of the government’s Low Cost Attritable Aircraft Technology (LCAAT) efforts, including as related to the XQ-58A Valkyrie.</w:t>
      </w:r>
    </w:p>
    <w:p>
      <w:pPr>
        <w:spacing w:after="0" w:line="73" w:lineRule="exact"/>
        <w:rPr>
          <w:rFonts w:ascii="Times New Roman" w:cs="Times New Roman" w:eastAsia="Times New Roman" w:hAnsi="Times New Roman"/>
          <w:sz w:val="17"/>
          <w:szCs w:val="17"/>
          <w:color w:val="auto"/>
        </w:rPr>
      </w:pPr>
    </w:p>
    <w:p>
      <w:pPr>
        <w:ind w:left="1240" w:right="300" w:hanging="309"/>
        <w:spacing w:after="0" w:line="29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the Kratos Valkyrie UAS AttritableONE (as referred to by the US Air Force) completed a successful demonstration flight enabling the F-22 and F-35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generation fighters to fly in formation together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 w:name="page8"/>
    <w:bookmarkEnd w:id="7"/>
    <w:p>
      <w:pPr>
        <w:ind w:left="309" w:right="200"/>
        <w:spacing w:after="0" w:line="285" w:lineRule="auto"/>
        <w:rPr>
          <w:sz w:val="20"/>
          <w:szCs w:val="20"/>
          <w:color w:val="auto"/>
        </w:rPr>
      </w:pPr>
      <w:r>
        <w:rPr>
          <w:rFonts w:ascii="Times New Roman" w:cs="Times New Roman" w:eastAsia="Times New Roman" w:hAnsi="Times New Roman"/>
          <w:sz w:val="17"/>
          <w:szCs w:val="17"/>
          <w:color w:val="auto"/>
        </w:rPr>
        <w:t>in a test led by an integrated Advanced Battle Management System (“ABMS”) acquisition team comprised of AFRL and Air Force Life Cycle Management Center personnel, in conjunction with Eglin Air Force Base’s 46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Test Squadron.</w:t>
      </w:r>
    </w:p>
    <w:p>
      <w:pPr>
        <w:spacing w:after="0" w:line="9" w:lineRule="exact"/>
        <w:rPr>
          <w:sz w:val="20"/>
          <w:szCs w:val="20"/>
          <w:color w:val="auto"/>
        </w:rPr>
      </w:pPr>
    </w:p>
    <w:p>
      <w:pPr>
        <w:ind w:left="309" w:right="20" w:hanging="309"/>
        <w:spacing w:after="0" w:line="241"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2021, Kratos announced that it remains committed to be ready for a 2023 Skyborg Vanguard Program of Record, echoing the commitment expressed by the U.S. Air Force in its August 16, 2021 update on the Skyborg program. Skyborg is an autonomy-focused capability developed to enable the Air Force to operate and sustain low-cost, teamed aircraft that can thwart adversaries with quick, decisive actions in contested environments. The program aims to enable airborne combat mass by building a transferable autonomy foundation for a family of layered, unmanned air vehicles. In July 2022, Kratos and the U.S. Air Force announced the completion of a successful series of flights with two production XQ-58A Valkyrie aircraft for the Skyborg Program.</w:t>
      </w:r>
    </w:p>
    <w:p>
      <w:pPr>
        <w:spacing w:after="0" w:line="111" w:lineRule="exact"/>
        <w:rPr>
          <w:rFonts w:ascii="Times New Roman" w:cs="Times New Roman" w:eastAsia="Times New Roman" w:hAnsi="Times New Roman"/>
          <w:sz w:val="17"/>
          <w:szCs w:val="17"/>
          <w:color w:val="auto"/>
        </w:rPr>
      </w:pPr>
    </w:p>
    <w:p>
      <w:pPr>
        <w:jc w:val="both"/>
        <w:ind w:left="309" w:hanging="309"/>
        <w:spacing w:after="0" w:line="248"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2021, the Secretary of the Air Force announced that he will seek funding for at least two new classified combat drone awards in the FY 2023 Budget. The new combat drones will be designed to work in conjunction with the F-35, F-22 and B-21 manned aircraft. This disclosure by the Secretary of the Air Force is considered to be a strong indication that the Air Force is counting on autonomous weapon systems to provide an advantage against peer adversaries to the United States.</w:t>
      </w:r>
    </w:p>
    <w:p>
      <w:pPr>
        <w:spacing w:after="0" w:line="94" w:lineRule="exact"/>
        <w:rPr>
          <w:rFonts w:ascii="Times New Roman" w:cs="Times New Roman" w:eastAsia="Times New Roman" w:hAnsi="Times New Roman"/>
          <w:sz w:val="17"/>
          <w:szCs w:val="17"/>
          <w:color w:val="auto"/>
        </w:rPr>
      </w:pPr>
    </w:p>
    <w:p>
      <w:pPr>
        <w:ind w:left="309" w:right="80" w:hanging="309"/>
        <w:spacing w:after="0" w:line="271"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2022, the U.S. Air Force announced that the Skyborg Vanguard Program would be transitioning to a Program(s) of Record, certain of which the Company may not be able to publicly disclose.</w:t>
      </w:r>
    </w:p>
    <w:p>
      <w:pPr>
        <w:spacing w:after="0" w:line="87" w:lineRule="exact"/>
        <w:rPr>
          <w:rFonts w:ascii="Times New Roman" w:cs="Times New Roman" w:eastAsia="Times New Roman" w:hAnsi="Times New Roman"/>
          <w:sz w:val="17"/>
          <w:szCs w:val="17"/>
          <w:color w:val="auto"/>
        </w:rPr>
      </w:pPr>
    </w:p>
    <w:p>
      <w:pPr>
        <w:ind w:left="309" w:right="120" w:hanging="309"/>
        <w:spacing w:after="0" w:line="243" w:lineRule="auto"/>
        <w:tabs>
          <w:tab w:leader="none" w:pos="304"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 September 2022, it was announced that there was a successful flight from Kratos’ family of UCASs, which have been flying and demonstrating capabilities since 2015. Kratos’ family of UCAS’s include more than four different aircraft types (Valkyrie, Mako, Gremlins and Tactical Firejet), each optimized for mission capabilities, ranging from a 350-pound class system to a 6,000-pound class system and unrefueled ranges in excess of 3,000 miles.</w:t>
      </w:r>
    </w:p>
    <w:p>
      <w:pPr>
        <w:spacing w:after="0" w:line="109" w:lineRule="exact"/>
        <w:rPr>
          <w:rFonts w:ascii="Arial" w:cs="Arial" w:eastAsia="Arial" w:hAnsi="Arial"/>
          <w:sz w:val="17"/>
          <w:szCs w:val="17"/>
          <w:color w:val="auto"/>
        </w:rPr>
      </w:pPr>
    </w:p>
    <w:p>
      <w:pPr>
        <w:ind w:left="309" w:right="200" w:hanging="309"/>
        <w:spacing w:after="0" w:line="270" w:lineRule="auto"/>
        <w:tabs>
          <w:tab w:leader="none" w:pos="304"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 November 2022, it was announced that Kratos had recently completed a successful flight of its production XQ-58A Valkyrie aircraft for the Block 2 Valkyrie Maturation Program under the program team including the AFRL, Yuma Proving Ground and Kratos.</w:t>
      </w:r>
    </w:p>
    <w:p>
      <w:pPr>
        <w:spacing w:after="0" w:line="87" w:lineRule="exact"/>
        <w:rPr>
          <w:rFonts w:ascii="Arial" w:cs="Arial" w:eastAsia="Arial" w:hAnsi="Arial"/>
          <w:sz w:val="17"/>
          <w:szCs w:val="17"/>
          <w:color w:val="auto"/>
        </w:rPr>
      </w:pPr>
    </w:p>
    <w:p>
      <w:pPr>
        <w:ind w:left="309" w:right="260" w:hanging="309"/>
        <w:spacing w:after="0" w:line="243" w:lineRule="auto"/>
        <w:tabs>
          <w:tab w:leader="none" w:pos="304"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 January 2023, the U.S. Navy/Marine Corps announced that it had awarded Kratos in December 2022 a $15.5 million contract through the Naval Air Warfare Center Aircraft Division for two XQ-58A Valkyrie drones to look at future autonomous collaborative platforms not tied to any other U.S. Air Force or U.S. Navy programs. Included in the announcement was that the UASs should have “sensor and weapon system payloads to accomplish the penetrating affordable autonomous collaborative killer” mission.</w:t>
      </w:r>
    </w:p>
    <w:p>
      <w:pPr>
        <w:spacing w:after="0" w:line="109" w:lineRule="exact"/>
        <w:rPr>
          <w:rFonts w:ascii="Arial" w:cs="Arial" w:eastAsia="Arial" w:hAnsi="Arial"/>
          <w:sz w:val="17"/>
          <w:szCs w:val="17"/>
          <w:color w:val="auto"/>
        </w:rPr>
      </w:pPr>
    </w:p>
    <w:p>
      <w:pPr>
        <w:ind w:left="309" w:hanging="309"/>
        <w:spacing w:after="0"/>
        <w:tabs>
          <w:tab w:leader="none" w:pos="3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2019, Kratos produced its first MQM-178 Firejet target drones at its new production facility in Oklahoma City.</w:t>
      </w:r>
    </w:p>
    <w:p>
      <w:pPr>
        <w:spacing w:after="0" w:line="139" w:lineRule="exact"/>
        <w:rPr>
          <w:rFonts w:ascii="Times New Roman" w:cs="Times New Roman" w:eastAsia="Times New Roman" w:hAnsi="Times New Roman"/>
          <w:sz w:val="17"/>
          <w:szCs w:val="17"/>
          <w:color w:val="auto"/>
        </w:rPr>
      </w:pPr>
    </w:p>
    <w:p>
      <w:pPr>
        <w:ind w:left="309" w:right="300" w:hanging="309"/>
        <w:spacing w:after="0" w:line="264"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Kratos’ Air Wolf tactical drone system (“Tactical Firejet”) completed a 100 percent successful flight at the recently approved Burns Flat, Oklahoma range facility. The Kratos Air Wolf mission, which was the inaugural flight at the Burns Flat location, included multiple new payloads carried by the Air Wolf drone, including a proprietary Kratos artificial intelligence/autonomy system, which has been deployed by Kratos specifically for high performance, jet drone aircraft.</w:t>
      </w:r>
    </w:p>
    <w:p>
      <w:pPr>
        <w:spacing w:after="0" w:line="106" w:lineRule="exact"/>
        <w:rPr>
          <w:rFonts w:ascii="Times New Roman" w:cs="Times New Roman" w:eastAsia="Times New Roman" w:hAnsi="Times New Roman"/>
          <w:sz w:val="17"/>
          <w:szCs w:val="17"/>
          <w:color w:val="auto"/>
        </w:rPr>
      </w:pPr>
    </w:p>
    <w:p>
      <w:pPr>
        <w:ind w:left="-311" w:right="120" w:firstLine="311"/>
        <w:spacing w:after="0" w:line="46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Kratos was awarded a $14 million tactical jet drone system contract and a $20 million aerial drone system production contract. In the Targets Drone Area:</w:t>
      </w:r>
    </w:p>
    <w:p>
      <w:pPr>
        <w:spacing w:after="0" w:line="35" w:lineRule="exact"/>
        <w:rPr>
          <w:rFonts w:ascii="Times New Roman" w:cs="Times New Roman" w:eastAsia="Times New Roman" w:hAnsi="Times New Roman"/>
          <w:sz w:val="17"/>
          <w:szCs w:val="17"/>
          <w:color w:val="auto"/>
        </w:rPr>
      </w:pPr>
    </w:p>
    <w:p>
      <w:pPr>
        <w:jc w:val="both"/>
        <w:ind w:left="309" w:right="20" w:hanging="309"/>
        <w:spacing w:after="0" w:line="287"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redeveloped our Air Force Subscale Aerial Target BQM-167 into what we believe to be one of the highest performance unmanned aircraft in the world, the U.S. Navy Sub-Sonic Aerial Target (“SSAT”) Drone BQM-177A, with low rate initial production awarded to Kratos in June 2017.</w:t>
      </w:r>
    </w:p>
    <w:p>
      <w:pPr>
        <w:spacing w:after="0" w:line="73" w:lineRule="exact"/>
        <w:rPr>
          <w:rFonts w:ascii="Times New Roman" w:cs="Times New Roman" w:eastAsia="Times New Roman" w:hAnsi="Times New Roman"/>
          <w:sz w:val="17"/>
          <w:szCs w:val="17"/>
          <w:color w:val="auto"/>
        </w:rPr>
      </w:pPr>
    </w:p>
    <w:p>
      <w:pPr>
        <w:ind w:left="309" w:right="160" w:hanging="309"/>
        <w:spacing w:after="0" w:line="287"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delivery of the first production aerial targets was made to the U.S. Navy, and achievement of Initial Operational Capability (IOC) was reported by the U.S. Navy in February 2019.</w:t>
      </w:r>
    </w:p>
    <w:p>
      <w:pPr>
        <w:spacing w:after="0" w:line="86" w:lineRule="exact"/>
        <w:rPr>
          <w:rFonts w:ascii="Times New Roman" w:cs="Times New Roman" w:eastAsia="Times New Roman" w:hAnsi="Times New Roman"/>
          <w:sz w:val="17"/>
          <w:szCs w:val="17"/>
          <w:color w:val="auto"/>
        </w:rPr>
      </w:pPr>
    </w:p>
    <w:p>
      <w:pPr>
        <w:ind w:left="309" w:hanging="309"/>
        <w:spacing w:after="0"/>
        <w:tabs>
          <w:tab w:leader="none" w:pos="3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2019, the Company was awarded a $25.4 million contract for Lot 3 of low rate initial production for 34 BQM-177A aerial targets.</w:t>
      </w:r>
    </w:p>
    <w:p>
      <w:pPr>
        <w:spacing w:after="0" w:line="152" w:lineRule="exact"/>
        <w:rPr>
          <w:rFonts w:ascii="Times New Roman" w:cs="Times New Roman" w:eastAsia="Times New Roman" w:hAnsi="Times New Roman"/>
          <w:sz w:val="17"/>
          <w:szCs w:val="17"/>
          <w:color w:val="auto"/>
        </w:rPr>
      </w:pPr>
    </w:p>
    <w:p>
      <w:pPr>
        <w:ind w:left="309" w:right="20" w:hanging="309"/>
        <w:spacing w:after="0" w:line="287"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the Company was awarded full rate production Lot 1 and 2 for $29.2 million and $38.7 million, for an additional 35 and 48 BQM-177A aerial targets,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4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89"/>
          </w:cols>
          <w:pgMar w:left="1251" w:top="858" w:right="359" w:bottom="1440" w:gutter="0" w:footer="0" w:header="0"/>
        </w:sectPr>
      </w:pPr>
    </w:p>
    <w:bookmarkStart w:id="8" w:name="page9"/>
    <w:bookmarkEnd w:id="8"/>
    <w:p>
      <w:pPr>
        <w:ind w:left="1240" w:right="180" w:hanging="309"/>
        <w:spacing w:after="0" w:line="270"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we were awarded a $50.9 million contract modification exercising an option to procure 65 BQM-177A aerial targets, 50 for the Navy, seven for the government of Japan, and eight for the government of Saudi Arabia, as well as associated technical and administrative data in support of full rate production lot three.</w:t>
      </w:r>
    </w:p>
    <w:p>
      <w:pPr>
        <w:spacing w:after="0" w:line="100" w:lineRule="exact"/>
        <w:rPr>
          <w:rFonts w:ascii="Times New Roman" w:cs="Times New Roman" w:eastAsia="Times New Roman" w:hAnsi="Times New Roman"/>
          <w:sz w:val="17"/>
          <w:szCs w:val="17"/>
          <w:color w:val="auto"/>
        </w:rPr>
      </w:pPr>
    </w:p>
    <w:p>
      <w:pPr>
        <w:ind w:left="1240" w:right="520" w:hanging="309"/>
        <w:spacing w:after="0" w:line="287"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2022, Kratos was awarded a $14.7 million BQM-177A subsonic aerial target contract to continue software maintenance and updates of the BQM-177A SSAT.</w:t>
      </w:r>
    </w:p>
    <w:p>
      <w:pPr>
        <w:spacing w:after="0" w:line="73"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2023, the Naval Air Systems Command announced that it had recently awarded Kratos a $49.5 million contract for the production and delivery of 55 full rate production Lot 4 BQM-177A surface launched aerial targets, including associated equipment.</w:t>
      </w:r>
    </w:p>
    <w:p>
      <w:pPr>
        <w:spacing w:after="0" w:line="112" w:lineRule="exact"/>
        <w:rPr>
          <w:rFonts w:ascii="Times New Roman" w:cs="Times New Roman" w:eastAsia="Times New Roman" w:hAnsi="Times New Roman"/>
          <w:sz w:val="17"/>
          <w:szCs w:val="17"/>
          <w:color w:val="auto"/>
        </w:rPr>
      </w:pPr>
    </w:p>
    <w:p>
      <w:pPr>
        <w:ind w:left="1240" w:right="120" w:hanging="309"/>
        <w:spacing w:after="0" w:line="228" w:lineRule="auto"/>
        <w:tabs>
          <w:tab w:leader="none" w:pos="123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To date, Kratos has been awarded contracts to manufacture and deliver 312 BQM-177A SSATs. To date, the Company has produced 196 BQM-177A targets for the U.S. Navy, with Kratos being the sole source provider of the BQM-177A to the U.S. Navy.</w:t>
      </w:r>
    </w:p>
    <w:p>
      <w:pPr>
        <w:spacing w:after="0" w:line="203" w:lineRule="exact"/>
        <w:rPr>
          <w:rFonts w:ascii="Times New Roman" w:cs="Times New Roman" w:eastAsia="Times New Roman" w:hAnsi="Times New Roman"/>
          <w:sz w:val="21"/>
          <w:szCs w:val="21"/>
          <w:color w:val="auto"/>
        </w:rPr>
      </w:pPr>
    </w:p>
    <w:p>
      <w:pPr>
        <w:ind w:left="1240" w:right="40" w:hanging="309"/>
        <w:spacing w:after="0" w:line="248"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we received a single award $109 million maximum value three year production contract for Air Force Subscale Aerial Target BQM-167A, with $27 million being initially obligated at the time of award for 30 Lot 14 BQM-167A aerial targets and production support, and an additional $31.9 million being obligated for 35 Lot 15 BQM-167A targets in 2019, and an additional $32.0 million being obligated for 35 Lot 16 BQM-167A targets in 2020.</w:t>
      </w:r>
    </w:p>
    <w:p>
      <w:pPr>
        <w:spacing w:after="0" w:line="210" w:lineRule="exact"/>
        <w:rPr>
          <w:rFonts w:ascii="Times New Roman" w:cs="Times New Roman" w:eastAsia="Times New Roman" w:hAnsi="Times New Roman"/>
          <w:sz w:val="17"/>
          <w:szCs w:val="17"/>
          <w:color w:val="auto"/>
        </w:rPr>
      </w:pPr>
    </w:p>
    <w:p>
      <w:pPr>
        <w:jc w:val="both"/>
        <w:ind w:left="1240" w:right="340" w:hanging="309"/>
        <w:spacing w:after="0" w:line="270"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we received a $338 million single award for production Lots 17 – 21, out-of-warranty repairs and contractor logistics support, with $30.5 million initially obligated for Lot 17. The SSAT program is one of the largest and most important to Kratos. To date, the Company has produced 535 BQM-167A targets for the U.S. Air Force. Kratos is the sole source provider of the BQM-167A to the US Air Force.</w:t>
      </w:r>
    </w:p>
    <w:p>
      <w:pPr>
        <w:spacing w:after="0" w:line="87" w:lineRule="exact"/>
        <w:rPr>
          <w:rFonts w:ascii="Times New Roman" w:cs="Times New Roman" w:eastAsia="Times New Roman" w:hAnsi="Times New Roman"/>
          <w:sz w:val="17"/>
          <w:szCs w:val="17"/>
          <w:color w:val="auto"/>
        </w:rPr>
      </w:pPr>
    </w:p>
    <w:p>
      <w:pPr>
        <w:jc w:val="both"/>
        <w:ind w:left="1240" w:right="40" w:hanging="309"/>
        <w:spacing w:after="0" w:line="264"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we received a sole source, single award multi-year IDIQ contract from the Swedish Defence Materiel Administration for our MQM-178 Firejet aerial target aircraft and associated ground support equipment, spares, payloads, components, expendables and support services. The first order under the three-year IDIQ contract was received in the first half of 2019. Additionally, there are two three-year exercisable option periods for a total potential contract performance term of nine years.</w:t>
      </w:r>
    </w:p>
    <w:p>
      <w:pPr>
        <w:spacing w:after="0" w:line="106" w:lineRule="exact"/>
        <w:rPr>
          <w:rFonts w:ascii="Times New Roman" w:cs="Times New Roman" w:eastAsia="Times New Roman" w:hAnsi="Times New Roman"/>
          <w:sz w:val="17"/>
          <w:szCs w:val="17"/>
          <w:color w:val="auto"/>
        </w:rPr>
      </w:pPr>
    </w:p>
    <w:p>
      <w:pPr>
        <w:ind w:left="1240" w:right="220" w:hanging="309"/>
        <w:spacing w:after="0" w:line="270"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2021, Micro Systems, Inc., Kratos’ wholly owned subsidiary, received an $85.9 million contract award, with a $60.7 million base and two options totaling approximately $25.3 million, from the U.S. Army to support the Army Ground Aerial Target Control System, including software updating, cyber security inspections and installation of replacement parts.</w:t>
      </w:r>
    </w:p>
    <w:p>
      <w:pPr>
        <w:spacing w:after="0" w:line="87" w:lineRule="exact"/>
        <w:rPr>
          <w:rFonts w:ascii="Times New Roman" w:cs="Times New Roman" w:eastAsia="Times New Roman" w:hAnsi="Times New Roman"/>
          <w:sz w:val="17"/>
          <w:szCs w:val="17"/>
          <w:color w:val="auto"/>
        </w:rPr>
      </w:pPr>
    </w:p>
    <w:p>
      <w:pPr>
        <w:ind w:left="1240" w:right="300" w:hanging="309"/>
        <w:spacing w:after="0" w:line="287"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Kratos received a $20 million contract award from an international customer for high performance, unmanned aerial target drone system aircraft and related services.</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Kratos is currently under customer contract and working on a number of customer funded tactical UAV contracts and programs. Kratos is producing a lot</w:t>
      </w:r>
    </w:p>
    <w:p>
      <w:pPr>
        <w:spacing w:after="0" w:line="3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color w:val="auto"/>
        </w:rPr>
        <w:t>of 12 Valkyrie drones systems, certain of which have been delivered to the respective customer(s), with others either committed to customer funded contracts or currently being produced with Kratos funds in advance of potential expected customer contracts. The request of two new, additional classified tactical drone programs in the FY 2023 DoD budget request by the Secretary of Defense, as well as other statements and disclosures made by the DoD and others, indicate the continued commitment by the Pentagon to autonomous, unmanned systems. We believe that the Company is well-positioned to address the DoD’s requirements if it decides to move forward in procuring numbers of unmanned combat tactical drone systems, which may include drone systems currently under contract, in development, or flying by Kratos, and/or other future systems.</w:t>
      </w:r>
    </w:p>
    <w:p>
      <w:pPr>
        <w:spacing w:after="0" w:line="200" w:lineRule="exact"/>
        <w:rPr>
          <w:sz w:val="20"/>
          <w:szCs w:val="20"/>
          <w:color w:val="auto"/>
        </w:rPr>
      </w:pPr>
    </w:p>
    <w:p>
      <w:pPr>
        <w:ind w:right="60" w:firstLine="541"/>
        <w:spacing w:after="0" w:line="239" w:lineRule="auto"/>
        <w:rPr>
          <w:sz w:val="20"/>
          <w:szCs w:val="20"/>
          <w:color w:val="auto"/>
        </w:rPr>
      </w:pPr>
      <w:r>
        <w:rPr>
          <w:rFonts w:ascii="Times New Roman" w:cs="Times New Roman" w:eastAsia="Times New Roman" w:hAnsi="Times New Roman"/>
          <w:sz w:val="17"/>
          <w:szCs w:val="17"/>
          <w:color w:val="auto"/>
        </w:rPr>
        <w:t>We believe that our internally funded, developed and owned intellectual property allows us to rapidly provide relevant jet powered, unmanned aircraft, designed to fly in A2/AD environments and with performance capabilities equal to or greater than fourth generation manned jet fighter aircraft, at an affordable cost. Kratos’ tactical UAS provide force multiplication and augmentation for manned high-performance fighter aircraft. We believe that there are very few high-performance UAS that are affordable and as advanced as our systems and technologies addressing the A2/AD environment, which the DoD has identified as a gap in U.S. capabilities and an area in need. As such, consistent with the needs and requirements of the U.S. and allied militaries, we believe that our first to market position and leadership in these types of high-performance unmanned aircraft, including having a family of multiple UCAS flying today, and having active manufacturing facilities currently producing this class of UCAS, provides us with a potential market opportunity of these types of low-cost, high-performance systems. The DoD has stated that they intend to field a family of new next generation drone aircraft, including Collaborative Combat Aircraft (“CCA”s) or UCAVs, including those that can successfully be force multipliers to manned aircraft and perform their mission in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highly contested, A2/AD environments. Kratos believes that a “family” of such UCAVs required by the DoD will include disposable, expendable, attritable and</w:t>
      </w:r>
    </w:p>
    <w:p>
      <w:pPr>
        <w:spacing w:after="0" w:line="37"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color w:val="auto"/>
        </w:rPr>
        <w:t>exquisite types. Kratos has four drones that are flying today in the disposable, reusable and attritable class that we can publicly disclose, i.e., Tactical Firejet, Mako, Gremlins and Valkyrie.</w:t>
      </w:r>
    </w:p>
    <w:p>
      <w:pPr>
        <w:spacing w:after="0" w:line="177" w:lineRule="exact"/>
        <w:rPr>
          <w:sz w:val="20"/>
          <w:szCs w:val="20"/>
          <w:color w:val="auto"/>
        </w:rPr>
      </w:pPr>
    </w:p>
    <w:p>
      <w:pPr>
        <w:ind w:right="120" w:firstLine="541"/>
        <w:spacing w:after="0" w:line="261" w:lineRule="auto"/>
        <w:rPr>
          <w:sz w:val="20"/>
          <w:szCs w:val="20"/>
          <w:color w:val="auto"/>
        </w:rPr>
      </w:pPr>
      <w:r>
        <w:rPr>
          <w:rFonts w:ascii="Times New Roman" w:cs="Times New Roman" w:eastAsia="Times New Roman" w:hAnsi="Times New Roman"/>
          <w:sz w:val="17"/>
          <w:szCs w:val="17"/>
          <w:color w:val="auto"/>
        </w:rPr>
        <w:t>Kratos is also an industry leader in ground-based command, control and communications systems (“C3”), Telemetry Tracking and Control (“TT&amp;C”) and other systems for satellites, and a leader in related radio frequency interference identification, geolocation and mitigation, or Space Domain Awareness. Our</w:t>
      </w:r>
    </w:p>
    <w:p>
      <w:pPr>
        <w:ind w:right="200"/>
        <w:spacing w:after="0" w:line="246" w:lineRule="auto"/>
        <w:rPr>
          <w:sz w:val="20"/>
          <w:szCs w:val="20"/>
          <w:color w:val="auto"/>
        </w:rPr>
      </w:pPr>
      <w:r>
        <w:rPr>
          <w:rFonts w:ascii="Times New Roman" w:cs="Times New Roman" w:eastAsia="Times New Roman" w:hAnsi="Times New Roman"/>
          <w:sz w:val="17"/>
          <w:szCs w:val="17"/>
          <w:color w:val="auto"/>
        </w:rPr>
        <w:t>primary customers include the U.S. Air Force, Space Command and other agencies, and commercial customers, enterprises and entities. Our OpenSpace™ products and technology is a new approach to enable dynamic ground system operations by turning hardware to software that can react rapidly, dynamically and affordably to changing conditions in the satellite industry, including satellites with spot beams and software defined payloads.</w:t>
      </w:r>
    </w:p>
    <w:p>
      <w:pPr>
        <w:spacing w:after="0" w:line="237" w:lineRule="exact"/>
        <w:rPr>
          <w:sz w:val="20"/>
          <w:szCs w:val="20"/>
          <w:color w:val="auto"/>
        </w:rPr>
      </w:pPr>
    </w:p>
    <w:p>
      <w:pPr>
        <w:ind w:right="320" w:firstLine="541"/>
        <w:spacing w:after="0" w:line="253" w:lineRule="auto"/>
        <w:rPr>
          <w:sz w:val="20"/>
          <w:szCs w:val="20"/>
          <w:color w:val="auto"/>
        </w:rPr>
      </w:pPr>
      <w:r>
        <w:rPr>
          <w:rFonts w:ascii="Times New Roman" w:cs="Times New Roman" w:eastAsia="Times New Roman" w:hAnsi="Times New Roman"/>
          <w:sz w:val="17"/>
          <w:szCs w:val="17"/>
          <w:color w:val="auto"/>
        </w:rPr>
        <w:t>Kratos is also an industry leader in rocket systems, ballistic missile targets, suborbital vehicles, sounding rockets and hypersonic systems. Kratos is the recognized affordable, industry leader in each of these areas, where Kratos systems, products and technology have disrupted the traditional market dynamics, including recent important new program and contract awards in the hypersonic areas with the Multi-Service Advanced Capability Hypersonics Test Bed (the</w:t>
      </w:r>
    </w:p>
    <w:p>
      <w:pPr>
        <w:spacing w:after="0" w:line="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“MACH TB”) and Mayhem Hypersonic System (“Mayhem”) programs. Kratos is currently working on two new, internally funded hypersonic related initiatives, Zeus and Erinyes, which if successful, we believe will also significantly disrupt their respective market areas.</w:t>
      </w:r>
    </w:p>
    <w:p>
      <w:pPr>
        <w:spacing w:after="0" w:line="190" w:lineRule="exact"/>
        <w:rPr>
          <w:sz w:val="20"/>
          <w:szCs w:val="20"/>
          <w:color w:val="auto"/>
        </w:rPr>
      </w:pPr>
    </w:p>
    <w:p>
      <w:pPr>
        <w:ind w:right="160" w:firstLine="541"/>
        <w:spacing w:after="0" w:line="271" w:lineRule="auto"/>
        <w:rPr>
          <w:sz w:val="20"/>
          <w:szCs w:val="20"/>
          <w:color w:val="auto"/>
        </w:rPr>
      </w:pPr>
      <w:r>
        <w:rPr>
          <w:rFonts w:ascii="Times New Roman" w:cs="Times New Roman" w:eastAsia="Times New Roman" w:hAnsi="Times New Roman"/>
          <w:sz w:val="17"/>
          <w:szCs w:val="17"/>
          <w:color w:val="auto"/>
        </w:rPr>
        <w:t>Our microwave electronics business products have designed-in positions on critical combat system programs, including Barak, Gripen, Iron Dome, Sling of David, F-15, F-16, Arrow and other C5ISR programs, including space and satellite programs and certain classified programs.</w:t>
      </w:r>
    </w:p>
    <w:p>
      <w:pPr>
        <w:spacing w:after="0" w:line="190" w:lineRule="exact"/>
        <w:rPr>
          <w:sz w:val="20"/>
          <w:szCs w:val="20"/>
          <w:color w:val="auto"/>
        </w:rPr>
      </w:pPr>
    </w:p>
    <w:p>
      <w:pPr>
        <w:ind w:right="200" w:firstLine="541"/>
        <w:spacing w:after="0" w:line="271" w:lineRule="auto"/>
        <w:rPr>
          <w:sz w:val="20"/>
          <w:szCs w:val="20"/>
          <w:color w:val="auto"/>
        </w:rPr>
      </w:pPr>
      <w:r>
        <w:rPr>
          <w:rFonts w:ascii="Times New Roman" w:cs="Times New Roman" w:eastAsia="Times New Roman" w:hAnsi="Times New Roman"/>
          <w:sz w:val="17"/>
          <w:szCs w:val="17"/>
          <w:color w:val="auto"/>
        </w:rPr>
        <w:t>Our advanced capabilities in the training systems and solutions market, including mixed, virtual and synthetic reality technology for aircraft, combat and other vehicles, have allowed us to successfully remain at the forefront of defense industry readiness initiatives.</w:t>
      </w:r>
    </w:p>
    <w:p>
      <w:pPr>
        <w:spacing w:after="0" w:line="164" w:lineRule="exact"/>
        <w:rPr>
          <w:sz w:val="20"/>
          <w:szCs w:val="20"/>
          <w:color w:val="auto"/>
        </w:rPr>
      </w:pPr>
    </w:p>
    <w:p>
      <w:pPr>
        <w:ind w:right="40" w:firstLine="541"/>
        <w:spacing w:after="0" w:line="248" w:lineRule="auto"/>
        <w:rPr>
          <w:sz w:val="20"/>
          <w:szCs w:val="20"/>
          <w:color w:val="auto"/>
        </w:rPr>
      </w:pPr>
      <w:r>
        <w:rPr>
          <w:rFonts w:ascii="Times New Roman" w:cs="Times New Roman" w:eastAsia="Times New Roman" w:hAnsi="Times New Roman"/>
          <w:sz w:val="17"/>
          <w:szCs w:val="17"/>
          <w:color w:val="auto"/>
        </w:rPr>
        <w:t>We believe our strategy of internally funding the research and development of many of our systems, products, solutions and capabilities will continue to enable Kratos to “be first to market” and advance our position in high growth markets, such as high performance UCAVs, satellite communications, turbine and engine technologies, hypersonic systems, ballistic missile targets and microwave electronics, and allow us to grow, over the long-term, at a rate greater than that of the industry.</w:t>
      </w:r>
    </w:p>
    <w:p>
      <w:pPr>
        <w:spacing w:after="0" w:line="194" w:lineRule="exact"/>
        <w:rPr>
          <w:sz w:val="20"/>
          <w:szCs w:val="20"/>
          <w:color w:val="auto"/>
        </w:rPr>
      </w:pPr>
    </w:p>
    <w:p>
      <w:pPr>
        <w:ind w:right="20" w:firstLine="6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Diverse base of key contracts with low concentration. </w:t>
      </w:r>
      <w:r>
        <w:rPr>
          <w:rFonts w:ascii="Times New Roman" w:cs="Times New Roman" w:eastAsia="Times New Roman" w:hAnsi="Times New Roman"/>
          <w:sz w:val="17"/>
          <w:szCs w:val="17"/>
          <w:color w:val="auto"/>
        </w:rPr>
        <w:t>Kratos leading technology, products and systems, which are focused on many of the highest priority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National Security areas allows us the opportunity to bid on and pursue a large number of contract and program opportunities as the lead or prime contractor, while</w:t>
      </w:r>
    </w:p>
    <w:p>
      <w:pPr>
        <w:spacing w:after="0" w:line="1"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7"/>
          <w:szCs w:val="17"/>
          <w:color w:val="auto"/>
        </w:rPr>
        <w:t>also providing Kratos the opportunity to partner or team on additional large opportunities, better positioning our company for success. Many of our contracts are single-award and/or sole source in nature, where we or our team are the only awardee by the customer. In certain cases, our ability to obtain single award and/or sole source contracts is due to our intellectual property, proprietary products, historical performance qualifications, relative experience, affordability or Kratos already having demonstrated a first to market working system.</w:t>
      </w:r>
    </w:p>
    <w:p>
      <w:pPr>
        <w:spacing w:after="0" w:line="198" w:lineRule="exact"/>
        <w:rPr>
          <w:sz w:val="20"/>
          <w:szCs w:val="20"/>
          <w:color w:val="auto"/>
        </w:rPr>
      </w:pPr>
    </w:p>
    <w:p>
      <w:pPr>
        <w:ind w:right="340" w:firstLine="619"/>
        <w:spacing w:after="0" w:line="243" w:lineRule="auto"/>
        <w:rPr>
          <w:sz w:val="20"/>
          <w:szCs w:val="20"/>
          <w:color w:val="auto"/>
        </w:rPr>
      </w:pPr>
      <w:r>
        <w:rPr>
          <w:rFonts w:ascii="Times New Roman" w:cs="Times New Roman" w:eastAsia="Times New Roman" w:hAnsi="Times New Roman"/>
          <w:sz w:val="17"/>
          <w:szCs w:val="17"/>
          <w:color w:val="auto"/>
        </w:rPr>
        <w:t>We have a highly diverse base of customers and contracts with no contract representing more than 6% of 2022 revenue. Our fixed-price contracts, the majority of which are production contracts, represent approximately 71% of our 2022 revenue. Our cost-plus-fee contracts and time and materials contracts represent approximately 24% and 5%, respectively, of our 2022 revenue. We believe our diverse base of key contracts and low reliance on any one contract provides us with a stable, balanced revenue stream.</w:t>
      </w:r>
    </w:p>
    <w:p>
      <w:pPr>
        <w:spacing w:after="0" w:line="214"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Representative recent major contract awards for Kratos include a $15.5 million contract from the U.S. Navy/Marine Corps to procure two XQ-58A Valkyrie drones, an initial $30 million in funding on a potential $250 million C5ISR program, a subcontract for Mach-TB and a Mayhem program award from our prime partner Dynetics, a $49.5 million contract announced by the Navy in January 2023 for the production and delivery of 55 full rate production Lot 4 BQM-177A surface launched aerial targets and related equipment, and a $54 million task order from the AFRL Turbine Engine Division (AFRL/RQT) to develop a low cost, limited life engine for attritable and expendable systems. Additionally, the Company’s OpenSpace™ Platform was selected by global satellite system operator Intelsat as a key component to unify the operations of its ground and space systems in its next generation network. We also received an approximate $160 million contract award from our partner Blue Halo for the SCAR program and a contract award to deliver an advanced spectrum monitoring system for OneWeb to monitor, analyze and review its fleet of Low Earth Orbit constellations.</w:t>
      </w:r>
    </w:p>
    <w:p>
      <w:pPr>
        <w:spacing w:after="0" w:line="111"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Significant cash flow visibility driven by stable backlog. As of December 25, 2022 and December 26, 2021, our total backlog (see Backlog below) was approximately $1,112.4 million and $953.9 million respectively, of which approximately $721.4 million was funded in 2022 and $653.7 million was funded in 2021. The majority of our sales are from awards issued under long-term contracts, typically three to five years in duration. Our contract backlog provides visibility into stable future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0" w:name="page11"/>
    <w:bookmarkEnd w:id="10"/>
    <w:p>
      <w:pPr>
        <w:ind w:right="60"/>
        <w:spacing w:after="0" w:line="287" w:lineRule="auto"/>
        <w:rPr>
          <w:sz w:val="20"/>
          <w:szCs w:val="20"/>
          <w:color w:val="auto"/>
        </w:rPr>
      </w:pPr>
      <w:r>
        <w:rPr>
          <w:rFonts w:ascii="Times New Roman" w:cs="Times New Roman" w:eastAsia="Times New Roman" w:hAnsi="Times New Roman"/>
          <w:sz w:val="17"/>
          <w:szCs w:val="17"/>
          <w:color w:val="auto"/>
        </w:rPr>
        <w:t>revenue and cash flow over a diverse set of contracts. Importantly, a number of our systems and products are designed-in and support long term, multi-year/multi-decade programs, which provides significant operational and financial visibility to our Company.</w:t>
      </w:r>
    </w:p>
    <w:p>
      <w:pPr>
        <w:spacing w:after="0" w:line="74" w:lineRule="exact"/>
        <w:rPr>
          <w:sz w:val="20"/>
          <w:szCs w:val="20"/>
          <w:color w:val="auto"/>
        </w:rPr>
      </w:pPr>
    </w:p>
    <w:p>
      <w:pPr>
        <w:ind w:right="80" w:firstLine="619"/>
        <w:spacing w:after="0"/>
        <w:rPr>
          <w:sz w:val="20"/>
          <w:szCs w:val="20"/>
          <w:color w:val="auto"/>
        </w:rPr>
      </w:pPr>
      <w:r>
        <w:rPr>
          <w:rFonts w:ascii="Times New Roman" w:cs="Times New Roman" w:eastAsia="Times New Roman" w:hAnsi="Times New Roman"/>
          <w:sz w:val="17"/>
          <w:szCs w:val="17"/>
          <w:color w:val="auto"/>
        </w:rPr>
        <w:t>Highly skilled employees and an experienced management team. We deliver our systems, products and services through a skilled and primarily engineering and technically oriented workforce of approximately 3,600 employees. Our senior managers have significant experience with technology companies, commercial enterprises, U.S. Government agencies, the U.S. military, U.S. Government contractors and other relevant entities. A significant number of Kratos employees hold National Security clearances. Members of our management team have experience growing commercial, technology and national security focused businesses both organically and through acquisitions and delivering significant value to investors, shareholders and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44"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Our strategy is to be a leading technology, systems and products provider to the Defense, National Security and commercial markets, and to disrupt our relevant market focus areas, by being first to market with internally funded and developed, relevant offerings at an affordable cost. In executing our strategy, Kratos primarily utilizes proven technology, which we modify, adopt, change, integrate and apply to address market opportunities that we identify jointly with our customers. This approach allows us to rapidly develop and field relevant offerings, while reducing technical, schedule and financial risk. At Kratos affordability is a technology, which we believe is a critical element of the successful execution of our strategy. Additionally, whenever there is a defense/security/commercial “dual use” opportunity for our technology, products and systems, we lever off of this opportunity with increased efficiencies and further reduced cost opportunity via increased quantities provided to dual or multiple markets.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Growth</w:t>
      </w:r>
    </w:p>
    <w:p>
      <w:pPr>
        <w:spacing w:after="0" w:line="144" w:lineRule="exact"/>
        <w:rPr>
          <w:sz w:val="20"/>
          <w:szCs w:val="20"/>
          <w:color w:val="auto"/>
        </w:rPr>
      </w:pPr>
    </w:p>
    <w:p>
      <w:pPr>
        <w:ind w:right="240" w:firstLine="619"/>
        <w:spacing w:after="0" w:line="248" w:lineRule="auto"/>
        <w:rPr>
          <w:sz w:val="20"/>
          <w:szCs w:val="20"/>
          <w:color w:val="auto"/>
        </w:rPr>
      </w:pPr>
      <w:r>
        <w:rPr>
          <w:rFonts w:ascii="Times New Roman" w:cs="Times New Roman" w:eastAsia="Times New Roman" w:hAnsi="Times New Roman"/>
          <w:sz w:val="17"/>
          <w:szCs w:val="17"/>
          <w:color w:val="auto"/>
        </w:rPr>
        <w:t>We are focused on generating internal growth by capitalizing on our ability to rapidly develop, demonstrate and field leading technology systems and products at an affordable cost and by being “first to market” with our offerings. We make targeted discretionary investments in mission critical DoD, National Security and commercial opportunity priority areas. These areas include unmanned systems, space and satellite communications, cybersecurity, microwave electronics, hypersonic and rocket systems, missile defense, turbine technologies, and training systems, which we believe have the highest potential for growth,</w:t>
      </w:r>
    </w:p>
    <w:p>
      <w:pPr>
        <w:spacing w:after="0" w:line="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based on the National Defense Strategy and recent funding requests. In certain areas, Kratos will retain important intellectual property as a result of the internally funded investments we have made. Additionally, due to Kratos’ unique technology, product and potential intellectual property positions, including in the space, satellite, UAS, propulsion, engine, turbine, rocket, hypersonic and other areas, we are routinely approached to partner or team on large, new program and contract opportunities, where Kratos offerings are an important competitive differentiator. A key aspect of Kratos’ internal growth philosophy is also that “it is better to have a large part of something, than all of nothing”, which is directly relevant to our teaming and partnership approach and strategy.</w:t>
      </w:r>
    </w:p>
    <w:p>
      <w:pPr>
        <w:spacing w:after="0" w:line="201"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Expand technology product, solution and service offerings provided to existing customers. </w:t>
      </w:r>
      <w:r>
        <w:rPr>
          <w:rFonts w:ascii="Times New Roman" w:cs="Times New Roman" w:eastAsia="Times New Roman" w:hAnsi="Times New Roman"/>
          <w:sz w:val="17"/>
          <w:szCs w:val="17"/>
          <w:color w:val="auto"/>
        </w:rPr>
        <w:t>We are focused on expanding the technology,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systems and solutions we provide to our current customers by making targeted internally funded investments in our core focus areas, by leveraging our strong relationships, technical capabilities, intellectual property and past performance qualifications and by offering a wider range of comprehensive low-cost technology leading and proven products and solutions. In regard to areas of specialization, our product and solution offerings include the manufacturing of specialized defense electronics; integrated technology and software solutions for satellite command, control and communications; specialized high performance UCAV and drone aircraft for tactical and threat representation target purposes; Unmanned Ground Systems (“UGS”); Unmanned Seaborne Systems; engine and propulsion systems; and rocket, ballistic missile target and hypersonic systems.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202"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i w:val="1"/>
          <w:iCs w:val="1"/>
          <w:color w:val="auto"/>
        </w:rPr>
        <w:t xml:space="preserve">Capitalize on current contract base. </w:t>
      </w:r>
      <w:r>
        <w:rPr>
          <w:rFonts w:ascii="Times New Roman" w:cs="Times New Roman" w:eastAsia="Times New Roman" w:hAnsi="Times New Roman"/>
          <w:sz w:val="17"/>
          <w:szCs w:val="17"/>
          <w:color w:val="auto"/>
        </w:rPr>
        <w:t>We are pursuing new program and contract opportunities and awards as we build the business with our expanding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base, intellectual property ownership, contract portfolio, and product, solution and service offerings. We are also aggressively pursuing several National Security priority areas, including high performance UADS, satellite communications command, control, communication and signal monitoring products, microwave electronics for missiles, radars, electronic warfare and communications, cybersecurity solutions, propulsion and engine systems, specialized training systems, autonomy and artificial intelligence systems, robotics, directed energy systems, hypersonic systems and next generation ballistic missile targets. We are also assessing new tactical program areas and platforms to pursue that are consistent with our core capabilities, technology and intellectual property. These current and existing programs, contracts, customers and related offerings provide Kratos important past performance qualifications and experience, positioning us to credibly pursue new opportunities.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1" w:name="page12"/>
    <w:bookmarkEnd w:id="11"/>
    <w:p>
      <w:pPr>
        <w:ind w:right="120"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Expand customer and contract base. </w:t>
      </w:r>
      <w:r>
        <w:rPr>
          <w:rFonts w:ascii="Times New Roman" w:cs="Times New Roman" w:eastAsia="Times New Roman" w:hAnsi="Times New Roman"/>
          <w:sz w:val="17"/>
          <w:szCs w:val="17"/>
          <w:color w:val="auto"/>
        </w:rPr>
        <w:t>We are focused on expanding our customer base into areas with significant growth opportunities as indicated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FY 2023 spending bill and the 2022 National Defense Strategy documents,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both to pursue larger program opportunities, higher value work and to further diversify our revenue base across additional U.S. Government, international and commercial customers.</w:t>
      </w:r>
    </w:p>
    <w:p>
      <w:pPr>
        <w:spacing w:after="0" w:line="195"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Improve operating margins. </w:t>
      </w:r>
      <w:r>
        <w:rPr>
          <w:rFonts w:ascii="Times New Roman" w:cs="Times New Roman" w:eastAsia="Times New Roman" w:hAnsi="Times New Roman"/>
          <w:sz w:val="17"/>
          <w:szCs w:val="17"/>
          <w:color w:val="auto"/>
        </w:rPr>
        <w:t>We believe that we have opportunities to increase our operating margins and improve profitability in the future as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from certain development programs, which typically generate inherently lower margins, to production programs, which typically generate higher margins, and by leveraging our corporate infrastructure investments as our business and revenues increase. We are proactively focused on continuously improving efficiencies, reducing costs, and concentrating our efforts on operational excellence.</w:t>
      </w:r>
    </w:p>
    <w:p>
      <w:pPr>
        <w:spacing w:after="0" w:line="194"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i w:val="1"/>
          <w:iCs w:val="1"/>
          <w:color w:val="auto"/>
        </w:rPr>
        <w:t xml:space="preserve">Invest in strategic growth areas. </w:t>
      </w:r>
      <w:r>
        <w:rPr>
          <w:rFonts w:ascii="Times New Roman" w:cs="Times New Roman" w:eastAsia="Times New Roman" w:hAnsi="Times New Roman"/>
          <w:sz w:val="17"/>
          <w:szCs w:val="17"/>
          <w:color w:val="auto"/>
        </w:rPr>
        <w:t>Over the past several years, we have made significant internally funded investments in strategic growth areas,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unmanned tactical aircraft drone systems, space and satellite communication systems, rocket engines and hypersonic systems, turbine and other engine technologies. Specifically, we have increased internally funded research and development, capital expenditures, including for drone aircraft, non-recurring engineering expenditures, and infrastructure investments, including executive management, bid, proposal and new business capture, pursuit and related expenses. We have made these investments with the intention of developing, demonstrating, fielding, bringing to production and being first to market with high performance jet powered unmanned aerial combat systems and next generation, virtualized space and satellite communication systems, rocket and hypersonic systems and turbine and other engine technologies. These internally funded investments typically allow us to retain the intellectual property rights, design and data packages for these platforms and systems, including to ultimately secure sole source technology or production positions in these strategic growth areas. Specifically, since 2012, we have invested over $200 million in our UAS business and since 2019, approximately $139 million in our Space, Satellite and Cyber business, and made investments in rocket and hypersonic systems, and engine and turbine technology areas, through internally funded research, development, contract design retrofit costs, contract design costs for new platforms, software design and development, non-recurring engineering costs and capital expenditures related to these strategic growth areas.</w:t>
      </w:r>
    </w:p>
    <w:p>
      <w:pPr>
        <w:spacing w:after="0" w:line="393" w:lineRule="exact"/>
        <w:rPr>
          <w:sz w:val="20"/>
          <w:szCs w:val="20"/>
          <w:color w:val="auto"/>
        </w:rPr>
      </w:pPr>
    </w:p>
    <w:p>
      <w:pPr>
        <w:ind w:left="940" w:right="20" w:hanging="318"/>
        <w:spacing w:after="0" w:line="243" w:lineRule="auto"/>
        <w:tabs>
          <w:tab w:leader="none" w:pos="8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invested in internally funded research, development and capital expenditures to build our own UTAP-22 (Mako) UAS from 2012 to 2015, and demonstrated the capabilities of the UTAP-22 Mako in a flight demonstration in the fall of 2015 where Kratos Mako drones flew as an unmanned wingman to manned tactical fighter jet aircraft. As a result of these successful flights and capabilities demonstrations, we were awarded an initial $12.6 million prime contract from the DIUx for sensor integration and flight demonstration of our UTAP-22 Mako unmanned aerial system the following year. Under this effort, we integrated certain sensors into our UTAP-22 Mako and participated in a large, complex flight exercise in 2017. As a result of our development and demonstration of the Mako, we have been awarded several tactical and developmental awards, including an initial $17.6 million contract award in October 2019 for jet drone research, development and initial production efforts, with the scope of work and related</w:t>
      </w:r>
    </w:p>
    <w:p>
      <w:pPr>
        <w:spacing w:after="0" w:line="7" w:lineRule="exact"/>
        <w:rPr>
          <w:sz w:val="20"/>
          <w:szCs w:val="20"/>
          <w:color w:val="auto"/>
        </w:rPr>
      </w:pPr>
    </w:p>
    <w:p>
      <w:pPr>
        <w:ind w:left="940" w:right="600"/>
        <w:spacing w:after="0" w:line="271" w:lineRule="auto"/>
        <w:rPr>
          <w:sz w:val="20"/>
          <w:szCs w:val="20"/>
          <w:color w:val="auto"/>
        </w:rPr>
      </w:pPr>
      <w:r>
        <w:rPr>
          <w:rFonts w:ascii="Times New Roman" w:cs="Times New Roman" w:eastAsia="Times New Roman" w:hAnsi="Times New Roman"/>
          <w:sz w:val="17"/>
          <w:szCs w:val="17"/>
          <w:color w:val="auto"/>
        </w:rPr>
        <w:t>funds under this program expected to increase as execution and performance milestones are successfully achieved. Kratos Mako in 2021 also participated in the USAF Skyborg Vanguard Program (see below), which in 2022 began transitioning to USAF CCA related programs.</w:t>
      </w:r>
    </w:p>
    <w:p>
      <w:pPr>
        <w:spacing w:after="0" w:line="177" w:lineRule="exact"/>
        <w:rPr>
          <w:sz w:val="20"/>
          <w:szCs w:val="20"/>
          <w:color w:val="auto"/>
        </w:rPr>
      </w:pPr>
    </w:p>
    <w:p>
      <w:pPr>
        <w:ind w:left="940" w:right="20" w:hanging="318"/>
        <w:spacing w:after="0"/>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received a $40.8 million single award, cost-share contract from the AFRL for the LCASD. Under the LCASD contract award, we designed, developed, delivered, demonstrated and tested a technical baseline for a high-speed long-range, low-cost limited life-strike UAS. For our investment, we retained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 During 2019,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from previous flights. In March 2021, the Kratos/AFRL team successfully completed the XQ-58A Valkyrie’s sixth test/demonstration flight and first release from its internal weapons bay.</w:t>
      </w:r>
    </w:p>
    <w:p>
      <w:pPr>
        <w:spacing w:after="0" w:line="215" w:lineRule="exact"/>
        <w:rPr>
          <w:rFonts w:ascii="Times New Roman" w:cs="Times New Roman" w:eastAsia="Times New Roman" w:hAnsi="Times New Roman"/>
          <w:sz w:val="17"/>
          <w:szCs w:val="17"/>
          <w:color w:val="auto"/>
        </w:rPr>
      </w:pPr>
    </w:p>
    <w:p>
      <w:pPr>
        <w:ind w:left="940" w:right="140" w:hanging="318"/>
        <w:spacing w:after="0" w:line="261"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2020, we were awarded a five-year IDIQ contract valued at up to $400 million for the development, integration, and prototype air vehicle delivery in support of the Air Force’s Skyborg program. 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system, integrating multiple customer-defined mission payloads and customer-defined autonomy in coordination/cooperation with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2" w:name="page13"/>
    <w:bookmarkEnd w:id="12"/>
    <w:p>
      <w:pPr>
        <w:ind w:left="940" w:right="100"/>
        <w:spacing w:after="0" w:line="287" w:lineRule="auto"/>
        <w:rPr>
          <w:sz w:val="20"/>
          <w:szCs w:val="20"/>
          <w:color w:val="auto"/>
        </w:rPr>
      </w:pPr>
      <w:r>
        <w:rPr>
          <w:rFonts w:ascii="Times New Roman" w:cs="Times New Roman" w:eastAsia="Times New Roman" w:hAnsi="Times New Roman"/>
          <w:sz w:val="17"/>
          <w:szCs w:val="17"/>
          <w:color w:val="auto"/>
        </w:rPr>
        <w:t>Skyborg System Design Agent, Leidos. In addition, in December 2020 we received a $17.8 million award from the AFRL for work in support of the government’s LCAAT efforts, including as related to the XQ-58A Valkyrie.</w:t>
      </w:r>
    </w:p>
    <w:p>
      <w:pPr>
        <w:spacing w:after="0" w:line="87" w:lineRule="exact"/>
        <w:rPr>
          <w:sz w:val="20"/>
          <w:szCs w:val="20"/>
          <w:color w:val="auto"/>
        </w:rPr>
      </w:pPr>
    </w:p>
    <w:p>
      <w:pPr>
        <w:ind w:left="940" w:right="40" w:hanging="318"/>
        <w:spacing w:after="0" w:line="270"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the Kratos Valkyrie UAS AttritableONE completed a successful demonstration flight enabling the F-22 and F-35 5th generation fighters to fly in formation together in a test led by an integrated ABMS acquisition team comprised of AFRL and Air Force Life Cycle Management Center personnel, in conjunction with Eglin Air Force Base’s 46th Test Squadron.</w:t>
      </w:r>
    </w:p>
    <w:p>
      <w:pPr>
        <w:spacing w:after="0" w:line="75" w:lineRule="exact"/>
        <w:rPr>
          <w:rFonts w:ascii="Times New Roman" w:cs="Times New Roman" w:eastAsia="Times New Roman" w:hAnsi="Times New Roman"/>
          <w:sz w:val="17"/>
          <w:szCs w:val="17"/>
          <w:color w:val="auto"/>
        </w:rPr>
      </w:pPr>
    </w:p>
    <w:p>
      <w:pPr>
        <w:ind w:left="940" w:right="80" w:hanging="318"/>
        <w:spacing w:after="0" w:line="244"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2021, Kratos announced that it remains committed to be ready for a 2023 Skyborg Vanguard Program of Record, echoing the commitment expressed by the U.S. Air Force in its August 16, 2021 update on the Skyborg program. Skyborg is an autonomy-focused capability developed to enable the Air Force to operate and sustain low-cost, teamed aircraft that can thwart adversaries with quick, decisive actions in contested environments. The program aims to enable airborne combat mass by building a transferable autonomy foundation for a family of layered, unmanned air vehicles. In July 2022, Kratos and the U.S. Air Force announced the completion of a successful series of flights with two production XQ-58A Valkyrie aircraft for the Skyborg Program. Kratos Mako has also successfully flown and performed under the Skyborg program.</w:t>
      </w:r>
    </w:p>
    <w:p>
      <w:pPr>
        <w:spacing w:after="0" w:line="199"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2022, we were awarded a $15.5 million contract from the U.S. Navy/Marine Corps to procure two XQ-58A Valkyrie drones to provide the amphibious force options for new strike, intelligence gathering, and electronic warfare capabilities as well as a “mothership” for small drones.</w:t>
      </w:r>
    </w:p>
    <w:p>
      <w:pPr>
        <w:spacing w:after="0" w:line="74" w:lineRule="exact"/>
        <w:rPr>
          <w:rFonts w:ascii="Times New Roman" w:cs="Times New Roman" w:eastAsia="Times New Roman" w:hAnsi="Times New Roman"/>
          <w:sz w:val="17"/>
          <w:szCs w:val="17"/>
          <w:color w:val="auto"/>
        </w:rPr>
      </w:pPr>
    </w:p>
    <w:p>
      <w:pPr>
        <w:ind w:left="940" w:right="100" w:hanging="318"/>
        <w:spacing w:after="0" w:line="271"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Strategic, Development, Planning and Experimentation and 40th Flight Test Squadron Autonomous Aircraft Experimentation Team at Eglin Air Force Base recently announced that it conducted an operational experimentation test flight of the XQ-58A Valkyrie in December 2022.</w:t>
      </w:r>
    </w:p>
    <w:p>
      <w:pPr>
        <w:spacing w:after="0" w:line="87" w:lineRule="exact"/>
        <w:rPr>
          <w:rFonts w:ascii="Times New Roman" w:cs="Times New Roman" w:eastAsia="Times New Roman" w:hAnsi="Times New Roman"/>
          <w:sz w:val="17"/>
          <w:szCs w:val="17"/>
          <w:color w:val="auto"/>
        </w:rPr>
      </w:pPr>
    </w:p>
    <w:p>
      <w:pPr>
        <w:ind w:left="940" w:right="20" w:hanging="318"/>
        <w:spacing w:after="0" w:line="257"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2019, we have invested approximately $139 million in Kratos’ Space, Satellite and Cyber business through internally funded research and development, software design and development and capital expenditures, primarily related to our next generation, software based, virtualized satellite C3, TT&amp;C and other ground based OpenSpace™ communications systems, which we released “first to market” in 2021. In 2022, we received an approximate $160 million potential contract award from Blue Halo and a significant contract award from Intelsat as a result of Kratos OpenSpace™ products and technology.</w:t>
      </w:r>
    </w:p>
    <w:p>
      <w:pPr>
        <w:spacing w:after="0" w:line="17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Capitalize on corporate infrastructure investments. </w:t>
      </w:r>
      <w:r>
        <w:rPr>
          <w:rFonts w:ascii="Times New Roman" w:cs="Times New Roman" w:eastAsia="Times New Roman" w:hAnsi="Times New Roman"/>
          <w:sz w:val="17"/>
          <w:szCs w:val="17"/>
          <w:color w:val="auto"/>
        </w:rPr>
        <w:t>In recent periods, we have made significant investments in our senior and technical management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infrastructure related to cybersecurity threats to our Company, increased and changing regulations we are subject to, and the changing National Security industry environment. These investments also included hiring senior executives with significant experience in the National Security and technology industries,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cybersecurity protection and related regulatory requirements, including the DoD’s Cybersecurity Maturity Model Certification (“CMMC”) requirement for all federal contractors, and expanding our backlog and bid and proposal pipeline resources. We have also made significant investments in secure facilities to enable us to bid on, successfully receive and</w:t>
      </w:r>
    </w:p>
    <w:p>
      <w:pPr>
        <w:spacing w:after="0" w:line="1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execute on classified programs and opportunities. As a result of these and other investments, we expect to be allocating additional resources in our pursuit of new, larger and highly technical prime contract opportunities. We believe our management experience, technical capabilities, manufacturing, production and corporate infrastructure can support a company with a much larger revenue base than we currently have. Accordingly, we believe that, to the extent our revenue grows, we will be able to leverage this infrastructure base and increase our operating margins.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31" w:lineRule="exact"/>
        <w:rPr>
          <w:sz w:val="20"/>
          <w:szCs w:val="20"/>
          <w:color w:val="auto"/>
        </w:rPr>
      </w:pPr>
    </w:p>
    <w:p>
      <w:pPr>
        <w:ind w:right="220" w:firstLine="619"/>
        <w:spacing w:after="0" w:line="244" w:lineRule="auto"/>
        <w:rPr>
          <w:sz w:val="20"/>
          <w:szCs w:val="20"/>
          <w:color w:val="auto"/>
        </w:rPr>
      </w:pPr>
      <w:r>
        <w:rPr>
          <w:rFonts w:ascii="Times New Roman" w:cs="Times New Roman" w:eastAsia="Times New Roman" w:hAnsi="Times New Roman"/>
          <w:sz w:val="17"/>
          <w:szCs w:val="17"/>
          <w:color w:val="auto"/>
        </w:rPr>
        <w:t>A representative list of government customers in our KGS and US segments during 2022 included the U.S. Air Force, U.S. Army, U.S. Navy, U.S. Marines, Missile Defense Agency, Space Command, NASA, the AFRL, foreign military sales (“FMS”), the U.S. Southern Command, STRATCOM, the SCO, DIU or DIUx, the Rapid Capabilities Offices, the U.S. intelligence community, DARPA and certain confidential customers. A representative list of non-government customers during 2022 included tier one, large U.S. Government contractors and system integrators such as Northrop Grumman, Lockheed Martin, General Dynamics, Raytheon Technologies, BAE Systems, L3Harris, and Boeing, as well as Intelsat, Blue Halo, Microsoft, Amazon, Siemens, Rolls Royce and others.</w:t>
      </w:r>
    </w:p>
    <w:p>
      <w:pPr>
        <w:spacing w:after="0" w:line="213"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69%, 70% and 73% of total revenues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Effective January 1, 2018, we adopted the requirements of Accounting Standards Codification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606”), utilizing the modified retrospective method as discussed in Note 1 of the Notes to Consolidated Financial Statements contained within this Annual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 Since our adoption of ASC 606, revenues from remaining performance obligations, also referred to as total backlog, are now calculated as the dollar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our remaining performance obligations on executed contracts. As of December 25, 2022 and December 26, 2021, our backlog was approximately $1,112.4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and $953.9 million, respectively, of which $721.4 million was funded in 2022 and $653.7 million was funded in 2021. We expect to recognize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56.0% of the remaining total backlog as revenue in 2023, an additional 13.0% in 2024 and the balance thereafter.</w:t>
      </w:r>
    </w:p>
    <w:p>
      <w:pPr>
        <w:spacing w:after="0" w:line="226"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contract. For IDIQ contracts, only awarded or funded task orders are included for backlog purposes.</w:t>
      </w:r>
    </w:p>
    <w:p>
      <w:pPr>
        <w:spacing w:after="0" w:line="205"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9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97"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91"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w:t>
      </w:r>
    </w:p>
    <w:p>
      <w:pPr>
        <w:spacing w:after="0" w:line="169"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17"/>
          <w:szCs w:val="17"/>
          <w:color w:val="auto"/>
        </w:rPr>
        <w:t>In the normal course of business, we may collect and store personal information and certain sensitive Company information, including proprietary and confidential business information, trade secrets, intellectual property, sensitive third-party information and employee information. To protect this information, our existing cybersecurity policies require monitoring and detection programs, network security measures, encryption of critical data, and security assessment of vendors. We maintain various protections designed to safeguard against cyberattacks, including firewalls and virus detection software. We have established and test our disaster recovery plan and we protect against business interruption by backing up our major systems. In addition, we periodically scan our environment for any vulnerabilities, perform penetration testing and engage third parties to assess effectiveness of our data security practices. A third party security consultant conducts regular network security reviews, scans and audits. In addition, we maintain insurance that includes cybersecurity coverage.</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4" w:name="page15"/>
    <w:bookmarkEnd w:id="14"/>
    <w:p>
      <w:pPr>
        <w:jc w:val="both"/>
        <w:ind w:right="20" w:firstLine="619"/>
        <w:spacing w:after="0" w:line="254" w:lineRule="auto"/>
        <w:rPr>
          <w:sz w:val="20"/>
          <w:szCs w:val="20"/>
          <w:color w:val="auto"/>
        </w:rPr>
      </w:pPr>
      <w:r>
        <w:rPr>
          <w:rFonts w:ascii="Times New Roman" w:cs="Times New Roman" w:eastAsia="Times New Roman" w:hAnsi="Times New Roman"/>
          <w:sz w:val="17"/>
          <w:szCs w:val="17"/>
          <w:color w:val="auto"/>
        </w:rPr>
        <w:t>Our cybersecurity program incorporates industry-standard frameworks, policies and practices designed to protect the privacy and security of our sensitive information. Our cybersecurity team reports to the full Board of Directors typically on an annual basis on information security and cybersecurity matters, or more frequently as needed. Certain members from our Board of Directors have cybersecurity experience.</w:t>
      </w:r>
    </w:p>
    <w:p>
      <w:pPr>
        <w:spacing w:after="0" w:line="192"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“Risk Factors” for additional information about the risks to our business associated with a breach or compromise to our information technology systems.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95"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As of December 25, 2022, we had a work force of approximately 3,600 full-time, part-time and on-call employees in approximately 13 countries. Our employees are our greatest asset, and the ability to recruit, retain, fairly compensate, and develop our workforce is critical to Kratos’ success.</w:t>
      </w:r>
    </w:p>
    <w:p>
      <w:pPr>
        <w:spacing w:after="0" w:line="177" w:lineRule="exact"/>
        <w:rPr>
          <w:sz w:val="20"/>
          <w:szCs w:val="20"/>
          <w:color w:val="auto"/>
        </w:rPr>
      </w:pPr>
    </w:p>
    <w:p>
      <w:pPr>
        <w:ind w:right="180" w:firstLine="619"/>
        <w:spacing w:after="0" w:line="258" w:lineRule="auto"/>
        <w:rPr>
          <w:sz w:val="20"/>
          <w:szCs w:val="20"/>
          <w:color w:val="auto"/>
        </w:rPr>
      </w:pPr>
      <w:r>
        <w:rPr>
          <w:rFonts w:ascii="Times New Roman" w:cs="Times New Roman" w:eastAsia="Times New Roman" w:hAnsi="Times New Roman"/>
          <w:sz w:val="17"/>
          <w:szCs w:val="17"/>
          <w:color w:val="auto"/>
        </w:rPr>
        <w:t>We work diligently to attract the best talent from a diverse range of sources in order to meet the current and future demands of our business. We have established relationships with local job networks and educational institutions to proactively attract a diverse pool of talent. We also strive to provide a compensation and benefits package that will attract, retain, and motivate employees and reward their performance, including competitive market-based pay and comprehensive benefits. In addition to earning a base salary, eligible employees are compensated for their contributions to the Company’s goals with both short-term cash incentives and long-term equity-based incentives. We are committed to providing fair and equitable pay for employees, utilizing both external and internal benchmarking tools to do so. Eligible employees in the U.S. also have access to a wide range of benefits including medical, dental, and vision plans; life insurance, disability insurance and identity theft insurance; savings and retirement plans; an employee stock purchase plan; and other resources. Programs and benefits differ internationally for a variety of reasons, such as local legal requirements and market practices.</w:t>
      </w:r>
    </w:p>
    <w:p>
      <w:pPr>
        <w:spacing w:after="0" w:line="201"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We are also committed to employee development. The Company maintains talent and succession planning processes, including annual reviews and regular touchpoint reviews throughout the year, and periodic succession review of executive management by the Company’s chief executive officer and board of directors. We also provide training opportunities for employees at all levels, including live and online training, on the job training, and tuition reimbursement for formal continuing education. Our training program also includes compliance training to regularly promote and reinforce the Company’s culture of ethics and integrity in business.</w:t>
      </w:r>
    </w:p>
    <w:p>
      <w:pPr>
        <w:spacing w:after="0" w:line="200"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Guided by our values, we are committed to creating a company where everyone is included and respected, and where we support each other in reaching our full potential. We are committed to diverse representation across all levels of our workforce to reflect the vibrant and thriving diversity of the communities in which we live and work.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69"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Our market is competitive and includes a number of companies in the U.S. defense, National Security and commercial markets and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Technologies, BAE Systems, L3Harris, General Atomics, and Boeing. While we view other government contractors as competitors, we also routinely team with these same companies in joint proposals or in the delivery of our products, solutions and services for customers. Tier two competitors include smaller government contractors such as Mercury Systems, Qinetiq, Cobham, Aerojet Rocketdyne, CACI, Peraton, Linquest, Viasat and AAR Corp.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204"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We believe that the principal competitive factors in our ability to win new business include our ability as a technology company to address the defense, national security and commercial markets, our belief that affordability is a technology, our focus on making internally funded investments, and our ability to rapidly develop and produce actual working products and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15" w:name="page16"/>
    <w:bookmarkEnd w:id="15"/>
    <w:p>
      <w:pPr>
        <w:ind w:right="40"/>
        <w:spacing w:after="0" w:line="248" w:lineRule="auto"/>
        <w:rPr>
          <w:sz w:val="20"/>
          <w:szCs w:val="20"/>
          <w:color w:val="auto"/>
        </w:rPr>
      </w:pPr>
      <w:r>
        <w:rPr>
          <w:rFonts w:ascii="Times New Roman" w:cs="Times New Roman" w:eastAsia="Times New Roman" w:hAnsi="Times New Roman"/>
          <w:sz w:val="17"/>
          <w:szCs w:val="17"/>
          <w:color w:val="auto"/>
        </w:rPr>
        <w:t>systems and our strategy of being first to market with relevant systems, products and technology focused on priority DoD requirements and funding areas.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requirements is also a key differentiator.</w:t>
      </w:r>
    </w:p>
    <w:p>
      <w:pPr>
        <w:spacing w:after="0" w:line="198"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17"/>
          <w:szCs w:val="17"/>
          <w:color w:val="auto"/>
        </w:rPr>
        <w:t>In the U.S. defense, IT, and services markets, the U.S. Government has stressed competition and affordability or low cost in connection with its future procurement of products and services. This has led to fewer sole source awards, as well as more emphasis on cost competitiveness, with contract awards issued on a Low Price Technically Acceptable (“LPTA”) basis rather than a best value basis, which has negatively impacted certain areas of our Defense and Rocket Support Services (“DRSS”) business in our KGS segment and in our training services business. In addition, competitor bid protests have become more prevalent in the</w:t>
      </w:r>
    </w:p>
    <w:p>
      <w:pPr>
        <w:spacing w:after="0" w:line="8"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current competitive environment, resulting in further delay of contract procurement activity. As a result of these changing market dynamics, Kratos has made the strategic decision to deemphasize these types of services businesses, and to focus our financial and other resources on our products, systems and technology focused business areas, making internally funded investments in our related core competency and market focus business areas, developing and owning important intellectual property and being first to market with our offerings.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ind w:right="80" w:firstLine="169"/>
        <w:spacing w:after="0" w:line="260" w:lineRule="auto"/>
        <w:rPr>
          <w:sz w:val="20"/>
          <w:szCs w:val="20"/>
          <w:color w:val="auto"/>
        </w:rPr>
      </w:pPr>
      <w:r>
        <w:rPr>
          <w:rFonts w:ascii="Times New Roman" w:cs="Times New Roman" w:eastAsia="Times New Roman" w:hAnsi="Times New Roman"/>
          <w:sz w:val="17"/>
          <w:szCs w:val="17"/>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$38.6 million, $35.2 million and $27.0 million in 2022, 2021, and 2020,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electronic products, turbine technologies, rocket, hypersonic and other systems.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57"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25, 2022, we held a number of U.S. and foreign patents. Patents applicable to specific products extend for varying periods according to the date of patent application filing or patent grant and the legal term of patents in the various countries where patent protection is obtained. We do not consider our business to be materially dependent upon any individual patent, and we do not believe that our business would be materially affected by the expiration of any particular intellectual property right.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199"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We own or have rights to use certain trademarks, service marks and trade names that we use in conjunction with the operation of our business. Certain of our trademarks have also been registered in selected foreign countries.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subject to various government regulations, including various U.S. Government regulations as a contractor and subcontractor to the agencies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Government. Among the most significant U.S. Government regulations affecting our business are:</w:t>
      </w:r>
    </w:p>
    <w:p>
      <w:pPr>
        <w:spacing w:after="0" w:line="136" w:lineRule="exact"/>
        <w:rPr>
          <w:sz w:val="20"/>
          <w:szCs w:val="20"/>
          <w:color w:val="auto"/>
        </w:rPr>
      </w:pPr>
    </w:p>
    <w:p>
      <w:pPr>
        <w:ind w:left="1240" w:right="240" w:hanging="309"/>
        <w:spacing w:after="0" w:line="28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Acquisition Regulations and supplemental agency regulations, which comprehensively regulate the formation, administration, and performance under government contracts;</w:t>
      </w:r>
    </w:p>
    <w:p>
      <w:pPr>
        <w:spacing w:after="0" w:line="73" w:lineRule="exact"/>
        <w:rPr>
          <w:rFonts w:ascii="Times New Roman" w:cs="Times New Roman" w:eastAsia="Times New Roman" w:hAnsi="Times New Roman"/>
          <w:sz w:val="17"/>
          <w:szCs w:val="17"/>
          <w:color w:val="auto"/>
        </w:rPr>
      </w:pPr>
    </w:p>
    <w:p>
      <w:pPr>
        <w:ind w:left="1240" w:right="380" w:hanging="309"/>
        <w:spacing w:after="0" w:line="28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Truthful Cost or Pricing Data Statute (formerly the Truth in Negotiations Act), which requires certification and disclosure of all cost and pricing data in connection with contract negotiations;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Accounting Standards, which impose accounting requirements that govern our right to reimbursement under cost-based government contracts;</w:t>
      </w:r>
    </w:p>
    <w:p>
      <w:pPr>
        <w:spacing w:after="0" w:line="86" w:lineRule="exact"/>
        <w:rPr>
          <w:rFonts w:ascii="Times New Roman" w:cs="Times New Roman" w:eastAsia="Times New Roman" w:hAnsi="Times New Roman"/>
          <w:sz w:val="17"/>
          <w:szCs w:val="17"/>
          <w:color w:val="auto"/>
        </w:rPr>
      </w:pPr>
    </w:p>
    <w:p>
      <w:pPr>
        <w:ind w:left="1240" w:right="440" w:hanging="309"/>
        <w:spacing w:after="0" w:line="28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Industrial Security Manual, which establishes the security guidelines for classified programs and facilities as well as individual security clearances;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6" w:name="page17"/>
    <w:bookmarkEnd w:id="16"/>
    <w:p>
      <w:pPr>
        <w:ind w:left="1240" w:right="40" w:hanging="309"/>
        <w:spacing w:after="0" w:line="287"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which prohibits U.S. companies from providing anything of value to a foreign official to help obtain, retain or direct business, or obtain any unfair advantages;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87"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regulations and executive orders restricting the use and dissemination of information classified for National Security purposes and the exportation of certain products and technical data.</w:t>
      </w:r>
    </w:p>
    <w:p>
      <w:pPr>
        <w:spacing w:after="0" w:line="87"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10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9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09"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107"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Our business may require compliance with state or local laws designed to limit the uses of personal user information gathered online or require online services to establish privacy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Availability</w:t>
      </w:r>
    </w:p>
    <w:p>
      <w:pPr>
        <w:spacing w:after="0" w:line="15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We procure critical material, components, products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68"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the availability for milling activities is experiencing shortages and delays which is impacting our C5ISR business. See “Risk Factors” for further discussion regarding risks related to raw materials.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w:t>
      </w:r>
    </w:p>
    <w:p>
      <w:pPr>
        <w:spacing w:after="0" w:line="157"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Our manufacturing operations are subject to many requirements under environmental laws and regulations.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7" w:name="page18"/>
    <w:bookmarkEnd w:id="17"/>
    <w:p>
      <w:pPr>
        <w:ind w:right="260"/>
        <w:spacing w:after="0" w:line="271" w:lineRule="auto"/>
        <w:rPr>
          <w:sz w:val="20"/>
          <w:szCs w:val="20"/>
          <w:color w:val="auto"/>
        </w:rPr>
      </w:pPr>
      <w:r>
        <w:rPr>
          <w:rFonts w:ascii="Times New Roman" w:cs="Times New Roman" w:eastAsia="Times New Roman" w:hAnsi="Times New Roman"/>
          <w:sz w:val="17"/>
          <w:szCs w:val="17"/>
          <w:color w:val="auto"/>
        </w:rPr>
        <w:t>also have the power to shut down an operation if it is operating in violation of environmental law. U.S. laws also allow citizens to bring private enforcement actions in some situations. Outside the U.S., the environmental laws and their enforcement vary and may be more burdensome.</w:t>
      </w:r>
    </w:p>
    <w:p>
      <w:pPr>
        <w:spacing w:after="0" w:line="190"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94"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We have management programs and processes in place that are intended to achieve compliance with, and minimize the potential for violations of, applicable environmental laws and regulations.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57"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Times New Roman" w:cs="Times New Roman" w:eastAsia="Times New Roman" w:hAnsi="Times New Roman"/>
          <w:sz w:val="17"/>
          <w:szCs w:val="17"/>
          <w:i w:val="1"/>
          <w:iCs w:val="1"/>
          <w:color w:val="auto"/>
        </w:rPr>
        <w:t>www.kratosdefense.com</w:t>
      </w:r>
      <w:r>
        <w:rPr>
          <w:rFonts w:ascii="Times New Roman" w:cs="Times New Roman" w:eastAsia="Times New Roman" w:hAnsi="Times New Roman"/>
          <w:sz w:val="17"/>
          <w:szCs w:val="17"/>
          <w:color w:val="auto"/>
        </w:rPr>
        <w:t>. The SEC also maintains an Internet site that contains our reports, proxy and information statements, and other information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www.sec.gov.</w:t>
      </w:r>
    </w:p>
    <w:p>
      <w:pPr>
        <w:spacing w:after="0" w:line="9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858"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19"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68" w:lineRule="exact"/>
        <w:rPr>
          <w:sz w:val="20"/>
          <w:szCs w:val="20"/>
          <w:color w:val="auto"/>
        </w:rPr>
      </w:pPr>
    </w:p>
    <w:p>
      <w:pPr>
        <w:ind w:left="620" w:right="160" w:hanging="307"/>
        <w:spacing w:after="0" w:line="26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Government provides a significant portion of our revenue, and our business could be adversely affected by changes in the fiscal policies of the U.S. Government and governmental entities.</w:t>
      </w:r>
    </w:p>
    <w:p>
      <w:pPr>
        <w:ind w:left="620" w:right="1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ind w:left="620" w:right="40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establish and maintain important relationships with government agencies and prime contractors, our ability to successfully maintain and develop new business may be adversely affected.</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one or more of our largest customers, programs, or applications could adversely affect our results of operations.</w:t>
      </w:r>
    </w:p>
    <w:p>
      <w:pPr>
        <w:spacing w:after="0" w:line="10" w:lineRule="exact"/>
        <w:rPr>
          <w:rFonts w:ascii="Times New Roman" w:cs="Times New Roman" w:eastAsia="Times New Roman" w:hAnsi="Times New Roman"/>
          <w:sz w:val="17"/>
          <w:szCs w:val="17"/>
          <w:color w:val="auto"/>
        </w:rPr>
      </w:pPr>
    </w:p>
    <w:p>
      <w:pPr>
        <w:ind w:left="620" w:right="2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ind w:left="620" w:right="3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subcontractors or suppliers fail to perform their contractual obligations, our performance and reputation as a contractor and our ability to obtain future business could suffer.</w:t>
      </w:r>
    </w:p>
    <w:p>
      <w:pPr>
        <w:ind w:left="620" w:right="16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from many competitors that have greater resources than we do, which could result in price reductions, reduced profitability or loss of market share.</w:t>
      </w:r>
    </w:p>
    <w:p>
      <w:pPr>
        <w:ind w:left="620" w:right="14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our General Services Administration (“GSA”) contracts or government-wide acquisition contracts could impair our ability to attract new business.</w:t>
      </w:r>
    </w:p>
    <w:p>
      <w:pPr>
        <w:spacing w:after="0" w:line="10" w:lineRule="exact"/>
        <w:rPr>
          <w:rFonts w:ascii="Times New Roman" w:cs="Times New Roman" w:eastAsia="Times New Roman" w:hAnsi="Times New Roman"/>
          <w:sz w:val="17"/>
          <w:szCs w:val="17"/>
          <w:color w:val="auto"/>
        </w:rPr>
      </w:pPr>
    </w:p>
    <w:p>
      <w:pPr>
        <w:ind w:left="620" w:right="36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contracts differ materially from standard commercial contracts, involve competitive bidding and may be subject to cancellation or delay without penalty.</w:t>
      </w:r>
    </w:p>
    <w:p>
      <w:pPr>
        <w:ind w:left="620" w:right="36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receive the full amounts estimated under the contracts in our backlog, which could reduce our revenue in future periods below the levels anticipated.</w:t>
      </w:r>
    </w:p>
    <w:p>
      <w:pPr>
        <w:ind w:left="620" w:right="4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preference for minority-owned, small and small disadvantaged businesses could impact our ability to be a prime contractor and limit our opportunity to work as a subcontractor on certain governmental procurements.</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in-sourcing could result in loss of business opportunities and personnel.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negatively impacted by cyber and other security threats or disruptions.</w:t>
      </w:r>
    </w:p>
    <w:p>
      <w:pPr>
        <w:spacing w:after="0" w:line="10"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complex and could have unknown defects or errors, which may increase our costs, harm our reputation with customers, give rise to costly litigation, or divert our resources from other purposes.</w:t>
      </w:r>
    </w:p>
    <w:p>
      <w:pPr>
        <w:ind w:left="620" w:right="34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volatile and flammable nature of certain components of our products and equipment, fires or explosions may disrupt our business or cause significant injuries, which could adversely affect our financial results.</w:t>
      </w:r>
    </w:p>
    <w:p>
      <w:pPr>
        <w:ind w:left="620" w:right="10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margins and operating results may suffer if we experience unfavorable changes in the proportion of cost-plus-fee or fixed-price contracts in our total contract mix.</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may continue to incur goodwill impairment charges in our reporting entities, which could harm our profitability.</w:t>
      </w:r>
    </w:p>
    <w:p>
      <w:pPr>
        <w:spacing w:after="0" w:line="10" w:lineRule="exact"/>
        <w:rPr>
          <w:rFonts w:ascii="Times New Roman" w:cs="Times New Roman" w:eastAsia="Times New Roman" w:hAnsi="Times New Roman"/>
          <w:sz w:val="17"/>
          <w:szCs w:val="17"/>
          <w:color w:val="auto"/>
        </w:rPr>
      </w:pPr>
    </w:p>
    <w:p>
      <w:pPr>
        <w:ind w:left="620" w:right="660" w:hanging="307"/>
        <w:spacing w:after="0" w:line="26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utilize our net operating loss carryforwards and certain other tax attributes may be limited. We may be required to record valuation allowances on our net operating loss carryforwards in future periods, which could harm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Operations</w:t>
      </w:r>
    </w:p>
    <w:p>
      <w:pPr>
        <w:spacing w:after="0" w:line="68"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expose us to risks associated with pandemics, epidemics or other public health emergencies, such as the outbreak of COVID-19.</w:t>
      </w:r>
    </w:p>
    <w:p>
      <w:pPr>
        <w:spacing w:after="0" w:line="200" w:lineRule="exact"/>
        <w:rPr>
          <w:rFonts w:ascii="Times New Roman" w:cs="Times New Roman" w:eastAsia="Times New Roman" w:hAnsi="Times New Roman"/>
          <w:sz w:val="17"/>
          <w:szCs w:val="17"/>
          <w:color w:val="auto"/>
        </w:rPr>
      </w:pPr>
    </w:p>
    <w:p>
      <w:pPr>
        <w:spacing w:after="0" w:line="339"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sectPr>
      </w:pPr>
    </w:p>
    <w:bookmarkStart w:id="19" w:name="page20"/>
    <w:bookmarkEnd w:id="19"/>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capital to fund the growth of our business, and financing may not be available on favorable terms or at all.</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may be subject to a risk of loss and we may be exposed to fluctuations in the market values of our portfolio investments and in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Past acquisitions and future acquisitions could prove difficult to integrate, disrupt our business, dilute stockholder value and strain our resources.</w:t>
      </w:r>
    </w:p>
    <w:p>
      <w:pPr>
        <w:spacing w:after="0" w:line="10" w:lineRule="exact"/>
        <w:rPr>
          <w:rFonts w:ascii="Times New Roman" w:cs="Times New Roman" w:eastAsia="Times New Roman" w:hAnsi="Times New Roman"/>
          <w:sz w:val="17"/>
          <w:szCs w:val="17"/>
          <w:color w:val="auto"/>
        </w:rPr>
      </w:pPr>
    </w:p>
    <w:p>
      <w:pPr>
        <w:ind w:left="620" w:right="22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any member of our senior management could impair our relationships with U.S. Government customers and disrupt the management of our business.</w:t>
      </w:r>
    </w:p>
    <w:p>
      <w:pPr>
        <w:ind w:left="620" w:right="4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and retain skilled employees or employees with the necessary National Security clearances, we might not be able to perform under our contracts or win new business.</w:t>
      </w:r>
    </w:p>
    <w:p>
      <w:pPr>
        <w:ind w:left="620" w:right="82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the requirements of the National Industrial Security Program Operating Manual for our facility security clearance, which is a prerequisite to our ability to perform on classified contracts for the U.S. Government.</w:t>
      </w:r>
    </w:p>
    <w:p>
      <w:pPr>
        <w:ind w:left="620" w:right="10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subject to the new DoD CMMC requirement recently issued by the Pentagon which may limit our ability to bid and win projects. The cost for the new CMMC requirement may be significant.</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adverse changes in inflation and prices in the future could result in material losses.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International Operations</w:t>
      </w:r>
    </w:p>
    <w:p>
      <w:pPr>
        <w:spacing w:after="0" w:line="68"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derived from our international business could be subject to global economic downturn and hardship.</w:t>
      </w:r>
    </w:p>
    <w:p>
      <w:pPr>
        <w:spacing w:after="0" w:line="27" w:lineRule="exact"/>
        <w:rPr>
          <w:rFonts w:ascii="Times New Roman" w:cs="Times New Roman" w:eastAsia="Times New Roman" w:hAnsi="Times New Roman"/>
          <w:sz w:val="17"/>
          <w:szCs w:val="17"/>
          <w:color w:val="auto"/>
        </w:rPr>
      </w:pPr>
    </w:p>
    <w:p>
      <w:pPr>
        <w:ind w:left="620" w:right="580" w:hanging="307"/>
        <w:spacing w:after="0" w:line="245"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business exposes us to additional risks, including the possibility of war and terrorist events which could impact our international operations such as Microwave Electronics, which is headquartered in Israel.</w:t>
      </w: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businesses expose us to foreign currency impacts.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Long-Term Borrowings</w:t>
      </w:r>
    </w:p>
    <w:p>
      <w:pPr>
        <w:spacing w:after="0" w:line="68"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substantial long-term borrowings, which could adversely affect our cash flow, financial condition and business.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subsidiaries may incur more debt, which may increase the risks associated with our leverage, including our ability to service our indebtedness.</w:t>
      </w:r>
    </w:p>
    <w:p>
      <w:pPr>
        <w:spacing w:after="0" w:line="10" w:lineRule="exact"/>
        <w:rPr>
          <w:rFonts w:ascii="Times New Roman" w:cs="Times New Roman" w:eastAsia="Times New Roman" w:hAnsi="Times New Roman"/>
          <w:sz w:val="17"/>
          <w:szCs w:val="17"/>
          <w:color w:val="auto"/>
        </w:rPr>
      </w:pPr>
    </w:p>
    <w:p>
      <w:pPr>
        <w:ind w:left="620" w:right="160" w:hanging="307"/>
        <w:spacing w:after="0" w:line="25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ind w:left="620" w:right="660" w:hanging="307"/>
        <w:spacing w:after="0" w:line="266"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w:t>
      </w:r>
    </w:p>
    <w:p>
      <w:pPr>
        <w:spacing w:after="0" w:line="68"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protect our intellectual property rights.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of trade secrets could cause harm to our business.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harmed by intellectual property infringement claims.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Regulatory, Environmental and Legal Issues</w:t>
      </w:r>
    </w:p>
    <w:p>
      <w:pPr>
        <w:spacing w:after="0" w:line="68"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complex procurement laws and regulations could cause us to lose business and subject us to a variety of penalties.</w:t>
      </w:r>
    </w:p>
    <w:p>
      <w:pPr>
        <w:spacing w:after="0" w:line="27" w:lineRule="exact"/>
        <w:rPr>
          <w:rFonts w:ascii="Times New Roman" w:cs="Times New Roman" w:eastAsia="Times New Roman" w:hAnsi="Times New Roman"/>
          <w:sz w:val="17"/>
          <w:szCs w:val="17"/>
          <w:color w:val="auto"/>
        </w:rPr>
      </w:pPr>
    </w:p>
    <w:p>
      <w:pPr>
        <w:ind w:left="620" w:right="48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and administrative processes and systems are subject to audits and cost adjustments by the U.S. Government, which could reduce our revenue, disrupt our business or otherwise adversely affect our results of operations.</w:t>
      </w:r>
    </w:p>
    <w:p>
      <w:pPr>
        <w:ind w:left="620" w:right="160" w:hanging="307"/>
        <w:spacing w:after="0" w:line="26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68" w:lineRule="exact"/>
        <w:rPr>
          <w:sz w:val="20"/>
          <w:szCs w:val="20"/>
          <w:color w:val="auto"/>
        </w:rPr>
      </w:pPr>
    </w:p>
    <w:p>
      <w:pPr>
        <w:ind w:right="1960" w:firstLine="313"/>
        <w:spacing w:after="0" w:line="572" w:lineRule="auto"/>
        <w:tabs>
          <w:tab w:leader="none" w:pos="61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contracts with the U.S. Government are classified, which may limit investor insight into portions of our business. For a more complete discussion of the material risks facing our business, see below.</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U.S. Government provides a significant portion of our revenue, and our business could be adversely affected by changes in the fiscal policies of the 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and governmental entities.</w:t>
      </w:r>
    </w:p>
    <w:p>
      <w:pPr>
        <w:spacing w:after="0" w:line="200" w:lineRule="exact"/>
        <w:rPr>
          <w:sz w:val="20"/>
          <w:szCs w:val="20"/>
          <w:color w:val="auto"/>
        </w:rPr>
      </w:pPr>
    </w:p>
    <w:p>
      <w:pPr>
        <w:ind w:firstLine="172"/>
        <w:spacing w:after="0" w:line="257" w:lineRule="auto"/>
        <w:rPr>
          <w:sz w:val="20"/>
          <w:szCs w:val="20"/>
          <w:color w:val="auto"/>
        </w:rPr>
      </w:pPr>
      <w:r>
        <w:rPr>
          <w:rFonts w:ascii="Times New Roman" w:cs="Times New Roman" w:eastAsia="Times New Roman" w:hAnsi="Times New Roman"/>
          <w:sz w:val="17"/>
          <w:szCs w:val="17"/>
          <w:color w:val="auto"/>
        </w:rPr>
        <w:t>In fiscal 2022, 2021 and 2020, we generated 69%, 70% and 73%,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70"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6" w:lineRule="exact"/>
        <w:rPr>
          <w:sz w:val="20"/>
          <w:szCs w:val="20"/>
          <w:color w:val="auto"/>
        </w:rPr>
      </w:pPr>
    </w:p>
    <w:p>
      <w:pPr>
        <w:ind w:right="40" w:firstLine="172"/>
        <w:spacing w:after="0" w:line="256" w:lineRule="auto"/>
        <w:rPr>
          <w:sz w:val="20"/>
          <w:szCs w:val="20"/>
          <w:color w:val="auto"/>
        </w:rPr>
      </w:pPr>
      <w:r>
        <w:rPr>
          <w:rFonts w:ascii="Times New Roman" w:cs="Times New Roman" w:eastAsia="Times New Roman" w:hAnsi="Times New Roman"/>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390" w:lineRule="exact"/>
        <w:rPr>
          <w:sz w:val="20"/>
          <w:szCs w:val="20"/>
          <w:color w:val="auto"/>
        </w:rPr>
      </w:pPr>
    </w:p>
    <w:p>
      <w:pPr>
        <w:ind w:right="20" w:firstLine="169"/>
        <w:spacing w:after="0" w:line="287" w:lineRule="auto"/>
        <w:rPr>
          <w:sz w:val="20"/>
          <w:szCs w:val="20"/>
          <w:color w:val="auto"/>
        </w:rPr>
      </w:pPr>
      <w:r>
        <w:rPr>
          <w:rFonts w:ascii="Times New Roman" w:cs="Times New Roman" w:eastAsia="Times New Roman" w:hAnsi="Times New Roman"/>
          <w:sz w:val="17"/>
          <w:szCs w:val="17"/>
          <w:color w:val="auto"/>
        </w:rPr>
        <w:t>The federal budget and debt ceiling are expected to continue to be the subject of considerable debate, which could have a significant impact on defense spending broadly and our programs in particular.</w:t>
      </w:r>
    </w:p>
    <w:p>
      <w:pPr>
        <w:spacing w:after="0" w:line="151" w:lineRule="exact"/>
        <w:rPr>
          <w:sz w:val="20"/>
          <w:szCs w:val="20"/>
          <w:color w:val="auto"/>
        </w:rPr>
      </w:pPr>
    </w:p>
    <w:p>
      <w:pPr>
        <w:ind w:right="60" w:firstLine="169"/>
        <w:spacing w:after="0" w:line="257" w:lineRule="auto"/>
        <w:rPr>
          <w:sz w:val="20"/>
          <w:szCs w:val="20"/>
          <w:color w:val="auto"/>
        </w:rPr>
      </w:pPr>
      <w:r>
        <w:rPr>
          <w:rFonts w:ascii="Times New Roman" w:cs="Times New Roman" w:eastAsia="Times New Roman" w:hAnsi="Times New Roman"/>
          <w:sz w:val="17"/>
          <w:szCs w:val="17"/>
          <w:color w:val="auto"/>
        </w:rPr>
        <w:t>The budget environment, including budget caps mandated by the Budget Control Act of 2011 (the “BCA”) for fiscal years 2021 and 2022, and uncertainty surrounding the debt ceiling and the appropriations process, remain significant short and long-term risks. Considerable uncertainty exists regarding how future budget and program decisions will unfold, including the defense spending priorities of the current administration and Congress, what challenges budget reductions (required by the BCA and otherwise) will present for the defense industry and whether annual appropriations bills for all agencies will be enacted in a timely manner. If annual appropriations bills are not timely enacted,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79"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us and the entire defense industry.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1" w:name="page22"/>
    <w:bookmarkEnd w:id="21"/>
    <w:p>
      <w:pPr>
        <w:ind w:right="280" w:firstLine="162"/>
        <w:spacing w:after="0" w:line="264" w:lineRule="auto"/>
        <w:rPr>
          <w:sz w:val="20"/>
          <w:szCs w:val="20"/>
          <w:color w:val="auto"/>
        </w:rPr>
      </w:pPr>
      <w:r>
        <w:rPr>
          <w:rFonts w:ascii="Times New Roman" w:cs="Times New Roman" w:eastAsia="Times New Roman" w:hAnsi="Times New Roman"/>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1" w:lineRule="exact"/>
        <w:rPr>
          <w:sz w:val="20"/>
          <w:szCs w:val="20"/>
          <w:color w:val="auto"/>
        </w:rPr>
      </w:pPr>
    </w:p>
    <w:p>
      <w:pPr>
        <w:ind w:right="20" w:firstLine="172"/>
        <w:spacing w:after="0" w:line="270" w:lineRule="auto"/>
        <w:rPr>
          <w:sz w:val="20"/>
          <w:szCs w:val="20"/>
          <w:color w:val="auto"/>
        </w:rPr>
      </w:pPr>
      <w:r>
        <w:rPr>
          <w:rFonts w:ascii="Times New Roman" w:cs="Times New Roman" w:eastAsia="Times New Roman" w:hAnsi="Times New Roman"/>
          <w:sz w:val="17"/>
          <w:szCs w:val="17"/>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5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4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one or more of our largest customers, programs, or applications could adversely affect our results of operations.</w:t>
      </w:r>
    </w:p>
    <w:p>
      <w:pPr>
        <w:spacing w:after="0" w:line="223"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We are dependent on a small number of customers for certain large programs that represent a large portion of our revenues. A significant decrease in the sales to or loss of any of these programs or our major customers would have a material adverse effect on our business and results of operations. In fiscal 2022 and 2021, the U.S. Air Force accounted for 25.3% and 26.7% respectively, of our total revenues and the U.S. Navy accounted for 14.2% and 13.9%, respectively, of our total revenues. No assurance can be given that our customers will not experience financial, technical or other difficulties that could adversely affect their operations and, in turn, our results of operations. We believe that the USAF BQM-167, USN BQM-177, and the GBSD (also known as Sentinel) programs could be a large portion of our future revenues in the coming years, and the loss or cancellation of any of these programs could adversely affect our future results. Further, new programs may yield lower margins than legacy programs, which could result in an overall reduction in gross margins.</w:t>
      </w:r>
    </w:p>
    <w:p>
      <w:pPr>
        <w:spacing w:after="0" w:line="9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64"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and/or delays in collection of outstanding receivables and costs incurred on the contract.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2" w:name="page23"/>
    <w:bookmarkEnd w:id="22"/>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46"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75"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We are also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earnings and profitability depend, in part, on subcontractor and supplier performance and product availability.</w:t>
      </w:r>
    </w:p>
    <w:p>
      <w:pPr>
        <w:spacing w:after="0" w:line="223"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We rely on other companies to provide major components for our products. For instance, we build the airframe, electronics and flight control systems for our unmanned aerial systems. We primarily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7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73" w:lineRule="exact"/>
        <w:rPr>
          <w:sz w:val="20"/>
          <w:szCs w:val="20"/>
          <w:color w:val="auto"/>
        </w:rPr>
      </w:pPr>
    </w:p>
    <w:p>
      <w:pPr>
        <w:jc w:val="both"/>
        <w:ind w:right="140" w:firstLine="619"/>
        <w:spacing w:after="0" w:line="264" w:lineRule="auto"/>
        <w:rPr>
          <w:sz w:val="20"/>
          <w:szCs w:val="20"/>
          <w:color w:val="auto"/>
        </w:rPr>
      </w:pPr>
      <w:r>
        <w:rPr>
          <w:rFonts w:ascii="Times New Roman" w:cs="Times New Roman" w:eastAsia="Times New Roman" w:hAnsi="Times New Roman"/>
          <w:sz w:val="17"/>
          <w:szCs w:val="17"/>
          <w:color w:val="auto"/>
        </w:rPr>
        <w:t>In connection with our U.S. Government contracts, we are required to procure certain materials, components and parts from supply sources approved by the customer. We are also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71"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62" w:lineRule="exact"/>
        <w:rPr>
          <w:sz w:val="20"/>
          <w:szCs w:val="20"/>
          <w:color w:val="auto"/>
        </w:rPr>
      </w:pPr>
    </w:p>
    <w:p>
      <w:pPr>
        <w:ind w:right="200" w:firstLine="619"/>
        <w:spacing w:after="0"/>
        <w:rPr>
          <w:sz w:val="20"/>
          <w:szCs w:val="20"/>
          <w:color w:val="auto"/>
        </w:rPr>
      </w:pPr>
      <w:r>
        <w:rPr>
          <w:rFonts w:ascii="Times New Roman" w:cs="Times New Roman" w:eastAsia="Times New Roman" w:hAnsi="Times New Roman"/>
          <w:sz w:val="17"/>
          <w:szCs w:val="17"/>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resins and the availability for milling activities is experiencing shortages and delays which is impacting our C5ISR business. 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3" w:name="page24"/>
    <w:bookmarkEnd w:id="23"/>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from many competitors that have greater resources than we do, which could result in price reductions, reduced profitability or loss of market share.</w:t>
      </w:r>
    </w:p>
    <w:p>
      <w:pPr>
        <w:spacing w:after="0" w:line="146"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199"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77" w:lineRule="exact"/>
        <w:rPr>
          <w:sz w:val="20"/>
          <w:szCs w:val="20"/>
          <w:color w:val="auto"/>
        </w:rPr>
      </w:pPr>
    </w:p>
    <w:p>
      <w:pPr>
        <w:ind w:left="1240" w:right="300" w:hanging="309"/>
        <w:spacing w:after="0" w:line="263" w:lineRule="auto"/>
        <w:tabs>
          <w:tab w:leader="none" w:pos="12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sales from us by winning very large scale government contracts, a risk that is enhanced by the recent trend in government procurement practices to bundle services into larger contracts and the recent trend of making award determinations on a LPTA basis;</w:t>
      </w: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sales from us by the award of government contracts to our competitors who may be willing to bid at substantially lower prices;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us to charge lower prices; or</w:t>
      </w:r>
    </w:p>
    <w:p>
      <w:pPr>
        <w:spacing w:after="0" w:line="10" w:lineRule="exact"/>
        <w:rPr>
          <w:rFonts w:ascii="Times New Roman" w:cs="Times New Roman" w:eastAsia="Times New Roman" w:hAnsi="Times New Roman"/>
          <w:sz w:val="17"/>
          <w:szCs w:val="17"/>
          <w:color w:val="auto"/>
        </w:rPr>
      </w:pPr>
    </w:p>
    <w:p>
      <w:pPr>
        <w:ind w:left="1240" w:right="140" w:hanging="309"/>
        <w:spacing w:after="0" w:line="266" w:lineRule="auto"/>
        <w:tabs>
          <w:tab w:leader="none" w:pos="12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relationships with current customers, including our ability to continue to win competitively awarded engagements in which we are the incumbent.</w:t>
      </w:r>
    </w:p>
    <w:p>
      <w:pPr>
        <w:spacing w:after="0" w:line="194"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upon our ability to keep pace with the latest technological changes.</w:t>
      </w:r>
    </w:p>
    <w:p>
      <w:pPr>
        <w:spacing w:after="0" w:line="223"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75"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We believe that, in order to remain competitive in the future, we will need to continue to invest significant financial resources to develop new offerings and technologies or to adapt or modify our existing offerings and technologies, including through IR&amp;D,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205" w:lineRule="exact"/>
        <w:rPr>
          <w:sz w:val="20"/>
          <w:szCs w:val="20"/>
          <w:color w:val="auto"/>
        </w:rPr>
      </w:pPr>
    </w:p>
    <w:p>
      <w:pPr>
        <w:ind w:right="40" w:firstLine="619"/>
        <w:spacing w:after="0" w:line="267" w:lineRule="auto"/>
        <w:rPr>
          <w:sz w:val="20"/>
          <w:szCs w:val="20"/>
          <w:color w:val="auto"/>
        </w:rPr>
      </w:pPr>
      <w:r>
        <w:rPr>
          <w:rFonts w:ascii="Times New Roman" w:cs="Times New Roman" w:eastAsia="Times New Roman" w:hAnsi="Times New Roman"/>
          <w:sz w:val="17"/>
          <w:szCs w:val="17"/>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4" w:name="page25"/>
    <w:bookmarkEnd w:id="24"/>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spacing w:after="0" w:line="185"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For the fiscal year ended December 25, 2022, our US segment accounted for 24.7% of our total revenue. We cannot accurately predict the future growth rate or size of this market. Demand for our products may not increase, or may decrease, either generally or in specific markets, for particular types of products or during particular time periods. There are only a 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199"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satisfaction with these types of systems as solutions;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performance and reliability of our products and products offered by our competitors;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perceptions regarding the effectiveness and value of these types of systems;</w:t>
      </w:r>
    </w:p>
    <w:p>
      <w:pPr>
        <w:spacing w:after="0" w:line="10" w:lineRule="exact"/>
        <w:rPr>
          <w:rFonts w:ascii="Times New Roman" w:cs="Times New Roman" w:eastAsia="Times New Roman" w:hAnsi="Times New Roman"/>
          <w:sz w:val="17"/>
          <w:szCs w:val="17"/>
          <w:color w:val="auto"/>
        </w:rPr>
      </w:pPr>
    </w:p>
    <w:p>
      <w:pPr>
        <w:ind w:left="180" w:right="4200" w:firstLine="133"/>
        <w:spacing w:after="0" w:line="253" w:lineRule="auto"/>
        <w:tabs>
          <w:tab w:leader="none" w:pos="62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market our US products and services outside the U.S. due to U.S. Government regulations; and</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efforts and publicity regarding these types of systems.</w:t>
      </w:r>
    </w:p>
    <w:p>
      <w:pPr>
        <w:spacing w:after="0" w:line="213"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17"/>
          <w:szCs w:val="17"/>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or if the products we have developed or will develop do not become programs of record, then we may not be able to achieve our anticipated level of growth and our revenue and results of operations may suffer.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our GSA contracts or GWACs could impair our ability to attract new business.</w:t>
      </w:r>
    </w:p>
    <w:p>
      <w:pPr>
        <w:spacing w:after="0" w:line="14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77"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Government contracts differ materially from standard commercial contracts, involve competitive bidding and may be subject to cancellation or delay without penalty.</w:t>
      </w:r>
    </w:p>
    <w:p>
      <w:pPr>
        <w:spacing w:after="0" w:line="81"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1" w:lineRule="exact"/>
        <w:rPr>
          <w:sz w:val="20"/>
          <w:szCs w:val="20"/>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existing contracts;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potential future income from our existing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some of the terms and conditions in our existing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permanently prohibit us from doing business with the U.S. Government or with any specific government agency;</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fines and penalties;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criminal prosecution;</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work under existing multiple year contracts and related task orders if the necessary funds are not appropriated by Congress;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to exercise an option to extend an existing multiple year contract;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 rights in technologies and systems invented, developed or produced by us.</w:t>
      </w:r>
    </w:p>
    <w:p>
      <w:pPr>
        <w:spacing w:after="0" w:line="226"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5" w:name="page26"/>
    <w:bookmarkEnd w:id="25"/>
    <w:p>
      <w:pPr>
        <w:ind w:right="40"/>
        <w:spacing w:after="0" w:line="261" w:lineRule="auto"/>
        <w:rPr>
          <w:sz w:val="20"/>
          <w:szCs w:val="20"/>
          <w:color w:val="auto"/>
        </w:rPr>
      </w:pPr>
      <w:r>
        <w:rPr>
          <w:rFonts w:ascii="Times New Roman" w:cs="Times New Roman" w:eastAsia="Times New Roman" w:hAnsi="Times New Roman"/>
          <w:sz w:val="17"/>
          <w:szCs w:val="17"/>
          <w:color w:val="auto"/>
        </w:rPr>
        <w:t>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75"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5"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4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67"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46"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 in-sourcing could result in loss of business opportunities and personnel.</w:t>
      </w:r>
    </w:p>
    <w:p>
      <w:pPr>
        <w:spacing w:after="0" w:line="223"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cyber and other security threats or disruptions.</w:t>
      </w:r>
    </w:p>
    <w:p>
      <w:pPr>
        <w:spacing w:after="0" w:line="24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As a defense contractor, we face various cyber and other security threats, including attempts to gain unauthorized access to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 no assurance that these procedures and controls will be sufficient. The occurrence of some of these risks may be increased due to the increase in remote working by our employees, suppliers, contractors and other third parties due to the COVID-19 pandemic. Such an incident could lead to losses or unauthorized disclosure of sensitive information or capabilities; theft or exposure of data; harm to personnel, infrastructure or products; regulatory actions; and/or financial liabilities, as well as potential damage to our reputation as a government contractor and provider of cyber-related or cyber-protected goods and services.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ind w:firstLine="619"/>
        <w:spacing w:after="0" w:line="260" w:lineRule="auto"/>
        <w:rPr>
          <w:sz w:val="20"/>
          <w:szCs w:val="20"/>
          <w:color w:val="auto"/>
        </w:rPr>
      </w:pPr>
      <w:r>
        <w:rPr>
          <w:rFonts w:ascii="Times New Roman" w:cs="Times New Roman" w:eastAsia="Times New Roman" w:hAnsi="Times New Roman"/>
          <w:sz w:val="17"/>
          <w:szCs w:val="17"/>
          <w:color w:val="auto"/>
        </w:rPr>
        <w:t>Cyber threats are continuously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 Company's information or that of our employees, customers or partners); corruption of data, networks or systems; harm to individuals; and loss of assets.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199"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We provide systems, products and services to various customers (both government and commercial) who also face cyber threats. Our systems, products and services may themselves be subject to cyber threats and/or they may not be able to detect or properly deter threats, or effectively to mitigate resulting losses. These losses could adversely affect our customers and our Company.</w:t>
      </w:r>
    </w:p>
    <w:p>
      <w:pPr>
        <w:spacing w:after="0" w:line="191" w:lineRule="exact"/>
        <w:rPr>
          <w:sz w:val="20"/>
          <w:szCs w:val="20"/>
          <w:color w:val="auto"/>
        </w:rPr>
      </w:pPr>
    </w:p>
    <w:p>
      <w:pPr>
        <w:ind w:right="560" w:firstLine="619"/>
        <w:spacing w:after="0" w:line="270" w:lineRule="auto"/>
        <w:rPr>
          <w:sz w:val="20"/>
          <w:szCs w:val="20"/>
          <w:color w:val="auto"/>
        </w:rPr>
      </w:pPr>
      <w:r>
        <w:rPr>
          <w:rFonts w:ascii="Times New Roman" w:cs="Times New Roman" w:eastAsia="Times New Roman" w:hAnsi="Times New Roman"/>
          <w:sz w:val="17"/>
          <w:szCs w:val="17"/>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systems or service failure, our reputation could be harmed and our customers could assert claims against us for damages or refunds.</w:t>
      </w:r>
    </w:p>
    <w:p>
      <w:pPr>
        <w:spacing w:after="0" w:line="223"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65" w:lineRule="exact"/>
        <w:rPr>
          <w:sz w:val="20"/>
          <w:szCs w:val="20"/>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revenue due to adverse customer reaction;</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provide additional services to a customer at no charge;</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customers to postpone, cancel or fail to renew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negative publicity, which could damage our reputation and adversely affect our ability to attract or retain customers;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claims for substantial damages.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cannot ensure that provisions in our customer contracts will be legally sufficient to protect us if we are sued.</w:t>
      </w:r>
    </w:p>
    <w:p>
      <w:pPr>
        <w:spacing w:after="0" w:line="243" w:lineRule="exact"/>
        <w:rPr>
          <w:sz w:val="20"/>
          <w:szCs w:val="20"/>
          <w:color w:val="auto"/>
        </w:rPr>
      </w:pPr>
    </w:p>
    <w:p>
      <w:pPr>
        <w:jc w:val="both"/>
        <w:ind w:right="60" w:firstLine="619"/>
        <w:spacing w:after="0" w:line="264" w:lineRule="auto"/>
        <w:rPr>
          <w:sz w:val="20"/>
          <w:szCs w:val="20"/>
          <w:color w:val="auto"/>
        </w:rPr>
      </w:pPr>
      <w:r>
        <w:rPr>
          <w:rFonts w:ascii="Times New Roman" w:cs="Times New Roman" w:eastAsia="Times New Roman" w:hAnsi="Times New Roman"/>
          <w:sz w:val="17"/>
          <w:szCs w:val="17"/>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65"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Times New Roman" w:cs="Times New Roman" w:eastAsia="Times New Roman" w:hAnsi="Times New Roman"/>
          <w:sz w:val="17"/>
          <w:szCs w:val="17"/>
          <w:b w:val="1"/>
          <w:bCs w:val="1"/>
          <w:color w:val="auto"/>
        </w:rPr>
        <w:t>.</w:t>
      </w:r>
    </w:p>
    <w:p>
      <w:pPr>
        <w:spacing w:after="0" w:line="146"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205"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7" w:name="page28"/>
    <w:bookmarkEnd w:id="27"/>
    <w:p>
      <w:pPr>
        <w:jc w:val="both"/>
        <w:ind w:right="60" w:firstLine="619"/>
        <w:spacing w:after="0" w:line="264" w:lineRule="auto"/>
        <w:rPr>
          <w:sz w:val="20"/>
          <w:szCs w:val="20"/>
          <w:color w:val="auto"/>
        </w:rPr>
      </w:pPr>
      <w:r>
        <w:rPr>
          <w:rFonts w:ascii="Times New Roman" w:cs="Times New Roman" w:eastAsia="Times New Roman" w:hAnsi="Times New Roman"/>
          <w:sz w:val="17"/>
          <w:szCs w:val="17"/>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91" w:lineRule="exact"/>
        <w:rPr>
          <w:sz w:val="20"/>
          <w:szCs w:val="20"/>
          <w:color w:val="auto"/>
        </w:rPr>
      </w:pPr>
    </w:p>
    <w:p>
      <w:pPr>
        <w:ind w:right="27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46"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 In addition, our microwave electronics business which is based in Israel may suffer disruption or damage from acts of terrorism, or other conflicts in that geographic region.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quarter to quarter.</w:t>
      </w:r>
    </w:p>
    <w:p>
      <w:pPr>
        <w:spacing w:after="0" w:line="24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9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factors that may cause our financial results to fluctuate from quarter to quarter include those addressed elsewhere in this Item 1A “Risk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and the following factors, among others:</w:t>
      </w:r>
    </w:p>
    <w:p>
      <w:pPr>
        <w:spacing w:after="0" w:line="200" w:lineRule="exact"/>
        <w:rPr>
          <w:sz w:val="20"/>
          <w:szCs w:val="20"/>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customer contracts that affect the timing of revenue recognition;</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demand for our services and solutions;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completion or termination of contracts during any particular quarter;</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shipments and product deliveries;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award or performance incentive fee notices;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significant bid and proposal costs;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remediating unknown defects, errors or performance problems of our product offerings;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GSA contracts, GWACs, blanket purchase agreements and other IDIQ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and delays related to the export of defense articles and services;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government inquiries;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and joint ventures;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investments or changes in business strategy;</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extent to which we use subcontractors;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fluctuations in our staff utilization rates;</w:t>
      </w:r>
    </w:p>
    <w:p>
      <w:pPr>
        <w:spacing w:after="0" w:line="10" w:lineRule="exact"/>
        <w:rPr>
          <w:rFonts w:ascii="Times New Roman" w:cs="Times New Roman" w:eastAsia="Times New Roman" w:hAnsi="Times New Roman"/>
          <w:sz w:val="17"/>
          <w:szCs w:val="17"/>
          <w:color w:val="auto"/>
        </w:rPr>
      </w:pPr>
    </w:p>
    <w:p>
      <w:pPr>
        <w:ind w:left="1240" w:right="100" w:hanging="309"/>
        <w:spacing w:after="0" w:line="253"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effective tax rate, including changes in our judgment as to the necessity of the valuation allowance recorded against our deferred tax assets; and</w:t>
      </w: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sales cycles.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8" w:name="page29"/>
    <w:bookmarkEnd w:id="28"/>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new 5-year $200 million Revolving Credit Facility and 5-year $200 million Term Loan A (collectively, the “New Credit Facility”). In addition, fluctuations in our financial results could cause our stock price to decline. See the risks and uncertainties related to our ability to raise additional capital below in </w:t>
      </w:r>
      <w:r>
        <w:rPr>
          <w:rFonts w:ascii="Times New Roman" w:cs="Times New Roman" w:eastAsia="Times New Roman" w:hAnsi="Times New Roman"/>
          <w:sz w:val="17"/>
          <w:szCs w:val="17"/>
          <w:i w:val="1"/>
          <w:iCs w:val="1"/>
          <w:color w:val="auto"/>
        </w:rPr>
        <w:t>“We may need additional capital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fund the growth of our business, and financing may not be available on favorable terms or at all.”</w:t>
      </w:r>
    </w:p>
    <w:p>
      <w:pPr>
        <w:spacing w:after="0" w:line="172" w:lineRule="exact"/>
        <w:rPr>
          <w:sz w:val="20"/>
          <w:szCs w:val="20"/>
          <w:color w:val="auto"/>
        </w:rPr>
      </w:pPr>
    </w:p>
    <w:p>
      <w:pPr>
        <w:ind w:right="340"/>
        <w:spacing w:after="0" w:line="229" w:lineRule="exact"/>
        <w:rPr>
          <w:sz w:val="20"/>
          <w:szCs w:val="20"/>
          <w:color w:val="auto"/>
        </w:rPr>
      </w:pPr>
      <w:r>
        <w:rPr>
          <w:rFonts w:ascii="Times New Roman" w:cs="Times New Roman" w:eastAsia="Times New Roman" w:hAnsi="Times New Roman"/>
          <w:sz w:val="17"/>
          <w:szCs w:val="17"/>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price contracts in our total contract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-213995</wp:posOffset>
            </wp:positionV>
            <wp:extent cx="622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35% and 61%, respectively, of our federal business revenues for the year ended December 25, 2022. To the extent that we enter into more cost-plus-fee or less fixed-price contracts in proportion to our total contract mix in the future, our margins and operating results may suffer. Our operating results may also suffer to the extent we have a contract mix that is focused on developmental projects, which are typically at lower profit margins as compared to margins on production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overruns on our contracts could subject us to losses, decrease our operating margins and adversely affect our future business.</w:t>
      </w:r>
    </w:p>
    <w:p>
      <w:pPr>
        <w:spacing w:after="0" w:line="249"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Fixed-price contracts (including both government and commercial contracts) represented approximately 71% of our revenue for the fiscal year ended December 25, 2022. If we fail to anticipate technical problems, estimate costs accurately or control costs during our performance of fixed-price contracts, then we may incur losses on these contracts because we absorb any costs in excess of the fixed price. In addition, under fixed-price contracts, we are required to absorb any unanticipated costs resulting from inflation, including increases in costs of materials and labor workforce.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cash flow and profitability could be reduced if expenditures are incurred prior to the final receipt of a contract.</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In addition, from time to time, we may build production units such as unmanned aerial vehicles in advance of receiving an anticipated contract award. If our government or prime contractor customer’s requirements should change or if the government or the prime contractor should direct the anticipated procurement to another contractor, or if the anticipated contract award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69"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respond to commercial industry cycles in terms of our cost structure, manufacturing capacity, and/or personnel needs, our business could be seriously harmed.</w:t>
      </w:r>
    </w:p>
    <w:p>
      <w:pPr>
        <w:spacing w:after="0" w:line="172" w:lineRule="exact"/>
        <w:rPr>
          <w:sz w:val="20"/>
          <w:szCs w:val="20"/>
          <w:color w:val="auto"/>
        </w:rPr>
      </w:pPr>
    </w:p>
    <w:p>
      <w:pPr>
        <w:ind w:right="260" w:firstLine="619"/>
        <w:spacing w:after="0" w:line="260" w:lineRule="auto"/>
        <w:rPr>
          <w:sz w:val="20"/>
          <w:szCs w:val="20"/>
          <w:color w:val="auto"/>
        </w:rPr>
      </w:pPr>
      <w:r>
        <w:rPr>
          <w:rFonts w:ascii="Times New Roman" w:cs="Times New Roman" w:eastAsia="Times New Roman" w:hAnsi="Times New Roman"/>
          <w:sz w:val="17"/>
          <w:szCs w:val="17"/>
          <w:color w:val="auto"/>
        </w:rPr>
        <w:t>The timing, length, and severity of the up-and-down cycles in the commercial and defense industries are difficult to predict. This cyclical nature of the industries in which we operate affects our ability to accurately predict future revenue, and in some cases, future expense levels.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9" w:name="page30"/>
    <w:bookmarkEnd w:id="29"/>
    <w:p>
      <w:pPr>
        <w:ind w:right="20"/>
        <w:spacing w:after="0" w:line="264" w:lineRule="auto"/>
        <w:rPr>
          <w:sz w:val="20"/>
          <w:szCs w:val="20"/>
          <w:color w:val="auto"/>
        </w:rPr>
      </w:pPr>
      <w:r>
        <w:rPr>
          <w:rFonts w:ascii="Times New Roman" w:cs="Times New Roman" w:eastAsia="Times New Roman" w:hAnsi="Times New Roman"/>
          <w:sz w:val="17"/>
          <w:szCs w:val="17"/>
          <w:color w:val="auto"/>
        </w:rPr>
        <w:t>prevailing market conditions and to continue to motivate and retain our key employees. If we fail to respond to fluctuating market conditions our business could be seriously harmed. In addition, during periods of rapid growth, we must be able to increase engineering and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65"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5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We maintain a variety of parts and components in inventory to allow us to customize our products for specific customer requirements, which parts are subject to obsolescence and expiration. Due to the long-lead time for obtaining certain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In addition, as a result of recent disruptions in supply chain for certain materials and parts, we have been making advanced inventory purchases in an attempt to mitigate the impact of these disruptions, which has resulted in</w:t>
      </w:r>
    </w:p>
    <w:p>
      <w:pPr>
        <w:spacing w:after="0" w:line="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an increase in inventory levels and has required use of our working capital.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which could have a negative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and may continue to incur goodwill impairment charges in our reporting entities, which could harm our profitability.</w:t>
      </w:r>
    </w:p>
    <w:p>
      <w:pPr>
        <w:spacing w:after="0" w:line="223"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As of December 25, 2022, goodwill represented approximately 36% of our total assets. We test for impairment annually.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65"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205"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Given the current market conditions and continued economic uncertainty in the U.S. defense industry, including sequestration and issues surrounding the national debt ceiling and COVID-19 related and inflationary impacts to certain of our businesses, our future revenues, profits and cash flows could be substantially lower than our 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including the assumption that products we have developed or will develop will become programs of record.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properly manage projects may result in additional costs or claims.</w:t>
      </w:r>
    </w:p>
    <w:p>
      <w:pPr>
        <w:spacing w:after="0" w:line="223"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 w:name="page31"/>
    <w:bookmarkEnd w:id="30"/>
    <w:p>
      <w:pPr>
        <w:spacing w:after="0" w:line="260" w:lineRule="auto"/>
        <w:rPr>
          <w:sz w:val="20"/>
          <w:szCs w:val="20"/>
          <w:color w:val="auto"/>
        </w:rPr>
      </w:pPr>
      <w:r>
        <w:rPr>
          <w:rFonts w:ascii="Times New Roman" w:cs="Times New Roman" w:eastAsia="Times New Roman" w:hAnsi="Times New Roman"/>
          <w:sz w:val="17"/>
          <w:szCs w:val="17"/>
          <w:color w:val="auto"/>
        </w:rPr>
        <w:t>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67"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use estimates when accounting for contracts, and any changes in such estimates could have an adverse effect on our profitability and our overall financial performance.</w:t>
      </w:r>
    </w:p>
    <w:p>
      <w:pPr>
        <w:spacing w:after="0" w:line="146"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5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 We may be required to record valuation allowances on our net operating loss carryforwards in future periods which could adversely impact our profitability and financial condition.</w:t>
      </w:r>
    </w:p>
    <w:p>
      <w:pPr>
        <w:spacing w:after="0" w:line="172"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25, 2022,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92" w:lineRule="exact"/>
        <w:rPr>
          <w:sz w:val="20"/>
          <w:szCs w:val="20"/>
          <w:color w:val="auto"/>
        </w:rPr>
      </w:pPr>
    </w:p>
    <w:p>
      <w:pPr>
        <w:ind w:right="20" w:firstLine="619"/>
        <w:spacing w:after="0" w:line="238" w:lineRule="auto"/>
        <w:rPr>
          <w:sz w:val="20"/>
          <w:szCs w:val="20"/>
          <w:color w:val="auto"/>
        </w:rPr>
      </w:pPr>
      <w:r>
        <w:rPr>
          <w:rFonts w:ascii="Times New Roman" w:cs="Times New Roman" w:eastAsia="Times New Roman" w:hAnsi="Times New Roman"/>
          <w:sz w:val="17"/>
          <w:szCs w:val="17"/>
          <w:color w:val="auto"/>
        </w:rPr>
        <w:t>In the fourth quarter of 2020, the Company determined, based upon generation of positive income in the past several years resulting in a cumulative income position, and based upon forecasted future taxable income taking into consideration expected future permanent and temporary tax differences, that a significant portion (approximately $80.1 million) of the valuation allowance against the carrying value of its deferred tax assets was no longer necessary. Given the current market conditions and continued economic uncertainty in the U.S. defense industry, including sequestration and issues surrounding the national debt ceiling and COVID-19 related impacts to certain of our businesses, including disruptions in supply chain and inflationary impacts, our future revenues, profits, cash flows, and taxable income could be substantially lower than our 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reforms or changes to current tax regulations could impact the future utilization of our NOLs. Such circumstances may result in the expiration of our NOLs before we are able to utilize them, which could result in a requirement to record valuation allowances. Due to continual changes in market and general business conditions, we cannot predict whether, and to what extent, a valuation allowance may be required in future periods. As a result of certain of these factors which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 w:name="page32"/>
    <w:bookmarkEnd w:id="31"/>
    <w:p>
      <w:pPr>
        <w:ind w:right="20"/>
        <w:spacing w:after="0" w:line="254" w:lineRule="auto"/>
        <w:rPr>
          <w:sz w:val="20"/>
          <w:szCs w:val="20"/>
          <w:color w:val="auto"/>
        </w:rPr>
      </w:pPr>
      <w:r>
        <w:rPr>
          <w:rFonts w:ascii="Times New Roman" w:cs="Times New Roman" w:eastAsia="Times New Roman" w:hAnsi="Times New Roman"/>
          <w:sz w:val="17"/>
          <w:szCs w:val="17"/>
          <w:color w:val="auto"/>
        </w:rPr>
        <w:t>impacted our operating results in 2022, the Company determined that a portion of the valuation allowance related to certain state NOL carryforwards and federal research and development credits was required to be recorded of approximately $5.6 million. Any future resulting valuation allowances on our NOL carryforwards that are required to be recorded in future periods could adversely impact our profitability and financial condition.</w:t>
      </w:r>
    </w:p>
    <w:p>
      <w:pPr>
        <w:spacing w:after="0" w:line="19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46" w:lineRule="exact"/>
        <w:rPr>
          <w:sz w:val="20"/>
          <w:szCs w:val="20"/>
          <w:color w:val="auto"/>
        </w:rPr>
      </w:pPr>
    </w:p>
    <w:p>
      <w:pPr>
        <w:ind w:right="60" w:firstLine="172"/>
        <w:spacing w:after="0" w:line="258" w:lineRule="auto"/>
        <w:rPr>
          <w:sz w:val="20"/>
          <w:szCs w:val="20"/>
          <w:color w:val="auto"/>
        </w:rPr>
      </w:pPr>
      <w:r>
        <w:rPr>
          <w:rFonts w:ascii="Times New Roman" w:cs="Times New Roman" w:eastAsia="Times New Roman" w:hAnsi="Times New Roman"/>
          <w:sz w:val="17"/>
          <w:szCs w:val="17"/>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$38.6 million, or 4.3% of our revenue, in our fiscal year ended December 25, 2022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operations expose us to risks associated with pandemics, epidemics or other public health emergencies, such as the outbreak of COVID-19.</w:t>
      </w:r>
    </w:p>
    <w:p>
      <w:pPr>
        <w:spacing w:after="0" w:line="234"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color w:val="auto"/>
        </w:rPr>
        <w:t>The COVID-19 pandemic continues to impact worldwide economic activity. A pandemic, including COVID-19 or other public health epidemic, poses the risk that we or our employees, suppliers and other partners may be prevented from conducting business activities for an indefinite period of time, including due to spread of the disease within these groups or due to shutdowns that may be requested or mandated by governmental authorities. The COVID-19 pandemic and subsequent mitigation measures have also had an adverse impact on global economic conditions which could have an adverse effect on our business and financial condition. The extent to which the COVID-19 pandemic, or any other outbreak of an epidemic disease, impacts our results will depend on future developments that are highly uncertain and cannot be predicted, including new information that may emerge concerning the severity of the virus and the actions to contain its impact.</w:t>
      </w:r>
    </w:p>
    <w:p>
      <w:pPr>
        <w:spacing w:after="0" w:line="200" w:lineRule="exact"/>
        <w:rPr>
          <w:sz w:val="20"/>
          <w:szCs w:val="20"/>
          <w:color w:val="auto"/>
        </w:rPr>
      </w:pPr>
    </w:p>
    <w:p>
      <w:pPr>
        <w:spacing w:after="0" w:line="21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are a company operating in a “critical infrastructure industry”, as defined by the U.S. Department of Homeland Security. Consistent with federal guidelines and with state and local orders to date, we have continued to operate our business, including our international operations. Notwithstanding our continued operations, COVID-19 has had negative impacts on certain of our operations, including employee absenteeism,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 Despite progress in vaccination efforts, global economic activity remains uncertain and cannot be predicted with confidence.</w:t>
      </w:r>
    </w:p>
    <w:p>
      <w:pPr>
        <w:spacing w:after="0" w:line="20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Since the end of our first quarter of 2020, COVID-19 has had an impact our customers, markets and operations, including supply chain disruptions, delays of certain supplier deliveries, difficulties gaining access to certain locations, difficulties gaining access to customers, and decreased demand requirements of certain of our commercial aero, power and satcom customers. Importantly, COVID-19 customer and contractor-related travel and social distancing restrictions 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The impact to our commercial aero and power customers has improved in the most recent year, and we currently do not expect this matter to have a material impact on our results of operations, cash flows and financial position. Due to the current level of uncertainty over the economic, business and operational impacts of COVID-19, the related financial impact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to fund the growth of our business, and financing may not be available on favorable terms or at all.</w:t>
      </w:r>
    </w:p>
    <w:p>
      <w:pPr>
        <w:spacing w:after="0" w:line="236"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We currently anticipate that our available capital resources, amounts available under our Credit Agreement (as defined below in Item 7 “Management’s Discussion and Analysis of Financial Condition and Results of Operations” under the heading “New Credit Facility”)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which require significant amounts of working capital to fund such growth.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could adversely affect our ability to access these markets. Limitations on our ability to borrow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211" w:lineRule="exact"/>
        <w:rPr>
          <w:sz w:val="20"/>
          <w:szCs w:val="20"/>
          <w:color w:val="auto"/>
        </w:rPr>
      </w:pPr>
    </w:p>
    <w:p>
      <w:pPr>
        <w:ind w:right="30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cash may be subject to a risk of loss and we may be exposed to fluctuations in the market values of our portfolio investments and in interest rates.</w:t>
      </w:r>
    </w:p>
    <w:p>
      <w:pPr>
        <w:spacing w:after="0" w:line="172"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December 25, 2022. We currently invest the majority of our cash in institutional U.S. money market funds, institutional U.S. treasury money market funds, U.S. treasuries, and U.S. government agency securities, the performance of which are subject to additional market risks related to their respective issuers. Nearly all of our cash and bank deposits are not insured by the Federal Deposit Insurance Corporation.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Past acquisitions and future acquisitions could prove difficult to integrate, disrupt our business, dilute stockholder value and strain our resources.</w:t>
      </w:r>
    </w:p>
    <w:p>
      <w:pPr>
        <w:spacing w:after="0" w:line="249" w:lineRule="exact"/>
        <w:rPr>
          <w:sz w:val="20"/>
          <w:szCs w:val="20"/>
          <w:color w:val="auto"/>
        </w:rPr>
      </w:pPr>
    </w:p>
    <w:p>
      <w:pPr>
        <w:ind w:right="440" w:firstLine="619"/>
        <w:spacing w:after="0" w:line="258" w:lineRule="auto"/>
        <w:rPr>
          <w:sz w:val="20"/>
          <w:szCs w:val="20"/>
          <w:color w:val="auto"/>
        </w:rPr>
      </w:pPr>
      <w:r>
        <w:rPr>
          <w:rFonts w:ascii="Times New Roman" w:cs="Times New Roman" w:eastAsia="Times New Roman" w:hAnsi="Times New Roman"/>
          <w:sz w:val="17"/>
          <w:szCs w:val="17"/>
          <w:color w:val="auto"/>
        </w:rPr>
        <w:t>We have in the past and may, in the future, acquire additional businesses that we believe could complement or expand our business or increase our customer base. Whether we realize the anticipated benefits from these acquisitions and related activities depends, in part, upon our ability to integrate the operations of the acquired business, the performance of the underlying product and service portfolio, and the performance of the management team and other personnel of the acquired operations.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201" w:lineRule="exact"/>
        <w:rPr>
          <w:sz w:val="20"/>
          <w:szCs w:val="20"/>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achieve the operating synergies anticipated in the acquisitions;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attention from ongoing business concerns to integration matters;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consolidating and rationalizing IT platforms and administrative infrastructures;</w:t>
      </w:r>
    </w:p>
    <w:p>
      <w:pPr>
        <w:spacing w:after="0" w:line="10" w:lineRule="exact"/>
        <w:rPr>
          <w:rFonts w:ascii="Times New Roman" w:cs="Times New Roman" w:eastAsia="Times New Roman" w:hAnsi="Times New Roman"/>
          <w:sz w:val="17"/>
          <w:szCs w:val="17"/>
          <w:color w:val="auto"/>
        </w:rPr>
      </w:pPr>
    </w:p>
    <w:p>
      <w:pPr>
        <w:ind w:left="1240" w:right="420" w:hanging="309"/>
        <w:spacing w:after="0" w:line="253"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geographic separation of the combined businesses and consolidating multiple physical locations where management may determine consolidation is desirable;</w:t>
      </w:r>
    </w:p>
    <w:p>
      <w:pPr>
        <w:ind w:left="1240" w:right="360" w:hanging="309"/>
        <w:spacing w:after="0" w:line="253"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integrating personnel from different corporate cultures while maintaining focus on providing consistent, high quality customer service;</w:t>
      </w: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or delays in transitioning U.S. Government contracts pursuant to federal acquisition regulations;</w:t>
      </w:r>
    </w:p>
    <w:p>
      <w:pPr>
        <w:spacing w:after="0" w:line="10" w:lineRule="exact"/>
        <w:rPr>
          <w:rFonts w:ascii="Times New Roman" w:cs="Times New Roman" w:eastAsia="Times New Roman" w:hAnsi="Times New Roman"/>
          <w:sz w:val="17"/>
          <w:szCs w:val="17"/>
          <w:color w:val="auto"/>
        </w:rPr>
      </w:pPr>
    </w:p>
    <w:p>
      <w:pPr>
        <w:ind w:left="1240" w:right="580" w:hanging="309"/>
        <w:spacing w:after="0" w:line="253"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demonstrating to customers of Kratos and to customers of acquired businesses that the acquisition will not result in adverse changes in customer service standards or business focus;</w:t>
      </w: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cash flow interruption or loss of revenue as a result of change of ownership transitional matters;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generate sufficient revenue to offset acquisition costs.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3" w:name="page34"/>
    <w:bookmarkEnd w:id="33"/>
    <w:p>
      <w:pPr>
        <w:ind w:firstLine="619"/>
        <w:spacing w:after="0" w:line="256" w:lineRule="auto"/>
        <w:rPr>
          <w:sz w:val="20"/>
          <w:szCs w:val="20"/>
          <w:color w:val="auto"/>
        </w:rPr>
      </w:pPr>
      <w:r>
        <w:rPr>
          <w:rFonts w:ascii="Times New Roman" w:cs="Times New Roman" w:eastAsia="Times New Roman" w:hAnsi="Times New Roman"/>
          <w:sz w:val="17"/>
          <w:szCs w:val="17"/>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 While we believe that we have established appropriate and adequate procedures and processes to mitigate these risks, there is no assurance that these transactions will be successful.</w:t>
      </w:r>
    </w:p>
    <w:p>
      <w:pPr>
        <w:spacing w:after="0" w:line="182"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manage our growth, our business and financial results could suffer.</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invest in new information technology systems and infrastructure to scale our operations.</w:t>
      </w:r>
    </w:p>
    <w:p>
      <w:pPr>
        <w:spacing w:after="0" w:line="223"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We may need to adopt new information technology systems and infrastructure to scale our business and obtain the synergies from prior and future acquisitions. Our information technology and business 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may lead to operational inefficiencies and increased compliance costs and risks. In addition, an inability to maximize the utility and benefit of our current information technology and business tools could impact our ability to meet cost reduction and planned efficiency and operational improvement goals.</w:t>
      </w:r>
    </w:p>
    <w:p>
      <w:pPr>
        <w:spacing w:after="0" w:line="167"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loss of any member of our senior management could impair our relationships with U.S. Government customers and disrupt the management of our business.</w:t>
      </w:r>
    </w:p>
    <w:p>
      <w:pPr>
        <w:spacing w:after="0" w:line="146"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4" w:name="page35"/>
    <w:bookmarkEnd w:id="34"/>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46"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75"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6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0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4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1"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be subject to the new DoD CMMC requirement recently issued by the Pentagon which may limit our ability to bid and win projects. The cost for the new CMMC requirement may be significant.</w:t>
      </w:r>
    </w:p>
    <w:p>
      <w:pPr>
        <w:spacing w:after="0" w:line="107" w:lineRule="exact"/>
        <w:rPr>
          <w:sz w:val="20"/>
          <w:szCs w:val="20"/>
          <w:color w:val="auto"/>
        </w:rPr>
      </w:pPr>
    </w:p>
    <w:p>
      <w:pPr>
        <w:ind w:right="80" w:firstLine="619"/>
        <w:spacing w:after="0" w:line="256" w:lineRule="auto"/>
        <w:rPr>
          <w:sz w:val="20"/>
          <w:szCs w:val="20"/>
          <w:color w:val="auto"/>
        </w:rPr>
      </w:pPr>
      <w:r>
        <w:rPr>
          <w:rFonts w:ascii="Times New Roman" w:cs="Times New Roman" w:eastAsia="Times New Roman" w:hAnsi="Times New Roman"/>
          <w:sz w:val="17"/>
          <w:szCs w:val="17"/>
          <w:color w:val="auto"/>
        </w:rPr>
        <w:t>The Pentagon, on January 31, 2020, released the official version of its unified Cybersecurity standard that all contractors must meet by 2026. This standard, the CMMC, will apply to any company that does business with the Department of Defense. CMMC will also apply to subcontractors as well as prime contractors. The DoD originally stated that it expected a roll-out of this requirement over a five-year timeline. CMMC borrows heavily from the existing NIST Cybersecurity Framework, and intends to rely heavily on a CMMC accrediting body. The DoD is currently drafting a memorandum of understanding to establish rules, roles and responsibilities between it and the accrediting body. Once up and running, companies will be able to apply for certification through a portal run by the accrediting body. The CMMC certification will be good for three years; with it, companies will be able to bid on contracts across the DoD and military services. In December 2020, the DoD disclosed the first seven contracts that are likely to be the initial test cases for the first “pathfinder” solicitations mandating CMMC. It is expected to take until 2026 to bring all contractors into compliance, since five years is the typical duration of a government contract. Contractors are required to flow the CMMC requirements down to all subcontracts except those for Commercial Off the Shelf (COTS) items. Additionally, a contractor may not award a subcontract unless the subcontractor has a current assessment in the Supplier Performance Risk System (SPRS). Because contractors only have access to their own information, contractors may need to rely on certifications from subcontractors for this requirement.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5" w:name="page36"/>
    <w:bookmarkEnd w:id="35"/>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Under CMMC, contractors will no longer “self-attest” they meet a given standard. Instead, Pentagon approved third parties will assess each company, at the company’s expense. There will be no fines for non-compliance, however contractors will not be able to be awarded new contracts that require a particular level of certification without the required certification.</w:t>
      </w:r>
    </w:p>
    <w:p>
      <w:pPr>
        <w:spacing w:after="0" w:line="165"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DoD is currently drafting CMMC 2.0, the second iteration of the security standard developed to require the defense industrial base to certify that their networks and systems meet security standards. The final CMMC rules are expected to be completed sometime in 2023. Under the CMMC 2.0 Model announced on July 17, 2021, there will be three levels of certification, Level 1 through Level 3 (which was modified from the original five levels of certification). The new certification will not be required for existing contracts already signed, only on new contracts. CMMC 2.0 will allow for so-called plans of action and milestones, which will allow companies to document controls they are not fully implementing yet. The plans of action are required to state the means by which companies expect to reach full compliance, which are required to be completed within 180 days. Another change includes the requirement for senior company officials to self-certify and submit attestations of compliance. If there is a breach but a company certified its compliance with the security standards, a company could be open to False Claims Act lawsuits. The final change in the draft CMMC 2.0 requires cloud computing services used by the government contractor to be certified through the FedRAMP authorization process in accordance with DoD security requirements.</w:t>
      </w:r>
    </w:p>
    <w:p>
      <w:pPr>
        <w:spacing w:after="0" w:line="179" w:lineRule="exact"/>
        <w:rPr>
          <w:sz w:val="20"/>
          <w:szCs w:val="20"/>
          <w:color w:val="auto"/>
        </w:rPr>
      </w:pPr>
    </w:p>
    <w:p>
      <w:pPr>
        <w:jc w:val="both"/>
        <w:ind w:right="500" w:firstLine="619"/>
        <w:spacing w:after="0" w:line="270" w:lineRule="auto"/>
        <w:rPr>
          <w:sz w:val="20"/>
          <w:szCs w:val="20"/>
          <w:color w:val="auto"/>
        </w:rPr>
      </w:pPr>
      <w:r>
        <w:rPr>
          <w:rFonts w:ascii="Times New Roman" w:cs="Times New Roman" w:eastAsia="Times New Roman" w:hAnsi="Times New Roman"/>
          <w:sz w:val="17"/>
          <w:szCs w:val="17"/>
          <w:color w:val="auto"/>
        </w:rPr>
        <w:t>We may be unable to bid on new contract awards or on follow-on awards for existing work, depending on the level of standard as required for each solicitation, which could adversely impact our revenues, operating margins and cash flows. The cost to comply with the new CMMC requirement has been significant and may increase. Further, we may be negatively impacted by our subcontractors if they are not compliant with these requirements.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expose us to the risk of material environmental liabilities.</w:t>
      </w:r>
    </w:p>
    <w:p>
      <w:pPr>
        <w:spacing w:after="0" w:line="223" w:lineRule="exact"/>
        <w:rPr>
          <w:sz w:val="20"/>
          <w:szCs w:val="20"/>
          <w:color w:val="auto"/>
        </w:rPr>
      </w:pPr>
    </w:p>
    <w:p>
      <w:pPr>
        <w:ind w:right="140" w:firstLine="169"/>
        <w:spacing w:after="0" w:line="258" w:lineRule="auto"/>
        <w:rPr>
          <w:sz w:val="20"/>
          <w:szCs w:val="20"/>
          <w:color w:val="auto"/>
        </w:rPr>
      </w:pPr>
      <w:r>
        <w:rPr>
          <w:rFonts w:ascii="Times New Roman" w:cs="Times New Roman" w:eastAsia="Times New Roman" w:hAnsi="Times New Roman"/>
          <w:sz w:val="17"/>
          <w:szCs w:val="17"/>
          <w:color w:val="auto"/>
        </w:rPr>
        <w:t>We are subject to various U.S. federal, state, local and non-U.S. laws and regulations related to environmental protection, including the discharge, treatment, storage, disposal and remediation of hazardous substances and wastes. We could incur substantial costs, including cleanup costs, fines and civil or criminal sanctions, as well as third-party claims for property damage or personal injury, if we were to violate or become liable under environmental laws or regulations. In some cases, we may be subject to such costs due to environmental impacts attributable to our current or past manufacturing operations or the operations of companies we have acquired. In other cases, we may become subject to such costs due to an indemnification agreement between us and a third party relating to such environmental liabilities. In addition, new laws and regulations, more stringent enforcement of existing laws and regulations, the discovery of previously unknown contamination or the imposition of new remediation requirements could result in additional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International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derived from our international business could be subject to global economic downturn and hardship.</w:t>
      </w:r>
    </w:p>
    <w:p>
      <w:pPr>
        <w:spacing w:after="0" w:line="249"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Our international business represents 19% of our total revenue for the year ended December 25, 2022,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w:t>
      </w:r>
    </w:p>
    <w:p>
      <w:pPr>
        <w:spacing w:after="0" w:line="191"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business exposes us to additional risks.</w:t>
      </w:r>
    </w:p>
    <w:p>
      <w:pPr>
        <w:spacing w:after="0" w:line="223" w:lineRule="exact"/>
        <w:rPr>
          <w:sz w:val="20"/>
          <w:szCs w:val="20"/>
          <w:color w:val="auto"/>
        </w:rPr>
      </w:pPr>
    </w:p>
    <w:p>
      <w:pPr>
        <w:ind w:firstLine="212"/>
        <w:spacing w:after="0" w:line="287" w:lineRule="auto"/>
        <w:rPr>
          <w:sz w:val="20"/>
          <w:szCs w:val="20"/>
          <w:color w:val="auto"/>
        </w:rPr>
      </w:pPr>
      <w:r>
        <w:rPr>
          <w:rFonts w:ascii="Times New Roman" w:cs="Times New Roman" w:eastAsia="Times New Roman" w:hAnsi="Times New Roman"/>
          <w:sz w:val="17"/>
          <w:szCs w:val="17"/>
          <w:color w:val="auto"/>
        </w:rPr>
        <w:t>Our operations outside of the U.S. are subject to risks that are inherent in conducting business under non-U.S. laws, regulations and customs, including those related to:</w:t>
      </w:r>
    </w:p>
    <w:p>
      <w:pPr>
        <w:spacing w:after="0" w:line="254" w:lineRule="exact"/>
        <w:rPr>
          <w:sz w:val="20"/>
          <w:szCs w:val="20"/>
          <w:color w:val="auto"/>
        </w:rPr>
      </w:pPr>
    </w:p>
    <w:p>
      <w:pPr>
        <w:ind w:left="1240" w:right="560" w:hanging="309"/>
        <w:spacing w:after="0" w:line="263"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potentially reducing the U.S. dollars we receive for sales denominated in foreign currency or reducing our profits when we pay for materials, subcontractors and payroll denominated in foreign currency ;</w:t>
      </w: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unfriendly nations or groups could boycott our solutions;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conditions in the markets in which we operate;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 w:name="page37"/>
    <w:bookmarkEnd w:id="36"/>
    <w:p>
      <w:pPr>
        <w:ind w:left="1240" w:right="300" w:hanging="309"/>
        <w:spacing w:after="0" w:line="263"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escalation or continuation of armed conflict, hostilities or economic sanctions between countries or regions, including the current conflict between Russia and Ukraine;</w:t>
      </w: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increased costs associated with overlapping tax structures;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import-export control, including the imposition of tariffs, embargoes, export controls and other trade restrictions;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required U.S. Government agency issued export licenses to ship our product overseas;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limited protection for intellectual property rights in some countries;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associated with staffing and managing foreign operations;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regulatory requirements;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of compliance with a wide variety of foreign laws and regulations;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accounts receivable cycles in certain foreign countries, whether due to cultural differences, exchange rate fluctuation or other factors;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and data transfer restrictions;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distribution networks;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employees;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and terrorist events, including impacts to our international operations such as Microwave Electronics, which is headquartered in Israel.</w:t>
      </w:r>
    </w:p>
    <w:p>
      <w:pPr>
        <w:spacing w:after="0" w:line="226" w:lineRule="exact"/>
        <w:rPr>
          <w:sz w:val="20"/>
          <w:szCs w:val="20"/>
          <w:color w:val="auto"/>
        </w:rPr>
      </w:pPr>
    </w:p>
    <w:p>
      <w:pPr>
        <w:ind w:left="80" w:firstLine="619"/>
        <w:spacing w:after="0" w:line="256" w:lineRule="auto"/>
        <w:rPr>
          <w:sz w:val="20"/>
          <w:szCs w:val="20"/>
          <w:color w:val="auto"/>
        </w:rPr>
      </w:pPr>
      <w:r>
        <w:rPr>
          <w:rFonts w:ascii="Times New Roman" w:cs="Times New Roman" w:eastAsia="Times New Roman" w:hAnsi="Times New Roman"/>
          <w:sz w:val="17"/>
          <w:szCs w:val="17"/>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 them could adversely affect our financial position, results of operations, or cash flows.</w:t>
      </w:r>
    </w:p>
    <w:p>
      <w:pPr>
        <w:spacing w:after="0" w:line="207"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Long-Term Borrowings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substantial long-term borrowings, which could adversely affect our cash flow, financial condition and business.</w:t>
      </w:r>
    </w:p>
    <w:p>
      <w:pPr>
        <w:spacing w:after="0" w:line="223"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As of December 25, 2022, we had approximately $250.2 million of long-term borrowings outstanding, which is net of $1.0 million of unamortized debt issuance costs. As a result of this indebtedness, our interest payment obligations are significant, and are subject to fluctuate as the interest rate is floating with SOFR (the “Secured Overnight Financing Rate”). The degree to which we are leveraged could have adverse effects on our business, including the following:</w:t>
      </w:r>
    </w:p>
    <w:p>
      <w:pPr>
        <w:spacing w:after="0" w:line="165" w:lineRule="exact"/>
        <w:rPr>
          <w:sz w:val="20"/>
          <w:szCs w:val="20"/>
          <w:color w:val="auto"/>
        </w:rPr>
      </w:pP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limit our flexibility in planning for, or reacting to, changes in our business and the industries in which we operate;</w:t>
      </w:r>
    </w:p>
    <w:p>
      <w:pPr>
        <w:spacing w:after="0" w:line="27" w:lineRule="exact"/>
        <w:rPr>
          <w:rFonts w:ascii="Times New Roman" w:cs="Times New Roman" w:eastAsia="Times New Roman" w:hAnsi="Times New Roman"/>
          <w:sz w:val="17"/>
          <w:szCs w:val="17"/>
          <w:color w:val="auto"/>
        </w:rPr>
      </w:pPr>
    </w:p>
    <w:p>
      <w:pPr>
        <w:ind w:left="1240" w:right="520" w:hanging="309"/>
        <w:spacing w:after="0" w:line="253"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restrict us from making strategic acquisitions or exploiting business opportunities;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place us at a competitive disadvantage compared to our competitors that have less debt;</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limit our ability to borrow additional funds;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decrease our ability to compete effectively or operate successfully under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 w:name="page38"/>
    <w:bookmarkEnd w:id="37"/>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Our level of long-term borrowings increases the risk that we may default on our debt obligations. We may be unable to generate sufficient cash flow to pay the interest on our debt and to make the scheduled mandatory quarterly payments.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75"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If the amounts outstanding under any of our indebtedness were to be accelerated, our assets may not be sufficient to repay in full the money owed to the lenders or to our other debt 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and our subsidiaries may incur more debt, which may increase the risks associated with our leverage, including our ability to service our indebtedness.</w:t>
      </w:r>
    </w:p>
    <w:p>
      <w:pPr>
        <w:spacing w:after="0" w:line="223"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agreements governing our debt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credit metrics or macroeconomic conditions may affect our liquidity, increasing borrowing costs and limiting our financing options.</w:t>
      </w:r>
    </w:p>
    <w:p>
      <w:pPr>
        <w:spacing w:after="0" w:line="21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Macroeconomic conditions, such as increased volatility or disruption in the credit markets, the current high levels of inflation and rising interest rates, could adversely affect our ability to refinance existing debt or obtain additional financing at terms satisfactory to us, thereby affecting our resources to support operations or to fund new initiatives. In addition, if our credit metrics decline,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208"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46"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As of December 25, 2022, approximately 11% of our consolidated assets, based on book value, and 14% of our consolidated revenues for the year ended December 25, 2022, were held by foreign subsidiaries, which do not guarantee our indebtedness.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6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6"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Credit Agreement subjects us, and our subsidiaries, to several financial and other restrictive covenants, including limitations on liens or indebtedness, payment of dividends, transactions with affiliates, and mergers, sales or other dispositions of our assets.</w:t>
      </w:r>
    </w:p>
    <w:p>
      <w:pPr>
        <w:spacing w:after="0" w:line="16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Our Credit Agreement also requires us to comply with specified financial ratios, including a Total Net Leverage Ratio (as defined in the Credit Agreement) and an Interest Coverage Ratio (as defined in the Credit Agreement) which are required to be maintained until all amounts outstanding have been paid in full and all letters of credit have expired or have been terminated under the Credit Agreement.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8" w:name="page39"/>
    <w:bookmarkEnd w:id="38"/>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The restrictions contained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159"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discontinuance of LIBOR and the replacement of LIBOR with an alternative reference rate may adversely affect our borrowing costs and could impact our business and results of operations.</w:t>
      </w:r>
    </w:p>
    <w:p>
      <w:pPr>
        <w:spacing w:after="0" w:line="146"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Interest rates under our Credit Agreement are based partly on Term SOFR. Interest rates under any other loan or commercial agreements may be based partly on LIBOR, the London interbank offered rate, which is the basic rate of interest used in lending between banks on the London interbank market and is widely used as a reference for setting the interest rate on loans globally. On July 27, 2017, the United Kingdom’s Financial Conduct Authority (“FCA”), which regulates LIBOR, announced that it intends to phase out LIBOR by the end of 2021. The FCA and LIBOR’s administrator, ICE Benchmark Administration, have since announced that most LIBOR settings will no longer be published after the end of 2021 but that the most widely used U.S. dollar LIBOR settings (i.e., rates for the calculation of one, three and six month LIBOR) will continue to be published until June 30, 2023. It is unclear whether new methods of calculating LIBOR for such periods will be established such that they continue to exist after June 30, 2023. It is not possible to predict the effect of these changes, other reforms or the establishment of alternative reference rates in the United States or elsewhere. If the method for calculation of LIBOR changes, if LIBOR is no longer available, or if lenders have increased costs due to changes in LIBOR, we may suffer from potential increases in interest rates under agreements that utilize LIBOR. Further, we may need to renegotiate any agreements that utilize LIBOR as a factor in determining the interest rate to replace LIBOR with the new standard that is established. If a contract is not transitioned to an alternative variable rate and LIBOR is discontinued, the impact is likely to vary by contract.</w:t>
      </w:r>
    </w:p>
    <w:p>
      <w:pPr>
        <w:spacing w:after="0" w:line="20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Our usage of Term SOFR may also expose us to additional risks due to SOFR’s limited market history and our limited experience using SOFR as a reference rate. SOFR is a relatively new reference rate, as the publication of SOFR began in April 2019, and, therefore, it has a very limited history. The future performance of Term SOFR cannot be predicted based on the limited historical performance. Since the initial publication of SOFR, changes in SOFR have, on occasion, been more volatile than changes in other benchmark or market rates, such as USD- LIBOR. As a result, the amount of interest we may pay on our Credit Agreement is difficult to predict. Furthermore, we and other market participants have less experience understanding and modeling SOFR-based assets and liabilities than LIBOR-based assets and liabilities, increasing the difficulty of investing, hedging, and risk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protect our intellectual property rights.</w:t>
      </w:r>
    </w:p>
    <w:p>
      <w:pPr>
        <w:spacing w:after="0" w:line="22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of trade secrets could cause harm to our business.</w:t>
      </w:r>
    </w:p>
    <w:p>
      <w:pPr>
        <w:spacing w:after="0" w:line="223"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harmed by intellectual property infringement claims.</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Environmental and Legal Issues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comply with complex procurement laws and regulations could cause us to lose business and subject us to a variety of penalties.</w:t>
      </w:r>
    </w:p>
    <w:p>
      <w:pPr>
        <w:spacing w:after="0" w:line="223"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7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46"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76"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ability to invoice and receive timely payment on contracts, perform contracts or compete for contracts with the U.S. Government.</w:t>
      </w:r>
    </w:p>
    <w:p>
      <w:pPr>
        <w:spacing w:after="0" w:line="23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have submitted incurred cost claims through fiscal year 2021. Most of our entities have either had a DCAA audit of incurred costs through fiscal year 2021, or have Government approved final rate agreements through fiscal year 2021. Although we have recorded contract revenues based upon costs that we believe will be approved upon final audit or review, we do not know the outcome of any ongoing or future audits or reviews and, if future adjustments exceed our estimates, our profitability would be adversely affected.</w:t>
      </w:r>
    </w:p>
    <w:p>
      <w:pPr>
        <w:spacing w:after="0" w:line="204"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or others acting on our behalf may engage in misconduct or other improper activities, which could cause us to lose contracts or cause us to incur costs.</w:t>
      </w:r>
    </w:p>
    <w:p>
      <w:pPr>
        <w:spacing w:after="0" w:line="17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79" w:lineRule="exact"/>
        <w:rPr>
          <w:sz w:val="20"/>
          <w:szCs w:val="20"/>
          <w:color w:val="auto"/>
        </w:rPr>
      </w:pPr>
    </w:p>
    <w:p>
      <w:pPr>
        <w:ind w:right="140" w:firstLine="169"/>
        <w:spacing w:after="0" w:line="261" w:lineRule="auto"/>
        <w:rPr>
          <w:sz w:val="20"/>
          <w:szCs w:val="20"/>
          <w:color w:val="auto"/>
        </w:rPr>
      </w:pPr>
      <w:r>
        <w:rPr>
          <w:rFonts w:ascii="Times New Roman" w:cs="Times New Roman" w:eastAsia="Times New Roman" w:hAnsi="Times New Roman"/>
          <w:sz w:val="17"/>
          <w:szCs w:val="17"/>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194"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46" w:lineRule="exact"/>
        <w:rPr>
          <w:sz w:val="20"/>
          <w:szCs w:val="20"/>
          <w:color w:val="auto"/>
        </w:rPr>
      </w:pPr>
    </w:p>
    <w:p>
      <w:pPr>
        <w:ind w:right="180" w:firstLine="619"/>
        <w:spacing w:after="0" w:line="257" w:lineRule="auto"/>
        <w:rPr>
          <w:sz w:val="20"/>
          <w:szCs w:val="20"/>
          <w:color w:val="auto"/>
        </w:rPr>
      </w:pPr>
      <w:r>
        <w:rPr>
          <w:rFonts w:ascii="Times New Roman" w:cs="Times New Roman" w:eastAsia="Times New Roman" w:hAnsi="Times New Roman"/>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76"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 w:name="page42"/>
    <w:bookmarkEnd w:id="41"/>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72"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199"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8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2"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Natural disasters or severe weather conditions could disrupt our business and result in loss of revenue or higher expenses.</w:t>
      </w:r>
    </w:p>
    <w:p>
      <w:pPr>
        <w:spacing w:after="0" w:line="223"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contracts with the U.S. Government are classified, which may limit investor insight into portions of our business.</w:t>
      </w:r>
    </w:p>
    <w:p>
      <w:pPr>
        <w:spacing w:after="0" w:line="223"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any cash dividends or buyback any Kratos stock for the foreseeable future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and buyback Kratos stock is restricted by our Credit Agreement. Any determination to pay dividends or stock buybacks in the future will be at the discretion of our board of directors and will be dependent upon our future financial condition, results of operations and capital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requirements, general business conditions and other relevant factors as determined by our board of directors. See “Dividend Policy.”</w:t>
      </w:r>
    </w:p>
    <w:p>
      <w:pPr>
        <w:spacing w:after="0" w:line="237"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72"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91" w:lineRule="exact"/>
        <w:rPr>
          <w:sz w:val="20"/>
          <w:szCs w:val="20"/>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stockholders to call a special meeting;</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regarding how stockholders may present proposals or nominate directors for election at stockholder meetings;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of directors to issue preferred stock without stockholder approval;</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super-majority requirement to amend our certificate of incorporation or bylaws;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directors, and not stockholders, to fill vacancies on our board of directors.</w:t>
      </w:r>
    </w:p>
    <w:p>
      <w:pPr>
        <w:spacing w:after="0" w:line="226"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Delaware law also imposes some restrictions on mergers and other business combinations between us and any holder of 15% or more of our outstanding common stock.</w:t>
      </w:r>
    </w:p>
    <w:p>
      <w:pPr>
        <w:spacing w:after="0" w:line="177"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w:t>
      </w:r>
    </w:p>
    <w:p>
      <w:pPr>
        <w:spacing w:after="0" w:line="24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price of our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 short selling of our common stock;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of ownership in us may be diluted in the future.</w:t>
      </w:r>
    </w:p>
    <w:p>
      <w:pPr>
        <w:spacing w:after="0" w:line="249"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could cause the market price for our common stock to decline.</w:t>
      </w:r>
    </w:p>
    <w:p>
      <w:pPr>
        <w:spacing w:after="0" w:line="249"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13" w:right="399" w:bottom="1440" w:gutter="0" w:footer="0" w:header="0"/>
        </w:sectPr>
      </w:pPr>
    </w:p>
    <w:bookmarkStart w:id="43" w:name="page44"/>
    <w:bookmarkEnd w:id="43"/>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91" w:lineRule="exact"/>
        <w:rPr>
          <w:sz w:val="20"/>
          <w:szCs w:val="20"/>
          <w:color w:val="auto"/>
        </w:rPr>
      </w:pPr>
    </w:p>
    <w:p>
      <w:pPr>
        <w:ind w:right="2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we may not be able to accurately report our financial results or prevent fraud.</w:t>
      </w:r>
    </w:p>
    <w:p>
      <w:pPr>
        <w:spacing w:after="0" w:line="172"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25, 2022.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7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Litigation may distract us from operating our business, and adverse judgments or settlements could adversely affect our financial results and operations.</w:t>
      </w:r>
    </w:p>
    <w:p>
      <w:pPr>
        <w:spacing w:after="0" w:line="172"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 of the Notes to Consolidated Financial Statements contained within this Annual Report for a further discussion of our legal proceedings.</w:t>
      </w:r>
    </w:p>
    <w:p>
      <w:pPr>
        <w:spacing w:after="0" w:line="191"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our stock price and any trading volume could decline.</w:t>
      </w:r>
    </w:p>
    <w:p>
      <w:pPr>
        <w:spacing w:after="0" w:line="17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trading market for our securities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9"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At December 25, 2022, we owned or leased approximately 2.0 million square feet of floor space at 59 separate locations, primarily in the U.S., for manufacturing, warehousing, research and development, administration and various other uses. At December 25, 2022, we also leased approximately 103 acres of land, which included 98 acres in Ontario, Canada which is used by our Kratos ASC Signal business.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major operations at the following locations:</w:t>
      </w:r>
    </w:p>
    <w:p>
      <w:pPr>
        <w:spacing w:after="0" w:line="136" w:lineRule="exact"/>
        <w:rPr>
          <w:sz w:val="20"/>
          <w:szCs w:val="20"/>
          <w:color w:val="auto"/>
        </w:rPr>
      </w:pPr>
    </w:p>
    <w:p>
      <w:pPr>
        <w:ind w:right="440"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Kratos Government Solutions</w:t>
      </w:r>
      <w:r>
        <w:rPr>
          <w:rFonts w:ascii="Times New Roman" w:cs="Times New Roman" w:eastAsia="Times New Roman" w:hAnsi="Times New Roman"/>
          <w:sz w:val="17"/>
          <w:szCs w:val="17"/>
          <w:color w:val="auto"/>
        </w:rPr>
        <w:t>: Birmingham and Huntsville, AL; San Diego and San Jose, CA; Colorado Springs and Englewood, CO; Jupiter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Orlando, FL; Baltimore and Lanham, MD; Bristow, OK; Dallastown, PA; Plano, TX; and Alexandria and Chantilly, VA. Locations outside the U.S. include Australia, Canada, France, Germany, Israel, Norway, and the United Kingdom.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 w:name="page45"/>
    <w:bookmarkEnd w:id="44"/>
    <w:p>
      <w:pPr>
        <w:ind w:right="640" w:firstLine="619"/>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Unmanned Systems: </w:t>
      </w:r>
      <w:r>
        <w:rPr>
          <w:rFonts w:ascii="Times New Roman" w:cs="Times New Roman" w:eastAsia="Times New Roman" w:hAnsi="Times New Roman"/>
          <w:sz w:val="17"/>
          <w:szCs w:val="17"/>
          <w:color w:val="auto"/>
        </w:rPr>
        <w:t>Huntsville, AL; McClellan, Roseville and Sacramento, CA; Fort Walton Beach, FL, Oxford, MI; Oklahoma City, OK;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Arlington and Round Rock, TX.</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Corporate and other locations</w:t>
      </w:r>
      <w:r>
        <w:rPr>
          <w:rFonts w:ascii="Times New Roman" w:cs="Times New Roman" w:eastAsia="Times New Roman" w:hAnsi="Times New Roman"/>
          <w:sz w:val="17"/>
          <w:szCs w:val="17"/>
          <w:color w:val="auto"/>
        </w:rPr>
        <w:t>: San Diego, CA and Round Rock, TX.</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our floor space at December 25, 2022:</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Square feet (in thousands)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8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w:t>
            </w:r>
          </w:p>
        </w:tc>
      </w:tr>
      <w:tr>
        <w:trPr>
          <w:trHeight w:val="21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(includes San Diego, operations of KGS and US segments)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2"/>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w:t>
            </w: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of the Notes to Consolidated Financial Statements contained within this Annual Report for information regarding commitments under leases.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Note 15 of the Notes to Consolidated Financial Statements contained within this Annual Report for a discussion of our legal proceedings.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and is traded under the symbol “KTOS”.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17, 2023, there were 315 shareholders of record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47"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our Credit Agreement,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17" w:lineRule="exact"/>
        <w:rPr>
          <w:sz w:val="20"/>
          <w:szCs w:val="20"/>
          <w:color w:val="auto"/>
        </w:rPr>
      </w:pPr>
    </w:p>
    <w:p>
      <w:pPr>
        <w:ind w:right="12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4"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following performance graph presents a comparison of the five year cumulative stockholder return on our common stock against the cumulative total return of a broad equity market index, the Russell 2000 Stock Index, and one customized peer group consisting of the companies listed below, for the period commencing December 31, 2017 and ending December 31, 2022. The performance graph assumes an initial investment of $100 in our common stock and in each of the Russell 2000 Stock Index and the peer group, and further assumes that all dividends were reinvested and all returns are market-cap weighted. The historical information set forth below is not necessarily indicative of future stock price performance.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COMPARISON OF 5 YEAR CUMULATIVE TOTAL RETURN*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Among Kratos Defense &amp; Security Solutions, Inc., the Russell 2000 Index,</w:t>
      </w:r>
    </w:p>
    <w:p>
      <w:pPr>
        <w:jc w:val="center"/>
        <w:ind w:right="-59"/>
        <w:spacing w:after="0"/>
        <w:rPr>
          <w:sz w:val="20"/>
          <w:szCs w:val="20"/>
          <w:color w:val="auto"/>
        </w:rPr>
      </w:pPr>
      <w:r>
        <w:rPr>
          <w:rFonts w:ascii="Arial" w:cs="Arial" w:eastAsia="Arial" w:hAnsi="Arial"/>
          <w:sz w:val="12"/>
          <w:szCs w:val="12"/>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120650</wp:posOffset>
            </wp:positionV>
            <wp:extent cx="4789170" cy="3151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8917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*$100 invested on 12/31/17 in stock or index, including reinvestment of dividends.</w:t>
      </w:r>
    </w:p>
    <w:p>
      <w:pPr>
        <w:ind w:left="258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366" w:lineRule="exact"/>
        <w:rPr>
          <w:sz w:val="20"/>
          <w:szCs w:val="20"/>
          <w:color w:val="auto"/>
        </w:rPr>
      </w:pPr>
    </w:p>
    <w:p>
      <w:pPr>
        <w:ind w:left="320" w:right="1300"/>
        <w:spacing w:after="0" w:line="287" w:lineRule="auto"/>
        <w:rPr>
          <w:sz w:val="20"/>
          <w:szCs w:val="20"/>
          <w:color w:val="auto"/>
        </w:rPr>
      </w:pPr>
      <w:r>
        <w:rPr>
          <w:rFonts w:ascii="Times New Roman" w:cs="Times New Roman" w:eastAsia="Times New Roman" w:hAnsi="Times New Roman"/>
          <w:sz w:val="17"/>
          <w:szCs w:val="17"/>
          <w:color w:val="auto"/>
        </w:rPr>
        <w:t>The companies included in the Company’s Peer Group are: AAR Corp., Aerojet Rocketdyne Holdings, Inc., AeroVironment Inc., Comtech Telecommunications Corp., CPI Aerostructures Inc., Ducommun Inc., Frequency Electronics Inc., and Mercury Systems Inc.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6" w:lineRule="exact"/>
        <w:rPr>
          <w:sz w:val="20"/>
          <w:szCs w:val="20"/>
          <w:color w:val="auto"/>
        </w:rPr>
      </w:pPr>
    </w:p>
    <w:p>
      <w:pPr>
        <w:ind w:right="34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75"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17"/>
          <w:szCs w:val="17"/>
          <w:color w:val="auto"/>
        </w:rPr>
        <w:t>Kratos is a technology company addressing the defense, National Security and commercial markets. Kratos is recognized as a leading technology, intellectual property, proprietary product and system company and recognized as an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w:t>
      </w:r>
    </w:p>
    <w:p>
      <w:pPr>
        <w:spacing w:after="0" w:line="200"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We believe that our technology, intellectual property, proprietary products, reputation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facilities and sites, or in secure manufacturing and other facilities. Our primary end customers are National Security related agencies and large national and global commercial enterprises and entities. Our entire organization is focused on executing our strategy of being the leading technology and intellectual property based product and system company and being “first to market” in each of our industry leading core competency areas.</w:t>
      </w:r>
    </w:p>
    <w:p>
      <w:pPr>
        <w:spacing w:after="0" w:line="20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Our primary end customers are U.S. Government agencies, including the DoD, intelligence agencies, and other national and homeland security related agencies. We also conduct business with local, state and foreign governments and domestic and international commercial customers. In fiscal 2022, 2021 and 2020, we generated 69%, 70% and 73%, respectively, of our total revenues from contracts with the U.S. Government (including all branches of the U.S. military and including FMS),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Industry Background</w:t>
      </w:r>
    </w:p>
    <w:p>
      <w:pPr>
        <w:spacing w:after="0" w:line="236" w:lineRule="exact"/>
        <w:rPr>
          <w:sz w:val="20"/>
          <w:szCs w:val="20"/>
          <w:color w:val="auto"/>
        </w:rPr>
      </w:pPr>
    </w:p>
    <w:p>
      <w:pPr>
        <w:ind w:right="120" w:firstLine="619"/>
        <w:spacing w:after="0" w:line="243" w:lineRule="auto"/>
        <w:rPr>
          <w:sz w:val="20"/>
          <w:szCs w:val="20"/>
          <w:color w:val="auto"/>
        </w:rPr>
      </w:pPr>
      <w:r>
        <w:rPr>
          <w:rFonts w:ascii="Times New Roman" w:cs="Times New Roman" w:eastAsia="Times New Roman" w:hAnsi="Times New Roman"/>
          <w:sz w:val="17"/>
          <w:szCs w:val="17"/>
          <w:color w:val="auto"/>
        </w:rPr>
        <w:t>On December 29, 2022, President Biden signed into law the Consolidated Appropriations Act of 2023, a $1.7 trillion spending bill funding the U.S. federal budget for the 2023 fiscal year. The funding bill includes a $775.2 billion appropriation for domestic initiatives, a roughly 6% increase in spending for domestic initiatives from the 2022 fiscal year. Spending on defense programs increased by about 10% to $858 billion. The bill includes approximately $45 billion for Ukraine and NATO allies. On January 19, 2023, the U.S. reached its $31.4 trillion debt ceiling and, as a result, the U.S. Treasury Department began taking extraordinary special measures to maintain the payment of the U.S. Government’s bills. These actions, which include suspending investments for certain government accounts, are expected to allow the Treasury to keep paying obligations to bondholders, Social Security recipients and others until at least early June 2023.</w:t>
      </w:r>
    </w:p>
    <w:p>
      <w:pPr>
        <w:spacing w:after="0" w:line="200" w:lineRule="exact"/>
        <w:rPr>
          <w:sz w:val="20"/>
          <w:szCs w:val="20"/>
          <w:color w:val="auto"/>
        </w:rPr>
      </w:pPr>
    </w:p>
    <w:p>
      <w:pPr>
        <w:ind w:right="580" w:firstLine="619"/>
        <w:spacing w:after="0" w:line="271" w:lineRule="auto"/>
        <w:rPr>
          <w:sz w:val="20"/>
          <w:szCs w:val="20"/>
          <w:color w:val="auto"/>
        </w:rPr>
      </w:pPr>
      <w:r>
        <w:rPr>
          <w:rFonts w:ascii="Times New Roman" w:cs="Times New Roman" w:eastAsia="Times New Roman" w:hAnsi="Times New Roman"/>
          <w:sz w:val="17"/>
          <w:szCs w:val="17"/>
          <w:color w:val="auto"/>
        </w:rPr>
        <w:t>The current budget environment, including COVID-19 expenditures, Ukraine funding support, heightened levels of inflation, related supply chain disruptions and uncertainty surrounding the debt ceiling and the appropriations process, creates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7" w:name="page48"/>
    <w:bookmarkEnd w:id="47"/>
    <w:p>
      <w:pPr>
        <w:ind w:right="220"/>
        <w:spacing w:after="0" w:line="271" w:lineRule="auto"/>
        <w:rPr>
          <w:sz w:val="20"/>
          <w:szCs w:val="20"/>
          <w:color w:val="auto"/>
        </w:rPr>
      </w:pPr>
      <w:r>
        <w:rPr>
          <w:rFonts w:ascii="Times New Roman" w:cs="Times New Roman" w:eastAsia="Times New Roman" w:hAnsi="Times New Roman"/>
          <w:sz w:val="17"/>
          <w:szCs w:val="17"/>
          <w:color w:val="auto"/>
        </w:rPr>
        <w:t>significant short and long-term risks. Additionally, with the recent change of party in Congress, considerable uncertainty exists regarding how future budget and program decisions will unfold, including the defense spending priorities of the Biden administration and Congress.</w:t>
      </w:r>
    </w:p>
    <w:p>
      <w:pPr>
        <w:spacing w:after="0" w:line="177"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believe any continued budget pressures, CRAs or U.S. Government shutdowns could have serious negative consequences for the security of our country and the defense industrial base, including the Company and the customers, employees, suppliers, investors, and communities that rely on companies in the defense industrial base. It is likely that budget and program decisions made in such an uncertain environment would have long-term implications for our Company and the entire defense industry.</w:t>
      </w:r>
    </w:p>
    <w:p>
      <w:pPr>
        <w:spacing w:after="0" w:line="198"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We believe that our business is well-positioned in areas that the DoD and other customers indicate are priorities for future defense spending. However, due to federal budgetary uncertainty, CRAs, the BCA or similar budgetary restrictions or limitations, other defense spending cuts, including the budgetary impacts of ongoing COVID-19 spending and support for the conflict in Ukraine, challenges in the appropriations process, the debt ceiling and the ongoing fiscal debates, the short and long term impacts to our business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4"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The nature of our operations exposes us to risks associated with pandemics, epidemics or other public health emergencies, such as the outbreak of COVID-19. We are a company operating in a “critical infrastructure industry”, as defined by the U.S. Department of Homeland Security. Consistent with federal guidelines and with state and local orders to date, we have continued to operate our business, including our international operations. COVID-19 has had negative impacts on, and continues to impact, certain of our operations, workforce, supply chain, vendors, transportation networks and customers, which have reduced certain of our sales and our margins, including as a result of preventative and precautionary measures that we, our suppliers, other businesses and governments have taken. The COVID-19 outbreak is a widespread public health crisis that is adversely affecting the economies and financial markets globally. Any resulting economic downturn could adversely affect demand for our products. Any progression of the COVID-19 pandemic could also negatively impact our business or results of operations as global economic activity and the resulting impacts on our business remain uncertain and cannot be predicted with confidence.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06" w:lineRule="exact"/>
        <w:rPr>
          <w:sz w:val="20"/>
          <w:szCs w:val="20"/>
          <w:color w:val="auto"/>
        </w:rPr>
      </w:pPr>
    </w:p>
    <w:p>
      <w:pPr>
        <w:ind w:right="140" w:firstLine="619"/>
        <w:spacing w:after="0" w:line="241" w:lineRule="auto"/>
        <w:rPr>
          <w:sz w:val="20"/>
          <w:szCs w:val="20"/>
          <w:color w:val="auto"/>
        </w:rPr>
      </w:pPr>
      <w:r>
        <w:rPr>
          <w:rFonts w:ascii="Times New Roman" w:cs="Times New Roman" w:eastAsia="Times New Roman" w:hAnsi="Times New Roman"/>
          <w:sz w:val="17"/>
          <w:szCs w:val="17"/>
          <w:color w:val="auto"/>
        </w:rPr>
        <w:t>In addition to the challenges presented by the ongoing COVID-19 pandemic, the Company has also been affected by other unfavorable macroeconomic conditions. Significant adverse supply chain disruptions continue throughout the industry and for the Company, including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 Also, the cost of labor for the Company’s employees and labor base has also increased significantly, and the current challenges in hiring, obtaining and retaining employees is adversely impacting Kratos’ ability to execute its business. There is also a significant industry wide labor shortage, including in the science, technology, engineering, and math discipline areas, and for employees willing and/or able to obtain National Security clearances, including for high level manufacturing and production. In addition, recent actions by the Federal Reserve to increase interest rates have impacted our interest expense on our outstanding debt borrowings. Each of these matters and issues are expected to remain for the foreseeable future and are expected to continue to adversely impact the Company’s operations, financial results and financial forecasts.</w:t>
      </w:r>
    </w:p>
    <w:p>
      <w:pPr>
        <w:spacing w:after="0" w:line="190"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Our Consolidated Financial Statements and Management’s Discussion and Analysis of Financial Condition and Results of Operations reflect estimates and assumptions made by management as of December 25, 2022. Events and changes in circumstances arising after December 25, 2022, including those resulting from the continuing impacts of the current unfavorable macroeconomic climate, will be reflected in management’s estimates for future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Reporting Segments</w:t>
      </w:r>
    </w:p>
    <w:p>
      <w:pPr>
        <w:spacing w:after="0" w:line="249"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operate in two reportable segments. The KGS reportable segment is comprised of an aggregation of KGS operating segments, including its microwave electronic products, space, satellite and cyber, training solutions, C5ISR/modular systems, turbine technologies and defense and rocket support services operating segments. The US reportable segment consists of our unmanned aerial, unmanned ground and unmanned seaborne system products. Our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We organize our operating segments based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8" w:name="page49"/>
    <w:bookmarkEnd w:id="48"/>
    <w:p>
      <w:pPr>
        <w:ind w:right="40"/>
        <w:spacing w:after="0" w:line="262" w:lineRule="auto"/>
        <w:rPr>
          <w:sz w:val="20"/>
          <w:szCs w:val="20"/>
          <w:color w:val="auto"/>
        </w:rPr>
      </w:pPr>
      <w:r>
        <w:rPr>
          <w:rFonts w:ascii="Times New Roman" w:cs="Times New Roman" w:eastAsia="Times New Roman" w:hAnsi="Times New Roman"/>
          <w:sz w:val="17"/>
          <w:szCs w:val="17"/>
          <w:color w:val="auto"/>
        </w:rPr>
        <w:t>primarily on the nature of the products, solutions and services offered. For additional information regarding our reportable segments, see Note 14 of the Notes to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Statement Concepts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25, 2022, we consider the following factors to be important in understanding our financial statements.</w:t>
      </w:r>
    </w:p>
    <w:p>
      <w:pPr>
        <w:spacing w:after="0" w:line="243"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Our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award and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84"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17"/>
          <w:szCs w:val="17"/>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00"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In accordance with ASC 606, we evaluate whether a contract with a customer exists by evaluating a number of criteria including whether collection of consideration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allowances would be required.</w:t>
      </w:r>
    </w:p>
    <w:p>
      <w:pPr>
        <w:spacing w:after="0" w:line="200"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191"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We manage and assess the performance of our businesses based on our performance on individual contracts and programs obtained generally from government organizations.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revenue and cost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Year Ended December 25, 2022 to the Year Ended December 26, 2021</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by reportable segment for the years ended December 25, 2022 and December 26, 2021 are as follows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5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320.0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49.2 %</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356.6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676.6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16.7 %</w:t>
            </w:r>
          </w:p>
        </w:tc>
      </w:tr>
      <w:tr>
        <w:trPr>
          <w:trHeight w:val="19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5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Unmanned Systems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221.7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7"/>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898.3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91"/>
        </w:trPr>
        <w:tc>
          <w:tcPr>
            <w:tcW w:w="5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service revenues</w:t>
            </w:r>
          </w:p>
        </w:tc>
        <w:tc>
          <w:tcPr>
            <w:tcW w:w="8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48.2 %</w:t>
            </w:r>
          </w:p>
        </w:tc>
      </w:tr>
      <w:tr>
        <w:trPr>
          <w:trHeight w:val="21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product sales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573.1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7"/>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898.3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ind w:right="140" w:firstLine="619"/>
        <w:spacing w:after="0"/>
        <w:rPr>
          <w:sz w:val="20"/>
          <w:szCs w:val="20"/>
          <w:color w:val="auto"/>
        </w:rPr>
      </w:pPr>
      <w:r>
        <w:rPr>
          <w:rFonts w:ascii="Times New Roman" w:cs="Times New Roman" w:eastAsia="Times New Roman" w:hAnsi="Times New Roman"/>
          <w:sz w:val="17"/>
          <w:szCs w:val="17"/>
          <w:color w:val="auto"/>
        </w:rPr>
        <w:t>Revenues increased $86.8 million to $898.3 million for the year ended December 25, 2022 from $811.5 million for the year ended December 26, 2021. Revenues in our KGS segment increased $97.0 million primarily due to the contribution of $95.5 million in revenues from the recent acquisitions of Cosmic Advanced Engineered Solutions, Inc. (“Cosmic”), CTT Inc. (“CTT”) and the Southern Research Institute’s Engineering Division (“SRE”), increased revenues in our space, satellite and cyber business of $4.1 million, increases in our defense and rocket support services, turbine technologies and C5ISR businesses of $22.7 million, partially offset by an $21.5 million reduction in our Training Solutions business, resulting primarily from the completion of Training Solutions contracts. Revenues in our US segment decreased $10.2 million primarily due to the timing of program contract awards, which includes a reduction in our tactical drone-based revenues, as compared to the twelve months ended December 26, 2021.</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Product sales decreased $19.0 million to $573.1 million for the year ended December 25, 2022 from $592.1 million for the year ended December 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primarily as a result of decreased production activity in our US segment and reductions in our Training Solutions business. As a percentage of total revenue,</w:t>
      </w:r>
    </w:p>
    <w:p>
      <w:pPr>
        <w:spacing w:after="0" w:line="237" w:lineRule="auto"/>
        <w:rPr>
          <w:sz w:val="20"/>
          <w:szCs w:val="20"/>
          <w:color w:val="auto"/>
        </w:rPr>
      </w:pPr>
      <w:r>
        <w:rPr>
          <w:rFonts w:ascii="Times New Roman" w:cs="Times New Roman" w:eastAsia="Times New Roman" w:hAnsi="Times New Roman"/>
          <w:sz w:val="17"/>
          <w:szCs w:val="17"/>
          <w:color w:val="auto"/>
        </w:rPr>
        <w:t>product sales were 63.8% for the year ended December 25, 2022, as compared to 73.0% for the year ended December 26, 2021. Service revenues increased by</w:t>
      </w:r>
    </w:p>
    <w:p>
      <w:pPr>
        <w:spacing w:after="0" w:line="237" w:lineRule="auto"/>
        <w:rPr>
          <w:sz w:val="20"/>
          <w:szCs w:val="20"/>
          <w:color w:val="auto"/>
        </w:rPr>
      </w:pPr>
      <w:r>
        <w:rPr>
          <w:rFonts w:ascii="Times New Roman" w:cs="Times New Roman" w:eastAsia="Times New Roman" w:hAnsi="Times New Roman"/>
          <w:sz w:val="17"/>
          <w:szCs w:val="17"/>
          <w:color w:val="auto"/>
        </w:rPr>
        <w:t>$105.8 million to $325.2 million for the year ended December 25, 2022, from $219.4 million for the year ended December 26, 2021. The increase was primarily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 of the recent Cosmic and SRE acquisitions.</w:t>
      </w:r>
    </w:p>
    <w:p>
      <w:pPr>
        <w:spacing w:after="0" w:line="221" w:lineRule="exact"/>
        <w:rPr>
          <w:sz w:val="20"/>
          <w:szCs w:val="20"/>
          <w:color w:val="auto"/>
        </w:rPr>
      </w:pPr>
    </w:p>
    <w:p>
      <w:pPr>
        <w:ind w:right="820" w:firstLine="6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Cost of revenues. </w:t>
      </w:r>
      <w:r>
        <w:rPr>
          <w:rFonts w:ascii="Times New Roman" w:cs="Times New Roman" w:eastAsia="Times New Roman" w:hAnsi="Times New Roman"/>
          <w:sz w:val="17"/>
          <w:szCs w:val="17"/>
          <w:color w:val="auto"/>
        </w:rPr>
        <w:t>Cost of revenues increased to $672.3 million for the year ended December 25, 2022, from $586.4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26, 2021. The $85.9 million increase in cost of revenues was primarily a result of the overall increase in revenue discussed above.</w:t>
      </w:r>
    </w:p>
    <w:p>
      <w:pPr>
        <w:spacing w:after="0" w:line="160"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color w:val="auto"/>
        </w:rPr>
        <w:t>Gross margin percentage decreased to 25.2% for the year ended December 25, 2022, compared to 27.7% for the year ended December 26, 2021. Margins on services decreased to 26.5% for the year ended December 25, 2022, from 28.8% for the year ended December 26, 2021, due primarily to a less favorable mix of revenues, primarily in our space, training &amp; cyber business and in our turbine technologies business. Margins on product sales decreased for the year ended December 25, 2022, as compared to December 26, 2021 to 24.4% from 27.3%, respectively, primarily due to a less favorable mix of certain programs with an increase in lower margin developmental programs. Margins in the KGS segment decreased to 26.8% for the year ended December 25, 2022, from 30.3% for the year ended December 26, 2021. This change was due to a less favorable mix of revenues, as well as due to a $4.5 million impact to cost of sales related to certain nonrecoverable costs, including rate and cost growth items, resulting from the inability to hire the required planned direct labor base both internally and by the Company’s subcontractors to execute on its backlog, due to the ongoing challenges in both hiring and retaining skilled manufacturing personnel, which has resulted in an approximately $3.4 million impact to the Company’s C5ISR business, and non-recoverable indirect cost rate growth resulting from a smaller than planned direct labor base due to delays in customer program execution and awards in the Company’s Training Solutions business of approximately $1.1 million. Margins in the US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0" w:name="page51"/>
    <w:bookmarkEnd w:id="50"/>
    <w:p>
      <w:pPr>
        <w:ind w:right="260"/>
        <w:spacing w:after="0" w:line="271" w:lineRule="auto"/>
        <w:rPr>
          <w:sz w:val="20"/>
          <w:szCs w:val="20"/>
          <w:color w:val="auto"/>
        </w:rPr>
      </w:pPr>
      <w:r>
        <w:rPr>
          <w:rFonts w:ascii="Times New Roman" w:cs="Times New Roman" w:eastAsia="Times New Roman" w:hAnsi="Times New Roman"/>
          <w:sz w:val="17"/>
          <w:szCs w:val="17"/>
          <w:color w:val="auto"/>
        </w:rPr>
        <w:t>segment decreased to 20.1% for the year ended December 25, 2022 from 21.4% for the year ended December 26, 2021, primarily due to a less favorable mix of products produced and shipped in the year ended December 25, 2022.</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(SG&amp;A). </w:t>
      </w:r>
      <w:r>
        <w:rPr>
          <w:rFonts w:ascii="Times New Roman" w:cs="Times New Roman" w:eastAsia="Times New Roman" w:hAnsi="Times New Roman"/>
          <w:sz w:val="17"/>
          <w:szCs w:val="17"/>
          <w:color w:val="auto"/>
        </w:rPr>
        <w:t>SG&amp;A increased $22.3 million to $182.5 million for the year ended December 25, 2022,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$160.2 million for the year ended December 26, 2021, primarily reflecting the increase in revenues. As a percentage of revenues, SG&amp;A increased to 20.3% for</w:t>
      </w:r>
    </w:p>
    <w:p>
      <w:pPr>
        <w:spacing w:after="0" w:line="237" w:lineRule="auto"/>
        <w:rPr>
          <w:sz w:val="20"/>
          <w:szCs w:val="20"/>
          <w:color w:val="auto"/>
        </w:rPr>
      </w:pPr>
      <w:r>
        <w:rPr>
          <w:rFonts w:ascii="Times New Roman" w:cs="Times New Roman" w:eastAsia="Times New Roman" w:hAnsi="Times New Roman"/>
          <w:sz w:val="17"/>
          <w:szCs w:val="17"/>
          <w:color w:val="auto"/>
        </w:rPr>
        <w:t>the year ended December 25, 2022 from 19.7% for the year ended December 26, 2021 due primarily to an increase in stock compensation expense from</w:t>
      </w:r>
    </w:p>
    <w:p>
      <w:pPr>
        <w:spacing w:after="0" w:line="237" w:lineRule="auto"/>
        <w:rPr>
          <w:sz w:val="20"/>
          <w:szCs w:val="20"/>
          <w:color w:val="auto"/>
        </w:rPr>
      </w:pPr>
      <w:r>
        <w:rPr>
          <w:rFonts w:ascii="Times New Roman" w:cs="Times New Roman" w:eastAsia="Times New Roman" w:hAnsi="Times New Roman"/>
          <w:sz w:val="17"/>
          <w:szCs w:val="17"/>
          <w:color w:val="auto"/>
        </w:rPr>
        <w:t>$25.8 million in the year ended December 26, 2021 to $26.3 million in the year ended December 25, 2022 as well as increased SG&amp;A expenses related to the</w:t>
      </w:r>
    </w:p>
    <w:p>
      <w:pPr>
        <w:spacing w:after="0" w:line="222" w:lineRule="auto"/>
        <w:rPr>
          <w:sz w:val="20"/>
          <w:szCs w:val="20"/>
          <w:color w:val="auto"/>
        </w:rPr>
      </w:pPr>
      <w:r>
        <w:rPr>
          <w:rFonts w:ascii="Times New Roman" w:cs="Times New Roman" w:eastAsia="Times New Roman" w:hAnsi="Times New Roman"/>
          <w:sz w:val="17"/>
          <w:szCs w:val="17"/>
          <w:color w:val="auto"/>
        </w:rPr>
        <w:t>recent acquisitions of CTT, Cosmic and SRE. In addition, a $1.9 million increase to SG&amp;A is related to the non-recoverable indirect cost rate growth in the</w:t>
      </w:r>
    </w:p>
    <w:p>
      <w:pPr>
        <w:spacing w:after="0" w:line="237" w:lineRule="auto"/>
        <w:rPr>
          <w:sz w:val="20"/>
          <w:szCs w:val="20"/>
          <w:color w:val="auto"/>
        </w:rPr>
      </w:pPr>
      <w:r>
        <w:rPr>
          <w:rFonts w:ascii="Times New Roman" w:cs="Times New Roman" w:eastAsia="Times New Roman" w:hAnsi="Times New Roman"/>
          <w:sz w:val="17"/>
          <w:szCs w:val="17"/>
          <w:color w:val="auto"/>
        </w:rPr>
        <w:t>Company’s Training Solutions business for the twelve months ended December 25, 2022. Amortization expense of purchase intangibles increased from $4.7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for the year ended December 26, 2021 to $7.4 million for the year ended December 25, 2022, reflecting the recent acquisitions.</w:t>
      </w:r>
    </w:p>
    <w:p>
      <w:pPr>
        <w:spacing w:after="0" w:line="208"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(R&amp;D) expenses. </w:t>
      </w:r>
      <w:r>
        <w:rPr>
          <w:rFonts w:ascii="Times New Roman" w:cs="Times New Roman" w:eastAsia="Times New Roman" w:hAnsi="Times New Roman"/>
          <w:sz w:val="17"/>
          <w:szCs w:val="17"/>
          <w:color w:val="auto"/>
        </w:rPr>
        <w:t>R&amp;D expenses were $38.6 million for the year ended December 25, 2022 and $35.2 million for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26, 2021, with the primary increases in expenses in our US segment and our space and satellite business. As a percentage of revenues, R&amp;D remained the same at 4.3% of revenues for the year ended December 25, 2022 and for the year ended December 26, 2021. R&amp;D expenses are made by the Company, typically in conjunction with our customers, for the Company to achieve a “first to market” position with our products or technology. We also invest in R&amp;D expenses to achieve market leading “designed in”and “first to market” positions on major programs, platforms or systems.</w:t>
      </w:r>
    </w:p>
    <w:p>
      <w:pPr>
        <w:spacing w:after="0" w:line="206" w:lineRule="exact"/>
        <w:rPr>
          <w:sz w:val="20"/>
          <w:szCs w:val="20"/>
          <w:color w:val="auto"/>
        </w:rPr>
      </w:pPr>
    </w:p>
    <w:p>
      <w:pPr>
        <w:jc w:val="both"/>
        <w:ind w:right="2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Restructuring expenses and other. </w:t>
      </w:r>
      <w:r>
        <w:rPr>
          <w:rFonts w:ascii="Times New Roman" w:cs="Times New Roman" w:eastAsia="Times New Roman" w:hAnsi="Times New Roman"/>
          <w:sz w:val="17"/>
          <w:szCs w:val="17"/>
          <w:color w:val="auto"/>
        </w:rPr>
        <w:t>Restructuring expenses and other increased to $6.8 million for the year ended December 25, 2022 from $0.0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26, 2021, primarily as a result of the $5.5 million charge related to the litigation settlement of a dispute with an international customer in our US segment.</w:t>
      </w:r>
    </w:p>
    <w:p>
      <w:pPr>
        <w:spacing w:after="0" w:line="17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Other expense, net. </w:t>
      </w:r>
      <w:r>
        <w:rPr>
          <w:rFonts w:ascii="Times New Roman" w:cs="Times New Roman" w:eastAsia="Times New Roman" w:hAnsi="Times New Roman"/>
          <w:sz w:val="17"/>
          <w:szCs w:val="17"/>
          <w:color w:val="auto"/>
        </w:rPr>
        <w:t>Other expense, net, increased to $30.1 million from $23.5 million for the years ended December 25, 2022 and December 26,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increase in expense of $6.6 million was primarily related to the $13.0 million loss on the extinguishment of our $300 million 6.5% Senior Secured Notes due November 2025 (“Senior Secured Notes”) which was partially offset by a reduction in interest expense of $5.4 million as a result of the reduced rate on our new debt.</w:t>
      </w:r>
    </w:p>
    <w:p>
      <w:pPr>
        <w:spacing w:after="0" w:line="191" w:lineRule="exact"/>
        <w:rPr>
          <w:sz w:val="20"/>
          <w:szCs w:val="20"/>
          <w:color w:val="auto"/>
        </w:rPr>
      </w:pPr>
    </w:p>
    <w:p>
      <w:pPr>
        <w:ind w:right="100" w:firstLine="172"/>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from continuing operations. </w:t>
      </w:r>
      <w:r>
        <w:rPr>
          <w:rFonts w:ascii="Times New Roman" w:cs="Times New Roman" w:eastAsia="Times New Roman" w:hAnsi="Times New Roman"/>
          <w:sz w:val="17"/>
          <w:szCs w:val="17"/>
          <w:color w:val="auto"/>
        </w:rPr>
        <w:t>The Company recorded an income tax provision of $1.4 million for the year ended December 25,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an income tax provision of $3.9 million for the year ended December 26, 2021. The income tax provision for 2022 includes a $4.9 million expense related to the increase in the Company’s valuation allowance on U.S. deferred tax assets related to certain state net operating losses and federal research and development credits.</w:t>
      </w:r>
    </w:p>
    <w:p>
      <w:pPr>
        <w:spacing w:after="0" w:line="194"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Income (loss) from discontinued operations. </w:t>
      </w:r>
      <w:r>
        <w:rPr>
          <w:rFonts w:ascii="Times New Roman" w:cs="Times New Roman" w:eastAsia="Times New Roman" w:hAnsi="Times New Roman"/>
          <w:sz w:val="17"/>
          <w:szCs w:val="17"/>
          <w:color w:val="auto"/>
        </w:rPr>
        <w:t>The income from discontinued operations was $0.9 million for the year ended December 25, 2022,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result of a gain from the release of an indemnification liability due to the lapse of the statute of limitations associated with a potential tax liability that was recorded in 2019 from the sale of PSS. The loss from discontinued operations was $2.1 million for the year ended December 26, 2021, primarily reflecting the final settlement of the closing net working capital dispute with the Buyer of the PSS business and related legal expenses, as well as work performed in relation to outstanding tasks on legacy projects retained by us following the sale of the PSS business.</w:t>
      </w:r>
    </w:p>
    <w:p>
      <w:pPr>
        <w:spacing w:after="0" w:line="210"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For a comparison of the Company’s results of operations for the fiscal year ended December 27, 2020 to the fiscal year ended December 26, 2021, see Item 7, Management’s Discussion and Analysis of Financial Condition and Results of Operations in the Company’s Annual Report on Form 10-K for the year ended December 26, 2021, which was filed with the U.S. Securities and Exchange Commission on February 22,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ind w:right="500" w:firstLine="619"/>
        <w:spacing w:after="0" w:line="261" w:lineRule="auto"/>
        <w:rPr>
          <w:sz w:val="20"/>
          <w:szCs w:val="20"/>
          <w:color w:val="auto"/>
        </w:rPr>
      </w:pPr>
      <w:r>
        <w:rPr>
          <w:rFonts w:ascii="Times New Roman" w:cs="Times New Roman" w:eastAsia="Times New Roman" w:hAnsi="Times New Roman"/>
          <w:sz w:val="17"/>
          <w:szCs w:val="17"/>
          <w:color w:val="auto"/>
        </w:rPr>
        <w:t>As of December 25, 2022, we had cash and cash equivalents of $81.3 million compared with cash and cash equivalents of $349.4 million as of December 26, 2021, which includes $18.9 million and $29.4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88"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Our total debt, decreased by $39.2 million to $257.5 million as of December 25, 2022 from $296.7 million as of December 26, 2021. Under the New Credit Facility, on February 18, 2022, we completed the refinancing of our outstanding $90 million revolving credit facility and $300 million of Senior Secured Notes, with a new 5-year $200 million Revolving Credit Facility and 5-year $200 million Term Loan A. We incurred debt issuance costs of $3.3 million associated with the New Credit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1" w:name="page52"/>
    <w:bookmarkEnd w:id="51"/>
    <w:p>
      <w:pPr>
        <w:ind w:right="560"/>
        <w:spacing w:after="0" w:line="271" w:lineRule="auto"/>
        <w:rPr>
          <w:sz w:val="20"/>
          <w:szCs w:val="20"/>
          <w:color w:val="auto"/>
        </w:rPr>
      </w:pPr>
      <w:r>
        <w:rPr>
          <w:rFonts w:ascii="Times New Roman" w:cs="Times New Roman" w:eastAsia="Times New Roman" w:hAnsi="Times New Roman"/>
          <w:sz w:val="17"/>
          <w:szCs w:val="17"/>
          <w:color w:val="auto"/>
        </w:rPr>
        <w:t>Facility. We drew approximately $200 million under the Term Loan A and $100 million on the new Revolving Credit Facility at the time of the refinancing transaction (as more fully described in Note 10 of the accompanying Condensed Consolidated Financial Statements).</w:t>
      </w:r>
    </w:p>
    <w:p>
      <w:pPr>
        <w:spacing w:after="0" w:line="19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0"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As of December 25, 2022, we have $197.5 million outstanding on the Term Loan A and net borrowings of $60 million outstanding on the Revolving Credit Facility, with $140 million remaining in borrowing capacity, less approximately $10 million for outstanding letters of credit.</w:t>
      </w:r>
    </w:p>
    <w:p>
      <w:pPr>
        <w:spacing w:after="0" w:line="177"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use our operating cash flow to finance trade accounts receivable, fund necessary increases in inventory and internal investments related to non-recurring engineering and software development, fund capital expenditures, fund our IR&amp;D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certain of which are not achieved until final shipment and acceptance of our products.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increased to 134 days as of December 25, 2022 from 128 days as of December 26, 2021.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01"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However, we will not be able to collect the total withheld amounts until the settlement terms of the T for C have been negotiated and agreed to with the customer. At December 25, 2022, approximately $4.8 million in unbilled receivables remain outstanding on this project.</w:t>
      </w:r>
    </w:p>
    <w:p>
      <w:pPr>
        <w:spacing w:after="0" w:line="196"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were also in dispute with an international customer in the Unmanned Systems (US) segment concerning the completion of certain system requirements and certain contractual milestones related to a contract we acquired with the acquisition of CEi in 2012. On June 30, 2022, the parties entered into a settlement agreement to resolve their dispute and to settle all claims and counterclaims, and are currently in the process of implementing the terms of the settlement agreement. In accordance with the terms of the settlement, we recorded a $5.5 million litigation settlement charge which is included in restructuring expenses and other in the year ended December 25, 2022, with a remaining $5.6 million carrying value of assets on the balance sheet in inventory as of December 25, 2022. For the year ended December 25, 2022, the Company paid approximately $3.7 million related to the settlement agreement.</w:t>
      </w:r>
    </w:p>
    <w:p>
      <w:pPr>
        <w:spacing w:after="0" w:line="196"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A summary of our net cash provided by (used in) operating activities from continuing operations from our Consolidated Statements of Cash Flows is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4"/>
          </w:tcPr>
          <w:p>
            <w:pPr>
              <w:jc w:val="right"/>
              <w:ind w:right="124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80" w:type="dxa"/>
            <w:vAlign w:val="bottom"/>
          </w:tcPr>
          <w:p>
            <w:pPr>
              <w:spacing w:after="0"/>
              <w:rPr>
                <w:sz w:val="15"/>
                <w:szCs w:val="15"/>
                <w:color w:val="auto"/>
              </w:rPr>
            </w:pPr>
          </w:p>
        </w:tc>
        <w:tc>
          <w:tcPr>
            <w:tcW w:w="14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r>
    </w:tbl>
    <w:p>
      <w:pPr>
        <w:spacing w:after="0" w:line="267"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Our net cash used in operating activities from continuing operations was $25.6 million for the year ended December 25, 2022. Net cash used in operating activities from continuing operations was primarily a result of working capital requirements, including increases in receivables and inventory balances reflecting advance payments to mitigate supply chain disruptions, and internal investments we are making in certain rocket motors and software products of approximately $16.7 million. Net cash provided by operating activities from continuing operations was $35.3 million for the year ended December 26,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2" w:name="page53"/>
    <w:bookmarkEnd w:id="52"/>
    <w:p>
      <w:pPr>
        <w:ind w:left="180"/>
        <w:spacing w:after="0"/>
        <w:rPr>
          <w:sz w:val="20"/>
          <w:szCs w:val="20"/>
          <w:color w:val="auto"/>
        </w:rPr>
      </w:pPr>
      <w:r>
        <w:rPr>
          <w:rFonts w:ascii="Times New Roman" w:cs="Times New Roman" w:eastAsia="Times New Roman" w:hAnsi="Times New Roman"/>
          <w:sz w:val="17"/>
          <w:szCs w:val="17"/>
          <w:color w:val="auto"/>
        </w:rPr>
        <w:t>Our net cash used in investing activities from continuing operations is summarized as follows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4"/>
          </w:tcPr>
          <w:p>
            <w:pPr>
              <w:jc w:val="right"/>
              <w:ind w:right="123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80" w:type="dxa"/>
            <w:vAlign w:val="bottom"/>
          </w:tcPr>
          <w:p>
            <w:pPr>
              <w:spacing w:after="0"/>
              <w:rPr>
                <w:sz w:val="15"/>
                <w:szCs w:val="15"/>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05"/>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9"/>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insurance</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12"/>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 from 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firstLine="172"/>
        <w:spacing w:after="0" w:line="261" w:lineRule="auto"/>
        <w:rPr>
          <w:sz w:val="20"/>
          <w:szCs w:val="20"/>
          <w:color w:val="auto"/>
        </w:rPr>
      </w:pPr>
      <w:r>
        <w:rPr>
          <w:rFonts w:ascii="Times New Roman" w:cs="Times New Roman" w:eastAsia="Times New Roman" w:hAnsi="Times New Roman"/>
          <w:sz w:val="17"/>
          <w:szCs w:val="17"/>
          <w:color w:val="auto"/>
        </w:rPr>
        <w:t>Net cash used in investing activities from continuing operations for year ended December 25, 2022 is comprised of $74.0 million related to the acquisition of the assets of SRE, $37.5 million related to the acquisition of Cosmic, $15.3 million for the remaining purchase price due on the acquisition of CTT, and a $5.4 million</w:t>
      </w:r>
    </w:p>
    <w:p>
      <w:pPr>
        <w:ind w:right="20"/>
        <w:spacing w:after="0" w:line="242" w:lineRule="auto"/>
        <w:rPr>
          <w:sz w:val="20"/>
          <w:szCs w:val="20"/>
          <w:color w:val="auto"/>
        </w:rPr>
      </w:pPr>
      <w:r>
        <w:rPr>
          <w:rFonts w:ascii="Times New Roman" w:cs="Times New Roman" w:eastAsia="Times New Roman" w:hAnsi="Times New Roman"/>
          <w:sz w:val="17"/>
          <w:szCs w:val="17"/>
          <w:color w:val="auto"/>
        </w:rPr>
        <w:t>payment due under the acquisition agreement for KTT Core, of which we purchased a controlling interest in February 2019. Net cash used in investing activities from continuing operations for the year ended December 26, 2021 was comprised of the acquisition of CTT, a payment due under the FTT acquisition agreement, and capital expenditures which consist primarily of investments in machinery, computer hardware and software and improvement of our physical properties in order to maintain suitable conditions in which to conduct our business. The remaining purchase price consideration of the CTT Inc. acquisition of approximately $15.2 million was made on December 30, 2021. During the year ended December 25, 2022, capital expenditures of approximately $24.0 million were incurred in our US business, primarily related to our unmanned combat target initiative. We expect our capital expenditures for our fiscal year 2023 to continue to be significant for investments we are making, including in our US business totaling approximately $22 to $26 million, including approximately $10 to $15 million for capital aerial targets and related support equipment.</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net cash used in financing activities from continuing operations is summarized as follows (in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4"/>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 w:type="dxa"/>
            <w:vAlign w:val="bottom"/>
          </w:tcPr>
          <w:p>
            <w:pPr>
              <w:spacing w:after="0"/>
              <w:rPr>
                <w:sz w:val="15"/>
                <w:szCs w:val="15"/>
                <w:color w:val="auto"/>
              </w:rPr>
            </w:pP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0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credit facility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of Senior Secured Notes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credit facility, term loan and other debt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employee taxes withheld from share-based awards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issuance costs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under finance leases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shares issued under equity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2"/>
        </w:trPr>
        <w:tc>
          <w:tcPr>
            <w:tcW w:w="7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financing activities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Net cash used in financing activities from continuing operations was $63.3 million for the year ended December 25, 2022, which included $309.8 million used to redeem our $300 million of Senior Secured Notes including the call premium of $9.8 million, debt issuance costs of $3.3 million, payroll withholding taxes paid from vested restricted stock traded for taxes of $12.5 million and payments made on financing lease obligations of $1.4 million. These uses were partially offset by $300 million in proceeds from our New Credit Facility (partially offset by $2.5 million of principal payments on our $200 million Term Loan A and a $40 million payment on the new Revolving Credit Facility) and employee stock purchase plan receipts of $6.2 million. Net cash used in financing activities from continuing operations was $9.3 million for the year ended December 26, 2021 and consisted primarily of payroll withholding taxes paid from vested restricted stock units traded for taxes of $9.1 million, and the pay-off of $5.1 million of indebtedness in our Israeli subsidiary which was issued in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3" w:name="page54"/>
    <w:bookmarkEnd w:id="53"/>
    <w:p>
      <w:pPr>
        <w:ind w:left="620"/>
        <w:spacing w:after="0"/>
        <w:rPr>
          <w:sz w:val="20"/>
          <w:szCs w:val="20"/>
          <w:color w:val="auto"/>
        </w:rPr>
      </w:pPr>
      <w:r>
        <w:rPr>
          <w:rFonts w:ascii="Times New Roman" w:cs="Times New Roman" w:eastAsia="Times New Roman" w:hAnsi="Times New Roman"/>
          <w:sz w:val="17"/>
          <w:szCs w:val="17"/>
          <w:color w:val="auto"/>
        </w:rPr>
        <w:t>The net operating cash flows of discontinued operations is summarized as follows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4"/>
          </w:tcPr>
          <w:p>
            <w:pPr>
              <w:jc w:val="right"/>
              <w:ind w:right="122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80" w:type="dxa"/>
            <w:vAlign w:val="bottom"/>
          </w:tcPr>
          <w:p>
            <w:pPr>
              <w:spacing w:after="0"/>
              <w:rPr>
                <w:sz w:val="15"/>
                <w:szCs w:val="15"/>
                <w:color w:val="auto"/>
              </w:rPr>
            </w:pP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18"/>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operating cash flows of discontinued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254" w:lineRule="exact"/>
        <w:rPr>
          <w:sz w:val="20"/>
          <w:szCs w:val="20"/>
          <w:color w:val="auto"/>
        </w:rPr>
      </w:pPr>
    </w:p>
    <w:p>
      <w:pPr>
        <w:ind w:firstLine="169"/>
        <w:spacing w:after="0" w:line="248" w:lineRule="auto"/>
        <w:rPr>
          <w:sz w:val="20"/>
          <w:szCs w:val="20"/>
          <w:color w:val="auto"/>
        </w:rPr>
      </w:pPr>
      <w:r>
        <w:rPr>
          <w:rFonts w:ascii="Times New Roman" w:cs="Times New Roman" w:eastAsia="Times New Roman" w:hAnsi="Times New Roman"/>
          <w:sz w:val="17"/>
          <w:szCs w:val="17"/>
          <w:color w:val="auto"/>
        </w:rPr>
        <w:t>The net operating cash flow of discontinued operations for the year ended December 25, 2022 was a use of $0.1 million. The net operating cash flow of discontinued operations for the year ended December 26, 2021 is substantially related to the final settlement of the closing working capital of our discontinued PSS business which was a payment of approximately $3.0 million, which included a $1.1 million charge recorded in the third and fourth quarters of 2021 related to the settlement as well as the payment of related legal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Credit Facility</w:t>
      </w:r>
    </w:p>
    <w:p>
      <w:pPr>
        <w:spacing w:after="0" w:line="234"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On February 18, 2022, the Company completed the refinancing of its outstanding $90 million revolving credit facility and Senior Secured Notes, with the New Credit Facility. The Company incurred debt issuance costs of $3.3 million associated with the New Credit Facility. During the year ended December 25, 2022, the Company made $2.5 million of principal payments on Term Loan A. As of December 25, 2022, the Company has net borrowings of approximately $60 million outstanding on the new Revolving Credit Facility, with $140 million remaining in borrowing capacity, less approximately $10.0 million of letters of credit outstanding.</w:t>
      </w:r>
    </w:p>
    <w:p>
      <w:pPr>
        <w:spacing w:after="0" w:line="214"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25"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The New Credit Facility is governed by a Credit Agreement (the “Credit Agreement”), dated February 18, 2022, by and among the Company, the lenders from time to time party thereto (the “Lenders”), the Issuing Banks party thereto (as defined in the Credit Agreement) and Truist Bank, in its capacity as administrative agent for the Lenders, and as an issuing bank and as the swing line lender,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5"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w:t>
      </w:r>
    </w:p>
    <w:p>
      <w:pPr>
        <w:ind w:right="120" w:firstLine="3"/>
        <w:spacing w:after="0" w:line="256" w:lineRule="auto"/>
        <w:tabs>
          <w:tab w:leader="none" w:pos="25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191" w:lineRule="exact"/>
        <w:rPr>
          <w:sz w:val="20"/>
          <w:szCs w:val="20"/>
          <w:color w:val="auto"/>
        </w:rPr>
      </w:pPr>
    </w:p>
    <w:p>
      <w:pPr>
        <w:ind w:right="240" w:firstLine="619"/>
        <w:spacing w:after="0" w:line="248" w:lineRule="auto"/>
        <w:rPr>
          <w:sz w:val="20"/>
          <w:szCs w:val="20"/>
          <w:color w:val="auto"/>
        </w:rPr>
      </w:pPr>
      <w:r>
        <w:rPr>
          <w:rFonts w:ascii="Times New Roman" w:cs="Times New Roman" w:eastAsia="Times New Roman" w:hAnsi="Times New Roman"/>
          <w:sz w:val="17"/>
          <w:szCs w:val="17"/>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December 25,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 Senior Secured Notes due 2025</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November 2017, we issued and sold $300 million aggregate principal amount of 6.5% Senior Secured Notes due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4" w:name="page55"/>
    <w:bookmarkEnd w:id="54"/>
    <w:p>
      <w:pPr>
        <w:spacing w:after="0" w:line="287" w:lineRule="auto"/>
        <w:rPr>
          <w:sz w:val="20"/>
          <w:szCs w:val="20"/>
          <w:color w:val="auto"/>
        </w:rPr>
      </w:pPr>
      <w:r>
        <w:rPr>
          <w:rFonts w:ascii="Times New Roman" w:cs="Times New Roman" w:eastAsia="Times New Roman" w:hAnsi="Times New Roman"/>
          <w:sz w:val="17"/>
          <w:szCs w:val="17"/>
          <w:color w:val="auto"/>
        </w:rPr>
        <w:t>2025 in a private placement conducted pursuant to Rule 144A and Regulation S under the Securities Act of 1933, as amended. We incurred debt issuance costs of $6.6 million associated with the Senior Secured Notes. These Senior Secured Notes were redeemed on March 14,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Indebtedness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Credit and Security Agreement</w:t>
      </w:r>
    </w:p>
    <w:p>
      <w:pPr>
        <w:spacing w:after="0" w:line="247"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On November 20, 2017, we entered into an amended and restated Credit and Security Agreement (the “Credit and Security Agreement”), by and among the Company, the lenders named therein, SunTrust Bank, as Agent (the “Agent”), and SunTrust Robinson Humphrey, Inc., as lead arranger and sole book runner, which established a five 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Israel Debt</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August 2020, we entered into two five-year term loans with two banks in Israel representing an aggregate principal amount of approximately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million. These loans were subsidized by the State of Israel as part of a COVID-19 relief package with interest at Israeli NIS prime interest, plus a margin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The first year of interest was paid by the State of Israel with subsequent interest and principal payments due monthly, commencing in August 2021.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repaid all amounts outstanding under this debt in the third quarter of fiscal year 2021.</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5-D Systems Loan</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acquisition of 5-D Systems, we assumed a loan in the amount of approximately $0.5 million with an interest rate of 1.0% that had been obtained under the SBA Paycheck Protection Program as part of a COVID-19 relief package. Payment of interest and principal was due monthly with the balance due in April 2022. The sellers of 5-D Systems applied for forgiveness of this loan, the application was accepted and the loan was forgiven in July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Liquidity Matters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discussion of how we expect to fund our short- and long-term liquidity needs from known contractual and other obligations.</w:t>
      </w:r>
    </w:p>
    <w:p>
      <w:pPr>
        <w:spacing w:after="0" w:line="243"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The majority of our revenue is derived from contracts and programs that can span several years. We enter into agreements with suppliers and subcontractors for goods and services in support of these contracts and programs with payment terms that are generally aligned with the payment terms from our customers. In some instances, we require advance payments or deposits from our customers, which help fund our purchase commitments and reduce the risk of customer performance.</w:t>
      </w:r>
    </w:p>
    <w:p>
      <w:pPr>
        <w:spacing w:after="0" w:line="197" w:lineRule="exact"/>
        <w:rPr>
          <w:sz w:val="20"/>
          <w:szCs w:val="20"/>
          <w:color w:val="auto"/>
        </w:rPr>
      </w:pPr>
    </w:p>
    <w:p>
      <w:pPr>
        <w:ind w:firstLine="619"/>
        <w:spacing w:after="0" w:line="267" w:lineRule="auto"/>
        <w:rPr>
          <w:sz w:val="20"/>
          <w:szCs w:val="20"/>
          <w:color w:val="auto"/>
        </w:rPr>
      </w:pPr>
      <w:r>
        <w:rPr>
          <w:rFonts w:ascii="Times New Roman" w:cs="Times New Roman" w:eastAsia="Times New Roman" w:hAnsi="Times New Roman"/>
          <w:sz w:val="17"/>
          <w:szCs w:val="17"/>
          <w:color w:val="auto"/>
        </w:rPr>
        <w:t>As of December 25, 2022, we had contractual commitments to repay debt, make payments under finance and operating leases, repay obligations related to agreements to purchase goods and services and settle tax and other liabilities. The following table summarizes our contractual obligations and other commitments as of December 25, 2022, and the effect such obligations could have on our liquidity and cash flow in future periods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Due within 1 Year</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1540" w:type="dxa"/>
            <w:vAlign w:val="bottom"/>
            <w:shd w:val="clear" w:color="auto" w:fill="CCEEFF"/>
          </w:tcPr>
          <w:p>
            <w:pPr>
              <w:jc w:val="right"/>
              <w:ind w:right="13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payment</w:t>
            </w:r>
          </w:p>
        </w:tc>
        <w:tc>
          <w:tcPr>
            <w:tcW w:w="1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orders</w:t>
            </w: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w:t>
            </w: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2"/>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contractual cash obligations and commitments</w:t>
            </w:r>
          </w:p>
        </w:tc>
        <w:tc>
          <w:tcPr>
            <w:tcW w:w="1540" w:type="dxa"/>
            <w:vAlign w:val="bottom"/>
            <w:tcBorders>
              <w:bottom w:val="single" w:sz="8" w:color="auto"/>
            </w:tcBorders>
          </w:tcPr>
          <w:p>
            <w:pPr>
              <w:jc w:val="right"/>
              <w:ind w:right="1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649.5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205.3</w:t>
            </w: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60" w:firstLine="619"/>
        <w:spacing w:after="0" w:line="287" w:lineRule="auto"/>
        <w:rPr>
          <w:sz w:val="20"/>
          <w:szCs w:val="20"/>
          <w:color w:val="auto"/>
        </w:rPr>
      </w:pPr>
      <w:r>
        <w:rPr>
          <w:rFonts w:ascii="Times New Roman" w:cs="Times New Roman" w:eastAsia="Times New Roman" w:hAnsi="Times New Roman"/>
          <w:sz w:val="17"/>
          <w:szCs w:val="17"/>
          <w:color w:val="auto"/>
        </w:rPr>
        <w:t>As of December 25, 2022, we have $10.0 million of standby letters of credit outstanding. Our letters of credit are primarily related to milestone payments received from foreign customers for which the customer has not yet received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5" w:name="page56"/>
    <w:bookmarkEnd w:id="55"/>
    <w:p>
      <w:pPr>
        <w:ind w:right="160"/>
        <w:spacing w:after="0" w:line="270" w:lineRule="auto"/>
        <w:rPr>
          <w:sz w:val="20"/>
          <w:szCs w:val="20"/>
          <w:color w:val="auto"/>
        </w:rPr>
      </w:pPr>
      <w:r>
        <w:rPr>
          <w:rFonts w:ascii="Times New Roman" w:cs="Times New Roman" w:eastAsia="Times New Roman" w:hAnsi="Times New Roman"/>
          <w:sz w:val="17"/>
          <w:szCs w:val="17"/>
          <w:color w:val="auto"/>
        </w:rPr>
        <w:t>product. Information regarding our debt payments and lease agreements can be found in Notes 5 and 6 to the Consolidated Financial Statements contained in this Annual Report. Additional information regarding our financial commitments is provided in the Note 15 to Consolidated Financial Statements contained in this Annual Report.</w:t>
      </w:r>
    </w:p>
    <w:p>
      <w:pPr>
        <w:spacing w:after="0" w:line="19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We believe our cash on hand, together with funds available under the New Credit Facility and cash expected to be generated from operating activities will be sufficient to fund our short- and long-term liquidity needs.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Principles and Estimates</w:t>
      </w:r>
    </w:p>
    <w:p>
      <w:pPr>
        <w:spacing w:after="0" w:line="22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 We have identified the following critical accounting policies that affect our more significant judgments and estimates used in the preparation of our Consolidated Financial Statements.</w:t>
      </w:r>
    </w:p>
    <w:p>
      <w:pPr>
        <w:spacing w:after="0" w:line="201" w:lineRule="exact"/>
        <w:rPr>
          <w:sz w:val="20"/>
          <w:szCs w:val="20"/>
          <w:color w:val="auto"/>
        </w:rPr>
      </w:pPr>
    </w:p>
    <w:p>
      <w:pPr>
        <w:ind w:right="800" w:firstLine="6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Effective January 1, 2018, we adopted the FASB ASU 2014-09,</w:t>
      </w:r>
      <w:r>
        <w:rPr>
          <w:rFonts w:ascii="Times New Roman" w:cs="Times New Roman" w:eastAsia="Times New Roman" w:hAnsi="Times New Roman"/>
          <w:sz w:val="17"/>
          <w:szCs w:val="17"/>
          <w:i w:val="1"/>
          <w:iCs w:val="1"/>
          <w:color w:val="auto"/>
        </w:rPr>
        <w:t xml:space="preserve"> Revenue from Contracts with Customers</w:t>
      </w:r>
      <w:r>
        <w:rPr>
          <w:rFonts w:ascii="Times New Roman" w:cs="Times New Roman" w:eastAsia="Times New Roman" w:hAnsi="Times New Roman"/>
          <w:sz w:val="17"/>
          <w:szCs w:val="17"/>
          <w:color w:val="auto"/>
        </w:rPr>
        <w:t>, and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which are codified into Accounting Standards Codification (“ASC”) 606 (“ASC 606”).</w:t>
      </w:r>
    </w:p>
    <w:p>
      <w:pPr>
        <w:spacing w:after="0" w:line="186"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9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and is the unit of account under ASC 606. The majority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w:t>
      </w:r>
    </w:p>
    <w:p>
      <w:pPr>
        <w:spacing w:after="0" w:line="19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percentage-of-completion cost-to-cost method (cost incurred relative to total estimated cost at completion).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6" w:name="page57"/>
    <w:bookmarkEnd w:id="56"/>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For our federal contracts, we apply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97"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Long-lived and Intangible Assets. </w:t>
      </w:r>
      <w:r>
        <w:rPr>
          <w:rFonts w:ascii="Times New Roman" w:cs="Times New Roman" w:eastAsia="Times New Roman" w:hAnsi="Times New Roman"/>
          <w:sz w:val="17"/>
          <w:szCs w:val="17"/>
          <w:color w:val="auto"/>
        </w:rPr>
        <w:t>We account for long-lived assets in accordance with the provisions of FASB ASC Topic 360,</w:t>
      </w:r>
      <w:r>
        <w:rPr>
          <w:rFonts w:ascii="Times New Roman" w:cs="Times New Roman" w:eastAsia="Times New Roman" w:hAnsi="Times New Roman"/>
          <w:sz w:val="17"/>
          <w:szCs w:val="17"/>
          <w:i w:val="1"/>
          <w:iCs w:val="1"/>
          <w:color w:val="auto"/>
        </w:rPr>
        <w:t xml:space="preserve"> Property, Plant, and Equipment </w:t>
      </w:r>
      <w:r>
        <w:rPr>
          <w:rFonts w:ascii="Times New Roman" w:cs="Times New Roman" w:eastAsia="Times New Roman" w:hAnsi="Times New Roman"/>
          <w:sz w:val="17"/>
          <w:szCs w:val="17"/>
          <w:color w:val="auto"/>
        </w:rPr>
        <w:t>(“Topic 360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Topic 360 addresses financial accounting and reporting for the impairment or disposal of long-lived assets and requires that long-lived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205"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91" w:lineRule="exact"/>
        <w:rPr>
          <w:sz w:val="20"/>
          <w:szCs w:val="20"/>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the manner of our use of the acquired assets or the strategy for our overall business;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negative industry or economic trends;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our stock price for a sustained period; and</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relative to net book value.</w:t>
      </w:r>
    </w:p>
    <w:p>
      <w:pPr>
        <w:spacing w:after="0" w:line="226"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73" w:lineRule="exact"/>
        <w:rPr>
          <w:sz w:val="20"/>
          <w:szCs w:val="20"/>
          <w:color w:val="auto"/>
        </w:rPr>
      </w:pPr>
    </w:p>
    <w:p>
      <w:pPr>
        <w:ind w:right="16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The purchase price of an acquired business is allocated to the underlying tangible and intangible assets acquired and liabilities assumed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86" w:lineRule="exact"/>
        <w:rPr>
          <w:sz w:val="20"/>
          <w:szCs w:val="20"/>
          <w:color w:val="auto"/>
        </w:rPr>
      </w:pPr>
    </w:p>
    <w:p>
      <w:pPr>
        <w:ind w:right="100" w:firstLine="619"/>
        <w:spacing w:after="0" w:line="262" w:lineRule="auto"/>
        <w:rPr>
          <w:sz w:val="20"/>
          <w:szCs w:val="20"/>
          <w:color w:val="auto"/>
        </w:rPr>
      </w:pPr>
      <w:r>
        <w:rPr>
          <w:rFonts w:ascii="Times New Roman" w:cs="Times New Roman" w:eastAsia="Times New Roman" w:hAnsi="Times New Roman"/>
          <w:sz w:val="17"/>
          <w:szCs w:val="17"/>
          <w:color w:val="auto"/>
        </w:rPr>
        <w:t xml:space="preserve">We perform our impairment test for goodwill in accordance with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(“Topic 350”).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20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KGS has five operating businesses: Defense Rocket Support Services (“DRSS”), Microwave Electronics (“ME”), Space, Training and Cybersecurity Solutions (“ST&amp;C”), C5ISR Systems/Modular Systems (“MS”), and Kratos Turbine Technologies (“KTT”), that provide technology based defense solutions, involving products and services, primarily for mission critical U.S. National Security priorities, with the primary focus relating to the nation’s C5ISR requirements. The US reportable segment provides unmanned aerial systems, unmanned ground, and unmanned seaborne systems. We have identified our reporting units to be the DRSS, ME, ST&amp;C, MS, and KTT operating segments, within the KGS reportable segment, and the US reportable segment, each of which has been assessed and evaluated for potential impairment in our fiscal year 2022 annual test.</w:t>
      </w:r>
    </w:p>
    <w:p>
      <w:pPr>
        <w:spacing w:after="0" w:line="199"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test goodwill for impairment by first performing a qualitative assessment, and then a quantitative assessment if necessary. If, after performing a qualitative assessment and after assessing the totality of events or circumstances such as macroeconomic, industry and market conditions, cost factors, and overall financial performance, we determine that it is more likely than not (that is, a likelihood of more than 50 percent) that the fair value of a reporting unit is greater than its carrying</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7" w:name="page58"/>
    <w:bookmarkEnd w:id="57"/>
    <w:p>
      <w:pPr>
        <w:ind w:right="20"/>
        <w:spacing w:after="0" w:line="248" w:lineRule="auto"/>
        <w:rPr>
          <w:sz w:val="20"/>
          <w:szCs w:val="20"/>
          <w:color w:val="auto"/>
        </w:rPr>
      </w:pPr>
      <w:r>
        <w:rPr>
          <w:rFonts w:ascii="Times New Roman" w:cs="Times New Roman" w:eastAsia="Times New Roman" w:hAnsi="Times New Roman"/>
          <w:sz w:val="17"/>
          <w:szCs w:val="17"/>
          <w:color w:val="auto"/>
        </w:rPr>
        <w:t>amount, then a quantitative assessment is not unnecessary. If, after performing a qualitative assessment we determine it is more likely than not that the fair value of a reporting unit is less than its carrying amount, including goodwill, then a quantitative assessment is performed to determine if an impairment exists. For operations where a quantitative assessment is performed, the identification and measurement of impairment involves the estimation of the fair value of reporting units to determine the amount of the impairment. When any impairment has occurred, a charge to operations is recorded. In order to test for potential impairment, we estimate the fair value of each of the impacted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w:t>
      </w:r>
    </w:p>
    <w:p>
      <w:pPr>
        <w:spacing w:after="0" w:line="197"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In testing for impairment of our goodwill using a quantitative assessment at a particular reporting unit, we make assumptions about the amount and timing of future expected cash flows, terminal growth rates, appropriate discount rates, market multiples, and the control premium a controlling shareholder could be expected to pay:</w:t>
      </w:r>
    </w:p>
    <w:p>
      <w:pPr>
        <w:spacing w:after="0" w:line="185" w:lineRule="exact"/>
        <w:rPr>
          <w:sz w:val="20"/>
          <w:szCs w:val="20"/>
          <w:color w:val="auto"/>
        </w:rPr>
      </w:pPr>
    </w:p>
    <w:p>
      <w:pPr>
        <w:ind w:left="940" w:right="240" w:hanging="318"/>
        <w:spacing w:after="0" w:line="263"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ind w:left="940" w:right="520" w:hanging="318"/>
        <w:spacing w:after="0" w:line="253"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terminal growth rate is used to calculate the value of cash flows beyond the last projected period in our DCF analysis and reflects our best estimates for stable, perpetual growth of our reporting units.</w:t>
      </w:r>
    </w:p>
    <w:p>
      <w:pPr>
        <w:ind w:left="940" w:right="120" w:hanging="318"/>
        <w:spacing w:after="0" w:line="253"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may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historical market multiples are used to estimate future market pricing.</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 of goodwill of the US and KGS reportable segments, was $114.1 million and $444.1 million, respectively, at December 25, 2022.</w:t>
      </w:r>
    </w:p>
    <w:p>
      <w:pPr>
        <w:spacing w:after="0" w:line="243"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In determining the fair value of our reporting units, there are key assumptions related to our future operating performance and revenue growth. If the actual operating performance and financial results are not consistent with our assumptions, a further impairment in our $558.2 million goodwill and $55.2 million long-lived intangibles could occur in future periods. In particular, the US reporting unit fair value includes assumptions that the development of the high performance UCAS product is successful and we are awarded future contracts for new tactical unmanned aircraft systems. Additionally, the US reporting unit fair value assumes that the U.S. Navy will continue to award full rate production contracts for the Sub-Sonic Aerial Target. Our goodwill impairment assessment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210" w:lineRule="exact"/>
        <w:rPr>
          <w:sz w:val="20"/>
          <w:szCs w:val="20"/>
          <w:color w:val="auto"/>
        </w:rPr>
      </w:pPr>
    </w:p>
    <w:p>
      <w:pPr>
        <w:ind w:left="940" w:right="360" w:hanging="318"/>
        <w:spacing w:after="0" w:line="263"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our stock price and resulting market capitalization, if we determine the decline is sustained and is indicative of a reduction in the fair value below the carrying value of our reporting units;</w:t>
      </w:r>
    </w:p>
    <w:p>
      <w:pPr>
        <w:ind w:left="940" w:right="140" w:hanging="318"/>
        <w:spacing w:after="0" w:line="253"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available government funding, including budgetary constraints affecting U.S. Government spending generally, or specific departments or agencies;</w:t>
      </w: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programs or requirements, including the increased use of small business providers;</w:t>
      </w:r>
    </w:p>
    <w:p>
      <w:pPr>
        <w:spacing w:after="0" w:line="10" w:lineRule="exact"/>
        <w:rPr>
          <w:rFonts w:ascii="Times New Roman" w:cs="Times New Roman" w:eastAsia="Times New Roman" w:hAnsi="Times New Roman"/>
          <w:sz w:val="17"/>
          <w:szCs w:val="17"/>
          <w:color w:val="auto"/>
        </w:rPr>
      </w:pPr>
    </w:p>
    <w:p>
      <w:pPr>
        <w:ind w:left="940" w:right="120" w:hanging="318"/>
        <w:spacing w:after="0" w:line="253"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reach our internal forecasts could impact our ability to achieve our forecasted levels of cash flows and reduce the estimated discounted value of our reporting units;</w:t>
      </w: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equity and debt markets resulting in higher discount rates;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and political factors that could impact the success of new products, especially related to new unmanned systems platforms;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impact to our businesses and the industry resulting from COVID-19; and</w:t>
      </w:r>
    </w:p>
    <w:p>
      <w:pPr>
        <w:spacing w:after="0" w:line="10" w:lineRule="exact"/>
        <w:rPr>
          <w:rFonts w:ascii="Times New Roman" w:cs="Times New Roman" w:eastAsia="Times New Roman" w:hAnsi="Times New Roman"/>
          <w:sz w:val="17"/>
          <w:szCs w:val="17"/>
          <w:color w:val="auto"/>
        </w:rPr>
      </w:pPr>
    </w:p>
    <w:p>
      <w:pPr>
        <w:ind w:left="920" w:hanging="298"/>
        <w:spacing w:after="0" w:line="217" w:lineRule="auto"/>
        <w:tabs>
          <w:tab w:leader="none" w:pos="9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continued impact to our businesses and the industry related to supply chain disruptions and inflation.</w:t>
      </w:r>
    </w:p>
    <w:p>
      <w:pPr>
        <w:spacing w:after="0" w:line="212" w:lineRule="exact"/>
        <w:rPr>
          <w:sz w:val="20"/>
          <w:szCs w:val="20"/>
          <w:color w:val="auto"/>
        </w:rPr>
      </w:pPr>
    </w:p>
    <w:p>
      <w:pPr>
        <w:ind w:right="4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Accounting for income taxes and tax contingencies. </w:t>
      </w:r>
      <w:r>
        <w:rPr>
          <w:rFonts w:ascii="Times New Roman" w:cs="Times New Roman" w:eastAsia="Times New Roman" w:hAnsi="Times New Roman"/>
          <w:sz w:val="17"/>
          <w:szCs w:val="17"/>
          <w:color w:val="auto"/>
        </w:rPr>
        <w:t>FASB ASC Topic 740,</w:t>
      </w:r>
      <w:r>
        <w:rPr>
          <w:rFonts w:ascii="Times New Roman" w:cs="Times New Roman" w:eastAsia="Times New Roman" w:hAnsi="Times New Roman"/>
          <w:sz w:val="17"/>
          <w:szCs w:val="17"/>
          <w:i w:val="1"/>
          <w:iCs w:val="1"/>
          <w:color w:val="auto"/>
        </w:rPr>
        <w:t xml:space="preserve"> Income Taxes </w:t>
      </w:r>
      <w:r>
        <w:rPr>
          <w:rFonts w:ascii="Times New Roman" w:cs="Times New Roman" w:eastAsia="Times New Roman" w:hAnsi="Times New Roman"/>
          <w:sz w:val="17"/>
          <w:szCs w:val="17"/>
          <w:color w:val="auto"/>
        </w:rPr>
        <w:t>(“Topic 740”) provides the accounting treatment for uncertainty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income taxes recognized in an enterprise’s financial statements. Topic 740 prescribes a recognition threshold and measurement attribute for the financial statement recognition and measurement of a tax position taken or expected to be taken in a tax return. </w:t>
      </w:r>
      <w:r>
        <w:rPr>
          <w:rFonts w:ascii="Times New Roman" w:cs="Times New Roman" w:eastAsia="Times New Roman" w:hAnsi="Times New Roman"/>
          <w:sz w:val="17"/>
          <w:szCs w:val="17"/>
          <w:i w:val="1"/>
          <w:iCs w:val="1"/>
          <w:color w:val="auto"/>
        </w:rPr>
        <w:t>Topic 740</w:t>
      </w:r>
      <w:r>
        <w:rPr>
          <w:rFonts w:ascii="Times New Roman" w:cs="Times New Roman" w:eastAsia="Times New Roman" w:hAnsi="Times New Roman"/>
          <w:sz w:val="17"/>
          <w:szCs w:val="17"/>
          <w:color w:val="auto"/>
        </w:rPr>
        <w:t xml:space="preserve"> also provides guidance on derecognizing, classification, interest and penalties, accounting in interim periods, disclosure and transition.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8" w:name="page59"/>
    <w:bookmarkEnd w:id="58"/>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99" w:lineRule="exact"/>
        <w:rPr>
          <w:sz w:val="20"/>
          <w:szCs w:val="20"/>
          <w:color w:val="auto"/>
        </w:rPr>
      </w:pPr>
    </w:p>
    <w:p>
      <w:pPr>
        <w:ind w:right="220" w:firstLine="619"/>
        <w:spacing w:after="0" w:line="260" w:lineRule="auto"/>
        <w:rPr>
          <w:sz w:val="20"/>
          <w:szCs w:val="20"/>
          <w:color w:val="auto"/>
        </w:rPr>
      </w:pPr>
      <w:r>
        <w:rPr>
          <w:rFonts w:ascii="Times New Roman" w:cs="Times New Roman" w:eastAsia="Times New Roman" w:hAnsi="Times New Roman"/>
          <w:sz w:val="17"/>
          <w:szCs w:val="17"/>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 During the fourth quarter of 2020, the Company released a significant portion of the valuation allowance. For further discussion see Note 8 “Income Taxes” in the Notes to the Consolidated Financial Statements in this Annual Report.</w:t>
      </w:r>
    </w:p>
    <w:p>
      <w:pPr>
        <w:spacing w:after="0" w:line="199"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effective tax rate at December 25, 2022 for annual and interim reporting periods could be impacted if uncertain tax positions that are not recognized at December 25, 2022 are settled at an amount which differs from our estimate.</w:t>
      </w:r>
    </w:p>
    <w:p>
      <w:pPr>
        <w:spacing w:after="0" w:line="173"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Contingencies and litigation. </w:t>
      </w:r>
      <w:r>
        <w:rPr>
          <w:rFonts w:ascii="Times New Roman" w:cs="Times New Roman" w:eastAsia="Times New Roman" w:hAnsi="Times New Roman"/>
          <w:sz w:val="17"/>
          <w:szCs w:val="17"/>
          <w:color w:val="auto"/>
        </w:rPr>
        <w:t>We are currently involved in certain legal proceedings. We estimate a range of liability related to pending litigation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Topic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As additional information becomes available, we assess the potential liability related to our pending litigation and revise our estimates. Revisions in our estimates of potential liability could materially impact our results of operations. See Note 15 of the Notes to Consolidated Financial Statements contained within this Annual Report for a further discussion of our legal proceedings.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 of the Notes to Consolidated Financial Statements contained within this Annual Report for a discussion of recent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Rate and Foreign Currency Risks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exposed to market risk, primarily related to interest rates and foreign currency exchange rates.</w:t>
      </w:r>
    </w:p>
    <w:p>
      <w:pPr>
        <w:spacing w:after="0" w:line="243"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 xml:space="preserve">Exposure to market risk for changes in interest rates relates to our outstanding debt. We are exposed to interest rate risk, primarily through our borrowing activities under the Credit Agreement discussed under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Liquidity and Capital Resources” above. Based on our current outstanding balances, a 1% change in the SOFR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 We had no outstanding derivative financial instruments as of December 25, 2022.</w:t>
      </w:r>
    </w:p>
    <w:p>
      <w:pPr>
        <w:spacing w:after="0" w:line="199"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We are also exposed to market risk due to the current phase out of LIBOR and the subsequent replacement with alternative reference rates, including SOFR. Uncertainty as to the nature of alternative reference rates and as to potential changes or other reforms to LIBOR may adversely impact our interest rates and related interest expense. Risks and uncertainties related to the LIBOR phase out are further described in Part I, Item 1A. Risk Factors- "The discontinuance of LIBOR and the replacement of LIBOR with an alternative reference rate may adversely affect our borrowing costs and could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9" w:name="page60"/>
    <w:bookmarkEnd w:id="59"/>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For instance, in our Israeli business, we are paid in USD for work performed but our cost of sales (payroll, materials, subcontract costs, etc.) are paid in Israeli Shekel. We currently enter into limited foreign currency forward contracts to manage foreign currency exchange rate risk because exchange rate fluctuations have had, and we expect will have, minimal impact on our operating results and cash flows. Based on our overall foreign currency rate exposure as of December 25, 2022, including the limited derivative financial instruments that we have entered into to manage this risk, a 10% appreciation or depreciation of the USD from its cross-functional rates would not be expected, in the aggregate, to have a material effect on our financial position, results of operations and cash flows in the near-term.</w:t>
      </w:r>
    </w:p>
    <w:p>
      <w:pPr>
        <w:spacing w:after="0" w:line="208"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Our cash and cash equivalents as of December 25, 2022 were $81.3 million and are primarily invested in money market interest bearing accounts. A hypothetical 10% adverse change in the average interest rate on our money market cash investments and short-term investments would have had no material effect on our net income for the year ended December 25,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Risk</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Inflation has increased during the period covered by this Annual Report,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 Management</w:t>
      </w:r>
    </w:p>
    <w:p>
      <w:pPr>
        <w:spacing w:after="0" w:line="226"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49"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Our Consolidated Financial Statements and supplementary data required by this item are set forth at the pages indicated in Item 15(a) (1) and 15(a) (2),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05"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25,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4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200"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Control-Integrated Framework issued by the Committee of Sponsoring Organizations of the Treadway Commission. Management's assessment of and conclusion on the effectiveness of internal control over financial reporting as of December 25, 2022 did not include the internal controls of recently acquired entities Cosmic and SRE. The total assets of Cosmic, are approximately 0.7% of the total assets of the Company, and the revenues of Cosmic comprise approximately 6.7% of the total revenues of the Company, as such amounts for the Company are reflected in the Company’s Consolidated Financial Statements as of and for the fiscal year ended December 25, 2022 included in this Annual Report. The total assets of SRE, are approximately 0.7% of the total assets of the Company, and the revenues of SRE comprise approximately 3.0% of the total revenues of the Company, as such amounts for the Company are reflected in the Company’s Consolidated Financial Statements as of and for the fiscal year ended December 25, 2022 included in this Annual Report.</w:t>
      </w:r>
    </w:p>
    <w:p>
      <w:pPr>
        <w:spacing w:after="0" w:line="205" w:lineRule="exact"/>
        <w:rPr>
          <w:sz w:val="20"/>
          <w:szCs w:val="20"/>
          <w:color w:val="auto"/>
        </w:rPr>
      </w:pPr>
    </w:p>
    <w:p>
      <w:pPr>
        <w:jc w:val="both"/>
        <w:ind w:right="60" w:firstLine="619"/>
        <w:spacing w:after="0" w:line="287" w:lineRule="auto"/>
        <w:rPr>
          <w:sz w:val="20"/>
          <w:szCs w:val="20"/>
          <w:color w:val="auto"/>
        </w:rPr>
      </w:pPr>
      <w:r>
        <w:rPr>
          <w:rFonts w:ascii="Times New Roman" w:cs="Times New Roman" w:eastAsia="Times New Roman" w:hAnsi="Times New Roman"/>
          <w:sz w:val="17"/>
          <w:szCs w:val="17"/>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25,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accounting and reporting (as defined in Rules 13a-15(f) and 15d-15(f) of the Exchange Act) during the fourth quarter of the fiscal year ended December 25,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r>
        <w:rPr>
          <w:rFonts w:ascii="Times New Roman" w:cs="Times New Roman" w:eastAsia="Times New Roman" w:hAnsi="Times New Roman"/>
          <w:sz w:val="20"/>
          <w:szCs w:val="20"/>
          <w:b w:val="1"/>
          <w:bCs w:val="1"/>
          <w:i w:val="1"/>
          <w:iCs w:val="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2023 Annual Meeting of Stockholders or an amendment to this Annual Report to be filed with the SEC within 120 days after the close of our fiscal year ended December 25, 2022.</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2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2023 Annual Meeting of Stockholders or an amendment to this Annual Report to be filed with the SEC within 120 days after the close of our fiscal year ended December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2023 Annual Meeting of Stockholders or an amendment to this Annual Report to be filed with the SEC within 120 days after the close of our fiscal year ended December 25,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2023 Annual Meeting of Stockholders or an amendment to this Annual Report to be filed with the SEC within 120 days after the close of our fiscal year ended December 25, 2022.</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2023 Annual Meeting of Stockholders or an amendment to this Annual Report to be filed with the SEC within 120 days after the close of our fiscal year ended December 25,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2" w:right="419" w:bottom="1440" w:gutter="0" w:footer="0" w:header="0"/>
        </w:sectPr>
      </w:pPr>
    </w:p>
    <w:bookmarkStart w:id="62" w:name="page63"/>
    <w:bookmarkEnd w:id="62"/>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 and Financial Statement Schedules.</w:t>
      </w:r>
    </w:p>
    <w:p>
      <w:pPr>
        <w:spacing w:after="0" w:line="245"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(a)(1)</w:t>
        <w:tab/>
        <w:t>Financial Statements</w:t>
      </w:r>
    </w:p>
    <w:p>
      <w:pPr>
        <w:spacing w:after="0" w:line="22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73"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(a)(2)</w:t>
        <w:tab/>
        <w:t>Financial Statement Schedules</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they are not applicable or are not required or the information required to be set forth therein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854"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(a) (3) Exhibits</w:t>
      </w:r>
    </w:p>
    <w:p>
      <w:pPr>
        <w:sectPr>
          <w:pgSz w:w="11900" w:h="16838" w:orient="portrait"/>
          <w:cols w:equalWidth="0" w:num="1">
            <w:col w:w="11160"/>
          </w:cols>
          <w:pgMar w:left="320" w:top="85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08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8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40" w:type="dxa"/>
            <w:vAlign w:val="bottom"/>
            <w:tcBorders>
              <w:top w:val="single" w:sz="8" w:color="auto"/>
              <w:bottom w:val="single" w:sz="8" w:color="0000FF"/>
            </w:tcBorders>
            <w:gridSpan w:val="17"/>
          </w:tcPr>
          <w:p>
            <w:pPr>
              <w:spacing w:after="0" w:line="179"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Stock Purchase Agreement, dated February 28, 2018</w:t>
              </w:r>
            </w:hyperlink>
          </w:p>
        </w:tc>
        <w:tc>
          <w:tcPr>
            <w:tcW w:w="440" w:type="dxa"/>
            <w:vAlign w:val="bottom"/>
            <w:tcBorders>
              <w:top w:val="single" w:sz="8" w:color="auto"/>
            </w:tcBorders>
            <w:gridSpan w:val="1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among Kratos Defense &amp; Security Solutions, Inc., Kratos</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Public Safety Security Solutions, Inc. and Securitas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Electronic Security, Inc</w:t>
              </w:r>
              <w:r>
                <w:rPr>
                  <w:rFonts w:ascii="Times New Roman" w:cs="Times New Roman" w:eastAsia="Times New Roman" w:hAnsi="Times New Roman"/>
                  <w:sz w:val="17"/>
                  <w:szCs w:val="17"/>
                  <w:color w:val="000000"/>
                </w:rPr>
                <w:t>.</w:t>
              </w:r>
            </w:hyperlink>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Purchase Agreement, dated February 27, 2019, by and</w:t>
              </w:r>
            </w:hyperlink>
          </w:p>
        </w:tc>
        <w:tc>
          <w:tcPr>
            <w:tcW w:w="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among Kratos Defense &amp; Security Solutions, Inc., Shirley</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Brostmeyer, (“SB”), Joseph Brostmeyer (“JB”), certain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trusts established by SB, JB and members of their</w:t>
              </w:r>
            </w:hyperlink>
          </w:p>
        </w:tc>
        <w:tc>
          <w:tcPr>
            <w:tcW w:w="3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immediate family, and JB, as the Sellers Representative.</w:t>
              </w:r>
            </w:hyperlink>
          </w:p>
        </w:tc>
        <w:tc>
          <w:tcPr>
            <w:tcW w:w="2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Amended and Restated Certificate of Incorporation of</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w w:val="97"/>
              </w:rPr>
            </w:pPr>
            <w:hyperlink r:id="rId82">
              <w:r>
                <w:rPr>
                  <w:rFonts w:ascii="Times New Roman" w:cs="Times New Roman" w:eastAsia="Times New Roman" w:hAnsi="Times New Roman"/>
                  <w:sz w:val="17"/>
                  <w:szCs w:val="17"/>
                  <w:color w:val="0000FF"/>
                  <w:w w:val="97"/>
                </w:rPr>
                <w:t>Kratos Defense &amp; Security Solutions, Inc., as amended.</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Second Amended and Restated Bylaws of Kratos Defense</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&amp; Security Solutions, Inc., as amended.</w:t>
              </w:r>
            </w:hyperlink>
          </w:p>
        </w:tc>
        <w:tc>
          <w:tcPr>
            <w:tcW w:w="134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Specimen Stock Certificate.</w:t>
              </w:r>
            </w:hyperlink>
          </w:p>
        </w:tc>
        <w:tc>
          <w:tcPr>
            <w:tcW w:w="2140" w:type="dxa"/>
            <w:vAlign w:val="bottom"/>
            <w:gridSpan w:val="28"/>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Indenture, dated as of November 20, 2017, among Kratos</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Defense &amp; Security Solutions, Inc., as Issuer,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Guarantors party thereto, and Wilmington Trust,</w:t>
              </w:r>
            </w:hyperlink>
          </w:p>
        </w:tc>
        <w:tc>
          <w:tcPr>
            <w:tcW w:w="720" w:type="dxa"/>
            <w:vAlign w:val="bottom"/>
            <w:gridSpan w:val="23"/>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National</w:t>
              </w:r>
            </w:hyperlink>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31"/>
          </w:tcPr>
          <w:p>
            <w:pPr>
              <w:spacing w:after="0" w:line="16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Association, as Trustee and Collateral Agent.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First Supplemental Indenture, dated as of December 21,</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4"/>
          </w:tcPr>
          <w:p>
            <w:pPr>
              <w:spacing w:after="0" w:line="148" w:lineRule="exact"/>
              <w:rPr>
                <w:rFonts w:ascii="Times New Roman" w:cs="Times New Roman" w:eastAsia="Times New Roman" w:hAnsi="Times New Roman"/>
                <w:sz w:val="17"/>
                <w:szCs w:val="17"/>
                <w:color w:val="0000FF"/>
                <w:w w:val="99"/>
              </w:rPr>
            </w:pPr>
            <w:hyperlink r:id="rId86">
              <w:r>
                <w:rPr>
                  <w:rFonts w:ascii="Times New Roman" w:cs="Times New Roman" w:eastAsia="Times New Roman" w:hAnsi="Times New Roman"/>
                  <w:sz w:val="17"/>
                  <w:szCs w:val="17"/>
                  <w:color w:val="0000FF"/>
                  <w:w w:val="99"/>
                </w:rPr>
                <w:t>2017, among Kratos Defense &amp; Security Solutions, Inc.,</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26"/>
          </w:tcPr>
          <w:p>
            <w:pPr>
              <w:spacing w:after="0" w:line="148" w:lineRule="exact"/>
              <w:rPr>
                <w:rFonts w:ascii="Times New Roman" w:cs="Times New Roman" w:eastAsia="Times New Roman" w:hAnsi="Times New Roman"/>
                <w:sz w:val="17"/>
                <w:szCs w:val="17"/>
                <w:color w:val="0000FF"/>
                <w:w w:val="98"/>
              </w:rPr>
            </w:pPr>
            <w:hyperlink r:id="rId86">
              <w:r>
                <w:rPr>
                  <w:rFonts w:ascii="Times New Roman" w:cs="Times New Roman" w:eastAsia="Times New Roman" w:hAnsi="Times New Roman"/>
                  <w:sz w:val="17"/>
                  <w:szCs w:val="17"/>
                  <w:color w:val="0000FF"/>
                  <w:w w:val="98"/>
                </w:rPr>
                <w:t>as Issuer, the Guarantor as party thereto, and Wilmington</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28"/>
          </w:tcPr>
          <w:p>
            <w:pPr>
              <w:spacing w:after="0" w:line="16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Trust, National Association, as Trustee.</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Description of Equity Securities Registered under Section</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w w:val="99"/>
              </w:rPr>
            </w:pPr>
            <w:hyperlink r:id="rId87">
              <w:r>
                <w:rPr>
                  <w:rFonts w:ascii="Times New Roman" w:cs="Times New Roman" w:eastAsia="Times New Roman" w:hAnsi="Times New Roman"/>
                  <w:sz w:val="17"/>
                  <w:szCs w:val="17"/>
                  <w:color w:val="0000FF"/>
                  <w:w w:val="99"/>
                </w:rPr>
                <w:t>12 of the Exchange Act.</w:t>
              </w:r>
            </w:hyperlink>
          </w:p>
        </w:tc>
        <w:tc>
          <w:tcPr>
            <w:tcW w:w="2360" w:type="dxa"/>
            <w:vAlign w:val="bottom"/>
            <w:tcBorders>
              <w:top w:val="single" w:sz="8" w:color="0000FF"/>
            </w:tcBorders>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Form of Indemnification Agreement by and between</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Kratos Defense &amp; Security Solutions, Inc. and its</w:t>
              </w:r>
            </w:hyperlink>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7"/>
                <w:szCs w:val="17"/>
                <w:color w:val="0000FF"/>
                <w:w w:val="99"/>
              </w:rPr>
            </w:pPr>
            <w:hyperlink r:id="rId88">
              <w:r>
                <w:rPr>
                  <w:rFonts w:ascii="Times New Roman" w:cs="Times New Roman" w:eastAsia="Times New Roman" w:hAnsi="Times New Roman"/>
                  <w:sz w:val="17"/>
                  <w:szCs w:val="17"/>
                  <w:color w:val="0000FF"/>
                  <w:w w:val="99"/>
                </w:rPr>
                <w:t>directors and executive officers.</w:t>
              </w:r>
            </w:hyperlink>
          </w:p>
        </w:tc>
        <w:tc>
          <w:tcPr>
            <w:tcW w:w="1180" w:type="dxa"/>
            <w:vAlign w:val="bottom"/>
            <w:tcBorders>
              <w:top w:val="single" w:sz="8" w:color="0000FF"/>
            </w:tcBorders>
            <w:gridSpan w:val="5"/>
          </w:tcPr>
          <w:p>
            <w:pPr>
              <w:spacing w:after="0"/>
              <w:rPr>
                <w:sz w:val="12"/>
                <w:szCs w:val="12"/>
                <w:color w:val="auto"/>
              </w:rPr>
            </w:pPr>
          </w:p>
        </w:tc>
        <w:tc>
          <w:tcPr>
            <w:tcW w:w="36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Amended and Restated 1999 Employee Stock Purchase</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Plan.</w:t>
              </w:r>
            </w:hyperlink>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2005 Equity Incentive Plan.</w:t>
              </w:r>
            </w:hyperlink>
          </w:p>
        </w:tc>
        <w:tc>
          <w:tcPr>
            <w:tcW w:w="216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Form of Stock Option Agreement pursuant to the 2005</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Equity Incentive Plan.</w:t>
              </w:r>
            </w:hyperlink>
          </w:p>
        </w:tc>
        <w:tc>
          <w:tcPr>
            <w:tcW w:w="216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Restricted Stock Unit Agreement and Form of</w:t>
              </w:r>
            </w:hyperlink>
          </w:p>
        </w:tc>
        <w:tc>
          <w:tcPr>
            <w:tcW w:w="3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Notice of Grant of Restricted Stock Units under the 2005</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Equity Incentive Plan.</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35"/>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2011 Equity Incentive Plan.</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Form of Notice of Grant of Restricted Stock Units and</w:t>
              </w:r>
            </w:hyperlink>
          </w:p>
        </w:tc>
        <w:tc>
          <w:tcPr>
            <w:tcW w:w="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Restricted Stock Unit Award Agreement pursuant to the</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2011 Equity Incentive Plan.</w:t>
              </w:r>
            </w:hyperlink>
          </w:p>
        </w:tc>
        <w:tc>
          <w:tcPr>
            <w:tcW w:w="22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18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2014 Equity Incentive Plan.</w:t>
              </w:r>
            </w:hyperlink>
          </w:p>
        </w:tc>
        <w:tc>
          <w:tcPr>
            <w:tcW w:w="216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w:t>
      </w:r>
    </w:p>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0"/>
        </w:trPr>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 (File No.)   Exhibit</w:t>
            </w:r>
          </w:p>
        </w:tc>
        <w:tc>
          <w:tcPr>
            <w:tcW w:w="13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2"/>
        </w:trPr>
        <w:tc>
          <w:tcPr>
            <w:tcW w:w="1420" w:type="dxa"/>
            <w:vAlign w:val="bottom"/>
            <w:gridSpan w:val="2"/>
            <w:vMerge w:val="continue"/>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980" w:type="dxa"/>
            <w:vAlign w:val="bottom"/>
          </w:tcPr>
          <w:p>
            <w:pPr>
              <w:spacing w:after="0"/>
              <w:rPr>
                <w:sz w:val="17"/>
                <w:szCs w:val="17"/>
                <w:color w:val="auto"/>
              </w:rPr>
            </w:pP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05/10/2018</w:t>
            </w:r>
          </w:p>
        </w:tc>
        <w:tc>
          <w:tcPr>
            <w:tcW w:w="720" w:type="dxa"/>
            <w:vAlign w:val="bottom"/>
          </w:tcPr>
          <w:p>
            <w:pPr>
              <w:spacing w:after="0"/>
              <w:rPr>
                <w:sz w:val="17"/>
                <w:szCs w:val="17"/>
                <w:color w:val="auto"/>
              </w:rPr>
            </w:pPr>
          </w:p>
        </w:tc>
      </w:tr>
      <w:tr>
        <w:trPr>
          <w:trHeight w:val="232"/>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10-Q</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2.2</w:t>
            </w:r>
          </w:p>
        </w:tc>
      </w:tr>
      <w:tr>
        <w:trPr>
          <w:trHeight w:val="683"/>
        </w:trPr>
        <w:tc>
          <w:tcPr>
            <w:tcW w:w="980" w:type="dxa"/>
            <w:vAlign w:val="bottom"/>
          </w:tcPr>
          <w:p>
            <w:pPr>
              <w:spacing w:after="0"/>
              <w:rPr>
                <w:sz w:val="24"/>
                <w:szCs w:val="24"/>
                <w:color w:val="auto"/>
              </w:rPr>
            </w:pP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05/08/2019</w:t>
            </w:r>
          </w:p>
        </w:tc>
        <w:tc>
          <w:tcPr>
            <w:tcW w:w="720" w:type="dxa"/>
            <w:vAlign w:val="bottom"/>
          </w:tcPr>
          <w:p>
            <w:pPr>
              <w:spacing w:after="0"/>
              <w:rPr>
                <w:sz w:val="24"/>
                <w:szCs w:val="2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10-Q</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2.3</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02/27/2017</w:t>
            </w:r>
          </w:p>
        </w:tc>
        <w:tc>
          <w:tcPr>
            <w:tcW w:w="720" w:type="dxa"/>
            <w:vAlign w:val="bottom"/>
          </w:tcPr>
          <w:p>
            <w:pPr>
              <w:spacing w:after="0"/>
              <w:rPr>
                <w:sz w:val="14"/>
                <w:szCs w:val="1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3.1</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02/27/2017</w:t>
            </w:r>
          </w:p>
        </w:tc>
        <w:tc>
          <w:tcPr>
            <w:tcW w:w="720" w:type="dxa"/>
            <w:vAlign w:val="bottom"/>
          </w:tcPr>
          <w:p>
            <w:pPr>
              <w:spacing w:after="0"/>
              <w:rPr>
                <w:sz w:val="14"/>
                <w:szCs w:val="1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3.2</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02/27/2017</w:t>
            </w:r>
          </w:p>
        </w:tc>
        <w:tc>
          <w:tcPr>
            <w:tcW w:w="720" w:type="dxa"/>
            <w:vAlign w:val="bottom"/>
          </w:tcPr>
          <w:p>
            <w:pPr>
              <w:spacing w:after="0"/>
              <w:rPr>
                <w:sz w:val="14"/>
                <w:szCs w:val="14"/>
                <w:color w:val="auto"/>
              </w:rPr>
            </w:pPr>
          </w:p>
        </w:tc>
      </w:tr>
      <w:tr>
        <w:trPr>
          <w:trHeight w:val="232"/>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4.1</w:t>
            </w:r>
          </w:p>
        </w:tc>
      </w:tr>
      <w:tr>
        <w:trPr>
          <w:trHeight w:val="502"/>
        </w:trPr>
        <w:tc>
          <w:tcPr>
            <w:tcW w:w="980" w:type="dxa"/>
            <w:vAlign w:val="bottom"/>
          </w:tcPr>
          <w:p>
            <w:pPr>
              <w:spacing w:after="0"/>
              <w:rPr>
                <w:sz w:val="24"/>
                <w:szCs w:val="24"/>
                <w:color w:val="auto"/>
              </w:rPr>
            </w:pP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11/21/2017</w:t>
            </w:r>
          </w:p>
        </w:tc>
        <w:tc>
          <w:tcPr>
            <w:tcW w:w="720" w:type="dxa"/>
            <w:vAlign w:val="bottom"/>
          </w:tcPr>
          <w:p>
            <w:pPr>
              <w:spacing w:after="0"/>
              <w:rPr>
                <w:sz w:val="24"/>
                <w:szCs w:val="24"/>
                <w:color w:val="auto"/>
              </w:rPr>
            </w:pPr>
          </w:p>
        </w:tc>
      </w:tr>
      <w:tr>
        <w:trPr>
          <w:trHeight w:val="232"/>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8"/>
              </w:rPr>
              <w:t>8-K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4.1</w:t>
            </w:r>
          </w:p>
        </w:tc>
      </w:tr>
      <w:tr>
        <w:trPr>
          <w:trHeight w:val="502"/>
        </w:trPr>
        <w:tc>
          <w:tcPr>
            <w:tcW w:w="980" w:type="dxa"/>
            <w:vAlign w:val="bottom"/>
          </w:tcPr>
          <w:p>
            <w:pPr>
              <w:spacing w:after="0"/>
              <w:rPr>
                <w:sz w:val="24"/>
                <w:szCs w:val="24"/>
                <w:color w:val="auto"/>
              </w:rPr>
            </w:pP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02/28/2018</w:t>
            </w:r>
          </w:p>
        </w:tc>
        <w:tc>
          <w:tcPr>
            <w:tcW w:w="720" w:type="dxa"/>
            <w:vAlign w:val="bottom"/>
          </w:tcPr>
          <w:p>
            <w:pPr>
              <w:spacing w:after="0"/>
              <w:rPr>
                <w:sz w:val="24"/>
                <w:szCs w:val="2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4.5</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02/24/2020</w:t>
            </w:r>
          </w:p>
        </w:tc>
        <w:tc>
          <w:tcPr>
            <w:tcW w:w="720" w:type="dxa"/>
            <w:vAlign w:val="bottom"/>
          </w:tcPr>
          <w:p>
            <w:pPr>
              <w:spacing w:after="0"/>
              <w:rPr>
                <w:sz w:val="14"/>
                <w:szCs w:val="14"/>
                <w:color w:val="auto"/>
              </w:rPr>
            </w:pPr>
          </w:p>
        </w:tc>
      </w:tr>
      <w:tr>
        <w:trPr>
          <w:trHeight w:val="232"/>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4.4</w:t>
            </w:r>
          </w:p>
        </w:tc>
      </w:tr>
      <w:tr>
        <w:trPr>
          <w:trHeight w:val="335"/>
        </w:trPr>
        <w:tc>
          <w:tcPr>
            <w:tcW w:w="980" w:type="dxa"/>
            <w:vAlign w:val="bottom"/>
          </w:tcPr>
          <w:p>
            <w:pPr>
              <w:spacing w:after="0"/>
              <w:rPr>
                <w:sz w:val="24"/>
                <w:szCs w:val="24"/>
                <w:color w:val="auto"/>
              </w:rPr>
            </w:pP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08/04/2011</w:t>
            </w:r>
          </w:p>
        </w:tc>
        <w:tc>
          <w:tcPr>
            <w:tcW w:w="720" w:type="dxa"/>
            <w:vAlign w:val="bottom"/>
          </w:tcPr>
          <w:p>
            <w:pPr>
              <w:spacing w:after="0"/>
              <w:rPr>
                <w:sz w:val="24"/>
                <w:szCs w:val="2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7"/>
              </w:rPr>
              <w:t>10-Q</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10.8</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07/31/2017</w:t>
            </w:r>
          </w:p>
        </w:tc>
        <w:tc>
          <w:tcPr>
            <w:tcW w:w="720" w:type="dxa"/>
            <w:vAlign w:val="bottom"/>
          </w:tcPr>
          <w:p>
            <w:pPr>
              <w:spacing w:after="0"/>
              <w:rPr>
                <w:sz w:val="14"/>
                <w:szCs w:val="14"/>
                <w:color w:val="auto"/>
              </w:rPr>
            </w:pPr>
          </w:p>
        </w:tc>
      </w:tr>
      <w:tr>
        <w:trPr>
          <w:trHeight w:val="229"/>
        </w:trPr>
        <w:tc>
          <w:tcPr>
            <w:tcW w:w="98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S-8</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99.1</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08/01/2005</w:t>
            </w:r>
          </w:p>
        </w:tc>
        <w:tc>
          <w:tcPr>
            <w:tcW w:w="720" w:type="dxa"/>
            <w:vAlign w:val="bottom"/>
          </w:tcPr>
          <w:p>
            <w:pPr>
              <w:spacing w:after="0"/>
              <w:rPr>
                <w:sz w:val="14"/>
                <w:szCs w:val="14"/>
                <w:color w:val="auto"/>
              </w:rPr>
            </w:pPr>
          </w:p>
        </w:tc>
      </w:tr>
      <w:tr>
        <w:trPr>
          <w:trHeight w:val="229"/>
        </w:trPr>
        <w:tc>
          <w:tcPr>
            <w:tcW w:w="98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S-8</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(333-127060)</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99.2</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08/01/2005</w:t>
            </w:r>
          </w:p>
        </w:tc>
        <w:tc>
          <w:tcPr>
            <w:tcW w:w="720" w:type="dxa"/>
            <w:vAlign w:val="bottom"/>
          </w:tcPr>
          <w:p>
            <w:pPr>
              <w:spacing w:after="0"/>
              <w:rPr>
                <w:sz w:val="14"/>
                <w:szCs w:val="14"/>
                <w:color w:val="auto"/>
              </w:rPr>
            </w:pPr>
          </w:p>
        </w:tc>
      </w:tr>
      <w:tr>
        <w:trPr>
          <w:trHeight w:val="232"/>
        </w:trPr>
        <w:tc>
          <w:tcPr>
            <w:tcW w:w="98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S-8</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(333-127060)</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99.1</w:t>
            </w:r>
          </w:p>
        </w:tc>
      </w:tr>
      <w:tr>
        <w:trPr>
          <w:trHeight w:val="335"/>
        </w:trPr>
        <w:tc>
          <w:tcPr>
            <w:tcW w:w="980" w:type="dxa"/>
            <w:vAlign w:val="bottom"/>
          </w:tcPr>
          <w:p>
            <w:pPr>
              <w:spacing w:after="0"/>
              <w:rPr>
                <w:sz w:val="24"/>
                <w:szCs w:val="24"/>
                <w:color w:val="auto"/>
              </w:rPr>
            </w:pP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01/17/2007</w:t>
            </w:r>
          </w:p>
        </w:tc>
        <w:tc>
          <w:tcPr>
            <w:tcW w:w="720" w:type="dxa"/>
            <w:vAlign w:val="bottom"/>
          </w:tcPr>
          <w:p>
            <w:pPr>
              <w:spacing w:after="0"/>
              <w:rPr>
                <w:sz w:val="24"/>
                <w:szCs w:val="2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8"/>
              </w:rPr>
              <w:t>8-K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(000-27231)</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99.3</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04/15/2011</w:t>
            </w:r>
          </w:p>
        </w:tc>
        <w:tc>
          <w:tcPr>
            <w:tcW w:w="720" w:type="dxa"/>
            <w:vAlign w:val="bottom"/>
          </w:tcPr>
          <w:p>
            <w:pPr>
              <w:spacing w:after="0"/>
              <w:rPr>
                <w:sz w:val="14"/>
                <w:szCs w:val="14"/>
                <w:color w:val="auto"/>
              </w:rPr>
            </w:pPr>
          </w:p>
        </w:tc>
      </w:tr>
      <w:tr>
        <w:trPr>
          <w:trHeight w:val="232"/>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rPr>
              <w:t>DEF 14A</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n/a</w:t>
            </w:r>
          </w:p>
        </w:tc>
      </w:tr>
      <w:tr>
        <w:trPr>
          <w:trHeight w:val="335"/>
        </w:trPr>
        <w:tc>
          <w:tcPr>
            <w:tcW w:w="9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11/18/2011</w:t>
            </w:r>
          </w:p>
        </w:tc>
        <w:tc>
          <w:tcPr>
            <w:tcW w:w="720" w:type="dxa"/>
            <w:vAlign w:val="bottom"/>
          </w:tcPr>
          <w:p>
            <w:pPr>
              <w:spacing w:after="0"/>
              <w:rPr>
                <w:sz w:val="24"/>
                <w:szCs w:val="24"/>
                <w:color w:val="auto"/>
              </w:rPr>
            </w:pPr>
          </w:p>
        </w:tc>
      </w:tr>
      <w:tr>
        <w:trPr>
          <w:trHeight w:val="229"/>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8"/>
              </w:rPr>
              <w:t>8-K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10.2</w:t>
            </w:r>
          </w:p>
        </w:tc>
      </w:tr>
      <w:tr>
        <w:trPr>
          <w:trHeight w:val="171"/>
        </w:trPr>
        <w:tc>
          <w:tcPr>
            <w:tcW w:w="980" w:type="dxa"/>
            <w:vAlign w:val="bottom"/>
          </w:tcPr>
          <w:p>
            <w:pPr>
              <w:spacing w:after="0"/>
              <w:rPr>
                <w:sz w:val="14"/>
                <w:szCs w:val="14"/>
                <w:color w:val="auto"/>
              </w:rPr>
            </w:pPr>
          </w:p>
        </w:tc>
        <w:tc>
          <w:tcPr>
            <w:tcW w:w="164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06/05/2020</w:t>
            </w:r>
          </w:p>
        </w:tc>
        <w:tc>
          <w:tcPr>
            <w:tcW w:w="720" w:type="dxa"/>
            <w:vAlign w:val="bottom"/>
          </w:tcPr>
          <w:p>
            <w:pPr>
              <w:spacing w:after="0"/>
              <w:rPr>
                <w:sz w:val="14"/>
                <w:szCs w:val="14"/>
                <w:color w:val="auto"/>
              </w:rPr>
            </w:pPr>
          </w:p>
        </w:tc>
      </w:tr>
      <w:tr>
        <w:trPr>
          <w:trHeight w:val="232"/>
        </w:trPr>
        <w:tc>
          <w:tcPr>
            <w:tcW w:w="9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w w:val="98"/>
              </w:rPr>
              <w:t>8-K</w:t>
            </w:r>
          </w:p>
        </w:tc>
        <w:tc>
          <w:tcPr>
            <w:tcW w:w="16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10.1</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40" w:space="100"/>
            <w:col w:w="5620"/>
          </w:cols>
          <w:pgMar w:left="320" w:top="854" w:right="41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Restricted Stock Unit Grant &amp; Notice and Form</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140" w:type="dxa"/>
            <w:vAlign w:val="bottom"/>
            <w:tcBorders>
              <w:top w:val="single" w:sz="8" w:color="0000FF"/>
            </w:tcBorders>
            <w:gridSpan w:val="36"/>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of Restricted Stock Unit Award Agreement pursuant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0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the 2014 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Second Amended and Restated Executive Employment</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Agreement, dated as of August 4, 2011, by and between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060" w:type="dxa"/>
            <w:vAlign w:val="bottom"/>
            <w:gridSpan w:val="32"/>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Kratos Defense &amp; Security Solutions, Inc. and Eric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3520" w:type="dxa"/>
            <w:vAlign w:val="bottom"/>
            <w:tcBorders>
              <w:top w:val="single" w:sz="8" w:color="0000FF"/>
            </w:tcBorders>
            <w:gridSpan w:val="11"/>
          </w:tcPr>
          <w:p>
            <w:pPr>
              <w:spacing w:after="0" w:line="16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DeMarco.</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Second Amended and Restated Severance and Change of</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240" w:type="dxa"/>
            <w:vAlign w:val="bottom"/>
            <w:tcBorders>
              <w:top w:val="single" w:sz="8" w:color="0000FF"/>
            </w:tcBorders>
            <w:gridSpan w:val="41"/>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Control Agreement, dated as of August 4, 2011, by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between Kratos Defense &amp; Security Solutions, Inc. and</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980" w:type="dxa"/>
            <w:vAlign w:val="bottom"/>
            <w:tcBorders>
              <w:bottom w:val="single" w:sz="8" w:color="0000FF"/>
            </w:tcBorders>
            <w:gridSpan w:val="3"/>
          </w:tcPr>
          <w:p>
            <w:pPr>
              <w:spacing w:after="0" w:line="161" w:lineRule="exact"/>
              <w:rPr>
                <w:rFonts w:ascii="Times New Roman" w:cs="Times New Roman" w:eastAsia="Times New Roman" w:hAnsi="Times New Roman"/>
                <w:sz w:val="17"/>
                <w:szCs w:val="17"/>
                <w:color w:val="0000FF"/>
                <w:w w:val="99"/>
              </w:rPr>
            </w:pPr>
            <w:hyperlink r:id="rId99">
              <w:r>
                <w:rPr>
                  <w:rFonts w:ascii="Times New Roman" w:cs="Times New Roman" w:eastAsia="Times New Roman" w:hAnsi="Times New Roman"/>
                  <w:sz w:val="17"/>
                  <w:szCs w:val="17"/>
                  <w:color w:val="0000FF"/>
                  <w:w w:val="99"/>
                </w:rPr>
                <w:t>Deanna Lund.</w:t>
              </w:r>
            </w:hyperlink>
          </w:p>
        </w:tc>
        <w:tc>
          <w:tcPr>
            <w:tcW w:w="2960" w:type="dxa"/>
            <w:vAlign w:val="bottom"/>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Amended and Restated Credit and Security Agreement,</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8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dated as of November 20, 2017, among Kratos Defense</w:t>
              </w:r>
            </w:hyperlink>
          </w:p>
        </w:tc>
        <w:tc>
          <w:tcPr>
            <w:tcW w:w="360" w:type="dxa"/>
            <w:vAlign w:val="bottom"/>
            <w:gridSpan w:val="18"/>
          </w:tcPr>
          <w:p>
            <w:pPr>
              <w:jc w:val="right"/>
              <w:ind w:right="360"/>
              <w:spacing w:after="0"/>
              <w:rPr>
                <w:rFonts w:ascii="Times New Roman" w:cs="Times New Roman" w:eastAsia="Times New Roman" w:hAnsi="Times New Roman"/>
                <w:sz w:val="3"/>
                <w:szCs w:val="3"/>
                <w:color w:val="0000FF"/>
                <w:w w:val="83"/>
              </w:rPr>
            </w:pPr>
            <w:hyperlink r:id="rId100">
              <w:r>
                <w:rPr>
                  <w:rFonts w:ascii="Times New Roman" w:cs="Times New Roman" w:eastAsia="Times New Roman" w:hAnsi="Times New Roman"/>
                  <w:sz w:val="3"/>
                  <w:szCs w:val="3"/>
                  <w:color w:val="0000FF"/>
                  <w:w w:val="83"/>
                </w:rPr>
                <w:t>&amp;</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320" w:type="dxa"/>
            <w:vAlign w:val="bottom"/>
            <w:tcBorders>
              <w:top w:val="single" w:sz="8" w:color="0000FF"/>
            </w:tcBorders>
            <w:gridSpan w:val="45"/>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Security Solutions, Inc., as Borrower, the lenders named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34"/>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therein, SunTrust Bank, as Agent, and SunTrust Robinson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300" w:type="dxa"/>
            <w:vAlign w:val="bottom"/>
            <w:tcBorders>
              <w:bottom w:val="single" w:sz="8" w:color="0000FF"/>
            </w:tcBorders>
            <w:gridSpan w:val="44"/>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Humphrey, Inc., as Lead Arranger and Sole Book Runner.</w:t>
              </w:r>
            </w:hyperlink>
          </w:p>
        </w:tc>
        <w:tc>
          <w:tcPr>
            <w:tcW w:w="40" w:type="dxa"/>
            <w:vAlign w:val="bottom"/>
            <w:tcBorders>
              <w:bottom w:val="single" w:sz="8" w:color="0000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First Amendment to Amended and Restated Credit and</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20"/>
          </w:tcPr>
          <w:p>
            <w:pPr>
              <w:spacing w:after="0" w:line="148" w:lineRule="exact"/>
              <w:rPr>
                <w:rFonts w:ascii="Times New Roman" w:cs="Times New Roman" w:eastAsia="Times New Roman" w:hAnsi="Times New Roman"/>
                <w:sz w:val="17"/>
                <w:szCs w:val="17"/>
                <w:color w:val="0000FF"/>
                <w:w w:val="98"/>
              </w:rPr>
            </w:pPr>
            <w:hyperlink r:id="rId101">
              <w:r>
                <w:rPr>
                  <w:rFonts w:ascii="Times New Roman" w:cs="Times New Roman" w:eastAsia="Times New Roman" w:hAnsi="Times New Roman"/>
                  <w:sz w:val="17"/>
                  <w:szCs w:val="17"/>
                  <w:color w:val="0000FF"/>
                  <w:w w:val="98"/>
                </w:rPr>
                <w:t>Security Agreement, dated June 11, 2018, among Kratos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120" w:type="dxa"/>
            <w:vAlign w:val="bottom"/>
            <w:tcBorders>
              <w:bottom w:val="single" w:sz="8" w:color="0000FF"/>
            </w:tcBorders>
            <w:gridSpan w:val="35"/>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Defense &amp; Security Solutions, Inc., as Borrower, each of</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4160" w:type="dxa"/>
            <w:vAlign w:val="bottom"/>
            <w:tcBorders>
              <w:bottom w:val="single" w:sz="8" w:color="0000FF"/>
            </w:tcBorders>
            <w:gridSpan w:val="37"/>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the Credit Parties and Required Lenders party thereto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720" w:type="dxa"/>
            <w:vAlign w:val="bottom"/>
            <w:tcBorders>
              <w:bottom w:val="single" w:sz="8" w:color="0000FF"/>
            </w:tcBorders>
            <w:gridSpan w:val="6"/>
          </w:tcPr>
          <w:p>
            <w:pPr>
              <w:spacing w:after="0" w:line="148" w:lineRule="exact"/>
              <w:rPr>
                <w:rFonts w:ascii="Times New Roman" w:cs="Times New Roman" w:eastAsia="Times New Roman" w:hAnsi="Times New Roman"/>
                <w:sz w:val="17"/>
                <w:szCs w:val="17"/>
                <w:color w:val="0000FF"/>
                <w:w w:val="99"/>
              </w:rPr>
            </w:pPr>
            <w:hyperlink r:id="rId101">
              <w:r>
                <w:rPr>
                  <w:rFonts w:ascii="Times New Roman" w:cs="Times New Roman" w:eastAsia="Times New Roman" w:hAnsi="Times New Roman"/>
                  <w:sz w:val="17"/>
                  <w:szCs w:val="17"/>
                  <w:color w:val="0000FF"/>
                  <w:w w:val="99"/>
                </w:rPr>
                <w:t>SunTrust Bank as Agent.</w:t>
              </w:r>
            </w:hyperlink>
          </w:p>
        </w:tc>
        <w:tc>
          <w:tcPr>
            <w:tcW w:w="2540" w:type="dxa"/>
            <w:vAlign w:val="bottom"/>
            <w:gridSpan w:val="3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Office Lease, dated as of May 1, 2017, by and between</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Kratos Defense &amp; Security Solutions, Inc. and TPP 212</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000" w:type="dxa"/>
            <w:vAlign w:val="bottom"/>
            <w:gridSpan w:val="29"/>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Scripps,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Exchange Agreement, dated February 27, 2019, by and</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among Kratos Defense &amp; Security Solutions, Inc., FTT</w:t>
              </w:r>
            </w:hyperlink>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00" w:type="dxa"/>
            <w:vAlign w:val="bottom"/>
            <w:tcBorders>
              <w:bottom w:val="single" w:sz="8" w:color="0000FF"/>
            </w:tcBorders>
            <w:gridSpan w:val="24"/>
          </w:tcPr>
          <w:p>
            <w:pPr>
              <w:spacing w:after="0" w:line="148" w:lineRule="exact"/>
              <w:rPr>
                <w:rFonts w:ascii="Times New Roman" w:cs="Times New Roman" w:eastAsia="Times New Roman" w:hAnsi="Times New Roman"/>
                <w:sz w:val="17"/>
                <w:szCs w:val="17"/>
                <w:color w:val="0000FF"/>
                <w:w w:val="99"/>
              </w:rPr>
            </w:pPr>
            <w:hyperlink r:id="rId103">
              <w:r>
                <w:rPr>
                  <w:rFonts w:ascii="Times New Roman" w:cs="Times New Roman" w:eastAsia="Times New Roman" w:hAnsi="Times New Roman"/>
                  <w:sz w:val="17"/>
                  <w:szCs w:val="17"/>
                  <w:color w:val="0000FF"/>
                  <w:w w:val="99"/>
                </w:rPr>
                <w:t>CORE, LLC, Florida Turbine Technologies, Inc., Shirley</w:t>
              </w:r>
            </w:hyperlink>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4180" w:type="dxa"/>
            <w:vAlign w:val="bottom"/>
            <w:gridSpan w:val="38"/>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Brostmeyer (“SB”), Joseph Brostmeyer (“JB”),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54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w w:val="99"/>
              </w:rPr>
            </w:pPr>
            <w:hyperlink r:id="rId103">
              <w:r>
                <w:rPr>
                  <w:rFonts w:ascii="Times New Roman" w:cs="Times New Roman" w:eastAsia="Times New Roman" w:hAnsi="Times New Roman"/>
                  <w:sz w:val="17"/>
                  <w:szCs w:val="17"/>
                  <w:color w:val="0000FF"/>
                  <w:w w:val="99"/>
                </w:rPr>
                <w:t>certain trusts established by SB, JB and members of</w:t>
              </w:r>
            </w:hyperlink>
          </w:p>
        </w:tc>
        <w:tc>
          <w:tcPr>
            <w:tcW w:w="60" w:type="dxa"/>
            <w:vAlign w:val="bottom"/>
          </w:tcPr>
          <w:p>
            <w:pPr>
              <w:spacing w:after="0"/>
              <w:rPr>
                <w:sz w:val="12"/>
                <w:szCs w:val="12"/>
                <w:color w:val="auto"/>
              </w:rPr>
            </w:pPr>
          </w:p>
        </w:tc>
        <w:tc>
          <w:tcPr>
            <w:tcW w:w="740" w:type="dxa"/>
            <w:vAlign w:val="bottom"/>
            <w:gridSpan w:val="33"/>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their</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immediate family and JB, as the Sellers Representative</w:t>
              </w:r>
              <w:r>
                <w:rPr>
                  <w:rFonts w:ascii="Times New Roman" w:cs="Times New Roman" w:eastAsia="Times New Roman" w:hAnsi="Times New Roman"/>
                  <w:sz w:val="17"/>
                  <w:szCs w:val="17"/>
                  <w:color w:val="000000"/>
                </w:rPr>
                <w:t>.</w:t>
              </w:r>
            </w:hyperlink>
          </w:p>
        </w:tc>
        <w:tc>
          <w:tcPr>
            <w:tcW w:w="380" w:type="dxa"/>
            <w:vAlign w:val="bottom"/>
            <w:tcBorders>
              <w:top w:val="single" w:sz="8" w:color="0000FF"/>
            </w:tcBorders>
            <w:gridSpan w:val="19"/>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Employment Agreement, effective January 1, 2020 by</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00" w:type="dxa"/>
            <w:vAlign w:val="bottom"/>
          </w:tcPr>
          <w:p>
            <w:pPr>
              <w:spacing w:after="0"/>
              <w:rPr>
                <w:sz w:val="12"/>
                <w:szCs w:val="12"/>
                <w:color w:val="auto"/>
              </w:rPr>
            </w:pPr>
          </w:p>
        </w:tc>
        <w:tc>
          <w:tcPr>
            <w:tcW w:w="4340" w:type="dxa"/>
            <w:vAlign w:val="bottom"/>
            <w:gridSpan w:val="46"/>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and between Kratos Defense and Security Systems, Inc.</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w w:val="98"/>
              </w:rPr>
            </w:pPr>
            <w:hyperlink r:id="rId104">
              <w:r>
                <w:rPr>
                  <w:rFonts w:ascii="Times New Roman" w:cs="Times New Roman" w:eastAsia="Times New Roman" w:hAnsi="Times New Roman"/>
                  <w:sz w:val="17"/>
                  <w:szCs w:val="17"/>
                  <w:color w:val="0000FF"/>
                  <w:w w:val="98"/>
                </w:rPr>
                <w:t>and Phil Carrai.</w:t>
              </w:r>
            </w:hyperlink>
          </w:p>
        </w:tc>
        <w:tc>
          <w:tcPr>
            <w:tcW w:w="2960" w:type="dxa"/>
            <w:vAlign w:val="bottom"/>
            <w:tcBorders>
              <w:top w:val="single" w:sz="8" w:color="0000FF"/>
            </w:tcBorders>
            <w:gridSpan w:val="27"/>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Employment Agreement, effective November 18, 2020</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4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by and between Kratos Defense and Security Systems,</w:t>
              </w:r>
            </w:hyperlink>
          </w:p>
        </w:tc>
        <w:tc>
          <w:tcPr>
            <w:tcW w:w="180" w:type="dxa"/>
            <w:vAlign w:val="bottom"/>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6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Inc. and Steven Fendley.</w:t>
              </w:r>
            </w:hyperlink>
          </w:p>
        </w:tc>
        <w:tc>
          <w:tcPr>
            <w:tcW w:w="20" w:type="dxa"/>
            <w:vAlign w:val="bottom"/>
          </w:tcPr>
          <w:p>
            <w:pPr>
              <w:spacing w:after="0"/>
              <w:rPr>
                <w:sz w:val="12"/>
                <w:szCs w:val="12"/>
                <w:color w:val="auto"/>
              </w:rPr>
            </w:pPr>
          </w:p>
        </w:tc>
        <w:tc>
          <w:tcPr>
            <w:tcW w:w="240" w:type="dxa"/>
            <w:vAlign w:val="bottom"/>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10.18</w:t>
            </w:r>
          </w:p>
        </w:tc>
        <w:tc>
          <w:tcPr>
            <w:tcW w:w="1680" w:type="dxa"/>
            <w:vAlign w:val="bottom"/>
            <w:gridSpan w:val="5"/>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4340" w:type="dxa"/>
            <w:vAlign w:val="bottom"/>
            <w:gridSpan w:val="46"/>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Amended and Restated Lease Agreement, dated as of</w:t>
              </w:r>
            </w:hyperlink>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372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December 20, 2019, by and between STORE Capital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64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Acquisitions, LLC and Kratos RT Logic, Inc.</w:t>
              </w:r>
            </w:hyperlink>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First Amendment to Exchange Agreement, dated as of</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February 18, 2022, by and among Kratos Defense &amp;</w:t>
              </w:r>
            </w:hyperlink>
          </w:p>
        </w:tc>
        <w:tc>
          <w:tcPr>
            <w:tcW w:w="40" w:type="dxa"/>
            <w:vAlign w:val="bottom"/>
            <w:gridSpan w:val="2"/>
          </w:tcPr>
          <w:p>
            <w:pPr>
              <w:spacing w:after="0"/>
              <w:rPr>
                <w:sz w:val="12"/>
                <w:szCs w:val="12"/>
                <w:color w:val="auto"/>
              </w:rPr>
            </w:pPr>
          </w:p>
        </w:tc>
        <w:tc>
          <w:tcPr>
            <w:tcW w:w="240" w:type="dxa"/>
            <w:vAlign w:val="bottom"/>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Security Solutions, Inc., FTT CORE, LLC, Florida</w:t>
              </w:r>
            </w:hyperlink>
          </w:p>
        </w:tc>
        <w:tc>
          <w:tcPr>
            <w:tcW w:w="100" w:type="dxa"/>
            <w:vAlign w:val="bottom"/>
            <w:tcBorders>
              <w:top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240" w:type="dxa"/>
            <w:vAlign w:val="bottom"/>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4340" w:type="dxa"/>
            <w:vAlign w:val="bottom"/>
            <w:gridSpan w:val="46"/>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Turbine Technologies, Inc., Shirley Brostmeyer (“SB”),</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Joseph Brostmeyer (“JB”), and certain trusts established</w:t>
              </w:r>
            </w:hyperlink>
          </w:p>
        </w:tc>
        <w:tc>
          <w:tcPr>
            <w:tcW w:w="60" w:type="dxa"/>
            <w:vAlign w:val="bottom"/>
            <w:tcBorders>
              <w:bottom w:val="single" w:sz="8" w:color="0000FF"/>
            </w:tcBorders>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080" w:type="dxa"/>
            <w:vAlign w:val="bottom"/>
            <w:gridSpan w:val="33"/>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by SB, JB and members of their immediate family and</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JB, as the Sellers Representative.</w:t>
              </w:r>
            </w:hyperlink>
          </w:p>
        </w:tc>
        <w:tc>
          <w:tcPr>
            <w:tcW w:w="1500" w:type="dxa"/>
            <w:vAlign w:val="bottom"/>
            <w:tcBorders>
              <w:top w:val="single" w:sz="8" w:color="0000FF"/>
            </w:tcBorders>
            <w:gridSpan w:val="10"/>
          </w:tcPr>
          <w:p>
            <w:pPr>
              <w:spacing w:after="0"/>
              <w:rPr>
                <w:sz w:val="13"/>
                <w:szCs w:val="13"/>
                <w:color w:val="auto"/>
              </w:rPr>
            </w:pPr>
          </w:p>
        </w:tc>
        <w:tc>
          <w:tcPr>
            <w:tcW w:w="420" w:type="dxa"/>
            <w:vAlign w:val="bottom"/>
            <w:gridSpan w:val="21"/>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4340" w:type="dxa"/>
            <w:vAlign w:val="bottom"/>
            <w:gridSpan w:val="46"/>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Credit Agreement, dated as of February 18, 2022, among</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39"/>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Kratos Defense and Security Solutions, Inc., as Borrower,</w:t>
              </w:r>
            </w:hyperlink>
          </w:p>
        </w:tc>
        <w:tc>
          <w:tcPr>
            <w:tcW w:w="80" w:type="dxa"/>
            <w:vAlign w:val="bottom"/>
            <w:tcBorders>
              <w:bottom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20" w:type="dxa"/>
            <w:vAlign w:val="bottom"/>
            <w:tcBorders>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the lenders from time to time party hereto, and Truist</w:t>
              </w:r>
            </w:hyperlink>
          </w:p>
        </w:tc>
        <w:tc>
          <w:tcPr>
            <w:tcW w:w="560" w:type="dxa"/>
            <w:vAlign w:val="bottom"/>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ind w:left="1400"/>
        <w:spacing w:after="0"/>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Bank, as Administrative Agent.</w:t>
        </w:r>
      </w:hyperlink>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8-K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8-K</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8-K</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02/24/2020</w:t>
      </w:r>
    </w:p>
    <w:p>
      <w:pPr>
        <w:ind w:left="40"/>
        <w:spacing w:after="0"/>
        <w:rPr>
          <w:sz w:val="20"/>
          <w:szCs w:val="20"/>
          <w:color w:val="auto"/>
        </w:rPr>
      </w:pPr>
      <w:r>
        <w:rPr>
          <w:rFonts w:ascii="Times New Roman" w:cs="Times New Roman" w:eastAsia="Times New Roman" w:hAnsi="Times New Roman"/>
          <w:sz w:val="17"/>
          <w:szCs w:val="17"/>
          <w:color w:val="auto"/>
        </w:rPr>
        <w:t>(01-34460)</w:t>
      </w: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08/04/2011</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08/04/2011</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11/21/2017</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06/13/2018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05/04/2017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05/08/2019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05/07/2020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02/25/2021</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02/22/2022</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02/22/2022</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02/22/2022</w:t>
      </w:r>
    </w:p>
    <w:p>
      <w:pPr>
        <w:spacing w:after="0"/>
        <w:rPr>
          <w:sz w:val="20"/>
          <w:szCs w:val="20"/>
          <w:color w:val="auto"/>
        </w:rPr>
      </w:pPr>
      <w:r>
        <w:rPr>
          <w:rFonts w:ascii="Times New Roman" w:cs="Times New Roman" w:eastAsia="Times New Roman" w:hAnsi="Times New Roman"/>
          <w:sz w:val="17"/>
          <w:szCs w:val="17"/>
          <w:color w:val="auto"/>
        </w:rPr>
        <w:t>(001-34460)</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10.15</w:t>
      </w:r>
    </w:p>
    <w:p>
      <w:pPr>
        <w:spacing w:after="0" w:line="200" w:lineRule="exact"/>
        <w:rPr>
          <w:sz w:val="20"/>
          <w:szCs w:val="20"/>
          <w:color w:val="auto"/>
        </w:rPr>
      </w:pPr>
    </w:p>
    <w:p>
      <w:pPr>
        <w:spacing w:after="0" w:line="35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33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10.1</w:t>
      </w:r>
    </w:p>
    <w:p>
      <w:pPr>
        <w:spacing w:after="0" w:line="37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10.2</w:t>
      </w:r>
    </w:p>
    <w:p>
      <w:pPr>
        <w:spacing w:after="0" w:line="37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10.19</w:t>
      </w:r>
    </w:p>
    <w:p>
      <w:pPr>
        <w:spacing w:after="0" w:line="200" w:lineRule="exact"/>
        <w:rPr>
          <w:sz w:val="20"/>
          <w:szCs w:val="20"/>
          <w:color w:val="auto"/>
        </w:rPr>
      </w:pPr>
    </w:p>
    <w:p>
      <w:pPr>
        <w:spacing w:after="0" w:line="35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4">
            <w:col w:w="5680" w:space="320"/>
            <w:col w:w="440" w:space="720"/>
            <w:col w:w="960" w:space="720"/>
            <w:col w:w="1279"/>
          </w:cols>
          <w:pgMar w:left="340" w:top="975" w:right="1440"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4280" w:type="dxa"/>
            <w:vAlign w:val="bottom"/>
            <w:gridSpan w:val="19"/>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Equity Purchase Agreement, date as of June 13, 2022, by</w:t>
              </w:r>
            </w:hyperlink>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4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and among Kratos Defense &amp; Security Solutions, Inc.,</w:t>
              </w:r>
            </w:hyperlink>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w w:val="99"/>
              </w:rPr>
            </w:pPr>
            <w:hyperlink r:id="rId110">
              <w:r>
                <w:rPr>
                  <w:rFonts w:ascii="Times New Roman" w:cs="Times New Roman" w:eastAsia="Times New Roman" w:hAnsi="Times New Roman"/>
                  <w:sz w:val="17"/>
                  <w:szCs w:val="17"/>
                  <w:color w:val="0000FF"/>
                  <w:w w:val="99"/>
                </w:rPr>
                <w:t>Joseph Brostmeyer (“JB”), Shirley Brostmeyer (“SB”),</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color w:val="auto"/>
              </w:rPr>
              <w:t>08/04/2022</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4280" w:type="dxa"/>
            <w:vAlign w:val="bottom"/>
            <w:gridSpan w:val="19"/>
          </w:tcPr>
          <w:p>
            <w:pPr>
              <w:spacing w:after="0" w:line="161"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and certain trusts established by JB, SB and members of</w:t>
              </w:r>
            </w:hyperlink>
          </w:p>
        </w:tc>
        <w:tc>
          <w:tcPr>
            <w:tcW w:w="108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their immediate family, as Sellers.</w:t>
              </w:r>
            </w:hyperlink>
          </w:p>
        </w:tc>
        <w:tc>
          <w:tcPr>
            <w:tcW w:w="15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ind w:left="320"/>
              <w:spacing w:after="0" w:line="148" w:lineRule="exact"/>
              <w:rPr>
                <w:sz w:val="20"/>
                <w:szCs w:val="20"/>
                <w:color w:val="auto"/>
              </w:rPr>
            </w:pPr>
            <w:r>
              <w:rPr>
                <w:rFonts w:ascii="Times New Roman" w:cs="Times New Roman" w:eastAsia="Times New Roman" w:hAnsi="Times New Roman"/>
                <w:sz w:val="17"/>
                <w:szCs w:val="17"/>
                <w:color w:val="auto"/>
              </w:rPr>
              <w:t>10-Q</w:t>
            </w:r>
          </w:p>
        </w:tc>
        <w:tc>
          <w:tcPr>
            <w:tcW w:w="1700" w:type="dxa"/>
            <w:vAlign w:val="bottom"/>
          </w:tcPr>
          <w:p>
            <w:pPr>
              <w:jc w:val="right"/>
              <w:ind w:right="334"/>
              <w:spacing w:after="0" w:line="148" w:lineRule="exact"/>
              <w:rPr>
                <w:sz w:val="20"/>
                <w:szCs w:val="20"/>
                <w:color w:val="auto"/>
              </w:rPr>
            </w:pPr>
            <w:r>
              <w:rPr>
                <w:rFonts w:ascii="Times New Roman" w:cs="Times New Roman" w:eastAsia="Times New Roman" w:hAnsi="Times New Roman"/>
                <w:sz w:val="17"/>
                <w:szCs w:val="17"/>
                <w:color w:val="auto"/>
              </w:rPr>
              <w:t>(001-34460)</w:t>
            </w:r>
          </w:p>
        </w:tc>
        <w:tc>
          <w:tcPr>
            <w:tcW w:w="720" w:type="dxa"/>
            <w:vAlign w:val="bottom"/>
          </w:tcPr>
          <w:p>
            <w:pPr>
              <w:jc w:val="right"/>
              <w:spacing w:after="0" w:line="148" w:lineRule="exact"/>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42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List of Subsidiaries.</w:t>
            </w: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2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w:t>
            </w: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60" w:type="dxa"/>
            <w:vAlign w:val="bottom"/>
            <w:tcBorders>
              <w:top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7"/>
                <w:szCs w:val="17"/>
                <w:color w:val="0000FF"/>
              </w:rPr>
              <w:t>Firm.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42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w:t>
            </w: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 Oxley Act of 2002.</w:t>
            </w:r>
          </w:p>
        </w:tc>
        <w:tc>
          <w:tcPr>
            <w:tcW w:w="2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2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w:t>
            </w: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 Oxley Act of 2002.</w:t>
            </w:r>
          </w:p>
        </w:tc>
        <w:tc>
          <w:tcPr>
            <w:tcW w:w="220" w:type="dxa"/>
            <w:vAlign w:val="bottom"/>
            <w:tcBorders>
              <w:top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3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pursuant to 18 U.S.C. Section 1350, as</w:t>
            </w:r>
          </w:p>
        </w:tc>
        <w:tc>
          <w:tcPr>
            <w:tcW w:w="700" w:type="dxa"/>
            <w:vAlign w:val="bottom"/>
            <w:gridSpan w:val="10"/>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280" w:type="dxa"/>
            <w:vAlign w:val="bottom"/>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906 of the Sarbanes-Oxley</w:t>
            </w: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Act of 2002 for Eric M. DeMarco.</w:t>
            </w:r>
          </w:p>
        </w:tc>
        <w:tc>
          <w:tcPr>
            <w:tcW w:w="1420" w:type="dxa"/>
            <w:vAlign w:val="bottom"/>
            <w:tcBorders>
              <w:top w:val="single" w:sz="8" w:color="0000FF"/>
            </w:tcBorders>
            <w:gridSpan w:val="9"/>
          </w:tcPr>
          <w:p>
            <w:pPr>
              <w:spacing w:after="0"/>
              <w:rPr>
                <w:sz w:val="12"/>
                <w:szCs w:val="12"/>
                <w:color w:val="auto"/>
              </w:rPr>
            </w:pPr>
          </w:p>
        </w:tc>
        <w:tc>
          <w:tcPr>
            <w:tcW w:w="10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3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pursuant to 18 U.S.C. Section 1350, as</w:t>
            </w:r>
          </w:p>
        </w:tc>
        <w:tc>
          <w:tcPr>
            <w:tcW w:w="700" w:type="dxa"/>
            <w:vAlign w:val="bottom"/>
            <w:gridSpan w:val="10"/>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4280" w:type="dxa"/>
            <w:vAlign w:val="bottom"/>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906 of the Sarbanes-Oxley</w:t>
            </w: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00" w:type="dxa"/>
            <w:vAlign w:val="bottom"/>
            <w:tcBorders>
              <w:top w:val="single" w:sz="8" w:color="0000FF"/>
            </w:tcBorders>
            <w:gridSpan w:val="14"/>
          </w:tcPr>
          <w:p>
            <w:pPr>
              <w:spacing w:after="0" w:line="148" w:lineRule="exact"/>
              <w:rPr>
                <w:sz w:val="20"/>
                <w:szCs w:val="20"/>
                <w:color w:val="auto"/>
              </w:rPr>
            </w:pPr>
            <w:r>
              <w:rPr>
                <w:rFonts w:ascii="Times New Roman" w:cs="Times New Roman" w:eastAsia="Times New Roman" w:hAnsi="Times New Roman"/>
                <w:sz w:val="17"/>
                <w:szCs w:val="17"/>
                <w:color w:val="0000FF"/>
              </w:rPr>
              <w:t>Act of 2002 for Deanna Lund.</w:t>
            </w:r>
          </w:p>
        </w:tc>
        <w:tc>
          <w:tcPr>
            <w:tcW w:w="10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42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XBRL Instance Document-the instance document does</w:t>
            </w: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13"/>
          </w:tcPr>
          <w:p>
            <w:pPr>
              <w:spacing w:after="0" w:line="148" w:lineRule="exact"/>
              <w:rPr>
                <w:sz w:val="20"/>
                <w:szCs w:val="20"/>
                <w:color w:val="auto"/>
              </w:rPr>
            </w:pPr>
            <w:r>
              <w:rPr>
                <w:rFonts w:ascii="Times New Roman" w:cs="Times New Roman" w:eastAsia="Times New Roman" w:hAnsi="Times New Roman"/>
                <w:sz w:val="17"/>
                <w:szCs w:val="17"/>
                <w:color w:val="0000FF"/>
                <w:w w:val="97"/>
              </w:rPr>
              <w:t>not appear in the Interactive Data File because its XBRL</w:t>
            </w:r>
          </w:p>
        </w:tc>
        <w:tc>
          <w:tcPr>
            <w:tcW w:w="120" w:type="dxa"/>
            <w:vAlign w:val="bottom"/>
            <w:tcBorders>
              <w:bottom w:val="single" w:sz="8" w:color="0000FF"/>
            </w:tcBorders>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00" w:type="dxa"/>
            <w:vAlign w:val="bottom"/>
            <w:gridSpan w:val="17"/>
          </w:tcPr>
          <w:p>
            <w:pPr>
              <w:spacing w:after="0" w:line="148" w:lineRule="exact"/>
              <w:rPr>
                <w:sz w:val="20"/>
                <w:szCs w:val="20"/>
                <w:color w:val="auto"/>
              </w:rPr>
            </w:pPr>
            <w:r>
              <w:rPr>
                <w:rFonts w:ascii="Times New Roman" w:cs="Times New Roman" w:eastAsia="Times New Roman" w:hAnsi="Times New Roman"/>
                <w:sz w:val="17"/>
                <w:szCs w:val="17"/>
                <w:color w:val="0000FF"/>
              </w:rPr>
              <w:t>tags are embedded within the Inline XBRL document</w:t>
            </w:r>
          </w:p>
        </w:tc>
        <w:tc>
          <w:tcPr>
            <w:tcW w:w="3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68" w:lineRule="exact"/>
        <w:rPr>
          <w:sz w:val="20"/>
          <w:szCs w:val="20"/>
          <w:color w:val="auto"/>
        </w:rPr>
      </w:pPr>
    </w:p>
    <w:p>
      <w:pPr>
        <w:sectPr>
          <w:pgSz w:w="11900" w:h="16838" w:orient="portrait"/>
          <w:cols w:equalWidth="0" w:num="2">
            <w:col w:w="9200" w:space="640"/>
            <w:col w:w="299"/>
          </w:cols>
          <w:pgMar w:left="320" w:top="975" w:right="1440" w:bottom="1440" w:gutter="0" w:footer="0" w:header="0"/>
        </w:sectPr>
      </w:pPr>
    </w:p>
    <w:tbl>
      <w:tblPr>
        <w:tblLayout w:type="fixed"/>
        <w:tblInd w:w="2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3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XBRL Taxonomy Extension Schema Document</w:t>
            </w:r>
          </w:p>
        </w:tc>
        <w:tc>
          <w:tcPr>
            <w:tcW w:w="2800" w:type="dxa"/>
            <w:vAlign w:val="bottom"/>
            <w:gridSpan w:val="5"/>
          </w:tcPr>
          <w:p>
            <w:pPr>
              <w:spacing w:after="0"/>
              <w:rPr>
                <w:sz w:val="17"/>
                <w:szCs w:val="17"/>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6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XBRL Taxonomy Extension Calculation Linkbase</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400" w:type="dxa"/>
            <w:vAlign w:val="bottom"/>
          </w:tcPr>
          <w:p>
            <w:pPr>
              <w:spacing w:after="0"/>
              <w:rPr>
                <w:sz w:val="12"/>
                <w:szCs w:val="12"/>
                <w:color w:val="auto"/>
              </w:rPr>
            </w:pPr>
          </w:p>
        </w:tc>
        <w:tc>
          <w:tcPr>
            <w:tcW w:w="3480" w:type="dxa"/>
            <w:vAlign w:val="bottom"/>
            <w:tcBorders>
              <w:top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7"/>
                <w:szCs w:val="17"/>
                <w:color w:val="0000FF"/>
              </w:rPr>
              <w:t>Document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6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XBRL Taxonomy Extension Definition Linkbase</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400" w:type="dxa"/>
            <w:vAlign w:val="bottom"/>
          </w:tcPr>
          <w:p>
            <w:pPr>
              <w:spacing w:after="0"/>
              <w:rPr>
                <w:sz w:val="12"/>
                <w:szCs w:val="12"/>
                <w:color w:val="auto"/>
              </w:rPr>
            </w:pPr>
          </w:p>
        </w:tc>
        <w:tc>
          <w:tcPr>
            <w:tcW w:w="3400" w:type="dxa"/>
            <w:vAlign w:val="bottom"/>
            <w:tcBorders>
              <w:top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Document</w:t>
            </w:r>
          </w:p>
        </w:tc>
        <w:tc>
          <w:tcPr>
            <w:tcW w:w="1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3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XBRL Taxonomy Extension Label Linkbase Document</w:t>
            </w:r>
          </w:p>
        </w:tc>
        <w:tc>
          <w:tcPr>
            <w:tcW w:w="22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6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XBRL Taxonomy Extension Presentation Linkbase</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400" w:type="dxa"/>
            <w:vAlign w:val="bottom"/>
          </w:tcPr>
          <w:p>
            <w:pPr>
              <w:spacing w:after="0"/>
              <w:rPr>
                <w:sz w:val="12"/>
                <w:szCs w:val="12"/>
                <w:color w:val="auto"/>
              </w:rPr>
            </w:pPr>
          </w:p>
        </w:tc>
        <w:tc>
          <w:tcPr>
            <w:tcW w:w="3540" w:type="dxa"/>
            <w:vAlign w:val="bottom"/>
            <w:tcBorders>
              <w:top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Document</w:t>
            </w:r>
          </w:p>
        </w:tc>
        <w:tc>
          <w:tcPr>
            <w:tcW w:w="2580" w:type="dxa"/>
            <w:vAlign w:val="bottom"/>
            <w:gridSpan w:val="2"/>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6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w:t>
            </w:r>
          </w:p>
        </w:tc>
        <w:tc>
          <w:tcPr>
            <w:tcW w:w="2380" w:type="dxa"/>
            <w:vAlign w:val="bottom"/>
          </w:tcPr>
          <w:p>
            <w:pPr>
              <w:spacing w:after="0"/>
              <w:rPr>
                <w:sz w:val="17"/>
                <w:szCs w:val="17"/>
                <w:color w:val="auto"/>
              </w:rPr>
            </w:pPr>
          </w:p>
        </w:tc>
      </w:tr>
      <w:tr>
        <w:trPr>
          <w:trHeight w:val="232"/>
        </w:trPr>
        <w:tc>
          <w:tcPr>
            <w:tcW w:w="1400" w:type="dxa"/>
            <w:vAlign w:val="bottom"/>
          </w:tcPr>
          <w:p>
            <w:pPr>
              <w:spacing w:after="0"/>
              <w:rPr>
                <w:sz w:val="20"/>
                <w:szCs w:val="20"/>
                <w:color w:val="auto"/>
              </w:rPr>
            </w:pPr>
          </w:p>
        </w:tc>
        <w:tc>
          <w:tcPr>
            <w:tcW w:w="6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XBRL and contained in Exhibit 101)</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2456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779" w:firstLine="3"/>
        <w:spacing w:after="0" w:line="287" w:lineRule="auto"/>
        <w:tabs>
          <w:tab w:leader="none" w:pos="34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information contained in this Exhibit has been omitted because it is both (i) not material and (ii) would be competitively harmful if publicly disclosed.</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Exhibits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Item 15(a)(3) above.</w:t>
      </w:r>
    </w:p>
    <w:p>
      <w:pPr>
        <w:spacing w:after="0" w:line="200" w:lineRule="exact"/>
        <w:rPr>
          <w:sz w:val="20"/>
          <w:szCs w:val="20"/>
          <w:color w:val="auto"/>
        </w:rPr>
      </w:pPr>
    </w:p>
    <w:p>
      <w:pPr>
        <w:spacing w:after="0" w:line="219" w:lineRule="exact"/>
        <w:rPr>
          <w:sz w:val="20"/>
          <w:szCs w:val="20"/>
          <w:color w:val="auto"/>
        </w:rPr>
      </w:pPr>
    </w:p>
    <w:p>
      <w:pPr>
        <w:ind w:left="620" w:right="7659" w:hanging="617"/>
        <w:spacing w:after="0" w:line="497" w:lineRule="auto"/>
        <w:tabs>
          <w:tab w:leader="none" w:pos="235"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75" w:right="1440"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bookmarkStart w:id="67" w:name="page68"/>
    <w:bookmarkEnd w:id="67"/>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23, 2023</w:t>
      </w:r>
    </w:p>
    <w:p>
      <w:pPr>
        <w:spacing w:after="0" w:line="2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Kratos Defense &amp; Security Solutions, Inc.</w:t>
      </w:r>
    </w:p>
    <w:p>
      <w:pPr>
        <w:spacing w:after="0" w:line="282" w:lineRule="exact"/>
        <w:rPr>
          <w:sz w:val="20"/>
          <w:szCs w:val="20"/>
          <w:color w:val="auto"/>
        </w:rPr>
      </w:pPr>
    </w:p>
    <w:p>
      <w:pPr>
        <w:ind w:left="4620"/>
        <w:spacing w:after="0"/>
        <w:tabs>
          <w:tab w:leader="none" w:pos="74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33655</wp:posOffset>
            </wp:positionV>
            <wp:extent cx="37985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3798570" cy="8255"/>
                    </a:xfrm>
                    <a:prstGeom prst="rect">
                      <a:avLst/>
                    </a:prstGeom>
                    <a:noFill/>
                  </pic:spPr>
                </pic:pic>
              </a:graphicData>
            </a:graphic>
          </wp:anchor>
        </w:drawing>
      </w:r>
    </w:p>
    <w:p>
      <w:pPr>
        <w:spacing w:after="0" w:line="4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color w:val="auto"/>
        </w:rPr>
        <w:t>Eric M. DeMarco</w:t>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(Principal</w:t>
      </w:r>
    </w:p>
    <w:p>
      <w:pPr>
        <w:ind w:left="7560"/>
        <w:spacing w:after="0"/>
        <w:rPr>
          <w:sz w:val="20"/>
          <w:szCs w:val="20"/>
          <w:color w:val="auto"/>
        </w:rPr>
      </w:pPr>
      <w:r>
        <w:rPr>
          <w:rFonts w:ascii="Times New Roman" w:cs="Times New Roman" w:eastAsia="Times New Roman" w:hAnsi="Times New Roman"/>
          <w:sz w:val="17"/>
          <w:szCs w:val="17"/>
          <w:i w:val="1"/>
          <w:iCs w:val="1"/>
          <w:color w:val="auto"/>
        </w:rPr>
        <w:t>Executive Officer)</w:t>
      </w:r>
    </w:p>
    <w:p>
      <w:pPr>
        <w:spacing w:after="0" w:line="225" w:lineRule="exact"/>
        <w:rPr>
          <w:sz w:val="20"/>
          <w:szCs w:val="20"/>
          <w:color w:val="auto"/>
        </w:rPr>
      </w:pPr>
    </w:p>
    <w:p>
      <w:pPr>
        <w:ind w:right="74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320" w:top="8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color w:val="auto"/>
        </w:rPr>
        <w:t>Signature</w:t>
      </w:r>
    </w:p>
    <w:p>
      <w:pPr>
        <w:spacing w:after="0" w:line="29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Eric M. DeMarco</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Eric M. DeMarco</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Deanna H. Lund</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Deanna H. Lund</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Maria Cervantes de Burgreen</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Maria Cervantes de Burgreen</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Scott Anderson</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Scott Anderson</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William Hoglund</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William Hoglund</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Scot Jarvis</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Scot Jarvis</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Jane E. Judd</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Jane E. Judd</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Sam Liberatore</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Sam Liberatore</w:t>
      </w:r>
    </w:p>
    <w:p>
      <w:pPr>
        <w:spacing w:after="0" w:line="267"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Amy Zegart</w:t>
      </w:r>
    </w:p>
    <w:p>
      <w:pPr>
        <w:jc w:val="center"/>
        <w:ind w:left="1320"/>
        <w:spacing w:after="0"/>
        <w:rPr>
          <w:sz w:val="20"/>
          <w:szCs w:val="20"/>
          <w:color w:val="auto"/>
        </w:rPr>
      </w:pPr>
      <w:r>
        <w:rPr>
          <w:rFonts w:ascii="Times New Roman" w:cs="Times New Roman" w:eastAsia="Times New Roman" w:hAnsi="Times New Roman"/>
          <w:sz w:val="17"/>
          <w:szCs w:val="17"/>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Title</w:t>
      </w:r>
    </w:p>
    <w:p>
      <w:pPr>
        <w:spacing w:after="0" w:line="307"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7"/>
          <w:szCs w:val="17"/>
          <w:color w:val="auto"/>
        </w:rPr>
        <w:t>President, Chief Executive Officer and Director (Principal Executive Officer)</w:t>
      </w:r>
    </w:p>
    <w:p>
      <w:pPr>
        <w:spacing w:after="0" w:line="2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Executive Vice President, Chief Financial Officer and Director (Principal Financial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Corporate Controller</w:t>
      </w:r>
    </w:p>
    <w:p>
      <w:pPr>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w:t>
      </w:r>
    </w:p>
    <w:p>
      <w:pPr>
        <w:spacing w:after="0" w:line="295" w:lineRule="exact"/>
        <w:rPr>
          <w:sz w:val="20"/>
          <w:szCs w:val="20"/>
          <w:color w:val="auto"/>
        </w:rPr>
      </w:pPr>
    </w:p>
    <w:p>
      <w:pPr>
        <w:sectPr>
          <w:pgSz w:w="11900" w:h="16838" w:orient="portrait"/>
          <w:cols w:equalWidth="0" w:num="3">
            <w:col w:w="4460" w:space="720"/>
            <w:col w:w="4320" w:space="660"/>
            <w:col w:w="1180"/>
          </w:cols>
          <w:pgMar w:left="320" w:top="85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b w:val="1"/>
                <w:bCs w:val="1"/>
                <w:color w:val="000000"/>
              </w:rPr>
              <w:t>(PCAOB ID No. 34)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2"/>
              </w:rPr>
              <w:t>F-2</w:t>
            </w:r>
          </w:p>
        </w:tc>
      </w:tr>
      <w:tr>
        <w:trPr>
          <w:trHeight w:val="20"/>
        </w:trPr>
        <w:tc>
          <w:tcPr>
            <w:tcW w:w="3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9"/>
        </w:trPr>
        <w:tc>
          <w:tcPr>
            <w:tcW w:w="8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25, 2022 and December 26, 2021</w:t>
            </w:r>
          </w:p>
        </w:tc>
        <w:tc>
          <w:tcPr>
            <w:tcW w:w="178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2"/>
              </w:rPr>
              <w:t>F-5</w:t>
            </w:r>
          </w:p>
        </w:tc>
      </w:tr>
      <w:tr>
        <w:trPr>
          <w:trHeight w:val="199"/>
        </w:trPr>
        <w:tc>
          <w:tcPr>
            <w:tcW w:w="8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25, 2022, December 26, 2021, and December 27, 2020</w:t>
            </w:r>
          </w:p>
        </w:tc>
        <w:tc>
          <w:tcPr>
            <w:tcW w:w="17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2"/>
              </w:rPr>
              <w:t>F-6</w:t>
            </w:r>
          </w:p>
        </w:tc>
      </w:tr>
      <w:tr>
        <w:trPr>
          <w:trHeight w:val="199"/>
        </w:trPr>
        <w:tc>
          <w:tcPr>
            <w:tcW w:w="10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Years Ended December 25, 2022, December 26, 2021, and December 27, 2020</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2"/>
              </w:rPr>
              <w:t>F-7</w:t>
            </w:r>
          </w:p>
        </w:tc>
      </w:tr>
      <w:tr>
        <w:trPr>
          <w:trHeight w:val="199"/>
        </w:trPr>
        <w:tc>
          <w:tcPr>
            <w:tcW w:w="10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25, 2022, December 26, 2021, and December 27, 2020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2"/>
              </w:rPr>
              <w:t>F-8</w:t>
            </w:r>
          </w:p>
        </w:tc>
      </w:tr>
      <w:tr>
        <w:trPr>
          <w:trHeight w:val="199"/>
        </w:trPr>
        <w:tc>
          <w:tcPr>
            <w:tcW w:w="87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25, 2022, December 26, 2021, and December 27, 2020</w:t>
            </w:r>
          </w:p>
        </w:tc>
        <w:tc>
          <w:tcPr>
            <w:tcW w:w="640" w:type="dxa"/>
            <w:vAlign w:val="bottom"/>
            <w:tcBorders>
              <w:top w:val="single" w:sz="8" w:color="0000FF"/>
            </w:tcBorders>
          </w:tcPr>
          <w:p>
            <w:pPr>
              <w:spacing w:after="0"/>
              <w:rPr>
                <w:sz w:val="17"/>
                <w:szCs w:val="17"/>
                <w:color w:val="auto"/>
              </w:rPr>
            </w:pPr>
          </w:p>
        </w:tc>
        <w:tc>
          <w:tcPr>
            <w:tcW w:w="10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2"/>
              </w:rPr>
              <w:t>F-9</w:t>
            </w:r>
          </w:p>
        </w:tc>
      </w:tr>
      <w:tr>
        <w:trPr>
          <w:trHeight w:val="199"/>
        </w:trPr>
        <w:tc>
          <w:tcPr>
            <w:tcW w:w="10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F-10</w:t>
            </w:r>
          </w:p>
        </w:tc>
      </w:tr>
      <w:tr>
        <w:trPr>
          <w:trHeight w:val="20"/>
        </w:trPr>
        <w:tc>
          <w:tcPr>
            <w:tcW w:w="30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1086"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Kratos Defense &amp; Security Solutions,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Opinions on the Financial Statements and Internal Control over Financial Reporting</w:t>
      </w:r>
    </w:p>
    <w:p>
      <w:pPr>
        <w:spacing w:after="0" w:line="18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 xml:space="preserve">We have audited the accompanying consolidated balance sheets of Kratos Defense &amp; Security Solutions, Inc. and subsidiaries (the "Company") as of December 25, 2022 and December 26, 2021, the related consolidated statements of operations, comprehensive income (loss), stockholders' equity, and cash flows, for each of the three fiscal years in the period ended December 25, 2022, and the related notes (collectively referred to as the "financial statements"). We also have audited the Company’s internal control over financial reporting as of December 25, 2022, based on criteria established in </w:t>
      </w:r>
      <w:r>
        <w:rPr>
          <w:rFonts w:ascii="Times New Roman" w:cs="Times New Roman" w:eastAsia="Times New Roman" w:hAnsi="Times New Roman"/>
          <w:sz w:val="15"/>
          <w:szCs w:val="15"/>
          <w:i w:val="1"/>
          <w:iCs w:val="1"/>
          <w:color w:val="auto"/>
        </w:rPr>
        <w:t>Internal Control - Integrated Framework (2013)</w:t>
      </w:r>
      <w:r>
        <w:rPr>
          <w:rFonts w:ascii="Times New Roman" w:cs="Times New Roman" w:eastAsia="Times New Roman" w:hAnsi="Times New Roman"/>
          <w:sz w:val="15"/>
          <w:szCs w:val="15"/>
          <w:color w:val="auto"/>
        </w:rPr>
        <w:t xml:space="preserve"> issued by the Committee of Sponsoring Organizations of the Treadway Commission (COSO).</w:t>
      </w:r>
    </w:p>
    <w:p>
      <w:pPr>
        <w:spacing w:after="0" w:line="13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In our opinion, the financial statements referred to above present fairly, in all material respects, the financial position of the Company as of December 25, 2022 and December 26, 2021, and the results of its operations and its cash flows for each of the three years in the period ended December 25, 2022, in conformity with accounting principles generally accepted in the United States of America. Also, in our opinion, the Company maintained, in all material respects, effective internal control over financial reporting as of December 25, 2022, based on criteria established in Internal Control - Integrated Framework (2013) issued by COSO.</w:t>
      </w:r>
    </w:p>
    <w:p>
      <w:pPr>
        <w:spacing w:after="0" w:line="11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As described in Management’s Report on Internal Control over Financial Reporting, management excluded from its assessment the internal control over financial reporting at Cosmic Advanced Engineered Solutions, Inc., which was acquired by the Company on December 27, 2021, and the Engineering Division of Southern Research Institute, which was acquired by the Company on March 17, 2022. The total assets of Cosmic Advanced Engineered Solutions, Inc. are approximately 0.7% of total assets and approximately 6.7% of the revenues of the consolidated financial statements as of and for the year ended December 25, 2022. The total assets of the Engineering Division of Southern Research Institute are approximately 0.7% of the total assets and approximately 3.0% of the revenues of the consolidated financial statements as of and for the year ended December 25, 2022. Accordingly, our audit did not include the internal control over financial reporting at Cosmic Advanced Engineered Solutions, Inc. or the Engineering Division of Southern Research Institute.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Opinions</w:t>
      </w:r>
    </w:p>
    <w:p>
      <w:pPr>
        <w:spacing w:after="0" w:line="16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0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6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16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08" w:lineRule="exact"/>
        <w:rPr>
          <w:sz w:val="20"/>
          <w:szCs w:val="20"/>
          <w:color w:val="auto"/>
        </w:rPr>
      </w:pPr>
    </w:p>
    <w:p>
      <w:pPr>
        <w:ind w:right="4940"/>
        <w:spacing w:after="0" w:line="4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Cost Estimates for Fixed-Price Contracts - Refer to Note 1 to the consolidated financial statements </w:t>
      </w:r>
      <w:r>
        <w:rPr>
          <w:rFonts w:ascii="Times New Roman" w:cs="Times New Roman" w:eastAsia="Times New Roman" w:hAnsi="Times New Roman"/>
          <w:sz w:val="15"/>
          <w:szCs w:val="15"/>
          <w:i w:val="1"/>
          <w:iCs w:val="1"/>
          <w:color w:val="auto"/>
        </w:rPr>
        <w:t>Critical Audit Matter Description</w:t>
      </w:r>
    </w:p>
    <w:p>
      <w:pPr>
        <w:spacing w:after="0" w:line="279" w:lineRule="auto"/>
        <w:rPr>
          <w:sz w:val="20"/>
          <w:szCs w:val="20"/>
          <w:color w:val="auto"/>
        </w:rPr>
      </w:pPr>
      <w:r>
        <w:rPr>
          <w:rFonts w:ascii="Times New Roman" w:cs="Times New Roman" w:eastAsia="Times New Roman" w:hAnsi="Times New Roman"/>
          <w:sz w:val="15"/>
          <w:szCs w:val="15"/>
          <w:color w:val="auto"/>
        </w:rPr>
        <w:t>The Company recognizes revenue over time using the cost-to-cost method (cost incurred relative to total estimated cost at completion) for most of its fixed-price contracts. Management must make various assumptions and estimates regarding technical, schedule and cost aspects of these contracts to develop estimates of cost at completion. A significant change in cost estimates could affect the overall profitability and timing of revenue recognition related to one or more of its fixed-price contracts.</w:t>
      </w:r>
    </w:p>
    <w:p>
      <w:pPr>
        <w:spacing w:after="0" w:line="1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5"/>
          <w:szCs w:val="15"/>
          <w:color w:val="auto"/>
        </w:rPr>
        <w:t>Given the complexity of certain fixed-price contracts at the Company, the limited amount of historical activity in certain instances, and significant judgment and estimates necessary to estimate future costs and margin at completion, auditing these estimates involved especially subjective judgment.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auditing procedures related to the cost estimates for fixed-price contracts included the following:</w:t>
      </w:r>
    </w:p>
    <w:p>
      <w:pPr>
        <w:spacing w:after="0" w:line="60" w:lineRule="exact"/>
        <w:rPr>
          <w:sz w:val="20"/>
          <w:szCs w:val="20"/>
          <w:color w:val="auto"/>
        </w:rPr>
      </w:pPr>
    </w:p>
    <w:p>
      <w:pPr>
        <w:ind w:left="280" w:right="540" w:hanging="238"/>
        <w:spacing w:after="0" w:line="271" w:lineRule="auto"/>
        <w:tabs>
          <w:tab w:leader="none" w:pos="27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effectiveness of internal controls over the development of cost estimates, including the underlying assumptions and key inputs into the development of the estimated cost at completion.</w:t>
      </w:r>
    </w:p>
    <w:p>
      <w:pPr>
        <w:ind w:left="260" w:hanging="218"/>
        <w:spacing w:after="0"/>
        <w:tabs>
          <w:tab w:leader="none" w:pos="2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selected certain contracts for testing and performed the following procedures:</w:t>
      </w:r>
    </w:p>
    <w:p>
      <w:pPr>
        <w:spacing w:after="0" w:line="11" w:lineRule="exact"/>
        <w:rPr>
          <w:rFonts w:ascii="Times New Roman" w:cs="Times New Roman" w:eastAsia="Times New Roman" w:hAnsi="Times New Roman"/>
          <w:sz w:val="15"/>
          <w:szCs w:val="15"/>
          <w:color w:val="auto"/>
        </w:rPr>
      </w:pPr>
    </w:p>
    <w:p>
      <w:pPr>
        <w:ind w:left="900" w:right="520" w:hanging="239"/>
        <w:spacing w:after="0" w:line="257" w:lineRule="auto"/>
        <w:tabs>
          <w:tab w:leader="none" w:pos="758"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Tested management’s identification of distinct performance obligations by evaluating whether the underlying goods and services were highly interdependent and interrelated.</w:t>
      </w:r>
    </w:p>
    <w:p>
      <w:pPr>
        <w:spacing w:after="0" w:line="1" w:lineRule="exact"/>
        <w:rPr>
          <w:rFonts w:ascii="Times New Roman" w:cs="Times New Roman" w:eastAsia="Times New Roman" w:hAnsi="Times New Roman"/>
          <w:sz w:val="15"/>
          <w:szCs w:val="15"/>
          <w:color w:val="auto"/>
        </w:rPr>
      </w:pPr>
    </w:p>
    <w:p>
      <w:pPr>
        <w:ind w:left="760" w:hanging="99"/>
        <w:spacing w:after="0"/>
        <w:tabs>
          <w:tab w:leader="none" w:pos="76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reasonableness of management’s estimates of cost at completion to actual costs and profits of similar previously completed contracts, when applicable.</w:t>
      </w:r>
    </w:p>
    <w:p>
      <w:pPr>
        <w:spacing w:after="0" w:line="11" w:lineRule="exact"/>
        <w:rPr>
          <w:rFonts w:ascii="Times New Roman" w:cs="Times New Roman" w:eastAsia="Times New Roman" w:hAnsi="Times New Roman"/>
          <w:sz w:val="15"/>
          <w:szCs w:val="15"/>
          <w:color w:val="auto"/>
        </w:rPr>
      </w:pPr>
    </w:p>
    <w:p>
      <w:pPr>
        <w:ind w:left="900" w:right="340" w:hanging="239"/>
        <w:spacing w:after="0" w:line="260" w:lineRule="auto"/>
        <w:tabs>
          <w:tab w:leader="none" w:pos="758"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Performed inquiries of the Company’s project managers and others directly involved with the contracts to evaluate project status and project challenges, which may affect total estimated costs to complete.</w:t>
      </w:r>
    </w:p>
    <w:p>
      <w:pPr>
        <w:spacing w:after="0" w:line="6" w:lineRule="exact"/>
        <w:rPr>
          <w:rFonts w:ascii="Times New Roman" w:cs="Times New Roman" w:eastAsia="Times New Roman" w:hAnsi="Times New Roman"/>
          <w:sz w:val="15"/>
          <w:szCs w:val="15"/>
          <w:color w:val="auto"/>
        </w:rPr>
      </w:pPr>
    </w:p>
    <w:p>
      <w:pPr>
        <w:ind w:left="260" w:hanging="218"/>
        <w:spacing w:after="0"/>
        <w:tabs>
          <w:tab w:leader="none" w:pos="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We performed retrospective reviews on selected contracts, comparing actual performance to estimated performance, when evaluating management’s ability to estimate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Impairment Analysis — Refer to Note 3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Critical Audit Matter Description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goodwill balance at December 25, 2022 was $558.2 million which is allocated among various reporting units.</w:t>
      </w:r>
    </w:p>
    <w:p>
      <w:pPr>
        <w:spacing w:after="0" w:line="2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5"/>
          <w:szCs w:val="15"/>
          <w:color w:val="auto"/>
        </w:rPr>
        <w:t>The Company tests goodwill for impairment by first performing a qualitative assessment for each of its reporting units. If based on its qualitative assessment management determines it is not more likely than not that the fair value of a reporting unit exceeds its carrying value, a quantitative assessment is then performed. For a reporting unit where a quantitative assessment is performed, the identification and measurement of impairment involves the estimation of the fair value of the reporting unit. As part of its quantitative assessment, the Company estimates the fair value of the reporting unit based on a comparison and weighting of the income approach, specifically the discounted cash flow method, and the market approach.</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Given the significant judgments made by management to estimate the fair value of each reporting unit that requires a quantitative assessment, including management’s judgments in forecasting future revenue, performing audit procedures to evaluate the reasonableness of management’s estimates and assumptions required a high degree of auditor judgment and an increased extent of effort.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the determination of forecasts of future revenue used by management to estimate the fair value included the following, among others:</w:t>
      </w:r>
    </w:p>
    <w:p>
      <w:pPr>
        <w:spacing w:after="0" w:line="240" w:lineRule="exact"/>
        <w:rPr>
          <w:sz w:val="20"/>
          <w:szCs w:val="20"/>
          <w:color w:val="auto"/>
        </w:rPr>
      </w:pPr>
    </w:p>
    <w:p>
      <w:pPr>
        <w:ind w:left="620" w:right="300" w:hanging="307"/>
        <w:spacing w:after="0" w:line="246" w:lineRule="auto"/>
        <w:tabs>
          <w:tab w:leader="none" w:pos="60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effectiveness of internal controls over management’s goodwill impairment evaluation, including those over the determination of the fair value of the reporting units in situations where a quantitative assessment was performed. Such internal controls included controls over management’s determination of forecasts of future revenue.</w:t>
      </w:r>
    </w:p>
    <w:p>
      <w:pPr>
        <w:spacing w:after="0" w:line="1" w:lineRule="exact"/>
        <w:rPr>
          <w:rFonts w:ascii="Times New Roman" w:cs="Times New Roman" w:eastAsia="Times New Roman" w:hAnsi="Times New Roman"/>
          <w:sz w:val="15"/>
          <w:szCs w:val="15"/>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management’s ability to accurately forecast future revenue by comparing actual results to management’s historical forecasts.</w:t>
      </w:r>
    </w:p>
    <w:p>
      <w:pPr>
        <w:jc w:val="both"/>
        <w:ind w:left="620" w:right="580" w:hanging="307"/>
        <w:spacing w:after="0" w:line="266" w:lineRule="auto"/>
        <w:tabs>
          <w:tab w:leader="none" w:pos="60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reasonableness of management’s revenue forecasts by comparing the forecasts to (1) the historical operating results of the Company, (2) internal communications to management and the board of directors, (3) external communications made by management to analysts and investors, and (4) industry reports.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i w:val="1"/>
          <w:iCs w:val="1"/>
          <w:color w:val="auto"/>
        </w:rPr>
        <w:t xml:space="preserve">/s/ </w:t>
      </w:r>
      <w:r>
        <w:rPr>
          <w:rFonts w:ascii="Times New Roman" w:cs="Times New Roman" w:eastAsia="Times New Roman" w:hAnsi="Times New Roman"/>
          <w:sz w:val="15"/>
          <w:szCs w:val="15"/>
          <w:color w:val="auto"/>
        </w:rPr>
        <w:t>Deloitte &amp; Touche LLP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23,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78" w:right="1440"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b w:val="1"/>
          <w:bCs w:val="1"/>
          <w:color w:val="auto"/>
        </w:rPr>
        <w:t>December 25, 2022 and December 26, 2021</w:t>
      </w:r>
    </w:p>
    <w:p>
      <w:pPr>
        <w:spacing w:after="0" w:line="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(in millions, except par value and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sz w:val="15"/>
                <w:szCs w:val="15"/>
                <w:color w:val="auto"/>
              </w:rPr>
            </w:pPr>
          </w:p>
        </w:tc>
        <w:tc>
          <w:tcPr>
            <w:tcW w:w="14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Unbilled receivables,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190.8</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Inventoried costs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582.6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758.1</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558.2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493.9</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1,551.5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76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60" w:type="dxa"/>
            <w:vAlign w:val="bottom"/>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9"/>
        </w:trPr>
        <w:tc>
          <w:tcPr>
            <w:tcW w:w="67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Total current liabilities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250.2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296.7</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liabilities of discontinued operations</w:t>
            </w: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604.0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629.2</w:t>
            </w:r>
          </w:p>
        </w:tc>
        <w:tc>
          <w:tcPr>
            <w:tcW w:w="0" w:type="dxa"/>
            <w:vAlign w:val="bottom"/>
          </w:tcPr>
          <w:p>
            <w:pPr>
              <w:spacing w:after="0"/>
              <w:rPr>
                <w:sz w:val="1"/>
                <w:szCs w:val="1"/>
                <w:color w:val="auto"/>
              </w:rPr>
            </w:pPr>
          </w:p>
        </w:tc>
      </w:tr>
      <w:tr>
        <w:trPr>
          <w:trHeight w:val="166"/>
        </w:trPr>
        <w:tc>
          <w:tcPr>
            <w:tcW w:w="67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76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w w:val="99"/>
              </w:rPr>
              <w:t>Preferred stock, $0.001 par value, 5,000,000 authorized, 0 shares outstanding at December 25, 2022 and December 26,</w:t>
            </w:r>
          </w:p>
        </w:tc>
        <w:tc>
          <w:tcPr>
            <w:tcW w:w="14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14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6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Common stock, $0.001 par value, 195,000,000 shares authorized; 125,985,306 and 123,987,424 shares issued and</w:t>
            </w:r>
          </w:p>
        </w:tc>
        <w:tc>
          <w:tcPr>
            <w:tcW w:w="14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1"/>
                <w:szCs w:val="11"/>
                <w:color w:val="auto"/>
              </w:rPr>
            </w:pPr>
          </w:p>
        </w:tc>
        <w:tc>
          <w:tcPr>
            <w:tcW w:w="16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at December 25, 2022 and December 26, 2021, respectively</w:t>
            </w:r>
          </w:p>
        </w:tc>
        <w:tc>
          <w:tcPr>
            <w:tcW w:w="14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1,608.4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1,578.9</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0" w:type="dxa"/>
            <w:vAlign w:val="bottom"/>
          </w:tcPr>
          <w:p>
            <w:pPr>
              <w:spacing w:after="0"/>
              <w:rPr>
                <w:sz w:val="1"/>
                <w:szCs w:val="1"/>
                <w:color w:val="auto"/>
              </w:rPr>
            </w:pPr>
          </w:p>
        </w:tc>
      </w:tr>
      <w:tr>
        <w:trPr>
          <w:trHeight w:val="179"/>
        </w:trPr>
        <w:tc>
          <w:tcPr>
            <w:tcW w:w="6760" w:type="dxa"/>
            <w:vAlign w:val="bottom"/>
            <w:tcBorders>
              <w:bottom w:val="single" w:sz="8" w:color="CCEEFF"/>
            </w:tcBorders>
          </w:tcPr>
          <w:p>
            <w:pPr>
              <w:ind w:left="320"/>
              <w:spacing w:after="0" w:line="159" w:lineRule="exact"/>
              <w:rPr>
                <w:sz w:val="20"/>
                <w:szCs w:val="20"/>
                <w:color w:val="auto"/>
              </w:rPr>
            </w:pPr>
            <w:r>
              <w:rPr>
                <w:rFonts w:ascii="Times New Roman" w:cs="Times New Roman" w:eastAsia="Times New Roman" w:hAnsi="Times New Roman"/>
                <w:sz w:val="14"/>
                <w:szCs w:val="14"/>
                <w:color w:val="auto"/>
              </w:rPr>
              <w:t>Total stockholders’ equity</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936.3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945.1</w:t>
            </w: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1,551.5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Years ended December 25, 2022, December 26, 2021, and December 27, 2020</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0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Service revenues</w:t>
            </w: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1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0" w:type="dxa"/>
            <w:vAlign w:val="bottom"/>
          </w:tcPr>
          <w:p>
            <w:pPr>
              <w:spacing w:after="0"/>
              <w:rPr>
                <w:sz w:val="1"/>
                <w:szCs w:val="1"/>
                <w:color w:val="auto"/>
              </w:rPr>
            </w:pPr>
          </w:p>
        </w:tc>
      </w:tr>
      <w:tr>
        <w:trPr>
          <w:trHeight w:val="179"/>
        </w:trPr>
        <w:tc>
          <w:tcPr>
            <w:tcW w:w="5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Cost of service revenues</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 sales</w:t>
            </w: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320"/>
              <w:spacing w:after="0" w:line="159" w:lineRule="exact"/>
              <w:rPr>
                <w:sz w:val="20"/>
                <w:szCs w:val="20"/>
                <w:color w:val="auto"/>
              </w:rPr>
            </w:pPr>
            <w:r>
              <w:rPr>
                <w:rFonts w:ascii="Times New Roman" w:cs="Times New Roman" w:eastAsia="Times New Roman" w:hAnsi="Times New Roman"/>
                <w:sz w:val="14"/>
                <w:szCs w:val="14"/>
                <w:color w:val="auto"/>
              </w:rPr>
              <w:t>Total costs</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Gross profit</w:t>
            </w:r>
          </w:p>
        </w:tc>
        <w:tc>
          <w:tcPr>
            <w:tcW w:w="13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 and acquisition related items</w:t>
            </w:r>
          </w:p>
        </w:tc>
        <w:tc>
          <w:tcPr>
            <w:tcW w:w="1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expenses and other</w:t>
            </w:r>
          </w:p>
        </w:tc>
        <w:tc>
          <w:tcPr>
            <w:tcW w:w="1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320"/>
              <w:spacing w:after="0" w:line="159" w:lineRule="exact"/>
              <w:rPr>
                <w:sz w:val="20"/>
                <w:szCs w:val="20"/>
                <w:color w:val="auto"/>
              </w:rPr>
            </w:pPr>
            <w:r>
              <w:rPr>
                <w:rFonts w:ascii="Times New Roman" w:cs="Times New Roman" w:eastAsia="Times New Roman" w:hAnsi="Times New Roman"/>
                <w:sz w:val="14"/>
                <w:szCs w:val="14"/>
                <w:color w:val="auto"/>
              </w:rPr>
              <w:t>Operating income (loss)</w:t>
            </w:r>
          </w:p>
        </w:tc>
        <w:tc>
          <w:tcPr>
            <w:tcW w:w="1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other expense, net</w:t>
            </w:r>
          </w:p>
        </w:tc>
        <w:tc>
          <w:tcPr>
            <w:tcW w:w="1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79"/>
        </w:trPr>
        <w:tc>
          <w:tcPr>
            <w:tcW w:w="5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 from continuing operations</w:t>
            </w: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Income (loss) from continuing operations</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operations of discontinued component</w:t>
            </w: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Income (loss) from discontinued operations</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 attributable to Kratos</w:t>
            </w:r>
          </w:p>
        </w:tc>
        <w:tc>
          <w:tcPr>
            <w:tcW w:w="136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Basic income (loss) per common share attributable to Kratos: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136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income (loss) per common share attributable to Kratos: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136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080" w:type="dxa"/>
            <w:vAlign w:val="bottom"/>
            <w:vMerge w:val="continue"/>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25, 2022, December 26, 2021, and December 27,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50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5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(loss)</w:t>
            </w:r>
          </w:p>
        </w:tc>
        <w:tc>
          <w:tcPr>
            <w:tcW w:w="1360" w:type="dxa"/>
            <w:vAlign w:val="bottom"/>
            <w:tcBorders>
              <w:bottom w:val="single" w:sz="8" w:color="auto"/>
            </w:tcBorders>
            <w:shd w:val="clear" w:color="auto" w:fill="CCEEFF"/>
          </w:tcPr>
          <w:p>
            <w:pPr>
              <w:jc w:val="right"/>
              <w:ind w:right="11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r>
      <w:tr>
        <w:trPr>
          <w:trHeight w:val="166"/>
        </w:trPr>
        <w:tc>
          <w:tcPr>
            <w:tcW w:w="50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1"/>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6"/>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Postretirement benefit reserve adjustment net of tax expense (income)</w:t>
            </w:r>
          </w:p>
        </w:tc>
        <w:tc>
          <w:tcPr>
            <w:tcW w:w="1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3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9"/>
        </w:trPr>
        <w:tc>
          <w:tcPr>
            <w:tcW w:w="506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Comprehensive income (loss)</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13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9"/>
        </w:trPr>
        <w:tc>
          <w:tcPr>
            <w:tcW w:w="50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Comprehensive income (loss) attributable to Kratos</w:t>
            </w:r>
          </w:p>
        </w:tc>
        <w:tc>
          <w:tcPr>
            <w:tcW w:w="1360" w:type="dxa"/>
            <w:vAlign w:val="bottom"/>
            <w:tcBorders>
              <w:bottom w:val="single" w:sz="8" w:color="auto"/>
            </w:tcBorders>
          </w:tcPr>
          <w:p>
            <w:pPr>
              <w:jc w:val="right"/>
              <w:ind w:right="11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12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6"/>
        </w:trPr>
        <w:tc>
          <w:tcPr>
            <w:tcW w:w="50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858" w:right="37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25, 2022, December 26, 2021, and December 27, 2020</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104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0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9"/>
                <w:szCs w:val="9"/>
                <w:color w:val="auto"/>
              </w:rPr>
            </w:pPr>
          </w:p>
        </w:tc>
        <w:tc>
          <w:tcPr>
            <w:tcW w:w="96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9"/>
                <w:szCs w:val="9"/>
                <w:color w:val="auto"/>
              </w:rPr>
            </w:pPr>
          </w:p>
        </w:tc>
        <w:tc>
          <w:tcPr>
            <w:tcW w:w="900" w:type="dxa"/>
            <w:vAlign w:val="bottom"/>
            <w:vMerge w:val="restart"/>
          </w:tcPr>
          <w:p>
            <w:pPr>
              <w:jc w:val="center"/>
              <w:ind w:right="31"/>
              <w:spacing w:after="0" w:line="12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80" w:type="dxa"/>
            <w:vAlign w:val="bottom"/>
          </w:tcPr>
          <w:p>
            <w:pPr>
              <w:spacing w:after="0"/>
              <w:rPr>
                <w:sz w:val="15"/>
                <w:szCs w:val="15"/>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29, 2019</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574.1</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27, 2020</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1,556.3</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925.3</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34"/>
        </w:trPr>
        <w:tc>
          <w:tcPr>
            <w:tcW w:w="44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3"/>
        </w:trPr>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26, 2021</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945.1</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34"/>
        </w:trPr>
        <w:tc>
          <w:tcPr>
            <w:tcW w:w="44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3"/>
        </w:trPr>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25, 2022</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936.3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8" w:right="3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Years ended December 25, 2022, December 26, 2021, and December 27, 2020</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79.4</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Income (loss) from discontinued operations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96"/>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Income (loss) from continuing operations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80.3</w:t>
            </w:r>
          </w:p>
        </w:tc>
        <w:tc>
          <w:tcPr>
            <w:tcW w:w="0" w:type="dxa"/>
            <w:vAlign w:val="bottom"/>
          </w:tcPr>
          <w:p>
            <w:pPr>
              <w:spacing w:after="0"/>
              <w:rPr>
                <w:sz w:val="1"/>
                <w:szCs w:val="1"/>
                <w:color w:val="auto"/>
              </w:rPr>
            </w:pPr>
          </w:p>
        </w:tc>
      </w:tr>
      <w:tr>
        <w:trPr>
          <w:trHeight w:val="158"/>
        </w:trPr>
        <w:tc>
          <w:tcPr>
            <w:tcW w:w="706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5"/>
                <w:szCs w:val="15"/>
                <w:color w:val="auto"/>
              </w:rPr>
              <w:t>Adjustments to reconcile income (loss) from continuing operations to net cash provided by (used in)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activities from continuing operations: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0" w:type="dxa"/>
            <w:vAlign w:val="bottom"/>
          </w:tcPr>
          <w:p>
            <w:pPr>
              <w:spacing w:after="0"/>
              <w:rPr>
                <w:sz w:val="1"/>
                <w:szCs w:val="1"/>
                <w:color w:val="auto"/>
              </w:rPr>
            </w:pP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lease right-of-use assets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Recovery of doubtful accounts</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Litigation settlement charges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assets and liabilities, net of acquisitions: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Accounts receivable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Unbilled receivables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Inventoried costs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Prepaid expenses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Other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Accounts payable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Accrued expenses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Accrued compensation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Accrued interest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Billings in excess of costs and earnings on uncompleted contracts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Income tax receivable and payable</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Other liabilities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provided by (used in) operating activities from continuing operations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35.3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44.7</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19"/>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insurance</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 expenditures</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used in investing activities from continuing operations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the issuance of long-term debt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the issuance of common stock</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240.4</w:t>
            </w:r>
          </w:p>
        </w:tc>
        <w:tc>
          <w:tcPr>
            <w:tcW w:w="0" w:type="dxa"/>
            <w:vAlign w:val="bottom"/>
          </w:tcPr>
          <w:p>
            <w:pPr>
              <w:spacing w:after="0"/>
              <w:rPr>
                <w:sz w:val="1"/>
                <w:szCs w:val="1"/>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Borrowing under credit facility</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Redemption of Senior Secured Notes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 under credit facility, term loan and other debt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of employee taxes withheld from share-based awards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Debt issuance costs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under finance leases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Proceeds from shares issued under equity plans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Net cash provided (used in) by financing activities from continuing operations</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247.7</w:t>
            </w: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flows provided by (used in) continuing operations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205.1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operating cash flows of discontinued operations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208.9</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349.4</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381.5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172.6</w:t>
            </w:r>
          </w:p>
        </w:tc>
        <w:tc>
          <w:tcPr>
            <w:tcW w:w="0" w:type="dxa"/>
            <w:vAlign w:val="bottom"/>
          </w:tcPr>
          <w:p>
            <w:pPr>
              <w:spacing w:after="0"/>
              <w:rPr>
                <w:sz w:val="1"/>
                <w:szCs w:val="1"/>
                <w:color w:val="auto"/>
              </w:rPr>
            </w:pPr>
          </w:p>
        </w:tc>
      </w:tr>
      <w:tr>
        <w:trPr>
          <w:trHeight w:val="22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349.4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381.5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paid during the year for interest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203"/>
        </w:trPr>
        <w:tc>
          <w:tcPr>
            <w:tcW w:w="7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cash paid during the year for income taxes</w:t>
            </w:r>
          </w:p>
        </w:tc>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Non-cash financing and investing activities: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Financing lease obligation incurred</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19"/>
        </w:trPr>
        <w:tc>
          <w:tcPr>
            <w:tcW w:w="7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 issuance for purchase of noncontrolling interests</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issuance for acquisition</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ectPr>
          <w:pgSz w:w="11900" w:h="16838" w:orient="portrait"/>
          <w:cols w:equalWidth="0" w:num="1">
            <w:col w:w="11220"/>
          </w:cols>
          <w:pgMar w:left="340" w:top="738" w:right="339" w:bottom="433"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738" w:right="339" w:bottom="433" w:gutter="0" w:footer="0" w:header="0"/>
          <w:type w:val="continuous"/>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1.</w:t>
        <w:tab/>
        <w:t>Organization and Summary of Significant Accounting Policies</w:t>
      </w:r>
    </w:p>
    <w:p>
      <w:pPr>
        <w:spacing w:after="0" w:line="2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(a)</w:t>
        <w:tab/>
        <w:t>Description of Business</w:t>
      </w:r>
    </w:p>
    <w:p>
      <w:pPr>
        <w:spacing w:after="0" w:line="234"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Kratos is a technology company addressing the defense, National Security and commercial markets. Kratos is recognized as a leading technology, intellectual property, proprietary product and system company and a recognized industry leader in the rapid development, demonstration and fielding of disruptive, transformative and high technology systems and products at an affordable cost. At Kratos, affordability is a technology and Kratos’ focus areas include unmanned systems, space and satellite communications, microwave electronics, cybersecurity/warfare, rocket, hypersonic and missile defense systems, turbine and engine propulsion technologies, and Command, Control, Communication, Computing, Combat, Intelligence Surveillance and Reconnaissance (“C5ISR”) Systems and training systems. The Company believes that by being “first to market” and its technology, intellectual property, proprietary products, reputation and designed-in positions on its customers’ programs, platforms and systems, and the ability to rapidly develop, demonstrate and field affordable leading technology systems is a competitive advantage. The Company believes that its past performance qualifications and demonstrated ability to meet or exceed its customers’ demanding requirements creates a high barrier to entry to the markets in which it operates. The Company’s work force is primarily engineering and technically oriented, highly skilled with a significant number holding National Security clearances. The Company’s entire organization is focused on executing its strategy of being the leading technology and intellectual property based product and system company and being “first to market” in each of its industry leading core competency areas.</w:t>
      </w:r>
    </w:p>
    <w:p>
      <w:pPr>
        <w:spacing w:after="0" w:line="218"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91"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The Company operates in two reportable segments. The Kratos Government Solutions (“KGS”) reportable segment is comprised of an aggregation of KGS operating segments, including its microwave electronic products, space, satellite, training and cybersecurity, C5ISR/modular systems, turbine technologies and defense and rocket support services operating segments. The Unmanned Systems (“US”) reportable segment consists of its unmanned aerial system and unmanned ground and seaborne system products. The Public Safety &amp; Security (“PSS”) reportable segment (which was divested in June 2018 and has been classified as discontinued operations - see Note 9 of these Notes to Consolidated Financial Statements) previously provided independent integrated solutions for advanced homeland security, public safety, critical infrastructure, and security and surveillance systems for government and commercial applications.</w:t>
      </w:r>
    </w:p>
    <w:p>
      <w:pPr>
        <w:spacing w:after="0" w:line="19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Company organizes its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14 of these Notes to Consolidated Financial Statements.</w:t>
      </w:r>
    </w:p>
    <w:p>
      <w:pPr>
        <w:spacing w:after="0" w:line="19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Principles of Consolidation and Basis of Presentation</w:t>
      </w:r>
    </w:p>
    <w:p>
      <w:pPr>
        <w:spacing w:after="0" w:line="247"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Kratos and its majority owned subsidiaries, for which all intercompany transactions have been eliminated in consolidation.</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Fiscal Year</w:t>
      </w:r>
    </w:p>
    <w:p>
      <w:pPr>
        <w:spacing w:after="0" w:line="22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Company has a 52/53 week fiscal year ending on the last Sunday of the calendar year, with interim fiscal periods ending on the last Sunday of each calendar quarter. There were 52 calendar weeks in the fiscal years ending on December 25, 2022 and December 26, 2021 and December 27, 2020.</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(d)</w:t>
        <w:tab/>
        <w:t>Use of Estimates</w:t>
      </w:r>
    </w:p>
    <w:p>
      <w:pPr>
        <w:spacing w:after="0" w:line="247"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 allowance on the deferred tax asset and uncertain tax positions, contingencies and litigation, contingent acquisition</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78" w:name="page79"/>
    <w:bookmarkEnd w:id="78"/>
    <w:p>
      <w:pPr>
        <w:ind w:right="100"/>
        <w:spacing w:after="0" w:line="270" w:lineRule="auto"/>
        <w:rPr>
          <w:sz w:val="20"/>
          <w:szCs w:val="20"/>
          <w:color w:val="auto"/>
        </w:rPr>
      </w:pPr>
      <w:r>
        <w:rPr>
          <w:rFonts w:ascii="Times New Roman" w:cs="Times New Roman" w:eastAsia="Times New Roman" w:hAnsi="Times New Roman"/>
          <w:sz w:val="17"/>
          <w:szCs w:val="17"/>
          <w:color w:val="auto"/>
        </w:rPr>
        <w:t>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(e)</w:t>
        <w:tab/>
        <w:t>Revenue Recognition</w:t>
      </w:r>
    </w:p>
    <w:p>
      <w:pPr>
        <w:spacing w:after="0" w:line="243" w:lineRule="exact"/>
        <w:rPr>
          <w:sz w:val="20"/>
          <w:szCs w:val="20"/>
          <w:color w:val="auto"/>
        </w:rPr>
      </w:pPr>
    </w:p>
    <w:p>
      <w:pPr>
        <w:ind w:right="480" w:firstLine="619"/>
        <w:spacing w:after="0" w:line="292" w:lineRule="auto"/>
        <w:rPr>
          <w:sz w:val="20"/>
          <w:szCs w:val="20"/>
          <w:color w:val="auto"/>
        </w:rPr>
      </w:pPr>
      <w:r>
        <w:rPr>
          <w:rFonts w:ascii="Times New Roman" w:cs="Times New Roman" w:eastAsia="Times New Roman" w:hAnsi="Times New Roman"/>
          <w:sz w:val="17"/>
          <w:szCs w:val="17"/>
          <w:color w:val="auto"/>
        </w:rPr>
        <w:t xml:space="preserve">Effective January 1, 2018, the Company adopted the Financial Accounting Standards Board (“FASB”) ASU 2014-09,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and the related amendments, which are codified into Accounting Standards Codification (“ASC”) 606 (“ASC 606”).</w:t>
      </w:r>
    </w:p>
    <w:p>
      <w:pPr>
        <w:spacing w:after="0" w:line="17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9"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and is the unit of account under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9"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249"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Revenues from remaining performance obligations are calculated as the dollar value of the remaining performance obligations on executed contracts. On December 25, 2022, the Company had approximately $1,112.4 million of remaining performance obligations. The Company expects to recognize approximately 56.0% of the remaining performance obligations as revenue in 2023, an additional 13.0% in 2024, and the balance thereafter.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Estimates</w:t>
      </w:r>
    </w:p>
    <w:p>
      <w:pPr>
        <w:spacing w:after="0" w:line="249"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Due to the nature of the work required to be performed on many performance obligations, the estimation of total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9" w:name="page80"/>
    <w:bookmarkEnd w:id="79"/>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5" w:lineRule="exact"/>
        <w:rPr>
          <w:sz w:val="20"/>
          <w:szCs w:val="20"/>
          <w:color w:val="auto"/>
        </w:rPr>
      </w:pPr>
    </w:p>
    <w:p>
      <w:pPr>
        <w:jc w:val="both"/>
        <w:ind w:right="40" w:firstLine="619"/>
        <w:spacing w:after="0" w:line="261"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result of the EAC process, any quarterly adjustments to revenues, cost of sales, and the related impact to operating income are recognized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necessary in the period they become known. These adjustments may result from positive program performance, and may result in an increase in operating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performance of individual performance obligations, if it is determined the Company will be successful in mitigating risks surrounding the technical,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and cost aspects of those performance obligations or realizing related opportunities. Likewise, these adjustments may result in a decrease in operating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if it is determined the Company will not be successful in mitigating these risks or realizing related opportunities. Changes in estimates of net sales, cost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and the related impact to operating income are recognized quarterly on a cumulative catch-up basis, which recognizes in the current period the cumulative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the changes on current and prior periods. A significant change in one or more of these estimates could affect the profitability of one or more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contracts. When estimates of total costs to be incurred on a performance obligation exceed total estimates of revenue to be earned, a provision for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entire loss on the performance obligation is recognized in the period the loss is determined. For the year ended December 26, 2021 the Company recorded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 million favorable EAC adjustment on one of its long-term government contracts. No other cumulative catch-up adjustment on any one contract was material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Company’s consolidated financial statements for the years ended December 25, 2022, December 26, 2021 and December 27, 2020. Likewise, other than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of the adjustment for the one contract in the year ended December 26, 2021, total cumulative catch-up adjustments were not material for the years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25, 2022, December 26, 2021 and December 27, 2020. As of December 25, 2022 and December 26, 2021, accrued expenses included the accrual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losses on contracts of $1.2 million and $2.8 million, respectively.</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Assets and Liabilities</w:t>
      </w:r>
    </w:p>
    <w:p>
      <w:pPr>
        <w:spacing w:after="0" w:line="24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05"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80" w:name="page81"/>
    <w:bookmarkEnd w:id="80"/>
    <w:p>
      <w:pPr>
        <w:ind w:right="220"/>
        <w:spacing w:after="0" w:line="287" w:lineRule="auto"/>
        <w:rPr>
          <w:sz w:val="20"/>
          <w:szCs w:val="20"/>
          <w:color w:val="auto"/>
        </w:rPr>
      </w:pPr>
      <w:r>
        <w:rPr>
          <w:rFonts w:ascii="Times New Roman" w:cs="Times New Roman" w:eastAsia="Times New Roman" w:hAnsi="Times New Roman"/>
          <w:sz w:val="17"/>
          <w:szCs w:val="17"/>
          <w:color w:val="auto"/>
        </w:rPr>
        <w:t>financing component as the underlying advance payments received are generally utilized to pay for contract costs within a one-year period or are used to ensure the customer meets contractual requirements.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contract assets and liabilities are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25, 2022</w:t>
            </w:r>
          </w:p>
        </w:tc>
        <w:tc>
          <w:tcPr>
            <w:tcW w:w="18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26, 2021</w:t>
            </w:r>
          </w:p>
        </w:tc>
        <w:tc>
          <w:tcPr>
            <w:tcW w:w="200" w:type="dxa"/>
            <w:vAlign w:val="bottom"/>
          </w:tcPr>
          <w:p>
            <w:pPr>
              <w:spacing w:after="0"/>
              <w:rPr>
                <w:sz w:val="17"/>
                <w:szCs w:val="17"/>
                <w:color w:val="auto"/>
              </w:rPr>
            </w:pPr>
          </w:p>
        </w:tc>
        <w:tc>
          <w:tcPr>
            <w:tcW w:w="1180" w:type="dxa"/>
            <w:vAlign w:val="bottom"/>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Net Change</w:t>
            </w:r>
          </w:p>
        </w:tc>
      </w:tr>
      <w:tr>
        <w:trPr>
          <w:trHeight w:val="215"/>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12"/>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contract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The change in the balances of the Company’s contract assets and liabilities primarily results from timing differences between revenue recognition and customer billings and/or payments. Contract assets increased $32.0 million during the year ended December 25, 2022, primarily due to the recognition of revenue related to the satisfaction or partial satisfaction of performance obligations for which the Company has not yet billed the customers and the impact of the acquisitions of Cosmic and SRE. There were no significant impairment losses related to any receivables or contract assets arising from the Company’s contracts with customers during the year ended December 25, 2022. Contract liabilities increased $4.0 million during the year ended December 25, 2022, primarily due to payments received in excess of revenue recognized on these performance obligations. For the years ended December 25, 2022 and December 26, 2021, the Company recognized revenue of $47.5 million and $27.1 million, respectively, that was previously included in the beginning balance of contract liabilities.</w:t>
      </w:r>
    </w:p>
    <w:p>
      <w:pPr>
        <w:spacing w:after="0" w:line="205"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In March 2022, the Company and the customer agreed to a settlement of $6.0 million for a portion of the amounts outstanding on this project, which was collected in July 2022. At December 25, 2022, approximately $4.8 million in unbilled receivables is outstanding on this project. The remaining unbilled balance of $4.8 million is subject to negotiation and settlement with the customer.</w:t>
      </w:r>
    </w:p>
    <w:p>
      <w:pPr>
        <w:spacing w:after="0" w:line="20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Company was also in dispute with an international customer in the Unmanned Systems (US) segment concerning the completion of certain system requirements and certain contractual milestones related to a contract the Company acquired with the acquisition of CEi in 2012. On June 30, 2022, the parties entered into a settlement agreement to resolve their dispute and to settle all claims and counterclaims, and are currently in the process of implementing the terms of the settlement agreement. The Company has recorded a $5.5 million litigation settlement charge included in restructuring expenses and other in the year ended December 25, 2022. In the year ended December 25, 2022, the Company paid approximately $3.7 million related to the settlement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49" w:lineRule="exact"/>
        <w:rPr>
          <w:sz w:val="20"/>
          <w:szCs w:val="20"/>
          <w:color w:val="auto"/>
        </w:rPr>
      </w:pPr>
    </w:p>
    <w:p>
      <w:pPr>
        <w:ind w:right="280" w:firstLine="169"/>
        <w:spacing w:after="0" w:line="287" w:lineRule="auto"/>
        <w:rPr>
          <w:sz w:val="20"/>
          <w:szCs w:val="20"/>
          <w:color w:val="auto"/>
        </w:rPr>
      </w:pPr>
      <w:r>
        <w:rPr>
          <w:rFonts w:ascii="Times New Roman" w:cs="Times New Roman" w:eastAsia="Times New Roman" w:hAnsi="Times New Roman"/>
          <w:sz w:val="17"/>
          <w:szCs w:val="17"/>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52" w:lineRule="exact"/>
        <w:rPr>
          <w:sz w:val="20"/>
          <w:szCs w:val="20"/>
          <w:color w:val="auto"/>
        </w:rPr>
      </w:pPr>
    </w:p>
    <w:p>
      <w:pPr>
        <w:ind w:left="882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Year Ended</w:t>
      </w:r>
      <w:r>
        <w:rPr>
          <w:sz w:val="20"/>
          <w:szCs w:val="20"/>
          <w:color w:val="auto"/>
        </w:rPr>
        <w:tab/>
      </w:r>
      <w:r>
        <w:rPr>
          <w:rFonts w:ascii="Times New Roman" w:cs="Times New Roman" w:eastAsia="Times New Roman" w:hAnsi="Times New Roman"/>
          <w:sz w:val="13"/>
          <w:szCs w:val="13"/>
          <w:b w:val="1"/>
          <w:bCs w:val="1"/>
          <w:color w:val="auto"/>
        </w:rPr>
        <w:t>Year Ended</w:t>
      </w:r>
    </w:p>
    <w:p>
      <w:pPr>
        <w:jc w:val="right"/>
        <w:ind w:right="12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December 25, 2022</w:t>
      </w:r>
      <w:r>
        <w:rPr>
          <w:sz w:val="20"/>
          <w:szCs w:val="20"/>
          <w:color w:val="auto"/>
        </w:rPr>
        <w:tab/>
      </w:r>
      <w:r>
        <w:rPr>
          <w:rFonts w:ascii="Times New Roman" w:cs="Times New Roman" w:eastAsia="Times New Roman" w:hAnsi="Times New Roman"/>
          <w:sz w:val="13"/>
          <w:szCs w:val="13"/>
          <w:b w:val="1"/>
          <w:bCs w:val="1"/>
          <w:color w:val="auto"/>
        </w:rPr>
        <w:t>December 26, 2021</w:t>
      </w:r>
    </w:p>
    <w:p>
      <w:pPr>
        <w:sectPr>
          <w:pgSz w:w="11900" w:h="16838" w:orient="portrait"/>
          <w:cols w:equalWidth="0" w:num="1">
            <w:col w:w="11240"/>
          </w:cols>
          <w:pgMar w:left="320" w:top="852"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Fixed price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Cost plus fee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 and materials</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Kratos Government Solutions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Unmanned Systems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Fixed price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Cost plus fee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 and materials</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Unmanned Systems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w:t>
            </w: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447.3</w:t>
            </w:r>
          </w:p>
        </w:tc>
      </w:tr>
      <w:tr>
        <w:trPr>
          <w:trHeight w:val="219"/>
        </w:trPr>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23"/>
        </w:trPr>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12"/>
        </w:trPr>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676.6</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579.6</w:t>
            </w:r>
          </w:p>
        </w:tc>
      </w:tr>
      <w:tr>
        <w:trPr>
          <w:trHeight w:val="415"/>
        </w:trPr>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r>
      <w:tr>
        <w:trPr>
          <w:trHeight w:val="219"/>
        </w:trPr>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23"/>
        </w:trPr>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231.9</w:t>
            </w:r>
          </w:p>
        </w:tc>
      </w:tr>
      <w:tr>
        <w:trPr>
          <w:trHeight w:val="212"/>
        </w:trPr>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5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811.5</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-1309370</wp:posOffset>
            </wp:positionV>
            <wp:extent cx="7113905"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-1030605</wp:posOffset>
            </wp:positionV>
            <wp:extent cx="7113905" cy="147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-744220</wp:posOffset>
            </wp:positionV>
            <wp:extent cx="7113905"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-466090</wp:posOffset>
            </wp:positionV>
            <wp:extent cx="7113905"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-179705</wp:posOffset>
            </wp:positionV>
            <wp:extent cx="7113905" cy="163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13905" cy="16383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-1587500</wp:posOffset>
            </wp:positionV>
            <wp:extent cx="7113905" cy="139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700"/>
          </w:cols>
          <w:pgMar w:left="320" w:top="852"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customer was as follows (in millions):</w:t>
      </w:r>
    </w:p>
    <w:p>
      <w:pPr>
        <w:spacing w:after="0" w:line="156" w:lineRule="exact"/>
        <w:rPr>
          <w:sz w:val="20"/>
          <w:szCs w:val="20"/>
          <w:color w:val="auto"/>
        </w:rPr>
      </w:pPr>
    </w:p>
    <w:p>
      <w:pPr>
        <w:ind w:left="87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Year Ended</w:t>
      </w:r>
      <w:r>
        <w:rPr>
          <w:sz w:val="20"/>
          <w:szCs w:val="20"/>
          <w:color w:val="auto"/>
        </w:rPr>
        <w:tab/>
      </w:r>
      <w:r>
        <w:rPr>
          <w:rFonts w:ascii="Times New Roman" w:cs="Times New Roman" w:eastAsia="Times New Roman" w:hAnsi="Times New Roman"/>
          <w:sz w:val="13"/>
          <w:szCs w:val="13"/>
          <w:b w:val="1"/>
          <w:bCs w:val="1"/>
          <w:color w:val="auto"/>
        </w:rPr>
        <w:t>Year Ended</w:t>
      </w:r>
    </w:p>
    <w:p>
      <w:pPr>
        <w:jc w:val="right"/>
        <w:ind w:right="1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December 25, 2022</w:t>
      </w:r>
      <w:r>
        <w:rPr>
          <w:sz w:val="20"/>
          <w:szCs w:val="20"/>
          <w:color w:val="auto"/>
        </w:rPr>
        <w:tab/>
      </w:r>
      <w:r>
        <w:rPr>
          <w:rFonts w:ascii="Times New Roman" w:cs="Times New Roman" w:eastAsia="Times New Roman" w:hAnsi="Times New Roman"/>
          <w:sz w:val="13"/>
          <w:szCs w:val="13"/>
          <w:b w:val="1"/>
          <w:bCs w:val="1"/>
          <w:color w:val="auto"/>
        </w:rPr>
        <w:t>December 26, 2021</w:t>
      </w:r>
    </w:p>
    <w:p>
      <w:pPr>
        <w:sectPr>
          <w:pgSz w:w="11900" w:h="16838" w:orient="portrait"/>
          <w:cols w:equalWidth="0" w:num="1">
            <w:col w:w="11240"/>
          </w:cols>
          <w:pgMar w:left="320" w:top="852" w:right="339" w:bottom="1440" w:gutter="0" w:footer="0" w:header="0"/>
          <w:type w:val="continuous"/>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U.S. Government </w:t>
      </w:r>
      <w:r>
        <w:rPr>
          <w:rFonts w:ascii="Times New Roman" w:cs="Times New Roman" w:eastAsia="Times New Roman" w:hAnsi="Times New Roman"/>
          <w:sz w:val="22"/>
          <w:szCs w:val="22"/>
          <w:color w:val="auto"/>
          <w:vertAlign w:val="superscript"/>
        </w:rPr>
        <w:t>(1)</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U.S. Commercial and other customers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Kratos Government Solutions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Unmanned Systems</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U.S. Government </w:t>
      </w:r>
      <w:r>
        <w:rPr>
          <w:rFonts w:ascii="Times New Roman" w:cs="Times New Roman" w:eastAsia="Times New Roman" w:hAnsi="Times New Roman"/>
          <w:sz w:val="22"/>
          <w:szCs w:val="22"/>
          <w:color w:val="auto"/>
          <w:vertAlign w:val="superscript"/>
        </w:rPr>
        <w:t>(1)</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U.S. Commercial and other customers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Unmanned Systems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420.4</w:t>
            </w: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w:t>
            </w:r>
          </w:p>
        </w:tc>
      </w:tr>
      <w:tr>
        <w:trPr>
          <w:trHeight w:val="293"/>
        </w:trPr>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157.5</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r>
      <w:tr>
        <w:trPr>
          <w:trHeight w:val="223"/>
        </w:trPr>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98.7</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212"/>
        </w:trPr>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676.6</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579.6</w:t>
            </w:r>
          </w:p>
        </w:tc>
      </w:tr>
      <w:tr>
        <w:trPr>
          <w:trHeight w:val="496"/>
        </w:trPr>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203.3</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93"/>
        </w:trPr>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15.6</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3"/>
        </w:trPr>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221.7</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231.9</w:t>
            </w:r>
          </w:p>
        </w:tc>
      </w:tr>
      <w:tr>
        <w:trPr>
          <w:trHeight w:val="212"/>
        </w:trPr>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898.3</w:t>
            </w:r>
          </w:p>
        </w:tc>
        <w:tc>
          <w:tcPr>
            <w:tcW w:w="5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-5356860</wp:posOffset>
            </wp:positionH>
            <wp:positionV relativeFrom="paragraph">
              <wp:posOffset>-1456690</wp:posOffset>
            </wp:positionV>
            <wp:extent cx="711390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13905" cy="18859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-1129030</wp:posOffset>
            </wp:positionV>
            <wp:extent cx="7113905" cy="147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-842645</wp:posOffset>
            </wp:positionV>
            <wp:extent cx="711390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13905" cy="18859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-466090</wp:posOffset>
            </wp:positionV>
            <wp:extent cx="7113905" cy="139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-179705</wp:posOffset>
            </wp:positionV>
            <wp:extent cx="7113905" cy="163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13905" cy="16383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-1783715</wp:posOffset>
            </wp:positionV>
            <wp:extent cx="7113905"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852" w:right="339" w:bottom="1440" w:gutter="0" w:footer="0" w:header="0"/>
          <w:type w:val="continuous"/>
        </w:sectPr>
      </w:pPr>
    </w:p>
    <w:p>
      <w:pPr>
        <w:spacing w:after="0" w:line="226" w:lineRule="exact"/>
        <w:rPr>
          <w:sz w:val="20"/>
          <w:szCs w:val="20"/>
          <w:color w:val="auto"/>
        </w:rPr>
      </w:pPr>
    </w:p>
    <w:p>
      <w:pPr>
        <w:ind w:right="360" w:firstLine="3"/>
        <w:spacing w:after="0" w:line="229" w:lineRule="auto"/>
        <w:tabs>
          <w:tab w:leader="none" w:pos="169"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26" w:lineRule="exact"/>
        <w:rPr>
          <w:rFonts w:ascii="Times New Roman" w:cs="Times New Roman" w:eastAsia="Times New Roman" w:hAnsi="Times New Roman"/>
          <w:sz w:val="21"/>
          <w:szCs w:val="21"/>
          <w:color w:val="auto"/>
          <w:vertAlign w:val="superscript"/>
        </w:rPr>
      </w:pPr>
    </w:p>
    <w:p>
      <w:pPr>
        <w:ind w:right="540" w:firstLine="3"/>
        <w:spacing w:after="0" w:line="233" w:lineRule="auto"/>
        <w:tabs>
          <w:tab w:leader="none" w:pos="1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2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federal contracts, the Company follows U.S. Government procurement and accounting standards in assessing the allowability and the allocability of costs to contracts. Recurring evaluations of contract cost, scheduling and technical matters are performed by management. Costs incurred and allocated to contracts with the U.S. Government are scrutinized for compliance with regulatory standards by the Company’s personnel, and are subject to audit by the Defense Contract Audit Agency (“DCAA”).</w:t>
      </w:r>
    </w:p>
    <w:p>
      <w:pPr>
        <w:spacing w:after="0" w:line="197"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the criteria to establish a contract under ASC 606 are met and the obligations under the contract are legally enforceable. As of December 25, 2022 and December 26, 2021, approximately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type w:val="continuous"/>
        </w:sectPr>
      </w:pPr>
    </w:p>
    <w:bookmarkStart w:id="82" w:name="page83"/>
    <w:bookmarkEnd w:id="82"/>
    <w:p>
      <w:pPr>
        <w:ind w:right="60"/>
        <w:spacing w:after="0" w:line="287" w:lineRule="auto"/>
        <w:rPr>
          <w:sz w:val="20"/>
          <w:szCs w:val="20"/>
          <w:color w:val="auto"/>
        </w:rPr>
      </w:pPr>
      <w:r>
        <w:rPr>
          <w:rFonts w:ascii="Times New Roman" w:cs="Times New Roman" w:eastAsia="Times New Roman" w:hAnsi="Times New Roman"/>
          <w:sz w:val="17"/>
          <w:szCs w:val="17"/>
          <w:color w:val="auto"/>
        </w:rPr>
        <w:t>$12.2 million and $2.9 million, respectively, of the Company’s unbilled accounts receivable balance were under an authorization to proceed or work order from its customers where a formal purchase order had not yet been received.</w:t>
      </w:r>
    </w:p>
    <w:p>
      <w:pPr>
        <w:spacing w:after="0" w:line="1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(f)</w:t>
        <w:tab/>
        <w:t>Inventoried costs</w:t>
      </w:r>
    </w:p>
    <w:p>
      <w:pPr>
        <w:spacing w:after="0" w:line="24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199"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(g)</w:t>
        <w:tab/>
        <w:t>Research and Development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Costs incurred in research and development activities are expensed as incurred in accordance with FASB ASC Topic 730</w:t>
      </w:r>
      <w:r>
        <w:rPr>
          <w:rFonts w:ascii="Times New Roman" w:cs="Times New Roman" w:eastAsia="Times New Roman" w:hAnsi="Times New Roman"/>
          <w:sz w:val="17"/>
          <w:szCs w:val="17"/>
          <w:i w:val="1"/>
          <w:iCs w:val="1"/>
          <w:color w:val="auto"/>
        </w:rPr>
        <w:t>, Research and Development.</w:t>
      </w:r>
    </w:p>
    <w:p>
      <w:pPr>
        <w:spacing w:after="0" w:line="2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(h)</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7"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87"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accordance with the recognition standards established by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(i)</w:t>
        <w:tab/>
        <w:t>Stock-Based Compensation</w:t>
      </w:r>
    </w:p>
    <w:p>
      <w:pPr>
        <w:spacing w:after="0" w:line="2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 Company accounts for stock-based compensation in accordance with ASC Topic 718</w:t>
      </w:r>
      <w:r>
        <w:rPr>
          <w:rFonts w:ascii="Times New Roman" w:cs="Times New Roman" w:eastAsia="Times New Roman" w:hAnsi="Times New Roman"/>
          <w:sz w:val="17"/>
          <w:szCs w:val="17"/>
          <w:i w:val="1"/>
          <w:iCs w:val="1"/>
          <w:color w:val="auto"/>
        </w:rPr>
        <w:t>, Compensation-Stock Compensation</w:t>
      </w:r>
      <w:r>
        <w:rPr>
          <w:rFonts w:ascii="Times New Roman" w:cs="Times New Roman" w:eastAsia="Times New Roman" w:hAnsi="Times New Roman"/>
          <w:sz w:val="17"/>
          <w:szCs w:val="17"/>
          <w:color w:val="auto"/>
        </w:rPr>
        <w:t xml:space="preserve"> (“Topic 718”). All of the Company’s stock-based compensation plans are considered equity plans under </w:t>
      </w:r>
      <w:r>
        <w:rPr>
          <w:rFonts w:ascii="Times New Roman" w:cs="Times New Roman" w:eastAsia="Times New Roman" w:hAnsi="Times New Roman"/>
          <w:sz w:val="17"/>
          <w:szCs w:val="17"/>
          <w:i w:val="1"/>
          <w:iCs w:val="1"/>
          <w:color w:val="auto"/>
        </w:rPr>
        <w:t>Topic 718</w:t>
      </w:r>
      <w:r>
        <w:rPr>
          <w:rFonts w:ascii="Times New Roman" w:cs="Times New Roman" w:eastAsia="Times New Roman" w:hAnsi="Times New Roman"/>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97"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When tax deductions from stock options and awards are greater than the cumulative book compensation expense, the tax effect of the resulting difference is a windfall. For the year ended December 25, 2022, an income tax benefit of $0.7 million was recorded for windfalls generated from stock options and awards exercised in 2022. For the year ended December 26, 2021,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3" w:name="page84"/>
    <w:bookmarkEnd w:id="83"/>
    <w:p>
      <w:pPr>
        <w:ind w:right="160"/>
        <w:spacing w:after="0" w:line="287" w:lineRule="auto"/>
        <w:rPr>
          <w:sz w:val="20"/>
          <w:szCs w:val="20"/>
          <w:color w:val="auto"/>
        </w:rPr>
      </w:pPr>
      <w:r>
        <w:rPr>
          <w:rFonts w:ascii="Times New Roman" w:cs="Times New Roman" w:eastAsia="Times New Roman" w:hAnsi="Times New Roman"/>
          <w:sz w:val="17"/>
          <w:szCs w:val="17"/>
          <w:color w:val="auto"/>
        </w:rPr>
        <w:t>an income tax benefit of $2.4 million was recorded for windfalls generated from stock options and awards exercised in 2021. For the tax year ended December 27, 2020, an income tax benefit of $1.0 million was recorded for windfalls generated from stock options and awards exercised in 2020.</w:t>
      </w:r>
    </w:p>
    <w:p>
      <w:pPr>
        <w:spacing w:after="0" w:line="177" w:lineRule="exact"/>
        <w:rPr>
          <w:sz w:val="20"/>
          <w:szCs w:val="20"/>
          <w:color w:val="auto"/>
        </w:rPr>
      </w:pPr>
    </w:p>
    <w:p>
      <w:pPr>
        <w:ind w:right="6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amounts recognized in the consolidated financial statements for stock-based compensation expense related to stock options, stock awards and stock offered under the Company’s employee stock purchase plan (in millions).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w:t>
            </w:r>
          </w:p>
        </w:tc>
      </w:tr>
      <w:tr>
        <w:trPr>
          <w:trHeight w:val="198"/>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26,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w:t>
            </w:r>
          </w:p>
        </w:tc>
      </w:tr>
      <w:tr>
        <w:trPr>
          <w:trHeight w:val="21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r>
      <w:tr>
        <w:trPr>
          <w:trHeight w:val="168"/>
        </w:trPr>
        <w:tc>
          <w:tcPr>
            <w:tcW w:w="70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Total cost of employee stock-based compensation included in operating income (loss) from</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20"/>
                <w:szCs w:val="20"/>
                <w:color w:val="auto"/>
              </w:rPr>
            </w:pP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3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(j)</w:t>
        <w:tab/>
        <w:t>Allowance for Doubtful Accounts</w:t>
      </w:r>
    </w:p>
    <w:p>
      <w:pPr>
        <w:spacing w:after="0" w:line="247" w:lineRule="exact"/>
        <w:rPr>
          <w:sz w:val="20"/>
          <w:szCs w:val="20"/>
          <w:color w:val="auto"/>
        </w:rPr>
      </w:pPr>
    </w:p>
    <w:p>
      <w:pPr>
        <w:ind w:right="140" w:firstLine="619"/>
        <w:spacing w:after="0" w:line="257" w:lineRule="auto"/>
        <w:rPr>
          <w:sz w:val="20"/>
          <w:szCs w:val="20"/>
          <w:color w:val="auto"/>
        </w:rPr>
      </w:pPr>
      <w:r>
        <w:rPr>
          <w:rFonts w:ascii="Times New Roman" w:cs="Times New Roman" w:eastAsia="Times New Roman" w:hAnsi="Times New Roman"/>
          <w:sz w:val="17"/>
          <w:szCs w:val="17"/>
          <w:color w:val="auto"/>
        </w:rPr>
        <w:t>The Company maintains an allowance for doubtful accounts for estimated losses resulting from the inability of its customers to make required payments, which results in bad debt expense. 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05"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outlines the balance of the Company’s allowance for doubtful accounts for 2022, 2021 and 2020. The table identifies the additional provisions each year as well as the write-offs that utilized the allowance (in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314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22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6"/>
              </w:rPr>
              <w:t>Balance at End of</w:t>
            </w:r>
          </w:p>
        </w:tc>
        <w:tc>
          <w:tcPr>
            <w:tcW w:w="0" w:type="dxa"/>
            <w:vAlign w:val="bottom"/>
          </w:tcPr>
          <w:p>
            <w:pPr>
              <w:spacing w:after="0"/>
              <w:rPr>
                <w:sz w:val="1"/>
                <w:szCs w:val="1"/>
                <w:color w:val="auto"/>
              </w:rPr>
            </w:pPr>
          </w:p>
        </w:tc>
      </w:tr>
      <w:tr>
        <w:trPr>
          <w:trHeight w:val="188"/>
        </w:trPr>
        <w:tc>
          <w:tcPr>
            <w:tcW w:w="39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0" w:type="dxa"/>
            <w:vAlign w:val="bottom"/>
          </w:tcPr>
          <w:p>
            <w:pPr>
              <w:spacing w:after="0"/>
              <w:rPr>
                <w:sz w:val="16"/>
                <w:szCs w:val="16"/>
                <w:color w:val="auto"/>
              </w:rPr>
            </w:pPr>
          </w:p>
        </w:tc>
        <w:tc>
          <w:tcPr>
            <w:tcW w:w="12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27, 2020</w:t>
            </w:r>
          </w:p>
        </w:tc>
        <w:tc>
          <w:tcPr>
            <w:tcW w:w="200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26, 2021</w:t>
            </w:r>
          </w:p>
        </w:tc>
        <w:tc>
          <w:tcPr>
            <w:tcW w:w="20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25, 2022</w:t>
            </w:r>
          </w:p>
        </w:tc>
        <w:tc>
          <w:tcPr>
            <w:tcW w:w="20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(k)</w:t>
        <w:tab/>
        <w:t>Cash and Cash Equivalents</w:t>
      </w:r>
    </w:p>
    <w:p>
      <w:pPr>
        <w:spacing w:after="0" w:line="247"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The Company’s cash equivalents consist of its highly liquid investments with an original maturity of three months or less when purchased by the Company.</w:t>
      </w:r>
    </w:p>
    <w:p>
      <w:pPr>
        <w:spacing w:after="0" w:line="1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(l)</w:t>
        <w:tab/>
        <w:t>Property and Equipment, Net</w:t>
      </w:r>
    </w:p>
    <w:p>
      <w:pPr>
        <w:spacing w:after="0" w:line="247"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84" w:name="page85"/>
    <w:bookmarkEnd w:id="84"/>
    <w:p>
      <w:pPr>
        <w:ind w:left="620"/>
        <w:spacing w:after="0"/>
        <w:rPr>
          <w:sz w:val="20"/>
          <w:szCs w:val="20"/>
          <w:color w:val="auto"/>
        </w:rPr>
      </w:pPr>
      <w:r>
        <w:rPr>
          <w:rFonts w:ascii="Times New Roman" w:cs="Times New Roman" w:eastAsia="Times New Roman" w:hAnsi="Times New Roman"/>
          <w:sz w:val="17"/>
          <w:szCs w:val="17"/>
          <w:color w:val="auto"/>
        </w:rPr>
        <w:t>Assets are depreciated predominately using the straight-line method, with the following lives: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0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15 – 39</w:t>
            </w:r>
          </w:p>
        </w:tc>
      </w:tr>
      <w:tr>
        <w:trPr>
          <w:trHeight w:val="219"/>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 – 20</w:t>
            </w:r>
          </w:p>
        </w:tc>
      </w:tr>
      <w:tr>
        <w:trPr>
          <w:trHeight w:val="21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 – 10</w:t>
            </w:r>
          </w:p>
        </w:tc>
      </w:tr>
      <w:tr>
        <w:trPr>
          <w:trHeight w:val="219"/>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 furniture, and office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168"/>
        </w:trPr>
        <w:tc>
          <w:tcPr>
            <w:tcW w:w="9040" w:type="dxa"/>
            <w:vAlign w:val="bottom"/>
            <w:shd w:val="clear" w:color="auto" w:fill="CCEEFF"/>
          </w:tcPr>
          <w:p>
            <w:pPr>
              <w:spacing w:after="0"/>
              <w:rPr>
                <w:sz w:val="14"/>
                <w:szCs w:val="14"/>
                <w:color w:val="auto"/>
              </w:rPr>
            </w:pPr>
          </w:p>
        </w:tc>
        <w:tc>
          <w:tcPr>
            <w:tcW w:w="218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rPr>
              <w:t>Shorter of useful life or length</w:t>
            </w:r>
          </w:p>
        </w:tc>
      </w:tr>
      <w:tr>
        <w:trPr>
          <w:trHeight w:val="23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of lease</w:t>
            </w:r>
          </w:p>
        </w:tc>
      </w:tr>
    </w:tbl>
    <w:p>
      <w:pPr>
        <w:spacing w:after="0" w:line="3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(m)</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component.in the calculation of the lease asset and corresponding liability.</w:t>
      </w:r>
    </w:p>
    <w:p>
      <w:pPr>
        <w:spacing w:after="0" w:line="20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77" w:lineRule="exact"/>
        <w:rPr>
          <w:sz w:val="20"/>
          <w:szCs w:val="20"/>
          <w:color w:val="auto"/>
        </w:rPr>
      </w:pPr>
    </w:p>
    <w:p>
      <w:pPr>
        <w:ind w:right="100" w:firstLine="619"/>
        <w:spacing w:after="0" w:line="263" w:lineRule="auto"/>
        <w:rPr>
          <w:sz w:val="20"/>
          <w:szCs w:val="20"/>
          <w:color w:val="auto"/>
        </w:rPr>
      </w:pPr>
      <w:r>
        <w:rPr>
          <w:rFonts w:ascii="Times New Roman" w:cs="Times New Roman" w:eastAsia="Times New Roman" w:hAnsi="Times New Roman"/>
          <w:sz w:val="17"/>
          <w:szCs w:val="17"/>
          <w:color w:val="auto"/>
        </w:rPr>
        <w:t>The depreciable life of lease assets and leasehold improvements is limited by the expected lease term, unless there is a transfer of title or purchase option reasonably certain of exercise.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for additional disclosures related to the Company’s lease obligations.</w:t>
      </w:r>
    </w:p>
    <w:p>
      <w:pPr>
        <w:spacing w:after="0" w:line="2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(n)</w:t>
        <w:tab/>
        <w:t>Goodwill and Other Intangible Assets, Net</w:t>
      </w:r>
    </w:p>
    <w:p>
      <w:pPr>
        <w:spacing w:after="0" w:line="2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accordance with the provisions of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(“Topic 350”),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96"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accordance with </w:t>
      </w:r>
      <w:r>
        <w:rPr>
          <w:rFonts w:ascii="Times New Roman" w:cs="Times New Roman" w:eastAsia="Times New Roman" w:hAnsi="Times New Roman"/>
          <w:sz w:val="17"/>
          <w:szCs w:val="17"/>
          <w:i w:val="1"/>
          <w:iCs w:val="1"/>
          <w:color w:val="auto"/>
        </w:rPr>
        <w:t>Topic 350</w:t>
      </w:r>
      <w:r>
        <w:rPr>
          <w:rFonts w:ascii="Times New Roman" w:cs="Times New Roman" w:eastAsia="Times New Roman" w:hAnsi="Times New Roman"/>
          <w:sz w:val="17"/>
          <w:szCs w:val="17"/>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200"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that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(o)</w:t>
        <w:tab/>
        <w:t>Impairment of Long-Lived Assets and Long-Lived Assets to Be Disposed Of</w:t>
      </w:r>
    </w:p>
    <w:p>
      <w:pPr>
        <w:spacing w:after="0" w:line="2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 xml:space="preserve">Long-lived assets are reviewed for impairment in accordance with ASC Topic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(p)</w:t>
        <w:tab/>
        <w:t>Fair Value of Financial Instruments</w:t>
      </w:r>
    </w:p>
    <w:p>
      <w:pPr>
        <w:spacing w:after="0" w:line="243"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ASC Topic 825</w:t>
      </w:r>
      <w:r>
        <w:rPr>
          <w:rFonts w:ascii="Times New Roman" w:cs="Times New Roman" w:eastAsia="Times New Roman" w:hAnsi="Times New Roman"/>
          <w:sz w:val="17"/>
          <w:szCs w:val="17"/>
          <w:i w:val="1"/>
          <w:iCs w:val="1"/>
          <w:color w:val="auto"/>
        </w:rPr>
        <w:t>, Financial Instruments,</w:t>
      </w:r>
      <w:r>
        <w:rPr>
          <w:rFonts w:ascii="Times New Roman" w:cs="Times New Roman" w:eastAsia="Times New Roman" w:hAnsi="Times New Roman"/>
          <w:sz w:val="17"/>
          <w:szCs w:val="17"/>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outstanding at December 25, 2022 is recorded at fair value. The fair value of the Company’s Senior Secured Notes (as defined below in Note 5), which were redeemed on March 14, 2022, is based upon quoted market prices.</w:t>
      </w:r>
    </w:p>
    <w:p>
      <w:pPr>
        <w:spacing w:after="0" w:line="200" w:lineRule="exact"/>
        <w:rPr>
          <w:sz w:val="20"/>
          <w:szCs w:val="20"/>
          <w:color w:val="auto"/>
        </w:rPr>
      </w:pPr>
    </w:p>
    <w:p>
      <w:pPr>
        <w:ind w:right="2480" w:firstLine="619"/>
        <w:spacing w:after="0" w:line="258" w:lineRule="auto"/>
        <w:rPr>
          <w:sz w:val="20"/>
          <w:szCs w:val="20"/>
          <w:color w:val="auto"/>
        </w:rPr>
      </w:pPr>
      <w:r>
        <w:rPr>
          <w:rFonts w:ascii="Times New Roman" w:cs="Times New Roman" w:eastAsia="Times New Roman" w:hAnsi="Times New Roman"/>
          <w:sz w:val="17"/>
          <w:szCs w:val="17"/>
          <w:color w:val="auto"/>
        </w:rPr>
        <w:t>The Company uses forward exchange contracts to manage foreign currency risks associated with certain transactions, specifically forecasted materials and salaries paid in foreign currencies. These derivative instruments are measured at fair value using observable market inputs such as forward rates. Based on these inputs, the derivative instruments are classified within Level 2 of the valuation hierarchy. At December 25, 2022, the derivative instruments were included in other current assets and other current liabilities on the Company's Condensed Consolidated Balance Sheets. The carrying amounts and the related fair values of the Company’s derivative instruments measured at fair value on a recurring basis at December 25, 2022, are presented in Note 15. There were no derivative instruments for forward exchange contracts at December 26, 2021.</w:t>
      </w:r>
    </w:p>
    <w:p>
      <w:pPr>
        <w:spacing w:after="0" w:line="20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(q)</w:t>
        <w:tab/>
        <w:t>Concentrations and Uncertainties</w:t>
      </w:r>
    </w:p>
    <w:p>
      <w:pPr>
        <w:sectPr>
          <w:pgSz w:w="11900" w:h="16838" w:orient="portrait"/>
          <w:cols w:equalWidth="0" w:num="1">
            <w:col w:w="11240"/>
          </w:cols>
          <w:pgMar w:left="320" w:top="858" w:right="339" w:bottom="63" w:gutter="0" w:footer="0" w:header="0"/>
        </w:sectPr>
      </w:pPr>
    </w:p>
    <w:bookmarkStart w:id="85" w:name="page86"/>
    <w:bookmarkEnd w:id="85"/>
    <w:p>
      <w:pPr>
        <w:jc w:val="both"/>
        <w:ind w:right="120" w:firstLine="619"/>
        <w:spacing w:after="0" w:line="270" w:lineRule="auto"/>
        <w:rPr>
          <w:sz w:val="20"/>
          <w:szCs w:val="20"/>
          <w:color w:val="auto"/>
        </w:rPr>
      </w:pPr>
      <w:r>
        <w:rPr>
          <w:rFonts w:ascii="Times New Roman" w:cs="Times New Roman" w:eastAsia="Times New Roman" w:hAnsi="Times New Roman"/>
          <w:sz w:val="17"/>
          <w:szCs w:val="17"/>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91"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(r)</w:t>
        <w:tab/>
        <w:t>Debt Issuance Costs</w:t>
      </w:r>
    </w:p>
    <w:p>
      <w:pPr>
        <w:spacing w:after="0" w:line="24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Interest Expense, Net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expense, net is summarized in the following table (in millions):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24"/>
                <w:szCs w:val="24"/>
                <w:color w:val="auto"/>
              </w:rPr>
            </w:pP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26, 2021</w:t>
            </w:r>
          </w:p>
        </w:tc>
        <w:tc>
          <w:tcPr>
            <w:tcW w:w="100" w:type="dxa"/>
            <w:vAlign w:val="bottom"/>
          </w:tcPr>
          <w:p>
            <w:pPr>
              <w:spacing w:after="0"/>
              <w:rPr>
                <w:sz w:val="16"/>
                <w:szCs w:val="16"/>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5"/>
              </w:rPr>
              <w:t>December 27, 2020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incurred primarily on indebtedness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Miscellaneous interest income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w:t>
            </w:r>
          </w:p>
        </w:tc>
        <w:tc>
          <w:tcPr>
            <w:tcW w:w="6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60" w:type="dxa"/>
            <w:vAlign w:val="bottom"/>
            <w:gridSpan w:val="2"/>
            <w:vMerge w:val="continue"/>
          </w:tcPr>
          <w:p>
            <w:pPr>
              <w:spacing w:after="0"/>
              <w:rPr>
                <w:sz w:val="24"/>
                <w:szCs w:val="24"/>
                <w:color w:val="auto"/>
              </w:rPr>
            </w:pPr>
          </w:p>
        </w:tc>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191"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9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aggregate foreign currency transaction gain (loss) included in determining net income (loss) for the years ended December 25, 2022, December 26, 2021, and December 27, 2020 was approximately $(0.1) million, $(0.8) million, and $0.0 million, respectively, which is included in other income (expense), net on the accompanying consolidated statements of operations and comprehensive income (loss).</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(u)</w:t>
        <w:tab/>
        <w:t>Recent Accounting Pronouncements</w:t>
      </w:r>
    </w:p>
    <w:p>
      <w:pPr>
        <w:spacing w:after="0" w:line="247"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Accounting standards updates adopted and/or issued, but not effective until after December 25, 2022, are not expected to have a material effect on the Company’s consolidated financial position, annual results of operations and/or cash flows.</w:t>
      </w:r>
    </w:p>
    <w:p>
      <w:pPr>
        <w:spacing w:after="0" w:line="1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Note 2.</w:t>
        <w:tab/>
        <w:t>Acquisitions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Technical Directions, Inc.</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February 24, 2020, the Company acquired Technical Directions, Inc. (“TDI”), a turbine technology company focused on tactical unmanned aerial drones, missile and other systems for approximately $10.5 million in cash, subject to adjustments for transaction expenses, indebtedness, cash on hand, and post-closing working capital adjustments. Working capital adjustments of $0.3 million were settled in the third quarter of 2020. The operating results of the acquisition have been included in the Company’s results of operations from the effective acquisition date. The amount of net sales and earnings of TDI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TDI is included in the Kratos US segment.</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6" w:name="page87"/>
    <w:bookmarkEnd w:id="86"/>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Optimized Performance Machining, Inc.</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April 17, 2020, the Company acquired Optimized Performance Machining, Inc.(“OPM”), a company that primarily operates in the industrial machinery and equipment repair business industry for approximately $1.8 million in cash, subject to adjustments for transaction expenses, indebtedness, cash on hand, and post-closing working capital adjustments. Working capital adjustments of $0.03 million were settled in the third quarter of 2020. The operating results of the acquisition have been included in the Company’s results of operations from the effective acquisition date. The amount of net sales and earnings of OPM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OPM is included in the Kratos US segment.</w:t>
      </w:r>
    </w:p>
    <w:p>
      <w:pPr>
        <w:spacing w:after="0" w:line="3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CPI ASC Signal Division, Inc.</w:t>
      </w:r>
    </w:p>
    <w:p>
      <w:pPr>
        <w:spacing w:after="0" w:line="236" w:lineRule="exact"/>
        <w:rPr>
          <w:sz w:val="20"/>
          <w:szCs w:val="20"/>
          <w:color w:val="auto"/>
        </w:rPr>
      </w:pPr>
    </w:p>
    <w:p>
      <w:pPr>
        <w:ind w:right="300" w:firstLine="619"/>
        <w:spacing w:after="0" w:line="256" w:lineRule="auto"/>
        <w:rPr>
          <w:sz w:val="20"/>
          <w:szCs w:val="20"/>
          <w:color w:val="auto"/>
        </w:rPr>
      </w:pPr>
      <w:r>
        <w:rPr>
          <w:rFonts w:ascii="Times New Roman" w:cs="Times New Roman" w:eastAsia="Times New Roman" w:hAnsi="Times New Roman"/>
          <w:sz w:val="17"/>
          <w:szCs w:val="17"/>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The adjustments for transaction expenses, indebtedness, cash on hand and working capital were settled by the parties in January 2021, resulting in a net payment due to the Company of approximately $1.4 million.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 ASC Signal is included in the KSTC Division of the Company’s KGS segment.</w:t>
      </w:r>
    </w:p>
    <w:p>
      <w:pPr>
        <w:spacing w:after="0" w:line="19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191"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 measurements. The following table summarizes the allocation of the purchase price over the estimated fair values of the major assets acquired and liabilities assumed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Inventoried costs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2"/>
        </w:trPr>
        <w:tc>
          <w:tcPr>
            <w:tcW w:w="9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net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2"/>
        </w:trPr>
        <w:tc>
          <w:tcPr>
            <w:tcW w:w="9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assets acquired, excluding cash</w:t>
            </w: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0"/>
        </w:trPr>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Based on the Company’s preliminary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$1.1 million for the difference between the financial statement basis and tax basis of the acquired assets of ASC Signal and a corresponding increase in goodwill. The goodwill recorded in this transaction is not expected to be tax-deductible.</w:t>
      </w:r>
    </w:p>
    <w:p>
      <w:pPr>
        <w:spacing w:after="0" w:line="200"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The amounts of revenue and operating income of ASC Signal included in the Company's condensed consolidated statement of operations for the year ended December 27, 2020 were $21.9 million and $1.1 million, respectively. Included 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Merger and acquisition expenses for the year ended December 27, 2020 were transaction expenses of $1.1 million, related to the acquisition of ASC Signal.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the consideration paid for the acquired ownership in ASC Signal is as follows: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9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98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Cash paid</w:t>
            </w:r>
          </w:p>
        </w:tc>
        <w:tc>
          <w:tcPr>
            <w:tcW w:w="560" w:type="dxa"/>
            <w:vAlign w:val="bottom"/>
            <w:shd w:val="clear" w:color="auto" w:fill="CCEEFF"/>
          </w:tcPr>
          <w:p>
            <w:pPr>
              <w:jc w:val="right"/>
              <w:ind w:right="3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34.9</w:t>
            </w:r>
          </w:p>
        </w:tc>
      </w:tr>
      <w:tr>
        <w:trPr>
          <w:trHeight w:val="193"/>
        </w:trPr>
        <w:tc>
          <w:tcPr>
            <w:tcW w:w="9860" w:type="dxa"/>
            <w:vAlign w:val="bottom"/>
            <w:tcBorders>
              <w:bottom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Less: Cash acquired</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w:t>
            </w:r>
          </w:p>
        </w:tc>
      </w:tr>
      <w:tr>
        <w:trPr>
          <w:trHeight w:val="211"/>
        </w:trPr>
        <w:tc>
          <w:tcPr>
            <w:tcW w:w="986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Total consideration</w:t>
            </w:r>
          </w:p>
        </w:tc>
        <w:tc>
          <w:tcPr>
            <w:tcW w:w="560" w:type="dxa"/>
            <w:vAlign w:val="bottom"/>
            <w:tcBorders>
              <w:bottom w:val="single" w:sz="8" w:color="auto"/>
            </w:tcBorders>
            <w:shd w:val="clear" w:color="auto" w:fill="CCEEFF"/>
          </w:tcPr>
          <w:p>
            <w:pPr>
              <w:jc w:val="right"/>
              <w:ind w:right="37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32.9</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Pro Forma Financial Information (Unaudited)</w:t>
      </w:r>
    </w:p>
    <w:p>
      <w:pPr>
        <w:spacing w:after="0" w:line="22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transactions. There are no material, nonrecurring pro forma adjustments directly attributable to the business combination included in the reported pro forma revenue and earnings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For the year ended December 27, 2020 (all amounts, except per share amounts, are in millions):</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
        </w:trPr>
        <w:tc>
          <w:tcPr>
            <w:tcW w:w="8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revenues</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766.0</w:t>
            </w:r>
          </w:p>
        </w:tc>
      </w:tr>
      <w:tr>
        <w:trPr>
          <w:trHeight w:val="193"/>
        </w:trPr>
        <w:tc>
          <w:tcPr>
            <w:tcW w:w="86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income before tax</w:t>
            </w:r>
          </w:p>
        </w:tc>
        <w:tc>
          <w:tcPr>
            <w:tcW w:w="1860" w:type="dxa"/>
            <w:vAlign w:val="bottom"/>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w:t>
            </w: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income</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74.5</w:t>
            </w:r>
          </w:p>
        </w:tc>
      </w:tr>
      <w:tr>
        <w:trPr>
          <w:trHeight w:val="258"/>
        </w:trPr>
        <w:tc>
          <w:tcPr>
            <w:tcW w:w="8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Basic pro forma income per share</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0.65</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pro forma income per share</w:t>
            </w: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0.63</w:t>
            </w:r>
          </w:p>
        </w:tc>
      </w:tr>
    </w:tbl>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5-D Systems, Inc.</w:t>
      </w:r>
    </w:p>
    <w:p>
      <w:pPr>
        <w:spacing w:after="0" w:line="23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November 18, 2020, the Company acquired 5-D Systems, Inc. (“5-D Systems”), a leading National Security Solutions provider and industry-leading provider of high-performance, jet-powered unmanned aerial systems for an aggregate of approximately $10.0 million. The purchase price was $5.0 million in cash, subject to adjustments for transaction expenses, indebtedness, cash on hand, and post-closing working capital adjustments, and 250,374 shares of common stock (with a value of approximately $5.0 million). The operating results of the acquisition have been included in the Company’s results of operations from the effective acquisition date. The amount of net sales and earnings of 5-D Systems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5-D Systems is included in the Kratos US segment.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CTT Inc.</w:t>
      </w:r>
    </w:p>
    <w:p>
      <w:pPr>
        <w:spacing w:after="0" w:line="249"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On December 10, 2021 , the Company acquired CTT Inc. (“CTT”), a company that designs, develops, and manufactures microwave application components and equipment primarily for customers in the defense industry. The purchase price was approximately $22.0 million in cash, subject to adjustments for transaction expenses, indebtedness, cash on hand, and post-closing working capital adjustments. Approximately $6.3 million of the purchase price was paid on December 10, 2021, $15.2 million of the purchase price was paid on December 30, 2021, and the remainder of the purchase price was paid during the three months ended June 26, 2022.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CTT included in the condensed consolidated statement of operations for the year ended December 26, 2021 are not material. Had the acquisition occurred as of December 28, 2020, net sales, net income from consolidated operations, net income attributable to Kratos, and basic and diluted net income per share attributable to Kratos on a pro forma basis for the year ended December 26, 2021 would not have been materially different than the reported amounts. CTT is included in the Kratos KGS segment.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7"/>
          <w:szCs w:val="17"/>
          <w:b w:val="1"/>
          <w:bCs w:val="1"/>
          <w:color w:val="auto"/>
        </w:rPr>
        <w:t>Cosmic Advanced Engineered Solutions, Inc.</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December 27, 2021, Kratos Integral Holdings, LLC entered into a Stock Purchase Agreement to acquire Cosmic Advanced Engineered Solutions, Inc. (“Cosmic”) from the Carol L. Zanmiller Living Trust and the John G. Hutchens Living Trust for approximately $37.5 million in cash (not including a $0.4 million holdback to be paid at a later date). Cosmic focuses on radio frequency (RF),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operating results of the acquisition have been included in the Company’s results of operations from the effective acquisition date. Cosmic is included in the KGS segment.</w:t>
      </w:r>
    </w:p>
    <w:p>
      <w:pPr>
        <w:spacing w:after="0" w:line="205"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spacing w:after="0" w:line="191"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191"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allocation of the purchase price over the estimated fair values of the major assets acquired and liabilities assumed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2"/>
        </w:trPr>
        <w:tc>
          <w:tcPr>
            <w:tcW w:w="9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net liabilities assumed</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 excluding cash</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Based on the Company’s estimate of fair value, as of December 27, 2021, net liabilities included $6.7 million of current liabilities. The identifiable intangible assets include trade names of $0.6 million with a remaining useful life of 5 years, backlog of $1.7 million with an estimated useful life of 1 year, customer relationships of $4.4 million with a remaining useful life of 10 years, and developed technology of $1.8 million with a remaining useful life of 5 years. The Company also established a deferred tax liability of $2.4 million for the difference between the financial statement basis and tax basis of the acquired assets of Cosmic and a corresponding increase in goodwill. The goodwill recorded in this transaction is not expected to be tax-deductible.</w:t>
      </w:r>
    </w:p>
    <w:p>
      <w:pPr>
        <w:spacing w:after="0" w:line="20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11% to determine the fair value. The value of backlog was also valued using MPEEM.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of 11% was applied to the projected revenues associated with the intangible asset to determine the amount of savings in order to determine the fair value.</w:t>
      </w:r>
    </w:p>
    <w:p>
      <w:pPr>
        <w:spacing w:after="0" w:line="205"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The amounts of revenue and operating loss of Cosmic included in the Company’s condensed consolidated statement of operations for the year ended December 25, 2022 were $59.9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3"/>
        </w:trPr>
        <w:tc>
          <w:tcPr>
            <w:tcW w:w="97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the consideration paid for the acquired ownership in Cosmic is as follows (in millions):</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9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Holdback to be paid at later date</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Cash acquired</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
        </w:trPr>
        <w:tc>
          <w:tcPr>
            <w:tcW w:w="9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 Forma Financial Information (Unaudited)</w:t>
      </w:r>
    </w:p>
    <w:p>
      <w:pPr>
        <w:spacing w:after="0" w:line="247"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following tables summarize the supplemental condensed consolidated statements of operations information on an unaudited pro forma basis as if the acquisition of Cosmic occurred on December 28, 2020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For the year ended December 26, 2021 (all amounts, except per share amounts, are in millions):</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
        </w:trPr>
        <w:tc>
          <w:tcPr>
            <w:tcW w:w="8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revenues</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855.2</w:t>
            </w:r>
          </w:p>
        </w:tc>
      </w:tr>
      <w:tr>
        <w:trPr>
          <w:trHeight w:val="193"/>
        </w:trPr>
        <w:tc>
          <w:tcPr>
            <w:tcW w:w="86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loss before tax</w:t>
            </w:r>
          </w:p>
        </w:tc>
        <w:tc>
          <w:tcPr>
            <w:tcW w:w="1860" w:type="dxa"/>
            <w:vAlign w:val="bottom"/>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(0.8)</w:t>
            </w: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loss</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r>
      <w:tr>
        <w:trPr>
          <w:trHeight w:val="258"/>
        </w:trPr>
        <w:tc>
          <w:tcPr>
            <w:tcW w:w="8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Basic pro forma loss per share</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(0.03)</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pro forma loss per share</w:t>
            </w: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r>
    </w:tbl>
    <w:p>
      <w:pPr>
        <w:spacing w:after="0" w:line="3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Southern Research Engineering Division</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March 9, 2022, the Company executed an Asset Purchase Agreement to acquire the assets of the Engineering Division of Southern Research Institute (“SRI”), an Alabama non-profit corporation, for a purchase price of approximately $79.4 million, comprised of $74.4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w:t>
      </w:r>
    </w:p>
    <w:p>
      <w:pPr>
        <w:spacing w:after="0" w:line="201"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On May 23, 2022, the acquisition was completed following the satisfaction of all closing conditions, including receipt of necessary approval from all required government authorities. The operating results of the acquisition have been included in the Company’s results of operations from the effective acquisition date.</w:t>
      </w:r>
    </w:p>
    <w:p>
      <w:pPr>
        <w:spacing w:after="0" w:line="191"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spacing w:after="0" w:line="191"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0" w:name="page91"/>
    <w:bookmarkEnd w:id="90"/>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preliminary allocation of the purchase price over the estimated fair values of the major assets acquired and liabilities assumed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2"/>
        </w:trPr>
        <w:tc>
          <w:tcPr>
            <w:tcW w:w="9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net liabilities assumed</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 excluding cash</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Based on the Company’s preliminary estimate of fair value, as of May 23, 2022, net liabilities included $2.5 million of current liabilities. The identifiable intangible assets include trade names of $0.5 million with a remaining useful life of 5 years, backlog of $2.5 million with an estimated useful life of 3 years, in-process research and development of $7.3 million that will commence amortization at the completion of the development, and developed technology of</w:t>
      </w:r>
    </w:p>
    <w:p>
      <w:pPr>
        <w:ind w:right="200"/>
        <w:spacing w:after="0" w:line="259" w:lineRule="auto"/>
        <w:rPr>
          <w:sz w:val="20"/>
          <w:szCs w:val="20"/>
          <w:color w:val="auto"/>
        </w:rPr>
      </w:pPr>
      <w:r>
        <w:rPr>
          <w:rFonts w:ascii="Times New Roman" w:cs="Times New Roman" w:eastAsia="Times New Roman" w:hAnsi="Times New Roman"/>
          <w:sz w:val="17"/>
          <w:szCs w:val="17"/>
          <w:color w:val="auto"/>
        </w:rPr>
        <w:t>$0.5 million with a remaining useful life of 3 years. The Company also established a deferred tax asset of $0.2 million for the difference between the financial statement basis and tax basis of the acquired assets of SRE and a corresponding decrease in goodwill. The goodwill recorded in this transaction is expected to be tax-deductible.</w:t>
      </w:r>
    </w:p>
    <w:p>
      <w:pPr>
        <w:spacing w:after="0" w:line="20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value of backlog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backlog, which were discounted at a rate of 6.4% to determine the fair value.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11% to determine the fair value. The value of in-process research and development was also estimated using the relief-from-royalty method. A royalty rate of 12% was applied to the projected revenues associated with the intangible asset to determine the amount of savings in order to determine the fair value.</w:t>
      </w:r>
    </w:p>
    <w:p>
      <w:pPr>
        <w:spacing w:after="0" w:line="201"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The amounts of revenue and operating income of SRE included in the Company’s condensed consolidated statement of operations for the year end December 25, 2022 were $26.8 million and $2.9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the consideration paid for the acquired assets is as follows (in millions):</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9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Common stock issued</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Pro Forma Financial Information (Unaudited)</w:t>
      </w:r>
    </w:p>
    <w:p>
      <w:pPr>
        <w:spacing w:after="0" w:line="234"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following tables summarize the supplemental condensed consolidated statements of operations information on an unaudited pro forma basis as if the acquisition of SRE occurred on December 28, 2020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1" w:name="page92"/>
    <w:bookmarkEnd w:id="91"/>
    <w:p>
      <w:pPr>
        <w:ind w:left="620"/>
        <w:spacing w:after="0"/>
        <w:rPr>
          <w:sz w:val="20"/>
          <w:szCs w:val="20"/>
          <w:color w:val="auto"/>
        </w:rPr>
      </w:pPr>
      <w:r>
        <w:rPr>
          <w:rFonts w:ascii="Times New Roman" w:cs="Times New Roman" w:eastAsia="Times New Roman" w:hAnsi="Times New Roman"/>
          <w:sz w:val="17"/>
          <w:szCs w:val="17"/>
          <w:color w:val="auto"/>
        </w:rPr>
        <w:t>For the years ended December 25, 2022 and December 26, 2021 (all amounts, except per share amounts, are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2021</w:t>
            </w:r>
          </w:p>
        </w:tc>
      </w:tr>
      <w:tr>
        <w:trPr>
          <w:trHeight w:val="186"/>
        </w:trPr>
        <w:tc>
          <w:tcPr>
            <w:tcW w:w="57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Pro forma revenues</w:t>
            </w:r>
          </w:p>
        </w:tc>
        <w:tc>
          <w:tcPr>
            <w:tcW w:w="3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915.3</w:t>
            </w:r>
          </w:p>
        </w:tc>
        <w:tc>
          <w:tcPr>
            <w:tcW w:w="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850.7</w:t>
            </w:r>
          </w:p>
        </w:tc>
      </w:tr>
      <w:tr>
        <w:trPr>
          <w:trHeight w:val="193"/>
        </w:trPr>
        <w:tc>
          <w:tcPr>
            <w:tcW w:w="5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income (loss) before tax</w:t>
            </w:r>
          </w:p>
        </w:tc>
        <w:tc>
          <w:tcPr>
            <w:tcW w:w="3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(31.6)</w:t>
            </w: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3.8</w:t>
            </w:r>
          </w:p>
        </w:tc>
      </w:tr>
      <w:tr>
        <w:trPr>
          <w:trHeight w:val="193"/>
        </w:trPr>
        <w:tc>
          <w:tcPr>
            <w:tcW w:w="5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income ( loss)</w:t>
            </w:r>
          </w:p>
        </w:tc>
        <w:tc>
          <w:tcPr>
            <w:tcW w:w="30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(35.8)</w:t>
            </w:r>
          </w:p>
        </w:tc>
        <w:tc>
          <w:tcPr>
            <w:tcW w:w="3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w:t>
            </w:r>
          </w:p>
        </w:tc>
      </w:tr>
      <w:tr>
        <w:trPr>
          <w:trHeight w:val="258"/>
        </w:trPr>
        <w:tc>
          <w:tcPr>
            <w:tcW w:w="57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3"/>
        </w:trPr>
        <w:tc>
          <w:tcPr>
            <w:tcW w:w="5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Basic pro forma income (loss) per share</w:t>
            </w:r>
          </w:p>
        </w:tc>
        <w:tc>
          <w:tcPr>
            <w:tcW w:w="30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(0.28)</w:t>
            </w:r>
          </w:p>
        </w:tc>
        <w:tc>
          <w:tcPr>
            <w:tcW w:w="3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0.01</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pro forma income (loss) per share</w:t>
            </w:r>
          </w:p>
        </w:tc>
        <w:tc>
          <w:tcPr>
            <w:tcW w:w="3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r>
    </w:tbl>
    <w:p>
      <w:pPr>
        <w:spacing w:after="0" w:line="3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Note 3.</w:t>
        <w:tab/>
        <w:t>Goodwill and Other Intangible Assets</w:t>
      </w:r>
    </w:p>
    <w:p>
      <w:pPr>
        <w:spacing w:after="0" w:line="217" w:lineRule="exact"/>
        <w:rPr>
          <w:sz w:val="20"/>
          <w:szCs w:val="20"/>
          <w:color w:val="auto"/>
        </w:rPr>
      </w:pPr>
    </w:p>
    <w:p>
      <w:pPr>
        <w:ind w:left="380" w:hanging="377"/>
        <w:spacing w:after="0"/>
        <w:tabs>
          <w:tab w:leader="none" w:pos="38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w:t>
      </w:r>
    </w:p>
    <w:p>
      <w:pPr>
        <w:spacing w:after="0" w:line="217" w:lineRule="exact"/>
        <w:rPr>
          <w:sz w:val="20"/>
          <w:szCs w:val="20"/>
          <w:color w:val="auto"/>
        </w:rPr>
      </w:pPr>
    </w:p>
    <w:p>
      <w:pPr>
        <w:ind w:right="160" w:firstLine="619"/>
        <w:spacing w:after="0" w:line="292" w:lineRule="auto"/>
        <w:rPr>
          <w:sz w:val="20"/>
          <w:szCs w:val="20"/>
          <w:color w:val="auto"/>
        </w:rPr>
      </w:pPr>
      <w:r>
        <w:rPr>
          <w:rFonts w:ascii="Times New Roman" w:cs="Times New Roman" w:eastAsia="Times New Roman" w:hAnsi="Times New Roman"/>
          <w:sz w:val="17"/>
          <w:szCs w:val="17"/>
          <w:color w:val="auto"/>
        </w:rPr>
        <w:t xml:space="preserve">The Company performs its annual impairment test for goodwill in accordance with </w:t>
      </w:r>
      <w:r>
        <w:rPr>
          <w:rFonts w:ascii="Times New Roman" w:cs="Times New Roman" w:eastAsia="Times New Roman" w:hAnsi="Times New Roman"/>
          <w:sz w:val="17"/>
          <w:szCs w:val="17"/>
          <w:i w:val="1"/>
          <w:iCs w:val="1"/>
          <w:color w:val="auto"/>
        </w:rPr>
        <w:t>Topic 350</w:t>
      </w:r>
      <w:r>
        <w:rPr>
          <w:rFonts w:ascii="Times New Roman" w:cs="Times New Roman" w:eastAsia="Times New Roman" w:hAnsi="Times New Roman"/>
          <w:sz w:val="17"/>
          <w:szCs w:val="17"/>
          <w:color w:val="auto"/>
        </w:rPr>
        <w:t xml:space="preserve"> as of the last day of its fiscal October or when evidence of potential impairment exists.</w:t>
      </w:r>
    </w:p>
    <w:p>
      <w:pPr>
        <w:spacing w:after="0" w:line="173"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9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KGS reportable segment has five operating businesses: Defense Rocket Support Services (“DRSS”), Microwave Electronics (“ME”), Space, Training and Cybersecurity Solutions (“ST&amp;C”), C5ISR/Modular Systems (“MS”), and Kratos Turbine Technologies (“KTT”). All of the KGS operating segments provide technology based defense solutions, involving products and services, primarily for mission critical U.S. National Security priorities, with the primary focus relating to the nation’s C5ISR requirements. The US reportable segment consists of its unmanned aerial system, unmanned ground, and unmanned seaborne system products.</w:t>
      </w:r>
    </w:p>
    <w:p>
      <w:pPr>
        <w:spacing w:after="0" w:line="20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Company identified its reporting units to be the DRSS, ME, ST&amp;C, MS, KTT and US operating segments. The Company tests goodwill for impairment by first performing a qualitative assessment. If, based on its qualitative assessment management determines it is not more likely than not that the fair value of the reporting unit exceeds its carrying value, a quantitative assessment is then performed. For operations where a quantitative assessment is performed, the identification and measurement of impairment involves the estimation of the fair value of reporting units. If the fair value is determined to be less than the carrying value, a charge to operations is recorded for the amount that the carrying value exceeds fair value. As part of its quantitative assessment, the Company estimates the fair value of each of the reporting units based on a comparison and weighting of the income approach, specifically the discounted cash flow method and the market approach, which estimates the fair value of the reporting units based upon comparable market prices and recent transactions and also validates the reasonableness of the implied multiples from the income approach.</w:t>
      </w:r>
    </w:p>
    <w:p>
      <w:pPr>
        <w:spacing w:after="0" w:line="201"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In determining the fair value for the reporting units, where a quantitative assessment is performed, there are key assumptions relating to future expected cash flows, terminal growth rates, appropriate discount rates, market multiples, and the control premium a controlling shareholder could be expected to pay.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The carrying amounts of goodwill as of December 25, 2022 and December 26, 2021 by reportable segment are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As of December 25, 2022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KGS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18"/>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value</w:t>
            </w:r>
          </w:p>
        </w:tc>
        <w:tc>
          <w:tcPr>
            <w:tcW w:w="800" w:type="dxa"/>
            <w:vAlign w:val="bottom"/>
            <w:tcBorders>
              <w:top w:val="single" w:sz="8" w:color="auto"/>
            </w:tcBorders>
            <w:gridSpan w:val="2"/>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40" w:type="dxa"/>
            <w:vAlign w:val="bottom"/>
          </w:tcPr>
          <w:p>
            <w:pPr>
              <w:spacing w:after="0"/>
              <w:rPr>
                <w:sz w:val="18"/>
                <w:szCs w:val="18"/>
                <w:color w:val="auto"/>
              </w:rPr>
            </w:pPr>
          </w:p>
        </w:tc>
      </w:tr>
      <w:tr>
        <w:trPr>
          <w:trHeight w:val="21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impairment</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40" w:type="dxa"/>
            <w:vAlign w:val="bottom"/>
          </w:tcPr>
          <w:p>
            <w:pPr>
              <w:spacing w:after="0"/>
              <w:rPr>
                <w:sz w:val="19"/>
                <w:szCs w:val="19"/>
                <w:color w:val="auto"/>
              </w:rPr>
            </w:pPr>
          </w:p>
        </w:tc>
      </w:tr>
      <w:tr>
        <w:trPr>
          <w:trHeight w:val="232"/>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800" w:type="dxa"/>
            <w:vAlign w:val="bottom"/>
            <w:gridSpan w:val="2"/>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440" w:type="dxa"/>
            <w:vAlign w:val="bottom"/>
            <w:gridSpan w:val="4"/>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4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10"/>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26, 2021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KGS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value</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619.3</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747.2</w:t>
            </w:r>
          </w:p>
        </w:tc>
        <w:tc>
          <w:tcPr>
            <w:tcW w:w="40" w:type="dxa"/>
            <w:vAlign w:val="bottom"/>
            <w:tcBorders>
              <w:top w:val="single" w:sz="8" w:color="auto"/>
            </w:tcBorders>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impairment</w:t>
            </w: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40" w:type="dxa"/>
            <w:vAlign w:val="bottom"/>
            <w:tcBorders>
              <w:bottom w:val="single" w:sz="8" w:color="auto"/>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440" w:type="dxa"/>
            <w:vAlign w:val="bottom"/>
            <w:gridSpan w:val="4"/>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w:t>
            </w:r>
          </w:p>
        </w:tc>
        <w:tc>
          <w:tcPr>
            <w:tcW w:w="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Purchased Intangible Assets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for acquired finite-lived and indefinite-lived intangible assets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7"/>
              </w:rPr>
              <w:t>As of December 25,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gridSpan w:val="6"/>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7"/>
              </w:rPr>
              <w:t>As of December 26, 2021</w:t>
            </w:r>
          </w:p>
        </w:tc>
        <w:tc>
          <w:tcPr>
            <w:tcW w:w="880" w:type="dxa"/>
            <w:vAlign w:val="bottom"/>
          </w:tcPr>
          <w:p>
            <w:pPr>
              <w:spacing w:after="0"/>
              <w:rPr>
                <w:sz w:val="15"/>
                <w:szCs w:val="15"/>
                <w:color w:val="auto"/>
              </w:rPr>
            </w:pPr>
          </w:p>
        </w:tc>
      </w:tr>
      <w:tr>
        <w:trPr>
          <w:trHeight w:val="22"/>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23"/>
        </w:trPr>
        <w:tc>
          <w:tcPr>
            <w:tcW w:w="3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58"/>
              <w:spacing w:after="0" w:line="123"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58"/>
              <w:spacing w:after="0" w:line="123"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38"/>
              <w:spacing w:after="0" w:line="123"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78"/>
              <w:spacing w:after="0" w:line="123"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87"/>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9"/>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Contracts and backlog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Developed technology and technical know-how</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names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finite-lived intangible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Indefinite-lived trade names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37"/>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aggregate amortization expense for finite-lived intangible assets was $7.4 million, $4.7 million and $6.8 million, for the years ended December 25, 2022, December 26, 2021, and December 27, 2020, respectively. The Company records all amortization expense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3" w:name="page94"/>
    <w:bookmarkEnd w:id="93"/>
    <w:p>
      <w:pPr>
        <w:ind w:left="620"/>
        <w:spacing w:after="0"/>
        <w:rPr>
          <w:sz w:val="20"/>
          <w:szCs w:val="20"/>
          <w:color w:val="auto"/>
        </w:rPr>
      </w:pPr>
      <w:r>
        <w:rPr>
          <w:rFonts w:ascii="Times New Roman" w:cs="Times New Roman" w:eastAsia="Times New Roman" w:hAnsi="Times New Roman"/>
          <w:sz w:val="17"/>
          <w:szCs w:val="17"/>
          <w:color w:val="auto"/>
        </w:rPr>
        <w:t>The estimated future amortization expense of acquired intangible assets with finite lives as of December 25, 2022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9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37"/>
        </w:trPr>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4.</w:t>
        <w:tab/>
        <w:t>Balance Sheet Details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detail of certain assets in the consolidated balance sheets consists of the following: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4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Company’s cash equivalents consist of overnight cash sweep accounts that are invested on a daily basis. Cash and cash equivalents at December 25, 2022 and December 26, 2021 were $81.3 million and $349.4 million, respectively, and approximated their fair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net and Unbilled receivables, net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Receivables including amounts due under long-term contracts are summarized as follows </w:t>
      </w:r>
      <w:r>
        <w:rPr>
          <w:rFonts w:ascii="Times New Roman" w:cs="Times New Roman" w:eastAsia="Times New Roman" w:hAnsi="Times New Roman"/>
          <w:sz w:val="17"/>
          <w:szCs w:val="17"/>
          <w:i w:val="1"/>
          <w:iCs w:val="1"/>
          <w:color w:val="auto"/>
        </w:rPr>
        <w:t>(in millions)</w:t>
      </w:r>
      <w:r>
        <w:rPr>
          <w:rFonts w:ascii="Times New Roman" w:cs="Times New Roman" w:eastAsia="Times New Roman" w:hAnsi="Times New Roman"/>
          <w:sz w:val="17"/>
          <w:szCs w:val="17"/>
          <w:color w:val="auto"/>
        </w:rPr>
        <w:t>:</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December 26, 2021</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r>
      <w:tr>
        <w:trPr>
          <w:trHeight w:val="21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 current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accounts receivable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w:t>
            </w:r>
          </w:p>
        </w:tc>
      </w:tr>
      <w:tr>
        <w:trPr>
          <w:trHeight w:val="21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accounts receivable and unbilled receivables,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Substantially all accounts receivable at December 25, 2022, are expected to be collected in 2023. The Company does not believe it has significant exposure to credit risk, as accounts receivable and the related unbilled amounts are primarily from contracts associated with the U.S. Government.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Government contract receivables where the Company is the prime contractor included in accounts receivable, net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3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2"/>
        </w:trPr>
        <w:tc>
          <w:tcPr>
            <w:tcW w:w="8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w:t>
            </w:r>
          </w:p>
        </w:tc>
      </w:tr>
      <w:tr>
        <w:trPr>
          <w:trHeight w:val="23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U.S. Government contract receivables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i w:val="1"/>
          <w:iCs w:val="1"/>
          <w:color w:val="auto"/>
        </w:rPr>
        <w:t>Inventoried costs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84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inventoried costs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Property, plant and equipment, net (in millions)</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8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26,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 of use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was $23.1 million, $21.0 million and $17.8 million for the years ended December 25, 2022, December 26, 2021, and December 27, 2020, respectively.</w:t>
      </w:r>
    </w:p>
    <w:p>
      <w:pPr>
        <w:spacing w:after="0" w:line="1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New Credit Facility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18, 2022, the Company completed the refinancing of its outstanding $90 million revolving credit facility and $300 million 6.5% Senior</w:t>
      </w:r>
    </w:p>
    <w:p>
      <w:pPr>
        <w:spacing w:after="0" w:line="4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Secured Notes due November 2025 (the “Senior Secured Notes”), with a new 5-year $200 million Revolving Credit Facility and 5-year $200 million Term Loan A (collectively, the “New Credit Facility”). The Company incurred debt issuance costs of $3.3 million associated with the New Credit Facility. During the year ended December 25, 2022, the Company made $2.5 million of principal payments on Term Loan A. The Company has net amounts outstanding of approximately</w:t>
      </w:r>
    </w:p>
    <w:p>
      <w:pPr>
        <w:jc w:val="both"/>
        <w:spacing w:after="0" w:line="266" w:lineRule="auto"/>
        <w:rPr>
          <w:sz w:val="20"/>
          <w:szCs w:val="20"/>
          <w:color w:val="auto"/>
        </w:rPr>
      </w:pPr>
      <w:r>
        <w:rPr>
          <w:rFonts w:ascii="Times New Roman" w:cs="Times New Roman" w:eastAsia="Times New Roman" w:hAnsi="Times New Roman"/>
          <w:sz w:val="17"/>
          <w:szCs w:val="17"/>
          <w:color w:val="auto"/>
        </w:rPr>
        <w:t>$60 million under the new Revolving Credit Facility, with approximately $140 million remaining in borrowing capacity, less approximately $10.0 million of letters of credit outstanding.</w:t>
      </w:r>
    </w:p>
    <w:p>
      <w:pPr>
        <w:spacing w:after="0" w:line="194"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Senior Secured Notes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New Credit Facility is governed by a Credit Agreement (the “Credit Agreement”), dated February 18, 2022, by and among the Company, the lenders from time to time party thereto (the “Lenders”), the Issuing Banks party thereto (as defined in the Credit Agreement) and Truist Bank, in its capacity as administrative agent for the Lenders, and as an issuing bank and as the swingline lender which established a five-year senior secured credit facility which is comprised of a $200 million revolving credit facility (the “Revolving Credit Facility”) (which includes sub-facilities for the incurrence of up to $10.0 million of swingline loans and the issuance of up to $50.0 million of Letters of Credit) and a $200 million term loan (the “Term Loan A”). The Credit Agreement contemplates uncommitted incremental credit facilities of up to $200 million (which amount would be reduced by the aggregate amount of any and all incremental credit facilities actually established under the Credit Agreement)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5" w:name="page96"/>
    <w:bookmarkEnd w:id="95"/>
    <w:p>
      <w:pPr>
        <w:ind w:right="100"/>
        <w:spacing w:after="0" w:line="287" w:lineRule="auto"/>
        <w:rPr>
          <w:sz w:val="20"/>
          <w:szCs w:val="20"/>
          <w:color w:val="auto"/>
        </w:rPr>
      </w:pPr>
      <w:r>
        <w:rPr>
          <w:rFonts w:ascii="Times New Roman" w:cs="Times New Roman" w:eastAsia="Times New Roman" w:hAnsi="Times New Roman"/>
          <w:sz w:val="17"/>
          <w:szCs w:val="17"/>
          <w:color w:val="auto"/>
        </w:rPr>
        <w:t>plus additional uncommitted incremental capacity subject to a limitation based on the Company’s pro forma total net leverage ratio (including any such additional uncommitted incremental capacity).</w:t>
      </w:r>
    </w:p>
    <w:p>
      <w:pPr>
        <w:spacing w:after="0" w:line="17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w:t>
      </w:r>
    </w:p>
    <w:p>
      <w:pPr>
        <w:ind w:right="120" w:firstLine="3"/>
        <w:spacing w:after="0" w:line="256" w:lineRule="auto"/>
        <w:tabs>
          <w:tab w:leader="none" w:pos="25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191" w:lineRule="exact"/>
        <w:rPr>
          <w:sz w:val="20"/>
          <w:szCs w:val="20"/>
          <w:color w:val="auto"/>
        </w:rPr>
      </w:pPr>
    </w:p>
    <w:p>
      <w:pPr>
        <w:ind w:right="240" w:firstLine="619"/>
        <w:spacing w:after="0" w:line="248" w:lineRule="auto"/>
        <w:rPr>
          <w:sz w:val="20"/>
          <w:szCs w:val="20"/>
          <w:color w:val="auto"/>
        </w:rPr>
      </w:pPr>
      <w:r>
        <w:rPr>
          <w:rFonts w:ascii="Times New Roman" w:cs="Times New Roman" w:eastAsia="Times New Roman" w:hAnsi="Times New Roman"/>
          <w:sz w:val="17"/>
          <w:szCs w:val="17"/>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December 25, 2022.</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Term Loan and Revolving Credit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loan and revolving credit debt and the current period interest rates are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22"/>
        </w:trPr>
        <w:tc>
          <w:tcPr>
            <w:tcW w:w="9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197.5</w:t>
            </w:r>
          </w:p>
        </w:tc>
        <w:tc>
          <w:tcPr>
            <w:tcW w:w="0" w:type="dxa"/>
            <w:vAlign w:val="bottom"/>
          </w:tcPr>
          <w:p>
            <w:pPr>
              <w:spacing w:after="0"/>
              <w:rPr>
                <w:sz w:val="1"/>
                <w:szCs w:val="1"/>
                <w:color w:val="auto"/>
              </w:rPr>
            </w:pPr>
          </w:p>
        </w:tc>
      </w:tr>
      <w:tr>
        <w:trPr>
          <w:trHeight w:val="21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1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less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251.2</w:t>
            </w:r>
          </w:p>
        </w:tc>
        <w:tc>
          <w:tcPr>
            <w:tcW w:w="0" w:type="dxa"/>
            <w:vAlign w:val="bottom"/>
          </w:tcPr>
          <w:p>
            <w:pPr>
              <w:spacing w:after="0"/>
              <w:rPr>
                <w:sz w:val="1"/>
                <w:szCs w:val="1"/>
                <w:color w:val="auto"/>
              </w:rPr>
            </w:pPr>
          </w:p>
        </w:tc>
      </w:tr>
      <w:tr>
        <w:trPr>
          <w:trHeight w:val="21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long-term unamortized debt issuance costs - term loans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7"/>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 term loans</w:t>
            </w:r>
          </w:p>
        </w:tc>
        <w:tc>
          <w:tcPr>
            <w:tcW w:w="260" w:type="dxa"/>
            <w:vAlign w:val="bottom"/>
            <w:tcBorders>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250.2</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 revolving credit facility</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40" w:type="dxa"/>
            <w:vAlign w:val="bottom"/>
            <w:vMerge w:val="continue"/>
          </w:tcPr>
          <w:p>
            <w:pPr>
              <w:spacing w:after="0"/>
              <w:rPr>
                <w:sz w:val="16"/>
                <w:szCs w:val="16"/>
                <w:color w:val="auto"/>
              </w:rPr>
            </w:pPr>
          </w:p>
        </w:tc>
        <w:tc>
          <w:tcPr>
            <w:tcW w:w="260" w:type="dxa"/>
            <w:vAlign w:val="bottom"/>
            <w:gridSpan w:val="2"/>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period interest rate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516"/>
        </w:trPr>
        <w:tc>
          <w:tcPr>
            <w:tcW w:w="9440" w:type="dxa"/>
            <w:vAlign w:val="bottom"/>
          </w:tcPr>
          <w:p>
            <w:pPr>
              <w:spacing w:after="0"/>
              <w:rPr>
                <w:sz w:val="20"/>
                <w:szCs w:val="20"/>
                <w:color w:val="auto"/>
              </w:rPr>
            </w:pPr>
            <w:r>
              <w:rPr>
                <w:rFonts w:ascii="Times New Roman" w:cs="Times New Roman" w:eastAsia="Times New Roman" w:hAnsi="Times New Roman"/>
                <w:sz w:val="17"/>
                <w:szCs w:val="17"/>
                <w:color w:val="auto"/>
              </w:rPr>
              <w:t>Future long-term debt principal payments at December 25, 2022 were as follows (in millions):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0" w:type="dxa"/>
            <w:vAlign w:val="bottom"/>
          </w:tcPr>
          <w:p>
            <w:pPr>
              <w:spacing w:after="0"/>
              <w:rPr>
                <w:sz w:val="1"/>
                <w:szCs w:val="1"/>
                <w:color w:val="auto"/>
              </w:rPr>
            </w:pPr>
          </w:p>
        </w:tc>
      </w:tr>
      <w:tr>
        <w:trPr>
          <w:trHeight w:val="212"/>
        </w:trPr>
        <w:tc>
          <w:tcPr>
            <w:tcW w:w="9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6.5% Senior Secured Notes due 2025</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November 2017, the Company issued and sold $300 million aggregate principal amount of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6" w:name="page97"/>
    <w:bookmarkEnd w:id="96"/>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(c)</w:t>
        <w:tab/>
        <w:t>Other Indebtedness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Credit and Security Agreement</w:t>
      </w:r>
    </w:p>
    <w:p>
      <w:pPr>
        <w:spacing w:after="0" w:line="234"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On November 20, 2017, the Company entered into an Amended and Restated Credit and Security Agreement (as amended, the “Credit and Security Agreement”) which establishes a five year senior secured revolving credit facility in the aggregate principal amount of $90.0 million, as well as a swingline loan in an aggregate principal amount at any time outstanding not to exceed $10.0 million. The Credit and Security Agreement was replaced by the New Credit Facility on February 18, 2022.</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Israel Debt</w:t>
      </w:r>
    </w:p>
    <w:p>
      <w:pPr>
        <w:spacing w:after="0" w:line="208"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was paid by the State of Israel with subsequent interest and principal payments due monthly commencing in August 2021. The Company repaid all amounts outstanding under this debt in the third quarter of fiscal year 2021.</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5-D Systems Loan</w:t>
      </w:r>
    </w:p>
    <w:p>
      <w:pPr>
        <w:spacing w:after="0" w:line="247"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the application was accepted and the loan was forgiven in July 2021.</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Fair Value of Long-term Debt</w:t>
      </w:r>
    </w:p>
    <w:p>
      <w:pPr>
        <w:spacing w:after="0" w:line="221"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Long-term debt under our New Credit Facility is measured at fair value on December 25, 2022. Carrying amounts and the related estimated fair values of the Company’s long-term debt financial instruments not measured at fair value on a recurring basis at December 26, 2021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gridSpan w:val="6"/>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As of December 26, 2021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Pr>
          <w:p>
            <w:pPr>
              <w:spacing w:after="0"/>
              <w:rPr>
                <w:sz w:val="10"/>
                <w:szCs w:val="10"/>
                <w:color w:val="auto"/>
              </w:rPr>
            </w:pPr>
          </w:p>
        </w:tc>
        <w:tc>
          <w:tcPr>
            <w:tcW w:w="94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7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including current portion</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the Company’s long-term debt was based upon actual trading activity (Level 1, Observable inputs —quoted prices in active markets).</w:t>
      </w:r>
    </w:p>
    <w:p>
      <w:pPr>
        <w:spacing w:after="0" w:line="21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As of December 26, 2021, the difference between the carrying amount of $296.7 million and the principal amount of $300.0 million presented in the previous table, is the unamortized debt issuance costs of $3.3 million, which were being accreted to interest expense over the term of the related debt. The Senior Secured Notes were redeemed on March 14, 2022.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7" w:name="page98"/>
    <w:bookmarkEnd w:id="97"/>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for the years ended December 25, 2022, and December 26, 2021 were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 w:type="dxa"/>
            <w:vAlign w:val="bottom"/>
          </w:tcPr>
          <w:p>
            <w:pPr>
              <w:spacing w:after="0"/>
              <w:rPr>
                <w:sz w:val="15"/>
                <w:szCs w:val="15"/>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26, 2021</w:t>
            </w:r>
          </w:p>
        </w:tc>
        <w:tc>
          <w:tcPr>
            <w:tcW w:w="0" w:type="dxa"/>
            <w:vAlign w:val="bottom"/>
          </w:tcPr>
          <w:p>
            <w:pPr>
              <w:spacing w:after="0"/>
              <w:rPr>
                <w:sz w:val="1"/>
                <w:szCs w:val="1"/>
                <w:color w:val="auto"/>
              </w:rPr>
            </w:pP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right of use assets -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liabilities - finance leases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 (expense resulting from amortization of 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 (cost excluded from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37"/>
        </w:trPr>
        <w:tc>
          <w:tcPr>
            <w:tcW w:w="8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The components of leases on the balance sheet were as follows (in millions):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 w:type="dxa"/>
            <w:vAlign w:val="bottom"/>
          </w:tcPr>
          <w:p>
            <w:pPr>
              <w:spacing w:after="0"/>
              <w:rPr>
                <w:sz w:val="24"/>
                <w:szCs w:val="24"/>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26, 2021</w:t>
            </w:r>
          </w:p>
        </w:tc>
        <w:tc>
          <w:tcPr>
            <w:tcW w:w="0" w:type="dxa"/>
            <w:vAlign w:val="bottom"/>
          </w:tcPr>
          <w:p>
            <w:pPr>
              <w:spacing w:after="0"/>
              <w:rPr>
                <w:sz w:val="1"/>
                <w:szCs w:val="1"/>
                <w:color w:val="auto"/>
              </w:rPr>
            </w:pP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years ended December 25, 2022, and December 26, 2021 were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 cash paid for interest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 financing cash flows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 operating cash flows (fixed payments)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529"/>
        </w:trPr>
        <w:tc>
          <w:tcPr>
            <w:tcW w:w="79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supplemental noncash information (in millions):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2"/>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w w:val="97"/>
              </w:rPr>
              <w:t>December 26, 2021</w:t>
            </w: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liabilities arising from obtaining right-of-use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w:t>
            </w:r>
          </w:p>
        </w:tc>
      </w:tr>
      <w:tr>
        <w:trPr>
          <w:trHeight w:val="155"/>
        </w:trPr>
        <w:tc>
          <w:tcPr>
            <w:tcW w:w="7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19"/>
        </w:trPr>
        <w:tc>
          <w:tcPr>
            <w:tcW w:w="79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Finance leases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w:t>
            </w:r>
          </w:p>
        </w:tc>
      </w:tr>
      <w:tr>
        <w:trPr>
          <w:trHeight w:val="155"/>
        </w:trPr>
        <w:tc>
          <w:tcPr>
            <w:tcW w:w="7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r>
      <w:tr>
        <w:trPr>
          <w:trHeight w:val="223"/>
        </w:trPr>
        <w:tc>
          <w:tcPr>
            <w:tcW w:w="79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Finance leases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color w:val="auto"/>
        </w:rPr>
        <w:t>The maturity of lease liabilities is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3"/>
                <w:szCs w:val="13"/>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2"/>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56.2</w:t>
            </w:r>
          </w:p>
        </w:tc>
      </w:tr>
      <w:tr>
        <w:trPr>
          <w:trHeight w:val="212"/>
        </w:trPr>
        <w:tc>
          <w:tcPr>
            <w:tcW w:w="80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80.1</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(28.5)</w:t>
            </w:r>
          </w:p>
        </w:tc>
      </w:tr>
      <w:tr>
        <w:trPr>
          <w:trHeight w:val="237"/>
        </w:trPr>
        <w:tc>
          <w:tcPr>
            <w:tcW w:w="8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Total 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Net Income (Loss) Per Common Share</w:t>
      </w:r>
    </w:p>
    <w:p>
      <w:pPr>
        <w:spacing w:after="0" w:line="217" w:lineRule="exact"/>
        <w:rPr>
          <w:sz w:val="20"/>
          <w:szCs w:val="20"/>
          <w:color w:val="auto"/>
        </w:rPr>
      </w:pPr>
    </w:p>
    <w:p>
      <w:pPr>
        <w:jc w:val="both"/>
        <w:ind w:right="200"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Company calculates net income (loss) per common share in accordance with FASB ASC Topic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9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following shares were excluded from the calculation of diluted income (loss) per common share because their inclusion would have been anti-dilutive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320" w:type="dxa"/>
            <w:vAlign w:val="bottom"/>
          </w:tcPr>
          <w:p>
            <w:pPr>
              <w:spacing w:after="0"/>
              <w:rPr>
                <w:sz w:val="15"/>
                <w:szCs w:val="15"/>
                <w:color w:val="auto"/>
              </w:rPr>
            </w:pPr>
          </w:p>
        </w:tc>
      </w:tr>
      <w:tr>
        <w:trPr>
          <w:trHeight w:val="28"/>
        </w:trPr>
        <w:tc>
          <w:tcPr>
            <w:tcW w:w="66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8"/>
        </w:trPr>
        <w:tc>
          <w:tcPr>
            <w:tcW w:w="66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December 26, 2021</w:t>
            </w: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27, 2020</w:t>
            </w:r>
          </w:p>
        </w:tc>
      </w:tr>
      <w:tr>
        <w:trPr>
          <w:trHeight w:val="21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from stock options and awards</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bl>
    <w:p>
      <w:pPr>
        <w:spacing w:after="0" w:line="30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income (loss) from continuing operations before income taxes are comprised of the following (in millions):</w:t>
      </w:r>
    </w:p>
    <w:p>
      <w:pPr>
        <w:spacing w:after="0" w:line="33"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7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26, 2021</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w:t>
            </w:r>
          </w:p>
        </w:tc>
      </w:tr>
      <w:tr>
        <w:trPr>
          <w:trHeight w:val="21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7"/>
                <w:szCs w:val="17"/>
                <w:color w:val="auto"/>
              </w:rPr>
              <w:t>(48.4)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99" w:name="page100"/>
    <w:bookmarkEnd w:id="99"/>
    <w:p>
      <w:pPr>
        <w:ind w:left="620"/>
        <w:spacing w:after="0"/>
        <w:rPr>
          <w:sz w:val="20"/>
          <w:szCs w:val="20"/>
          <w:color w:val="auto"/>
        </w:rPr>
      </w:pPr>
      <w:r>
        <w:rPr>
          <w:rFonts w:ascii="Times New Roman" w:cs="Times New Roman" w:eastAsia="Times New Roman" w:hAnsi="Times New Roman"/>
          <w:sz w:val="17"/>
          <w:szCs w:val="17"/>
          <w:color w:val="auto"/>
        </w:rPr>
        <w:t>The provision (benefit) for income taxes from continuing operations are comprised of the following (in millions):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26, 2021</w:t>
            </w:r>
          </w:p>
        </w:tc>
        <w:tc>
          <w:tcPr>
            <w:tcW w:w="10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5"/>
              </w:rPr>
              <w:t>December 27, 2020</w:t>
            </w:r>
          </w:p>
        </w:tc>
      </w:tr>
      <w:tr>
        <w:trPr>
          <w:trHeight w:val="20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taxes: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Federal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State and local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Foreign</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A reconciliation of the total income tax provision (benefit) to the amount computed by applying the statutory federal income tax rate of 21% to the income from continuing operations before income taxes for the years ended December 25, 2022, December 26, 2021 and December 27, 2020 is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26, 2021</w:t>
            </w:r>
          </w:p>
        </w:tc>
        <w:tc>
          <w:tcPr>
            <w:tcW w:w="100" w:type="dxa"/>
            <w:vAlign w:val="bottom"/>
          </w:tcPr>
          <w:p>
            <w:pPr>
              <w:spacing w:after="0"/>
              <w:rPr>
                <w:sz w:val="15"/>
                <w:szCs w:val="15"/>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5"/>
              </w:rPr>
              <w:t>December 27, 2020</w:t>
            </w:r>
          </w:p>
        </w:tc>
      </w:tr>
      <w:tr>
        <w:trPr>
          <w:trHeight w:val="21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at federal statutory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(benefit), net of federal tax benefit and valuation allowance</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Difference in tax rates between U.S. and foreign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valuation allowance</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expense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reserve for uncertain tax positions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Officer’s compensation 162(m) limitation</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 of valuation allowance due to acquisitions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R&amp;D tax credit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w:t>
            </w: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On August 16, 2022, the President signed into law the Inflation Reduction Act of 2022 which contained provisions effective January 1, 2023, including a 15% corporate minimum tax and a 1% excise tax on stock buybacks, both of which we expect to be immaterial to our financial results, financial position and cash flows.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deferred tax assets and deferred tax liabilities are as follows (in millions):</w:t>
      </w:r>
    </w:p>
    <w:p>
      <w:pPr>
        <w:spacing w:after="0" w:line="28"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26, 2</w:t>
            </w:r>
          </w:p>
        </w:tc>
      </w:tr>
      <w:tr>
        <w:trPr>
          <w:trHeight w:val="20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Pr>
          <w:p>
            <w:pPr>
              <w:spacing w:after="0"/>
              <w:rPr>
                <w:sz w:val="19"/>
                <w:szCs w:val="19"/>
                <w:color w:val="auto"/>
              </w:rPr>
            </w:pP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related accruals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accruals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expenses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2"/>
        </w:trPr>
        <w:tc>
          <w:tcPr>
            <w:tcW w:w="7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principally due to differences in depreciation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During the fourth quarter of 2022, the Company evaluated all available evidence, both positive and negative, to determine whether based on the weight of that evidence, a valuation allowance for deferred tax assets was needed. Evidence evaluated by the Company included but was not limited to, its three-year cumulative results, and its forecast of taxable income. As a result, the Company determined that the majority of the Company’s U.S. deferred tax assets were more likely than not to be realized and that a valuation allowance with respect to a majority of the Company’s deferred tax assets was not required. The remaining valuation allowance on the Company’s U.S. deferred tax assets as of December 25, 2022 relates primarily to state net operating loss carryforwards, capital loss carryforwards and research &amp; development tax credit carryforwards the Company estimates it may not be able to utilize in future periods. During fiscal 2022, the Company recorded a net increase in its valuation allowance of $5.6 million.</w:t>
      </w:r>
    </w:p>
    <w:p>
      <w:pPr>
        <w:spacing w:after="0" w:line="179"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At December 25, 2022, the Company had federal tax loss carryforwards of $211.2 million and various state tax loss carryforwards of $233.7 million. The federal tax loss carryforwards will begin to expire in 2031 and state tax loss carryforwards will begin to expire in 2023 in certain states. Additionally, the state capital loss carryforward generated in 2018 will begin to expire in 2023.</w:t>
      </w:r>
    </w:p>
    <w:p>
      <w:pPr>
        <w:spacing w:after="0" w:line="165"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At December 25, 2022, the Company had federal tax credit carryforwards of $13.3 million and various state tax credit carryforwards of $0.9 million. The federal tax credit carryforwards will begin to expire in 2024 and the state tax credit carryforwards do not have an expiration.</w:t>
      </w:r>
    </w:p>
    <w:p>
      <w:pPr>
        <w:spacing w:after="0" w:line="151"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w:t>
      </w:r>
    </w:p>
    <w:p>
      <w:pPr>
        <w:spacing w:after="0" w:line="179" w:lineRule="exact"/>
        <w:rPr>
          <w:sz w:val="20"/>
          <w:szCs w:val="20"/>
          <w:color w:val="auto"/>
        </w:rPr>
      </w:pPr>
    </w:p>
    <w:p>
      <w:pPr>
        <w:ind w:right="1000" w:firstLine="619"/>
        <w:spacing w:after="0" w:line="287" w:lineRule="auto"/>
        <w:rPr>
          <w:sz w:val="20"/>
          <w:szCs w:val="20"/>
          <w:color w:val="auto"/>
        </w:rPr>
      </w:pPr>
      <w:r>
        <w:rPr>
          <w:rFonts w:ascii="Times New Roman" w:cs="Times New Roman" w:eastAsia="Times New Roman" w:hAnsi="Times New Roman"/>
          <w:sz w:val="17"/>
          <w:szCs w:val="17"/>
          <w:color w:val="auto"/>
        </w:rPr>
        <w:t>In tax years 2010 and 2011 the Company experienced a Section 382 “ownership change” that will limit the utilization of NOL carryforwards. Additionally, in prior years the Company acquired corporations with NOL carryforwards at the date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01" w:name="page102"/>
    <w:bookmarkEnd w:id="101"/>
    <w:p>
      <w:pPr>
        <w:spacing w:after="0" w:line="264" w:lineRule="auto"/>
        <w:rPr>
          <w:sz w:val="20"/>
          <w:szCs w:val="20"/>
          <w:color w:val="auto"/>
        </w:rPr>
      </w:pPr>
      <w:r>
        <w:rPr>
          <w:rFonts w:ascii="Times New Roman" w:cs="Times New Roman" w:eastAsia="Times New Roman" w:hAnsi="Times New Roman"/>
          <w:sz w:val="17"/>
          <w:szCs w:val="17"/>
          <w:color w:val="auto"/>
        </w:rPr>
        <w:t>acquisition (“Acquired NOLs”). The Acquired NOLs are subject to separate limitations that may further restrict the use of Acquired NOLs. For the year ended December 25, 2022, there was no impact of such Section 382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71"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2017, all accumulated undistributed earnings of our foreign subsidiaries were subject to the one-time transition tax on foreign earnings required by the 2017 Tax Cuts and Jobs Act. It is the Company’s intention to permanently reinvest undistributed earnings of its foreign subsidiaries. As such, the Company has not provided deferred U.S. income taxes or foreign withholding taxes of approximately $6.1 million on temporary differences relating to the outside basis in its investment in foreign subsidiaries. As of December 25, 2022, the Company has $18.9 million of cash and cash equivalents available for distribution.</w:t>
      </w:r>
    </w:p>
    <w:p>
      <w:pPr>
        <w:spacing w:after="0" w:line="200"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Company is subject to taxation in the U.S., various state tax jurisdictions and various foreign tax jurisdictions. The Company’s tax years for 2002 and later are subject to examination by the U.S. and state tax authorities due to the existence of NOL carryforwards. Generally, the Company’s tax years for 2017 and later are subject to examination by various foreign tax authorities as well.</w:t>
      </w:r>
    </w:p>
    <w:p>
      <w:pPr>
        <w:sectPr>
          <w:pgSz w:w="11900" w:h="16838" w:orient="portrait"/>
          <w:cols w:equalWidth="0" w:num="1">
            <w:col w:w="11240"/>
          </w:cols>
          <w:pgMar w:left="320" w:top="858" w:right="3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Company’s unrecognized tax benefits (in millions):</w:t>
      </w: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2216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47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27, 2020</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acquisitions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122160" cy="139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Decreases related to prior periods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25,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0" w:hanging="913"/>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24.0</w:t>
      </w:r>
    </w:p>
    <w:p>
      <w:pPr>
        <w:spacing w:after="0" w:line="27"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w:t>
      </w:r>
    </w:p>
    <w:p>
      <w:pPr>
        <w:spacing w:after="0" w:line="23"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(0.3)</w:t>
      </w: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25.4</w:t>
      </w:r>
    </w:p>
    <w:p>
      <w:pPr>
        <w:spacing w:after="0" w:line="2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0.1</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0.5</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(0.2)</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267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25.9</w:t>
      </w:r>
    </w:p>
    <w:p>
      <w:pPr>
        <w:spacing w:after="0" w:line="2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(0.7)</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0.2</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267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3" w:lineRule="exact"/>
        <w:rPr>
          <w:sz w:val="20"/>
          <w:szCs w:val="20"/>
          <w:color w:val="auto"/>
        </w:rPr>
      </w:pPr>
    </w:p>
    <w:p>
      <w:pPr>
        <w:ind w:left="920" w:hanging="913"/>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267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8267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8267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220" w:space="720"/>
            <w:col w:w="1300"/>
          </w:cols>
          <w:pgMar w:left="320" w:top="858" w:right="339" w:bottom="1440" w:gutter="0" w:footer="0" w:header="0"/>
          <w:type w:val="continuous"/>
        </w:sectPr>
      </w:pPr>
    </w:p>
    <w:p>
      <w:pPr>
        <w:spacing w:after="0" w:line="159"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Included in the balance of unrecognized tax benefits at December 25, 2022, are $25.0 million of tax benefits that, if recognized, would affect the effective tax rate. Included in this amount is $11.1 million that would become a deferred tax asset if the tax benefit were recognized. As such, this benefit may be impacted by a corresponding valuation allowance depending upon the Company’s assessment of the realizability of the deferred tax asset at the time the benefits are recognized.</w:t>
      </w:r>
    </w:p>
    <w:p>
      <w:pPr>
        <w:spacing w:after="0" w:line="171"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in its provision for income taxes. For the years ended December 25, 2022, December 26, 2021 and December 27, 2020, the Company recorded $0.3 million, $0.6 million, and $1.9 million, respectively, in interest or penalty expenses. These amounts are netted by a benefit for interest and penalties related to the reversal of prior positions of $0.2 million, $0.1 million, and $0.2 million for the years ended December 25, 2022, December 26, 2021, and December 27, 2020, respectively. As of December 25, 2022, December 26, 2021, and December 27, 2020, the Company had accrued total interest and penalties of $5.1 million, $5.0 million and $4.5 million, respectively.</w:t>
      </w:r>
    </w:p>
    <w:p>
      <w:pPr>
        <w:spacing w:after="0" w:line="19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Note 9.</w:t>
        <w:tab/>
        <w:t>Discontinued Operations</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type w:val="continuous"/>
        </w:sectPr>
      </w:pPr>
    </w:p>
    <w:bookmarkStart w:id="102" w:name="page103"/>
    <w:bookmarkEnd w:id="102"/>
    <w:p>
      <w:pPr>
        <w:ind w:right="120"/>
        <w:spacing w:after="0" w:line="260" w:lineRule="auto"/>
        <w:rPr>
          <w:sz w:val="20"/>
          <w:szCs w:val="20"/>
          <w:color w:val="auto"/>
        </w:rPr>
      </w:pPr>
      <w:r>
        <w:rPr>
          <w:rFonts w:ascii="Times New Roman" w:cs="Times New Roman" w:eastAsia="Times New Roman" w:hAnsi="Times New Roman"/>
          <w:sz w:val="17"/>
          <w:szCs w:val="17"/>
          <w:color w:val="auto"/>
        </w:rPr>
        <w:t>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and including the impact of the final settlement and determination of the closing net working capital adjustment which was settled with the Buyer in the fourth quarter of 2021. Included in the year ended December 26, 2021 is approximately $1.1 million of loss from discontinued operations related to the final working capital settlement. Included in the year ended December 25, 2022 is an approximate $0.9 million gain as a result of the release of an indemnification liability following the lapse of the statute of limitations associated with a potential tax liability that was recorded in 2019 as part of the sale of PSS.</w:t>
      </w:r>
    </w:p>
    <w:p>
      <w:pPr>
        <w:spacing w:after="0" w:line="195" w:lineRule="exact"/>
        <w:rPr>
          <w:sz w:val="20"/>
          <w:szCs w:val="20"/>
          <w:color w:val="auto"/>
        </w:rPr>
      </w:pPr>
    </w:p>
    <w:p>
      <w:pPr>
        <w:ind w:right="260" w:firstLine="619"/>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360-10-45-9,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(Topic 360) and ASC 205-20-45-3 </w:t>
      </w:r>
      <w:r>
        <w:rPr>
          <w:rFonts w:ascii="Times New Roman" w:cs="Times New Roman" w:eastAsia="Times New Roman" w:hAnsi="Times New Roman"/>
          <w:sz w:val="17"/>
          <w:szCs w:val="17"/>
          <w:i w:val="1"/>
          <w:iCs w:val="1"/>
          <w:color w:val="auto"/>
        </w:rPr>
        <w:t>Presentation of Financial Statements</w:t>
      </w:r>
      <w:r>
        <w:rPr>
          <w:rFonts w:ascii="Times New Roman" w:cs="Times New Roman" w:eastAsia="Times New Roman" w:hAnsi="Times New Roman"/>
          <w:sz w:val="17"/>
          <w:szCs w:val="17"/>
          <w:color w:val="auto"/>
        </w:rPr>
        <w:t xml:space="preserve"> (Topic 205), PSS and its subsidiaries have been reported in discontinued operations in the accompanying consolidated financial statements for all periods presented.</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results of discontinued operations (in millions):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12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26, 2021</w:t>
            </w:r>
          </w:p>
        </w:tc>
        <w:tc>
          <w:tcPr>
            <w:tcW w:w="100" w:type="dxa"/>
            <w:vAlign w:val="bottom"/>
          </w:tcPr>
          <w:p>
            <w:pPr>
              <w:spacing w:after="0"/>
              <w:rPr>
                <w:sz w:val="16"/>
                <w:szCs w:val="16"/>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5"/>
              </w:rPr>
              <w:t>December 27, 2020</w:t>
            </w:r>
          </w:p>
        </w:tc>
      </w:tr>
      <w:tr>
        <w:trPr>
          <w:trHeight w:val="21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before income taxes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 on disposal of discontinued operations before income taxes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loss of discontinued operations before income taxes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40" w:firstLine="619"/>
        <w:spacing w:after="0" w:line="271" w:lineRule="auto"/>
        <w:rPr>
          <w:sz w:val="20"/>
          <w:szCs w:val="20"/>
          <w:color w:val="auto"/>
        </w:rPr>
      </w:pPr>
      <w:r>
        <w:rPr>
          <w:rFonts w:ascii="Times New Roman" w:cs="Times New Roman" w:eastAsia="Times New Roman" w:hAnsi="Times New Roman"/>
          <w:sz w:val="17"/>
          <w:szCs w:val="17"/>
          <w:color w:val="auto"/>
        </w:rPr>
        <w:t>Revenue and operating results for the year ended December 26, 2021 reflect the final settlement of the working capital dispute with the Buyer which resulted in expenses of approximately $1.1 million, and related legal fees as well as performance on the contracts and working capital retained by the Company.</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following is a summary of the assets and liabilities of discontinued operations as of December 25, 2022 and December 26, 2021 (in millions):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80" w:type="dxa"/>
            <w:vAlign w:val="bottom"/>
          </w:tcPr>
          <w:p>
            <w:pPr>
              <w:spacing w:after="0"/>
              <w:rPr>
                <w:sz w:val="15"/>
                <w:szCs w:val="15"/>
                <w:color w:val="auto"/>
              </w:rPr>
            </w:pPr>
          </w:p>
        </w:tc>
        <w:tc>
          <w:tcPr>
            <w:tcW w:w="14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2"/>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 of 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Note 10.</w:t>
      </w:r>
      <w:r>
        <w:rPr>
          <w:sz w:val="20"/>
          <w:szCs w:val="20"/>
          <w:color w:val="auto"/>
        </w:rPr>
        <w:tab/>
      </w:r>
      <w:r>
        <w:rPr>
          <w:rFonts w:ascii="Times New Roman" w:cs="Times New Roman" w:eastAsia="Times New Roman" w:hAnsi="Times New Roman"/>
          <w:sz w:val="16"/>
          <w:szCs w:val="16"/>
          <w:b w:val="1"/>
          <w:bCs w:val="1"/>
          <w:color w:val="auto"/>
        </w:rPr>
        <w:t>Fair Value Measurement</w:t>
      </w:r>
    </w:p>
    <w:p>
      <w:pPr>
        <w:spacing w:after="0" w:line="217"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ASC Topic 820</w:t>
      </w:r>
      <w:r>
        <w:rPr>
          <w:rFonts w:ascii="Times New Roman" w:cs="Times New Roman" w:eastAsia="Times New Roman" w:hAnsi="Times New Roman"/>
          <w:sz w:val="17"/>
          <w:szCs w:val="17"/>
          <w:i w:val="1"/>
          <w:iCs w:val="1"/>
          <w:color w:val="auto"/>
        </w:rPr>
        <w:t>, Fair Value Measurement,</w:t>
      </w:r>
      <w:r>
        <w:rPr>
          <w:rFonts w:ascii="Times New Roman" w:cs="Times New Roman" w:eastAsia="Times New Roman" w:hAnsi="Times New Roman"/>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11.</w:t>
        <w:tab/>
        <w:t>Stockholders’ Equity</w:t>
      </w:r>
    </w:p>
    <w:p>
      <w:pPr>
        <w:spacing w:after="0" w:line="217" w:lineRule="exact"/>
        <w:rPr>
          <w:sz w:val="20"/>
          <w:szCs w:val="20"/>
          <w:color w:val="auto"/>
        </w:rPr>
      </w:pPr>
    </w:p>
    <w:p>
      <w:pPr>
        <w:ind w:left="380" w:hanging="377"/>
        <w:spacing w:after="0"/>
        <w:tabs>
          <w:tab w:leader="none" w:pos="38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Stock</w:t>
      </w:r>
    </w:p>
    <w:p>
      <w:pPr>
        <w:spacing w:after="0" w:line="260" w:lineRule="exact"/>
        <w:rPr>
          <w:sz w:val="20"/>
          <w:szCs w:val="20"/>
          <w:color w:val="auto"/>
        </w:rPr>
      </w:pPr>
    </w:p>
    <w:p>
      <w:pPr>
        <w:jc w:val="both"/>
        <w:ind w:right="560" w:firstLine="189"/>
        <w:spacing w:after="0" w:line="270" w:lineRule="auto"/>
        <w:rPr>
          <w:sz w:val="20"/>
          <w:szCs w:val="20"/>
          <w:color w:val="auto"/>
        </w:rPr>
      </w:pPr>
      <w:r>
        <w:rPr>
          <w:rFonts w:ascii="Times New Roman" w:cs="Times New Roman" w:eastAsia="Times New Roman" w:hAnsi="Times New Roman"/>
          <w:sz w:val="17"/>
          <w:szCs w:val="17"/>
          <w:color w:val="auto"/>
        </w:rPr>
        <w:t>On June 23, 2020, the Company sold 15,525,000 shares of common stock at a purchase price of $16.25 per share in an underwritten public offering. The Company received gross proceeds of approximately $252.3 million. After deducting underwriting fees and other offering expenses, the Company received approximately $240.4 million in net proceeds.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3" w:name="page104"/>
    <w:bookmarkEnd w:id="103"/>
    <w:p>
      <w:pPr>
        <w:ind w:right="180"/>
        <w:spacing w:after="0" w:line="287" w:lineRule="auto"/>
        <w:rPr>
          <w:sz w:val="20"/>
          <w:szCs w:val="20"/>
          <w:color w:val="auto"/>
        </w:rPr>
      </w:pPr>
      <w:r>
        <w:rPr>
          <w:rFonts w:ascii="Times New Roman" w:cs="Times New Roman" w:eastAsia="Times New Roman" w:hAnsi="Times New Roman"/>
          <w:sz w:val="17"/>
          <w:szCs w:val="17"/>
          <w:color w:val="auto"/>
        </w:rPr>
        <w:t>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Stock Option Plans and Restricted Stock Unit Plans</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 In May 2017, the Company’s shareholders approved an amendment to the 2014 Plan to increase the aggregate number of shares that may be issued under the plan by 2,500,000 shares. In June 2020, the Company’s shareholders approved an amendment to the 2014 Plan to increase the aggregate number of shares that may be issued under the plan by 4,700,000 shares.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Board may grant equity-based awards to selected employees, directors and consultants of the Company pursuant to its 2014 Plan.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25, 2022, there were 3,213,722 shares reserved for issuance for future grant under the 2014 Plan. The Board may amend or terminate the 2014 Plan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time. Certain amendments, including an increase in the share reserve, require stockholder approval. Generally, options and restricted stock units outstanding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 over periods not exceeding ten years. When the Company grants stock options, they are granted with a per share exercise price not less than the fair market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the Company’s common stock on the date of grant, and generally would be exercisable for up to ten years from the grant date. The Company records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expense for employee stock options based on the estimated fair value of the options on the date of grant using the Black-Scholes option-pricing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model or a trinomial lattice options pricing model with the weighted average assumptions (annualized percentages). There were no stock options granted or related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for stock options in 2020, 2021 or 2022.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4" w:name="page105"/>
    <w:bookmarkEnd w:id="104"/>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A summary of the status of the Company’s stock option plan as of December 25, 2022, and changes in options outstanding under the plan for the year ended December 25, 2022, is as follows: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4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3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w:t>
            </w: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11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Shares Under</w:t>
            </w:r>
          </w:p>
        </w:tc>
        <w:tc>
          <w:tcPr>
            <w:tcW w:w="100" w:type="dxa"/>
            <w:vAlign w:val="bottom"/>
          </w:tcPr>
          <w:p>
            <w:pPr>
              <w:spacing w:after="0"/>
              <w:rPr>
                <w:sz w:val="12"/>
                <w:szCs w:val="12"/>
                <w:color w:val="auto"/>
              </w:rPr>
            </w:pPr>
          </w:p>
        </w:tc>
        <w:tc>
          <w:tcPr>
            <w:tcW w:w="11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3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4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 per Share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64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(000’s)</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26, 2021</w:t>
            </w:r>
          </w:p>
        </w:tc>
        <w:tc>
          <w:tcPr>
            <w:tcW w:w="1180" w:type="dxa"/>
            <w:vAlign w:val="bottom"/>
          </w:tcPr>
          <w:p>
            <w:pPr>
              <w:jc w:val="center"/>
              <w:ind w:left="801"/>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shd w:val="clear" w:color="auto" w:fill="CCEEFF"/>
          </w:tcPr>
          <w:p>
            <w:pPr>
              <w:jc w:val="center"/>
              <w:ind w:left="80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Pr>
          <w:p>
            <w:pPr>
              <w:jc w:val="center"/>
              <w:ind w:left="781"/>
              <w:spacing w:after="0"/>
              <w:rPr>
                <w:sz w:val="20"/>
                <w:szCs w:val="20"/>
                <w:color w:val="auto"/>
              </w:rPr>
            </w:pPr>
            <w:r>
              <w:rPr>
                <w:rFonts w:ascii="Times New Roman" w:cs="Times New Roman" w:eastAsia="Times New Roman" w:hAnsi="Times New Roman"/>
                <w:sz w:val="17"/>
                <w:szCs w:val="17"/>
                <w:color w:val="auto"/>
                <w:w w:val="98"/>
              </w:rPr>
              <w:t>(24)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18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25, 2022</w:t>
            </w:r>
          </w:p>
        </w:tc>
        <w:tc>
          <w:tcPr>
            <w:tcW w:w="118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8"/>
                <w:szCs w:val="18"/>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exercisable at December 25, 2022</w:t>
            </w:r>
          </w:p>
        </w:tc>
        <w:tc>
          <w:tcPr>
            <w:tcW w:w="118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Upon exercise of an option, the Company issues new shares of common stock.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years ended December 25, 2022, December 26, 2021, and December 27, 2020, the following values relate to the exercises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option plans: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intrinsic value of options exercised (in thousands)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516"/>
        </w:trPr>
        <w:tc>
          <w:tcPr>
            <w:tcW w:w="70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Restricted Stock Unit activity: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8"/>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w:t>
            </w:r>
          </w:p>
        </w:tc>
      </w:tr>
      <w:tr>
        <w:trPr>
          <w:trHeight w:val="142"/>
        </w:trPr>
        <w:tc>
          <w:tcPr>
            <w:tcW w:w="7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Stock Units</w:t>
            </w: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7"/>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w:t>
            </w:r>
          </w:p>
        </w:tc>
      </w:tr>
      <w:tr>
        <w:trPr>
          <w:trHeight w:val="21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26, 2021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640" w:type="dxa"/>
            <w:vAlign w:val="bottom"/>
            <w:gridSpan w:val="2"/>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w:t>
            </w:r>
          </w:p>
        </w:tc>
        <w:tc>
          <w:tcPr>
            <w:tcW w:w="64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640" w:type="dxa"/>
            <w:vAlign w:val="bottom"/>
            <w:tcBorders>
              <w:bottom w:val="single" w:sz="8" w:color="CCEEFF"/>
            </w:tcBorders>
            <w:gridSpan w:val="2"/>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25, 2022</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w:t>
            </w:r>
          </w:p>
        </w:tc>
        <w:tc>
          <w:tcPr>
            <w:tcW w:w="640" w:type="dxa"/>
            <w:vAlign w:val="bottom"/>
            <w:tcBorders>
              <w:bottom w:val="single" w:sz="8" w:color="CCEEFF"/>
            </w:tcBorders>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right="400" w:firstLine="619"/>
        <w:spacing w:after="0" w:line="270" w:lineRule="auto"/>
        <w:rPr>
          <w:sz w:val="20"/>
          <w:szCs w:val="20"/>
          <w:color w:val="auto"/>
        </w:rPr>
      </w:pPr>
      <w:r>
        <w:rPr>
          <w:rFonts w:ascii="Times New Roman" w:cs="Times New Roman" w:eastAsia="Times New Roman" w:hAnsi="Times New Roman"/>
          <w:sz w:val="17"/>
          <w:szCs w:val="17"/>
          <w:color w:val="auto"/>
        </w:rPr>
        <w:t>As of December 25, 2022, there was $36.1 million of total unrecognized stock-based compensation expense related to nonvested restricted stock units which is expected to be recognized over a remaining weighted-average vesting period of 1.7 years. The fair value of restricted stock unit awards that vested in 2022, 2021, and 2020 was $30.5 million, $24.7 million, and $4.6 million, respectively.</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(c)</w:t>
        <w:tab/>
        <w:t>Amended and Restated Employee Stock Purchase Plan</w:t>
      </w:r>
    </w:p>
    <w:p>
      <w:pPr>
        <w:spacing w:after="0" w:line="247" w:lineRule="exact"/>
        <w:rPr>
          <w:sz w:val="20"/>
          <w:szCs w:val="20"/>
          <w:color w:val="auto"/>
        </w:rPr>
      </w:pPr>
    </w:p>
    <w:p>
      <w:pPr>
        <w:ind w:right="240" w:firstLine="619"/>
        <w:spacing w:after="0" w:line="258" w:lineRule="auto"/>
        <w:rPr>
          <w:sz w:val="20"/>
          <w:szCs w:val="20"/>
          <w:color w:val="auto"/>
        </w:rPr>
      </w:pPr>
      <w:r>
        <w:rPr>
          <w:rFonts w:ascii="Times New Roman" w:cs="Times New Roman" w:eastAsia="Times New Roman" w:hAnsi="Times New Roman"/>
          <w:sz w:val="17"/>
          <w:szCs w:val="17"/>
          <w:color w:val="auto"/>
        </w:rPr>
        <w:t>In August 1999, the Board approved the 1999 Employee Stock Purchase Plan (as amended from time to time, the “Purchase Plan”). A total of 5,200,000 shares of common stock had been previously approved for reservation of the Company’s common stock for purchase by employees under the Purchase Plan. In May 2017, the Company’s shareholders approved an amendment to the Purchase Plan to increase the maximum number of shares of common stock that may be issued under the Purchase Plan by 3,000,000 shares.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20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w:t>
      </w: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05" w:name="page106"/>
    <w:bookmarkEnd w:id="105"/>
    <w:p>
      <w:pPr>
        <w:ind w:right="180"/>
        <w:spacing w:after="0" w:line="261" w:lineRule="auto"/>
        <w:rPr>
          <w:sz w:val="20"/>
          <w:szCs w:val="20"/>
          <w:color w:val="auto"/>
        </w:rPr>
      </w:pPr>
      <w:r>
        <w:rPr>
          <w:rFonts w:ascii="Times New Roman" w:cs="Times New Roman" w:eastAsia="Times New Roman" w:hAnsi="Times New Roman"/>
          <w:sz w:val="17"/>
          <w:szCs w:val="17"/>
          <w:color w:val="auto"/>
        </w:rPr>
        <w:t>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25, 2022, the cumulative number of shares of common stock that have been issued under the Purchase Plan is 6.7 million and approximately 1.5 million shares are available for future issuance. During fiscal 2022, approximately 448,000 shares were issued under the plan at an average price of $13.62.</w:t>
      </w:r>
    </w:p>
    <w:p>
      <w:pPr>
        <w:spacing w:after="0" w:line="200"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Kratos’ Purchase Plan shares for 2022 was estimated using the Black-Scholes option pricing model. The assumptions and resulting fair values of options granted for 2022, 2021 and 2020 were as follows: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200" w:type="dxa"/>
            <w:vAlign w:val="bottom"/>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Offering</w:t>
            </w:r>
          </w:p>
        </w:tc>
      </w:tr>
      <w:tr>
        <w:trPr>
          <w:trHeight w:val="140"/>
        </w:trPr>
        <w:tc>
          <w:tcPr>
            <w:tcW w:w="6000" w:type="dxa"/>
            <w:vAlign w:val="bottom"/>
          </w:tcPr>
          <w:p>
            <w:pPr>
              <w:spacing w:after="0"/>
              <w:rPr>
                <w:sz w:val="12"/>
                <w:szCs w:val="12"/>
                <w:color w:val="auto"/>
              </w:rPr>
            </w:pPr>
          </w:p>
        </w:tc>
        <w:tc>
          <w:tcPr>
            <w:tcW w:w="176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Periods</w:t>
            </w:r>
          </w:p>
        </w:tc>
        <w:tc>
          <w:tcPr>
            <w:tcW w:w="17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Periods</w:t>
            </w:r>
          </w:p>
        </w:tc>
        <w:tc>
          <w:tcPr>
            <w:tcW w:w="1200" w:type="dxa"/>
            <w:vAlign w:val="bottom"/>
          </w:tcPr>
          <w:p>
            <w:pPr>
              <w:jc w:val="center"/>
              <w:ind w:left="403"/>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Periods</w:t>
            </w:r>
          </w:p>
        </w:tc>
      </w:tr>
      <w:tr>
        <w:trPr>
          <w:trHeight w:val="130"/>
        </w:trPr>
        <w:tc>
          <w:tcPr>
            <w:tcW w:w="6000" w:type="dxa"/>
            <w:vAlign w:val="bottom"/>
          </w:tcPr>
          <w:p>
            <w:pPr>
              <w:spacing w:after="0"/>
              <w:rPr>
                <w:sz w:val="11"/>
                <w:szCs w:val="11"/>
                <w:color w:val="auto"/>
              </w:rPr>
            </w:pPr>
          </w:p>
        </w:tc>
        <w:tc>
          <w:tcPr>
            <w:tcW w:w="17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January 1 to</w:t>
            </w:r>
          </w:p>
        </w:tc>
        <w:tc>
          <w:tcPr>
            <w:tcW w:w="17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January 1 to</w:t>
            </w:r>
          </w:p>
        </w:tc>
        <w:tc>
          <w:tcPr>
            <w:tcW w:w="1200" w:type="dxa"/>
            <w:vAlign w:val="bottom"/>
          </w:tcPr>
          <w:p>
            <w:pPr>
              <w:jc w:val="center"/>
              <w:ind w:left="403"/>
              <w:spacing w:after="0" w:line="131" w:lineRule="exact"/>
              <w:rPr>
                <w:sz w:val="20"/>
                <w:szCs w:val="20"/>
                <w:color w:val="auto"/>
              </w:rPr>
            </w:pPr>
            <w:r>
              <w:rPr>
                <w:rFonts w:ascii="Times New Roman" w:cs="Times New Roman" w:eastAsia="Times New Roman" w:hAnsi="Times New Roman"/>
                <w:sz w:val="14"/>
                <w:szCs w:val="14"/>
                <w:b w:val="1"/>
                <w:bCs w:val="1"/>
                <w:color w:val="auto"/>
                <w:w w:val="95"/>
              </w:rPr>
              <w:t>January 1 to</w:t>
            </w:r>
          </w:p>
        </w:tc>
      </w:tr>
      <w:tr>
        <w:trPr>
          <w:trHeight w:val="142"/>
        </w:trPr>
        <w:tc>
          <w:tcPr>
            <w:tcW w:w="6000" w:type="dxa"/>
            <w:vAlign w:val="bottom"/>
          </w:tcPr>
          <w:p>
            <w:pPr>
              <w:spacing w:after="0"/>
              <w:rPr>
                <w:sz w:val="12"/>
                <w:szCs w:val="12"/>
                <w:color w:val="auto"/>
              </w:rPr>
            </w:pPr>
          </w:p>
        </w:tc>
        <w:tc>
          <w:tcPr>
            <w:tcW w:w="1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December 31</w:t>
            </w:r>
          </w:p>
        </w:tc>
        <w:tc>
          <w:tcPr>
            <w:tcW w:w="17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0" w:type="dxa"/>
            <w:vAlign w:val="bottom"/>
          </w:tcPr>
          <w:p>
            <w:pPr>
              <w:jc w:val="center"/>
              <w:ind w:left="363"/>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60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years)(1)</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w w:val="93"/>
              </w:rPr>
              <w:t>0.5</w:t>
            </w: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rate(2)</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0.19% - 2.51%</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0.06% - 0.09%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 - 1.60</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40.52% - 60.79%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41.40% - 45.93%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 - 82.7</w:t>
            </w: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yield(4)</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center"/>
              <w:ind w:left="403"/>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grant-date fair value per share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rPr>
              <w:t>$5.43</w:t>
            </w:r>
          </w:p>
        </w:tc>
      </w:tr>
    </w:tbl>
    <w:p>
      <w:pPr>
        <w:spacing w:after="0" w:line="306" w:lineRule="exact"/>
        <w:rPr>
          <w:sz w:val="20"/>
          <w:szCs w:val="20"/>
          <w:color w:val="auto"/>
        </w:rPr>
      </w:pPr>
    </w:p>
    <w:p>
      <w:pPr>
        <w:ind w:left="480" w:hanging="245"/>
        <w:spacing w:after="0"/>
        <w:tabs>
          <w:tab w:leader="none" w:pos="4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equivalent to the offering period.</w:t>
      </w:r>
    </w:p>
    <w:p>
      <w:pPr>
        <w:spacing w:after="0" w:line="27"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based on U.S. Treasury yields in effect at the time of grant with a term equal to the expected term.</w:t>
      </w:r>
    </w:p>
    <w:p>
      <w:pPr>
        <w:spacing w:after="0" w:line="10"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estimated implied volatility based upon trailing volatility.</w:t>
      </w:r>
    </w:p>
    <w:p>
      <w:pPr>
        <w:spacing w:after="0" w:line="10"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 history or expectation of paying dividends on its common stock.</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25, 2022, there was no material unrecognized compensation expense related to the Purchase Plan.</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12.</w:t>
      </w:r>
      <w:r>
        <w:rPr>
          <w:sz w:val="20"/>
          <w:szCs w:val="20"/>
          <w:color w:val="auto"/>
        </w:rPr>
        <w:tab/>
      </w:r>
      <w:r>
        <w:rPr>
          <w:rFonts w:ascii="Times New Roman" w:cs="Times New Roman" w:eastAsia="Times New Roman" w:hAnsi="Times New Roman"/>
          <w:sz w:val="16"/>
          <w:szCs w:val="16"/>
          <w:b w:val="1"/>
          <w:bCs w:val="1"/>
          <w:color w:val="auto"/>
        </w:rPr>
        <w:t>Retirement Plans</w:t>
      </w:r>
    </w:p>
    <w:p>
      <w:pPr>
        <w:spacing w:after="0" w:line="247"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$8.1 million in 2022, $6.4 million in 2021, and $5.7 million in 2020.</w:t>
      </w:r>
    </w:p>
    <w:p>
      <w:pPr>
        <w:spacing w:after="0" w:line="19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13.</w:t>
        <w:tab/>
        <w:t>Significant Customers</w:t>
      </w:r>
    </w:p>
    <w:p>
      <w:pPr>
        <w:spacing w:after="0" w:line="221" w:lineRule="exact"/>
        <w:rPr>
          <w:sz w:val="20"/>
          <w:szCs w:val="20"/>
          <w:color w:val="auto"/>
        </w:rPr>
      </w:pPr>
    </w:p>
    <w:p>
      <w:pPr>
        <w:ind w:right="200" w:firstLine="172"/>
        <w:spacing w:after="0" w:line="264" w:lineRule="auto"/>
        <w:rPr>
          <w:sz w:val="20"/>
          <w:szCs w:val="20"/>
          <w:color w:val="auto"/>
        </w:rPr>
      </w:pPr>
      <w:r>
        <w:rPr>
          <w:rFonts w:ascii="Times New Roman" w:cs="Times New Roman" w:eastAsia="Times New Roman" w:hAnsi="Times New Roman"/>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$623.7 million, $571.1 million, and $546.4 million or 69%, 70%, and 73%, of total revenue for the years ended December 25, 2022, December 26, 2021, and December 27, 2020, respectively.</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14.</w:t>
        <w:tab/>
        <w:t>Segment Information</w:t>
      </w:r>
    </w:p>
    <w:p>
      <w:pPr>
        <w:spacing w:after="0" w:line="221"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The Company operates in two reportable segments. The KGS reportable segment is comprised of an aggregation of KGS operating segments, including DRSS, ME, ST&amp;C, MS, and KTT. The US reportable segment consists of the Company’s unmanned aerial, unmanned ground, unmanned seaborne and command, control and communications system products.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w:t>
      </w:r>
    </w:p>
    <w:p>
      <w:pPr>
        <w:spacing w:after="0" w:line="200" w:lineRule="exact"/>
        <w:rPr>
          <w:sz w:val="20"/>
          <w:szCs w:val="20"/>
          <w:color w:val="auto"/>
        </w:rPr>
      </w:pPr>
    </w:p>
    <w:p>
      <w:pPr>
        <w:jc w:val="both"/>
        <w:ind w:right="320" w:firstLine="619"/>
        <w:spacing w:after="0" w:line="270" w:lineRule="auto"/>
        <w:rPr>
          <w:sz w:val="20"/>
          <w:szCs w:val="20"/>
          <w:color w:val="auto"/>
        </w:rPr>
      </w:pPr>
      <w:r>
        <w:rPr>
          <w:rFonts w:ascii="Times New Roman" w:cs="Times New Roman" w:eastAsia="Times New Roman" w:hAnsi="Times New Roman"/>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w:t>
      </w: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06" w:name="page107"/>
    <w:bookmarkEnd w:id="106"/>
    <w:p>
      <w:pPr>
        <w:spacing w:after="0" w:line="264" w:lineRule="auto"/>
        <w:rPr>
          <w:sz w:val="20"/>
          <w:szCs w:val="20"/>
          <w:color w:val="auto"/>
        </w:rPr>
      </w:pPr>
      <w:r>
        <w:rPr>
          <w:rFonts w:ascii="Times New Roman" w:cs="Times New Roman" w:eastAsia="Times New Roman" w:hAnsi="Times New Roman"/>
          <w:sz w:val="17"/>
          <w:szCs w:val="17"/>
          <w:color w:val="auto"/>
        </w:rPr>
        <w:t>reportable business segments is reconciled to the corresponding consolidated amount.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858" w:right="539" w:bottom="1440" w:gutter="0" w:footer="0" w:header="0"/>
        </w:sectPr>
      </w:pPr>
    </w:p>
    <w:bookmarkStart w:id="107" w:name="page108"/>
    <w:bookmarkEnd w:id="107"/>
    <w:p>
      <w:pPr>
        <w:ind w:left="620"/>
        <w:spacing w:after="0"/>
        <w:rPr>
          <w:sz w:val="20"/>
          <w:szCs w:val="20"/>
          <w:color w:val="auto"/>
        </w:rPr>
      </w:pPr>
      <w:r>
        <w:rPr>
          <w:rFonts w:ascii="Times New Roman" w:cs="Times New Roman" w:eastAsia="Times New Roman" w:hAnsi="Times New Roman"/>
          <w:sz w:val="17"/>
          <w:szCs w:val="17"/>
          <w:color w:val="auto"/>
        </w:rPr>
        <w:t>Revenues, operating income (loss) and assets disclosed below provided by the Company’s reportable segments for the years ended December 25,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26, 2021, and December 27, 2020, are as follows (in millions):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676.6</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579.6</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19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Unmanned Systems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212"/>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70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r>
      <w:tr>
        <w:trPr>
          <w:trHeight w:val="212"/>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70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Operating income (loss):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2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Corporate activities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income (loss)</w:t>
            </w: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60" w:firstLine="619"/>
        <w:spacing w:after="0" w:line="276" w:lineRule="auto"/>
        <w:rPr>
          <w:sz w:val="20"/>
          <w:szCs w:val="20"/>
          <w:color w:val="auto"/>
        </w:rPr>
      </w:pPr>
      <w:r>
        <w:rPr>
          <w:rFonts w:ascii="Times New Roman" w:cs="Times New Roman" w:eastAsia="Times New Roman" w:hAnsi="Times New Roman"/>
          <w:sz w:val="17"/>
          <w:szCs w:val="17"/>
          <w:color w:val="auto"/>
        </w:rPr>
        <w:t>The US Operating loss for the year ended December 25, 2022 includes a $5.5 million litigation settlement charge related to the resolution of a dispute with an international customer, for which the contractual arrangement was entered into in March 2011, prior to Kratos’ acquisition of Composite Engineering Inc..</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KGS Operating income for the year ended December 25, 2022 includes $6.4 million of expenses related to certain non-recoverable costs, including rate and cost growth items, resulting from the inability to hire the required planned direct labor base both internally and by the Company’s subcontractors to execute on its backlog, due to the continued challenges in both hiring and retaining skilled manufacturing personnel, including approximately $3.4 million in expenses in the Company’s C5ISR business, and non-recoverable indirect cost rate growth resulting from a smaller than planned direct labor base due to delays in customer program execution and awards in the Company’s Training Solutions business of approximately $3.0 million. Revenues from foreign customers were approximately $173.1 million or 19%, $169.8 million or 21% and $139.5 million or 19% of total revenue for the years ended December 25, 2022, December 26, 2021, and December 27, 2020, respectively.</w:t>
      </w:r>
    </w:p>
    <w:p>
      <w:pPr>
        <w:spacing w:after="0" w:line="2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Reportable segment assets are as follows (in millions):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26, 2021</w:t>
            </w: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27, 2020</w:t>
            </w: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877.2</w:t>
            </w: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w:t>
            </w:r>
          </w:p>
        </w:tc>
      </w:tr>
      <w:tr>
        <w:trPr>
          <w:trHeight w:val="219"/>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Discontinued operations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w:t>
            </w:r>
          </w:p>
        </w:tc>
      </w:tr>
      <w:tr>
        <w:trPr>
          <w:trHeight w:val="212"/>
        </w:trPr>
        <w:tc>
          <w:tcPr>
            <w:tcW w:w="6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1,562.8</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80" w:firstLine="619"/>
        <w:spacing w:after="0" w:line="287" w:lineRule="auto"/>
        <w:rPr>
          <w:sz w:val="20"/>
          <w:szCs w:val="20"/>
          <w:color w:val="auto"/>
        </w:rPr>
      </w:pPr>
      <w:r>
        <w:rPr>
          <w:rFonts w:ascii="Times New Roman" w:cs="Times New Roman" w:eastAsia="Times New Roman" w:hAnsi="Times New Roman"/>
          <w:sz w:val="17"/>
          <w:szCs w:val="17"/>
          <w:color w:val="auto"/>
        </w:rPr>
        <w:t>Assets of foreign subsidiaries in the KGS segment were $178.3 million, $166.2 million and $148.2 million as of December 25, 2022, December 26, 2021 and December 27, 2020,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90" w:right="239" w:bottom="1440" w:gutter="0" w:footer="0" w:header="0"/>
        </w:sectPr>
      </w:pPr>
    </w:p>
    <w:bookmarkStart w:id="108" w:name="page109"/>
    <w:bookmarkEnd w:id="108"/>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15.</w:t>
        <w:tab/>
        <w:t>Commitments and Contingencies</w:t>
      </w:r>
    </w:p>
    <w:p>
      <w:pPr>
        <w:spacing w:after="0" w:line="247" w:lineRule="exact"/>
        <w:rPr>
          <w:sz w:val="20"/>
          <w:szCs w:val="20"/>
          <w:color w:val="auto"/>
        </w:rPr>
      </w:pPr>
    </w:p>
    <w:p>
      <w:pPr>
        <w:ind w:right="40" w:firstLine="172"/>
        <w:spacing w:after="0" w:line="255" w:lineRule="auto"/>
        <w:rPr>
          <w:sz w:val="20"/>
          <w:szCs w:val="20"/>
          <w:color w:val="auto"/>
        </w:rPr>
      </w:pPr>
      <w:r>
        <w:rPr>
          <w:rFonts w:ascii="Times New Roman" w:cs="Times New Roman" w:eastAsia="Times New Roman" w:hAnsi="Times New Roman"/>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Legal and Regulatory Matters.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Government Cost Claims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Company’s contracts with the DoD are subject to audit by the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Litigation Matters</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Note 16.</w:t>
        <w:tab/>
        <w:t>Redeemable Noncontrolling Interest</w:t>
      </w:r>
    </w:p>
    <w:p>
      <w:pPr>
        <w:spacing w:after="0" w:line="234" w:lineRule="exact"/>
        <w:rPr>
          <w:sz w:val="20"/>
          <w:szCs w:val="20"/>
          <w:color w:val="auto"/>
        </w:rPr>
      </w:pPr>
    </w:p>
    <w:p>
      <w:pPr>
        <w:ind w:firstLine="172"/>
        <w:spacing w:after="0" w:line="239" w:lineRule="auto"/>
        <w:rPr>
          <w:sz w:val="20"/>
          <w:szCs w:val="20"/>
          <w:color w:val="auto"/>
        </w:rPr>
      </w:pPr>
      <w:r>
        <w:rPr>
          <w:rFonts w:ascii="Times New Roman" w:cs="Times New Roman" w:eastAsia="Times New Roman" w:hAnsi="Times New Roman"/>
          <w:sz w:val="17"/>
          <w:szCs w:val="17"/>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9" w:name="page110"/>
    <w:bookmarkEnd w:id="109"/>
    <w:p>
      <w:pPr>
        <w:ind w:right="200"/>
        <w:spacing w:after="0" w:line="271" w:lineRule="auto"/>
        <w:rPr>
          <w:sz w:val="20"/>
          <w:szCs w:val="20"/>
          <w:color w:val="auto"/>
        </w:rPr>
      </w:pPr>
      <w:r>
        <w:rPr>
          <w:rFonts w:ascii="Times New Roman" w:cs="Times New Roman" w:eastAsia="Times New Roman" w:hAnsi="Times New Roman"/>
          <w:sz w:val="17"/>
          <w:szCs w:val="17"/>
          <w:color w:val="auto"/>
        </w:rPr>
        <w:t>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177"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representing half of the aggregate estimated purchase price to be paid by the Company for the Purchased Shares. Following the closing of the transactions contemplated by the Equity Purchase Agreement, the Company owned 90.05% of KTT Core. The unpaid portion of the aggregate estimated purchase price for the Purchased Shares is expected to be paid in shares of Kratos common stock in March 2023, subject to certain adjustments.</w:t>
      </w:r>
    </w:p>
    <w:p>
      <w:pPr>
        <w:spacing w:after="0" w:line="398" w:lineRule="exact"/>
        <w:rPr>
          <w:sz w:val="20"/>
          <w:szCs w:val="20"/>
          <w:color w:val="auto"/>
        </w:rPr>
      </w:pPr>
    </w:p>
    <w:p>
      <w:pPr>
        <w:ind w:right="600" w:firstLine="619"/>
        <w:spacing w:after="0" w:line="271" w:lineRule="auto"/>
        <w:rPr>
          <w:sz w:val="20"/>
          <w:szCs w:val="20"/>
          <w:color w:val="auto"/>
        </w:rPr>
      </w:pPr>
      <w:r>
        <w:rPr>
          <w:rFonts w:ascii="Times New Roman" w:cs="Times New Roman" w:eastAsia="Times New Roman" w:hAnsi="Times New Roman"/>
          <w:sz w:val="17"/>
          <w:szCs w:val="17"/>
          <w:color w:val="auto"/>
        </w:rPr>
        <w:t>The Put Right and annual purchase right of the Holders and the Company, respectively, remain available under the Exchange Agreement as to the remaining 9.95% minority interest in KTT Core.</w:t>
      </w:r>
    </w:p>
    <w:p>
      <w:pPr>
        <w:spacing w:after="0" w:line="190" w:lineRule="exact"/>
        <w:rPr>
          <w:sz w:val="20"/>
          <w:szCs w:val="20"/>
          <w:color w:val="auto"/>
        </w:rPr>
      </w:pPr>
    </w:p>
    <w:p>
      <w:pPr>
        <w:ind w:right="80" w:firstLine="169"/>
        <w:spacing w:after="0" w:line="258" w:lineRule="auto"/>
        <w:rPr>
          <w:sz w:val="20"/>
          <w:szCs w:val="20"/>
          <w:color w:val="auto"/>
        </w:rPr>
      </w:pPr>
      <w:r>
        <w:rPr>
          <w:rFonts w:ascii="Times New Roman" w:cs="Times New Roman" w:eastAsia="Times New Roman" w:hAnsi="Times New Roman"/>
          <w:sz w:val="17"/>
          <w:szCs w:val="17"/>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the Redemption Amount will have a corresponding effect on net income per share attributable to Kratos shareholders. As of December 25, 2022, the estimated Redemption Amount of the redeemable noncontrolling interest was $11.2 million. For the year ended December 25, 2022, the Company recorded an adjustment of $3.1 million to increase the carrying value of the redeemable noncontrolling interest to the estimated Redemption Amount.. No adjustment of the carrying value of the redeemable noncontrolling interest was required for the year ended December 26, 2021.</w:t>
      </w:r>
    </w:p>
    <w:p>
      <w:pPr>
        <w:spacing w:after="0" w:line="20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17</w:t>
        <w:tab/>
        <w:t>Derivative Financial Instruments</w:t>
      </w:r>
    </w:p>
    <w:p>
      <w:pPr>
        <w:spacing w:after="0" w:line="247" w:lineRule="exact"/>
        <w:rPr>
          <w:sz w:val="20"/>
          <w:szCs w:val="20"/>
          <w:color w:val="auto"/>
        </w:rPr>
      </w:pPr>
    </w:p>
    <w:p>
      <w:pPr>
        <w:ind w:firstLine="169"/>
        <w:spacing w:after="0" w:line="260" w:lineRule="auto"/>
        <w:rPr>
          <w:sz w:val="20"/>
          <w:szCs w:val="20"/>
          <w:color w:val="auto"/>
        </w:rPr>
      </w:pPr>
      <w:r>
        <w:rPr>
          <w:rFonts w:ascii="Times New Roman" w:cs="Times New Roman" w:eastAsia="Times New Roman" w:hAnsi="Times New Roman"/>
          <w:sz w:val="17"/>
          <w:szCs w:val="17"/>
          <w:color w:val="auto"/>
        </w:rPr>
        <w:t>The Company’s derivative portfolio consists of forward exchange contracts. Derivative financial instruments are recognized on the Condensed Consolidated Balance Sheets as either assets or liabilities and are measured at fair value. Changes in the fair values of derivatives are recorded each period in earnings. As of December 25, 2022, the Company did not use hedge accounting. The Company did not have any forward exchange contracts at December 26, 2021. The notional value of the Company’s foreign currency forward contracts at December 25, 2022, was $10.2 million. At December 25, 2022, the fair value amounts of the forward exchange contracts were a $0.1 million asset and a $0.3 million liability. The net loss from these derivative instruments of $0.2 million is included in other income (expense) for the year ended December 25,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20"/>
          </w:cols>
          <w:pgMar w:left="320" w:top="845" w:right="35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List of Subsidiaries</w:t>
            </w:r>
          </w:p>
        </w:tc>
      </w:tr>
      <w:tr>
        <w:trPr>
          <w:trHeight w:val="618"/>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5-D Systems,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Texas</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BSC Partners,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New York</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Consolidated Turbine Specialists,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Oklahoma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Consolidated Turbine Specialists Canada,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Canada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CTT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Dallastown Realty I,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Dallastown Realty II,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Digital Fusion Solutions,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Digital Fusion,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DTI Associates,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Virginia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Florida Turbine PR,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Puerto Rico</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Florida Turbine Technologies,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FTT America,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FTT UK Limited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FTT Deutschland GmbH</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Germany</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General Microwave Israel (1987)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General Microwave Israel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General Microwave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New York</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Gichner Systems Group,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Gichner Systems International,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GMIC KTOS India Private Limited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Haverstick Consulting,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Indiana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HGS Holdings,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Indiana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Holdings Division,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Global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International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Canada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Canada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Arabia,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Saudi Arabia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S.A.S.</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France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Japan,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Japan</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Singapore 2022 Pte.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Singapore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Defence (Australia) Pty Limited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Australia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Defense &amp; Rocket Support Services,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Holdings UK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Integral Holdings,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Maryland</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Integral Systems International,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GMI Eyal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bl>
    <w:p>
      <w:pPr>
        <w:sectPr>
          <w:pgSz w:w="11900" w:h="16838" w:orient="portrait"/>
          <w:cols w:equalWidth="0" w:num="1">
            <w:col w:w="10960"/>
          </w:cols>
          <w:pgMar w:left="600" w:top="867" w:right="339" w:bottom="1440" w:gutter="0" w:footer="0" w:header="0"/>
        </w:sectPr>
      </w:pPr>
    </w:p>
    <w:bookmarkStart w:id="111" w:name="page112"/>
    <w:bookmarkEnd w:id="111"/>
    <w:p>
      <w:pPr>
        <w:spacing w:after="0" w:line="1" w:lineRule="exact"/>
        <w:rPr>
          <w:sz w:val="20"/>
          <w:szCs w:val="20"/>
          <w:color w:val="auto"/>
        </w:rPr>
      </w:pPr>
    </w:p>
    <w:tbl>
      <w:tblPr>
        <w:tblLayout w:type="fixed"/>
        <w:tblInd w:w="287" w:type="dxa"/>
        <w:tblCellMar>
          <w:top w:w="0" w:type="dxa"/>
          <w:left w:w="0" w:type="dxa"/>
          <w:bottom w:w="0" w:type="dxa"/>
          <w:right w:w="0" w:type="dxa"/>
        </w:tblCellMar>
      </w:tblPr>
      <w:tr>
        <w:trPr>
          <w:trHeight w:val="258"/>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Norway AS</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Norway</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RT Logic,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Colorado</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Technology &amp; Training Solutions,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Unmanned Aerial Systems,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Unmanned Systems Solutions,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Space &amp; Missile Defense Systems,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SRE,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Systems and Solutions,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Virginia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S2,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Colorado</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KTT CORE,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Micro Systems,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MSI Acquisition Corp.</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Optimized Performance Machining,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Pennsylvania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SAT Corporation</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Shadow I,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Shadow II,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Summit Research Corporation</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Alabama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Technical Directions,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Michigan</w:t>
            </w:r>
          </w:p>
        </w:tc>
      </w:tr>
    </w:tbl>
    <w:p>
      <w:pPr>
        <w:spacing w:after="0" w:line="200" w:lineRule="exact"/>
        <w:rPr>
          <w:sz w:val="20"/>
          <w:szCs w:val="20"/>
          <w:color w:val="auto"/>
        </w:rPr>
      </w:pPr>
    </w:p>
    <w:p>
      <w:pPr>
        <w:spacing w:after="0" w:line="377" w:lineRule="exact"/>
        <w:rPr>
          <w:sz w:val="20"/>
          <w:szCs w:val="20"/>
          <w:color w:val="auto"/>
        </w:rPr>
      </w:pPr>
    </w:p>
    <w:p>
      <w:pPr>
        <w:ind w:left="137" w:hanging="137"/>
        <w:spacing w:after="0"/>
        <w:tabs>
          <w:tab w:leader="none" w:pos="137"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90.05% owned by Kratos Defense &amp; Security Solutions, Inc.</w:t>
      </w:r>
    </w:p>
    <w:p>
      <w:pPr>
        <w:sectPr>
          <w:pgSz w:w="11900" w:h="16838" w:orient="portrait"/>
          <w:cols w:equalWidth="0" w:num="1">
            <w:col w:w="10997"/>
          </w:cols>
          <w:pgMar w:left="323" w:top="880" w:right="57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4"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333-53014, 333-71618, 333-74108, 333-161340, 333-172103, 333-252914, and 333-252921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333-198268, 333-206620, 333-219595, and 333-240343 on Form S -8 of our report dated February 23, 2023, relating to the financial statements of Kratos Defense &amp; Security Solutions, Inc. and subsidiaries, and the effectiveness of Kratos Defense</w:t>
      </w:r>
    </w:p>
    <w:p>
      <w:pPr>
        <w:spacing w:after="0" w:line="1" w:lineRule="exact"/>
        <w:rPr>
          <w:sz w:val="20"/>
          <w:szCs w:val="20"/>
          <w:color w:val="auto"/>
        </w:rPr>
      </w:pPr>
    </w:p>
    <w:p>
      <w:pPr>
        <w:ind w:right="120" w:firstLine="3"/>
        <w:spacing w:after="0" w:line="249" w:lineRule="auto"/>
        <w:tabs>
          <w:tab w:leader="none" w:pos="1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Solutions, Inc. and subsidiaries’ internal control over financial reporting appearing in this Annual Report on Form 10-K of Kratos Defense &amp; Security Solutions, Inc. for the fiscal year ended December 25,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2023</w:t>
      </w:r>
    </w:p>
    <w:p>
      <w:pPr>
        <w:sectPr>
          <w:pgSz w:w="11900" w:h="16838" w:orient="portrait"/>
          <w:cols w:equalWidth="0" w:num="1">
            <w:col w:w="11240"/>
          </w:cols>
          <w:pgMar w:left="320" w:top="11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Eric M. DeMarco, certify that:</w:t>
      </w:r>
    </w:p>
    <w:p>
      <w:pPr>
        <w:spacing w:after="0" w:line="201" w:lineRule="exact"/>
        <w:rPr>
          <w:sz w:val="20"/>
          <w:szCs w:val="20"/>
          <w:color w:val="auto"/>
        </w:rPr>
      </w:pPr>
    </w:p>
    <w:p>
      <w:pPr>
        <w:ind w:left="620" w:hanging="617"/>
        <w:spacing w:after="0"/>
        <w:tabs>
          <w:tab w:leader="none" w:pos="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Kratos Defense &amp; Security Solutions, Inc.;</w:t>
      </w:r>
    </w:p>
    <w:p>
      <w:pPr>
        <w:spacing w:after="0" w:line="23" w:lineRule="exact"/>
        <w:rPr>
          <w:rFonts w:ascii="Times New Roman" w:cs="Times New Roman" w:eastAsia="Times New Roman" w:hAnsi="Times New Roman"/>
          <w:sz w:val="15"/>
          <w:szCs w:val="15"/>
          <w:color w:val="auto"/>
        </w:rPr>
      </w:pPr>
    </w:p>
    <w:p>
      <w:pPr>
        <w:ind w:left="620" w:right="40" w:hanging="617"/>
        <w:spacing w:after="0" w:line="260" w:lineRule="auto"/>
        <w:tabs>
          <w:tab w:leader="none" w:pos="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right="340" w:hanging="617"/>
        <w:spacing w:after="0" w:line="253" w:lineRule="auto"/>
        <w:tabs>
          <w:tab w:leader="none" w:pos="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20" w:hanging="617"/>
        <w:spacing w:after="0" w:line="280" w:lineRule="auto"/>
        <w:tabs>
          <w:tab w:leader="none" w:pos="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5"/>
          <w:szCs w:val="15"/>
          <w:color w:val="auto"/>
        </w:rPr>
      </w:pPr>
    </w:p>
    <w:p>
      <w:pPr>
        <w:ind w:left="1240" w:right="60" w:hanging="618"/>
        <w:spacing w:after="0" w:line="264" w:lineRule="auto"/>
        <w:tabs>
          <w:tab w:leader="none" w:pos="1231"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5"/>
          <w:szCs w:val="15"/>
          <w:color w:val="auto"/>
        </w:rPr>
      </w:pPr>
    </w:p>
    <w:p>
      <w:pPr>
        <w:ind w:left="1240" w:hanging="618"/>
        <w:spacing w:after="0" w:line="257" w:lineRule="auto"/>
        <w:tabs>
          <w:tab w:leader="none" w:pos="1240"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right="420" w:hanging="618"/>
        <w:spacing w:after="0" w:line="260" w:lineRule="auto"/>
        <w:tabs>
          <w:tab w:leader="none" w:pos="1231"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40" w:right="40" w:hanging="618"/>
        <w:spacing w:after="0" w:line="267" w:lineRule="auto"/>
        <w:tabs>
          <w:tab w:leader="none" w:pos="1278"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5"/>
          <w:szCs w:val="15"/>
          <w:color w:val="auto"/>
        </w:rPr>
      </w:pPr>
    </w:p>
    <w:p>
      <w:pPr>
        <w:ind w:left="620" w:right="100" w:hanging="617"/>
        <w:spacing w:after="0" w:line="289" w:lineRule="auto"/>
        <w:tabs>
          <w:tab w:leader="none" w:pos="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5"/>
          <w:szCs w:val="15"/>
          <w:color w:val="auto"/>
        </w:rPr>
      </w:pPr>
    </w:p>
    <w:p>
      <w:pPr>
        <w:ind w:left="1240" w:right="600" w:hanging="618"/>
        <w:spacing w:after="0" w:line="264" w:lineRule="auto"/>
        <w:tabs>
          <w:tab w:leader="none" w:pos="1231"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right="200" w:hanging="618"/>
        <w:spacing w:after="0" w:line="280" w:lineRule="auto"/>
        <w:tabs>
          <w:tab w:leader="none" w:pos="1240"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2023</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3462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Eric M. DeMarco</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Chief Executive Officer, President</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40"/>
          </w:cols>
          <w:pgMar w:left="320" w:top="85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Deanna H. Lund, certify that:</w:t>
      </w:r>
    </w:p>
    <w:p>
      <w:pPr>
        <w:spacing w:after="0" w:line="214" w:lineRule="exact"/>
        <w:rPr>
          <w:sz w:val="20"/>
          <w:szCs w:val="20"/>
          <w:color w:val="auto"/>
        </w:rPr>
      </w:pPr>
    </w:p>
    <w:p>
      <w:pPr>
        <w:ind w:left="620" w:hanging="61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 have reviewed this Annual report on Form 10-K of Kratos Defense &amp; Security Solutions, Inc.;</w:t>
      </w:r>
    </w:p>
    <w:p>
      <w:pPr>
        <w:spacing w:after="0" w:line="10" w:lineRule="exact"/>
        <w:rPr>
          <w:rFonts w:ascii="Times New Roman" w:cs="Times New Roman" w:eastAsia="Times New Roman" w:hAnsi="Times New Roman"/>
          <w:sz w:val="17"/>
          <w:szCs w:val="17"/>
          <w:color w:val="auto"/>
        </w:rPr>
      </w:pPr>
    </w:p>
    <w:p>
      <w:pPr>
        <w:ind w:left="620" w:right="40" w:hanging="617"/>
        <w:spacing w:after="0" w:line="256"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right="340" w:hanging="617"/>
        <w:spacing w:after="0" w:line="252"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7"/>
          <w:szCs w:val="17"/>
          <w:color w:val="auto"/>
        </w:rPr>
      </w:pPr>
    </w:p>
    <w:p>
      <w:pPr>
        <w:ind w:left="620" w:hanging="617"/>
        <w:spacing w:after="0" w:line="275"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7"/>
          <w:szCs w:val="17"/>
          <w:color w:val="auto"/>
        </w:rPr>
      </w:pPr>
    </w:p>
    <w:p>
      <w:pPr>
        <w:ind w:left="1240" w:right="60" w:hanging="618"/>
        <w:spacing w:after="0" w:line="260" w:lineRule="auto"/>
        <w:tabs>
          <w:tab w:leader="none" w:pos="123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ind w:left="1240" w:hanging="618"/>
        <w:spacing w:after="0" w:line="251" w:lineRule="auto"/>
        <w:tabs>
          <w:tab w:leader="none" w:pos="1234"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7"/>
          <w:szCs w:val="17"/>
          <w:color w:val="auto"/>
        </w:rPr>
      </w:pPr>
    </w:p>
    <w:p>
      <w:pPr>
        <w:ind w:left="1240" w:right="420" w:hanging="618"/>
        <w:spacing w:after="0" w:line="256" w:lineRule="auto"/>
        <w:tabs>
          <w:tab w:leader="none" w:pos="123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40" w:right="60" w:hanging="618"/>
        <w:spacing w:after="0" w:line="265" w:lineRule="auto"/>
        <w:tabs>
          <w:tab w:leader="none" w:pos="127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20" w:right="100" w:hanging="617"/>
        <w:spacing w:after="0" w:line="275"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240" w:right="580" w:hanging="618"/>
        <w:spacing w:after="0" w:line="256" w:lineRule="auto"/>
        <w:tabs>
          <w:tab w:leader="none" w:pos="123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Times New Roman" w:cs="Times New Roman" w:eastAsia="Times New Roman" w:hAnsi="Times New Roman"/>
          <w:sz w:val="17"/>
          <w:szCs w:val="17"/>
          <w:color w:val="auto"/>
        </w:rPr>
      </w:pPr>
    </w:p>
    <w:p>
      <w:pPr>
        <w:ind w:left="1240" w:right="220" w:hanging="618"/>
        <w:spacing w:after="0" w:line="275" w:lineRule="auto"/>
        <w:tabs>
          <w:tab w:leader="none" w:pos="1234"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2023</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3462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Deanna H. Lund</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Executive Vice President, Chief Financial Officer</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p>
      <w:pPr>
        <w:sectPr>
          <w:pgSz w:w="11900" w:h="16838" w:orient="portrait"/>
          <w:cols w:equalWidth="0" w:num="1">
            <w:col w:w="11240"/>
          </w:cols>
          <w:pgMar w:left="320" w:top="85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SECTION 906 OF THE SARBANES-OXLEY ACT OF 2002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5" w:lineRule="exact"/>
        <w:rPr>
          <w:sz w:val="20"/>
          <w:szCs w:val="20"/>
          <w:color w:val="auto"/>
        </w:rPr>
      </w:pPr>
    </w:p>
    <w:p>
      <w:pPr>
        <w:ind w:right="80" w:firstLine="155"/>
        <w:spacing w:after="0" w:line="279" w:lineRule="auto"/>
        <w:rPr>
          <w:sz w:val="20"/>
          <w:szCs w:val="20"/>
          <w:color w:val="auto"/>
        </w:rPr>
      </w:pPr>
      <w:r>
        <w:rPr>
          <w:rFonts w:ascii="Times New Roman" w:cs="Times New Roman" w:eastAsia="Times New Roman" w:hAnsi="Times New Roman"/>
          <w:sz w:val="15"/>
          <w:szCs w:val="15"/>
          <w:color w:val="auto"/>
        </w:rPr>
        <w:t>In connection with the accompanying Annual Report of Kratos Defense &amp; Security Solutions, Inc. (the “Company”) on Form 10-K for the year ended December 25, 2022 (the “Report”), I, Eric M. DeMarco,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1240" w:hanging="618"/>
        <w:spacing w:after="0"/>
        <w:tabs>
          <w:tab w:leader="none" w:pos="12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5"/>
          <w:szCs w:val="15"/>
          <w:color w:val="auto"/>
        </w:rPr>
      </w:pPr>
    </w:p>
    <w:p>
      <w:pPr>
        <w:ind w:left="1280" w:hanging="658"/>
        <w:spacing w:after="0"/>
        <w:tabs>
          <w:tab w:leader="none" w:pos="12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3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20955</wp:posOffset>
            </wp:positionV>
            <wp:extent cx="35445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Eric M. DeMarco</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Chief Executive Officer, President</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40"/>
          </w:cols>
          <w:pgMar w:left="320" w:top="85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SECTION 906 OF THE SARBANES-OXLEY ACT OF 2002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5" w:lineRule="exact"/>
        <w:rPr>
          <w:sz w:val="20"/>
          <w:szCs w:val="20"/>
          <w:color w:val="auto"/>
        </w:rPr>
      </w:pPr>
    </w:p>
    <w:p>
      <w:pPr>
        <w:ind w:right="20" w:firstLine="155"/>
        <w:spacing w:after="0" w:line="279" w:lineRule="auto"/>
        <w:rPr>
          <w:sz w:val="20"/>
          <w:szCs w:val="20"/>
          <w:color w:val="auto"/>
        </w:rPr>
      </w:pPr>
      <w:r>
        <w:rPr>
          <w:rFonts w:ascii="Times New Roman" w:cs="Times New Roman" w:eastAsia="Times New Roman" w:hAnsi="Times New Roman"/>
          <w:sz w:val="15"/>
          <w:szCs w:val="15"/>
          <w:color w:val="auto"/>
        </w:rPr>
        <w:t>In connection with the accompanying Annual Report of Kratos Defense &amp; Security Solutions, Inc. (the “Company”) on Form 10-K for the year ended December 25, 2022 (the “Report”), I, Deanna H. Lund,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1240" w:hanging="618"/>
        <w:spacing w:after="0"/>
        <w:tabs>
          <w:tab w:leader="none" w:pos="12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5"/>
          <w:szCs w:val="15"/>
          <w:color w:val="auto"/>
        </w:rPr>
      </w:pPr>
    </w:p>
    <w:p>
      <w:pPr>
        <w:ind w:left="1280" w:hanging="658"/>
        <w:spacing w:after="0"/>
        <w:tabs>
          <w:tab w:leader="none" w:pos="12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20955</wp:posOffset>
            </wp:positionV>
            <wp:extent cx="35445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Deanna H. Lund</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Executive Vice President, Chief Financial Officer</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9"/>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Roman"/>
      <w:start w:val="2"/>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lowerLetter"/>
      <w:start w:val="3"/>
    </w:lvl>
  </w:abstractNum>
  <w:abstractNum w:abstractNumId="34">
    <w:nsid w:val="70A64E2A"/>
    <w:multiLevelType w:val="hybridMultilevel"/>
    <w:lvl w:ilvl="0">
      <w:lvlJc w:val="left"/>
      <w:lvlText w:val="•"/>
      <w:numFmt w:val="bullet"/>
      <w:start w:val="1"/>
    </w:lvl>
    <w:lvl w:ilvl="1">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Roman"/>
      <w:start w:val="2"/>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amp;"/>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6" Type="http://schemas.openxmlformats.org/officeDocument/2006/relationships/image" Target="media/image73.png"/><Relationship Id="rId109"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80" Type="http://schemas.openxmlformats.org/officeDocument/2006/relationships/hyperlink" Target="http://www.sec.gov/Archives/edgar/data/1069258/000106925818000021/ktos20180401ex-22.htm" TargetMode="External"/><Relationship Id="rId81" Type="http://schemas.openxmlformats.org/officeDocument/2006/relationships/hyperlink" Target="http://www.sec.gov/Archives/edgar/data/1069258/000106925819000017/exhibit23redacted.htm" TargetMode="External"/><Relationship Id="rId82" Type="http://schemas.openxmlformats.org/officeDocument/2006/relationships/hyperlink" Target="http://www.sec.gov/Archives/edgar/data/1069258/000106925817000009/ktos20161225ex-31.htm" TargetMode="External"/><Relationship Id="rId83" Type="http://schemas.openxmlformats.org/officeDocument/2006/relationships/hyperlink" Target="http://www.sec.gov/Archives/edgar/data/1069258/000106925817000009/ktos20161225ex-32.htm" TargetMode="External"/><Relationship Id="rId84" Type="http://schemas.openxmlformats.org/officeDocument/2006/relationships/hyperlink" Target="http://www.sec.gov/Archives/edgar/data/1069258/000106925817000009/kratoscommonformofcertif.htm" TargetMode="External"/><Relationship Id="rId85" Type="http://schemas.openxmlformats.org/officeDocument/2006/relationships/hyperlink" Target="http://www.sec.gov/Archives/edgar/data/1069258/000110465917069690/a17-27375_1ex4d1.htm" TargetMode="External"/><Relationship Id="rId86" Type="http://schemas.openxmlformats.org/officeDocument/2006/relationships/hyperlink" Target="http://www.sec.gov/Archives/edgar/data/1069258/000106925818000006/ktos20171231ex-45.htm" TargetMode="External"/><Relationship Id="rId87" Type="http://schemas.openxmlformats.org/officeDocument/2006/relationships/hyperlink" Target="http://www.sec.gov/Archives/edgar/data/1069258/000106925820000006/ktos20191229ex-44.htm" TargetMode="External"/><Relationship Id="rId88" Type="http://schemas.openxmlformats.org/officeDocument/2006/relationships/hyperlink" Target="http://www.sec.gov/Archives/edgar/data/1069258/000110465911043760/a11-14022_1ex10d8.htm" TargetMode="External"/><Relationship Id="rId89" Type="http://schemas.openxmlformats.org/officeDocument/2006/relationships/hyperlink" Target="http://www.sec.gov/Archives/edgar/data/1069258/000106925817000033/exhibit9911999espp.htm" TargetMode="External"/><Relationship Id="rId90" Type="http://schemas.openxmlformats.org/officeDocument/2006/relationships/hyperlink" Target="http://www.sec.gov/Archives/edgar/data/1069258/000110465905035184/a05-12199_1ex99d2.htm" TargetMode="External"/><Relationship Id="rId91" Type="http://schemas.openxmlformats.org/officeDocument/2006/relationships/hyperlink" Target="http://www.sec.gov/Archives/edgar/data/1069258/000110465905035184/a05-12199_1ex99d1.htm" TargetMode="External"/><Relationship Id="rId92" Type="http://schemas.openxmlformats.org/officeDocument/2006/relationships/hyperlink" Target="http://www.sec.gov/Archives/edgar/data/1069258/000110465907002926/a07-2027_1ex99d3.htm" TargetMode="External"/><Relationship Id="rId93" Type="http://schemas.openxmlformats.org/officeDocument/2006/relationships/hyperlink" Target="http://www.sec.gov/Archives/edgar/data/1069258/000104746911003699/a2203337zdef14a.htm" TargetMode="External"/><Relationship Id="rId94" Type="http://schemas.openxmlformats.org/officeDocument/2006/relationships/hyperlink" Target="http://www.sec.gov/Archives/edgar/data/1069258/000106925811000053/form8k1stamendto726credagrmt.htm" TargetMode="External"/><Relationship Id="rId95" Type="http://schemas.openxmlformats.org/officeDocument/2006/relationships/hyperlink" Target="http://www.sec.gov/Archives/edgar/data/1069258/000106925820000025/exhibit1012014equityin.htm" TargetMode="External"/><Relationship Id="rId97" Type="http://schemas.openxmlformats.org/officeDocument/2006/relationships/hyperlink" Target="http://www.sec.gov/Archives/edgar/data/1069258/000106925820000006/ktos20191229ex-1015.htm" TargetMode="External"/><Relationship Id="rId98" Type="http://schemas.openxmlformats.org/officeDocument/2006/relationships/hyperlink" Target="http://www.sec.gov/Archives/edgar/data/1069258/000110465911043760/a11-14022_1ex10d3.htm" TargetMode="External"/><Relationship Id="rId99" Type="http://schemas.openxmlformats.org/officeDocument/2006/relationships/hyperlink" Target="http://www.sec.gov/Archives/edgar/data/1069258/000110465911043760/a11-14022_1ex10d4.htm" TargetMode="External"/><Relationship Id="rId100" Type="http://schemas.openxmlformats.org/officeDocument/2006/relationships/hyperlink" Target="http://www.sec.gov/Archives/edgar/data/1069258/000110465917069690/a17-27375_1ex10d1.htm" TargetMode="External"/><Relationship Id="rId101" Type="http://schemas.openxmlformats.org/officeDocument/2006/relationships/hyperlink" Target="http://www.sec.gov/Archives/edgar/data/1069258/000106925818000025/ktos201806118kexhibit101.htm" TargetMode="External"/><Relationship Id="rId102" Type="http://schemas.openxmlformats.org/officeDocument/2006/relationships/hyperlink" Target="http://www.sec.gov/Archives/edgar/data/1069258/000106925817000015/ktos20170326ex-102.htm" TargetMode="External"/><Relationship Id="rId103" Type="http://schemas.openxmlformats.org/officeDocument/2006/relationships/hyperlink" Target="http://www.sec.gov/Archives/edgar/data/1069258/000106925819000017/exchangeagreement.htm" TargetMode="External"/><Relationship Id="rId104" Type="http://schemas.openxmlformats.org/officeDocument/2006/relationships/hyperlink" Target="http://www.sec.gov/Archives/edgar/data/1069258/000106925820000018/ktos20200329ex102.htm" TargetMode="External"/><Relationship Id="rId105" Type="http://schemas.openxmlformats.org/officeDocument/2006/relationships/hyperlink" Target="http://www.sec.gov/Archives/edgar/data/1069258/000106925821000009/ktos20201227ex-1019.htm" TargetMode="External"/><Relationship Id="rId106" Type="http://schemas.openxmlformats.org/officeDocument/2006/relationships/hyperlink" Target="http://www.sec.gov/Archives/edgar/data/1069258/000106925822000014/ktos20211226ex-1018.htm" TargetMode="External"/><Relationship Id="rId107" Type="http://schemas.openxmlformats.org/officeDocument/2006/relationships/hyperlink" Target="http://www.sec.gov/Archives/edgar/data/1069258/000106925822000014/ktos20211226ex-1019.htm" TargetMode="External"/><Relationship Id="rId108" Type="http://schemas.openxmlformats.org/officeDocument/2006/relationships/hyperlink" Target="http://www.sec.gov/Archives/edgar/data/1069258/000106925822000015/ktos202202228kexhibit101.htm" TargetMode="External"/><Relationship Id="rId110" Type="http://schemas.openxmlformats.org/officeDocument/2006/relationships/hyperlink" Target="http://www.sec.gov/Archives/edgar/data/1069258/000106925822000054/ktos2022062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2023-02-23T17:37:40Z</dcterms:created>
  <dcterms:modified xsi:type="dcterms:W3CDTF">2023-02-23T17:37:40Z</dcterms:modified>
</cp:coreProperties>
</file>