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30, 2025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KRATOS DEFENSE &amp; SECURITY SOLUTIONS,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ans-serif" w:hAnsi="Times New Roman;sans-serif"/>
                <w:b/>
                <w:color w:val="000000"/>
                <w:sz w:val="20"/>
              </w:rPr>
              <w:t>1 Chisholm Trail</w:t>
            </w:r>
            <w:r>
              <w:rPr>
                <w:rFonts w:ascii="Times New Roman;sans-serif" w:hAnsi="Times New Roman;sans-serif"/>
                <w:b/>
                <w:color w:val="000000"/>
                <w:sz w:val="18"/>
              </w:rPr>
              <w:t xml:space="preserve">, </w:t>
            </w:r>
            <w:r>
              <w:rPr>
                <w:rFonts w:ascii="Times New Roman;sans-serif" w:hAnsi="Times New Roman;sans-serif"/>
                <w:b/>
                <w:color w:val="000000"/>
                <w:sz w:val="20"/>
              </w:rPr>
              <w:t>Suite 300</w:t>
            </w:r>
            <w:r>
              <w:rPr>
                <w:color w:val="000000"/>
              </w:rPr>
              <w:t xml:space="preserve"> </w:t>
            </w:r>
          </w:p>
          <w:p>
            <w:pPr>
              <w:pStyle w:val="TableContents"/>
              <w:bidi w:val="0"/>
              <w:spacing w:lineRule="auto" w:line="240" w:before="0" w:after="0"/>
              <w:jc w:val="center"/>
              <w:rPr/>
            </w:pPr>
            <w:r>
              <w:rPr>
                <w:rFonts w:ascii="Times New Roman;sans-serif" w:hAnsi="Times New Roman;sans-serif"/>
                <w:b/>
                <w:color w:val="000000"/>
                <w:sz w:val="20"/>
              </w:rPr>
              <w:t>Round Rock</w:t>
            </w:r>
            <w:r>
              <w:rPr>
                <w:rFonts w:ascii="Times New Roman;sans-serif" w:hAnsi="Times New Roman;sans-serif"/>
                <w:b/>
                <w:color w:val="000000"/>
                <w:sz w:val="18"/>
              </w:rPr>
              <w:t>, TX</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(512) 238-9840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May 2, 2025, 153,443,342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30,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9"/>
        <w:gridCol w:w="2959"/>
        <w:gridCol w:w="2963"/>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fa5d16387545ee951b90c14146428e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80"/>
                  <w:sz w:val="20"/>
                  <w:u w:val="single"/>
                </w:rPr>
                <w:t xml:space="preserve">Condensed Consolidated Balance Sheets at </w:t>
              </w:r>
            </w:hyperlink>
            <w:hyperlink w:anchor="i85fa5d16387545ee951b90c14146428e_16">
              <w:r>
                <w:rPr>
                  <w:rStyle w:val="InternetLink"/>
                  <w:rFonts w:ascii="Times New Roman;sans-serif" w:hAnsi="Times New Roman;sans-serif"/>
                  <w:b w:val="false"/>
                  <w:color w:val="000080"/>
                  <w:sz w:val="20"/>
                  <w:u w:val="single"/>
                </w:rPr>
                <w:t>March</w:t>
              </w:r>
            </w:hyperlink>
            <w:hyperlink w:anchor="i85fa5d16387545ee951b90c14146428e_16">
              <w:r>
                <w:rPr>
                  <w:rStyle w:val="InternetLink"/>
                  <w:rFonts w:ascii="Times New Roman;sans-serif" w:hAnsi="Times New Roman;sans-serif"/>
                  <w:b w:val="false"/>
                  <w:color w:val="000080"/>
                  <w:sz w:val="20"/>
                  <w:u w:val="single"/>
                </w:rPr>
                <w:t xml:space="preserve"> </w:t>
              </w:r>
            </w:hyperlink>
            <w:hyperlink w:anchor="i85fa5d16387545ee951b90c14146428e_16">
              <w:r>
                <w:rPr>
                  <w:rStyle w:val="InternetLink"/>
                  <w:rFonts w:ascii="Times New Roman;sans-serif" w:hAnsi="Times New Roman;sans-serif"/>
                  <w:b w:val="false"/>
                  <w:color w:val="000080"/>
                  <w:sz w:val="20"/>
                  <w:u w:val="single"/>
                </w:rPr>
                <w:t>30</w:t>
              </w:r>
            </w:hyperlink>
            <w:hyperlink w:anchor="i85fa5d16387545ee951b90c14146428e_16">
              <w:r>
                <w:rPr>
                  <w:rStyle w:val="InternetLink"/>
                  <w:rFonts w:ascii="Times New Roman;sans-serif" w:hAnsi="Times New Roman;sans-serif"/>
                  <w:b w:val="false"/>
                  <w:color w:val="000080"/>
                  <w:sz w:val="20"/>
                  <w:u w:val="single"/>
                </w:rPr>
                <w:t>, 202</w:t>
              </w:r>
            </w:hyperlink>
            <w:hyperlink w:anchor="i85fa5d16387545ee951b90c14146428e_16">
              <w:r>
                <w:rPr>
                  <w:rStyle w:val="InternetLink"/>
                  <w:rFonts w:ascii="Times New Roman;sans-serif" w:hAnsi="Times New Roman;sans-serif"/>
                  <w:b w:val="false"/>
                  <w:color w:val="000080"/>
                  <w:sz w:val="20"/>
                  <w:u w:val="single"/>
                </w:rPr>
                <w:t>5</w:t>
              </w:r>
            </w:hyperlink>
            <w:hyperlink w:anchor="i85fa5d16387545ee951b90c14146428e_16">
              <w:r>
                <w:rPr>
                  <w:rStyle w:val="InternetLink"/>
                  <w:rFonts w:ascii="Times New Roman;sans-serif" w:hAnsi="Times New Roman;sans-serif"/>
                  <w:b w:val="false"/>
                  <w:color w:val="000080"/>
                  <w:sz w:val="20"/>
                  <w:u w:val="single"/>
                </w:rPr>
                <w:t xml:space="preserve"> (unaudited) and December </w:t>
              </w:r>
            </w:hyperlink>
            <w:hyperlink w:anchor="i85fa5d16387545ee951b90c14146428e_16">
              <w:r>
                <w:rPr>
                  <w:rStyle w:val="InternetLink"/>
                  <w:rFonts w:ascii="Times New Roman;sans-serif" w:hAnsi="Times New Roman;sans-serif"/>
                  <w:b w:val="false"/>
                  <w:color w:val="000080"/>
                  <w:sz w:val="20"/>
                  <w:u w:val="single"/>
                </w:rPr>
                <w:t>29</w:t>
              </w:r>
            </w:hyperlink>
            <w:hyperlink w:anchor="i85fa5d16387545ee951b90c14146428e_16">
              <w:r>
                <w:rPr>
                  <w:rStyle w:val="InternetLink"/>
                  <w:rFonts w:ascii="Times New Roman;sans-serif" w:hAnsi="Times New Roman;sans-serif"/>
                  <w:b w:val="false"/>
                  <w:color w:val="000080"/>
                  <w:sz w:val="20"/>
                  <w:u w:val="single"/>
                </w:rPr>
                <w:t xml:space="preserve">, </w:t>
              </w:r>
            </w:hyperlink>
            <w:hyperlink w:anchor="i85fa5d16387545ee951b90c14146428e_16">
              <w:r>
                <w:rPr>
                  <w:rStyle w:val="InternetLink"/>
                  <w:rFonts w:ascii="Times New Roman;sans-serif" w:hAnsi="Times New Roman;sans-serif"/>
                  <w:b w:val="false"/>
                  <w:color w:val="000080"/>
                  <w:sz w:val="20"/>
                  <w:u w:val="single"/>
                </w:rPr>
                <w:t>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22">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85fa5d16387545ee951b90c14146428e_22">
              <w:r>
                <w:rPr>
                  <w:rStyle w:val="InternetLink"/>
                  <w:rFonts w:ascii="Times New Roman;sans-serif" w:hAnsi="Times New Roman;sans-serif"/>
                  <w:b w:val="false"/>
                  <w:color w:val="000080"/>
                  <w:sz w:val="20"/>
                  <w:u w:val="single"/>
                </w:rPr>
                <w:t xml:space="preserve">Months Ended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30</w:t>
              </w:r>
            </w:hyperlink>
            <w:hyperlink w:anchor="i85fa5d16387545ee951b90c14146428e_22">
              <w:r>
                <w:rPr>
                  <w:rStyle w:val="InternetLink"/>
                  <w:rFonts w:ascii="Times New Roman;sans-serif" w:hAnsi="Times New Roman;sans-serif"/>
                  <w:b w:val="false"/>
                  <w:color w:val="000080"/>
                  <w:sz w:val="20"/>
                  <w:u w:val="single"/>
                </w:rPr>
                <w:t>, 202</w:t>
              </w:r>
            </w:hyperlink>
            <w:hyperlink w:anchor="i85fa5d16387545ee951b90c14146428e_22">
              <w:r>
                <w:rPr>
                  <w:rStyle w:val="InternetLink"/>
                  <w:rFonts w:ascii="Times New Roman;sans-serif" w:hAnsi="Times New Roman;sans-serif"/>
                  <w:b w:val="false"/>
                  <w:color w:val="000080"/>
                  <w:sz w:val="20"/>
                  <w:u w:val="single"/>
                </w:rPr>
                <w:t>5</w:t>
              </w:r>
            </w:hyperlink>
            <w:hyperlink w:anchor="i85fa5d16387545ee951b90c14146428e_22">
              <w:r>
                <w:rPr>
                  <w:rStyle w:val="InternetLink"/>
                  <w:rFonts w:ascii="Times New Roman;sans-serif" w:hAnsi="Times New Roman;sans-serif"/>
                  <w:b w:val="false"/>
                  <w:color w:val="000080"/>
                  <w:sz w:val="20"/>
                  <w:u w:val="single"/>
                </w:rPr>
                <w:t xml:space="preserve"> and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w:t>
              </w:r>
            </w:hyperlink>
            <w:hyperlink w:anchor="i85fa5d16387545ee951b90c14146428e_22">
              <w:r>
                <w:rPr>
                  <w:rStyle w:val="InternetLink"/>
                  <w:rFonts w:ascii="Times New Roman;sans-serif" w:hAnsi="Times New Roman;sans-serif"/>
                  <w:b w:val="false"/>
                  <w:color w:val="000080"/>
                  <w:sz w:val="20"/>
                  <w:u w:val="single"/>
                </w:rPr>
                <w:t>1, 202</w:t>
              </w:r>
            </w:hyperlink>
            <w:hyperlink w:anchor="i85fa5d16387545ee951b90c14146428e_22">
              <w:r>
                <w:rPr>
                  <w:rStyle w:val="InternetLink"/>
                  <w:rFonts w:ascii="Times New Roman;sans-serif" w:hAnsi="Times New Roman;sans-serif"/>
                  <w:b w:val="false"/>
                  <w:color w:val="000080"/>
                  <w:sz w:val="20"/>
                  <w:u w:val="single"/>
                </w:rPr>
                <w:t>4</w:t>
              </w:r>
            </w:hyperlink>
            <w:hyperlink w:anchor="i85fa5d16387545ee951b90c14146428e_22">
              <w:r>
                <w:rPr>
                  <w:rStyle w:val="InternetLink"/>
                  <w:rFonts w:ascii="Times New Roman;sans-serif" w:hAnsi="Times New Roman;sans-serif"/>
                  <w:b w:val="false"/>
                  <w:color w:val="000080"/>
                  <w:sz w:val="20"/>
                  <w:u w:val="single"/>
                </w:rPr>
                <w:t xml:space="preserve">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22">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25">
              <w:r>
                <w:rPr>
                  <w:rStyle w:val="InternetLink"/>
                  <w:rFonts w:ascii="Times New Roman;sans-serif" w:hAnsi="Times New Roman;sans-serif"/>
                  <w:b w:val="false"/>
                  <w:color w:val="000080"/>
                  <w:sz w:val="20"/>
                  <w:u w:val="single"/>
                </w:rPr>
                <w:t xml:space="preserve">Condensed Consolidated Statements of Comprehensive Income (Loss) for the </w:t>
              </w:r>
            </w:hyperlink>
            <w:hyperlink w:anchor="i85fa5d16387545ee951b90c14146428e_22">
              <w:r>
                <w:rPr>
                  <w:rStyle w:val="InternetLink"/>
                  <w:rFonts w:ascii="Times New Roman;sans-serif" w:hAnsi="Times New Roman;sans-serif"/>
                  <w:b w:val="false"/>
                  <w:color w:val="000080"/>
                  <w:sz w:val="20"/>
                  <w:u w:val="single"/>
                </w:rPr>
                <w:t xml:space="preserve">Three </w:t>
              </w:r>
            </w:hyperlink>
            <w:hyperlink w:anchor="i85fa5d16387545ee951b90c14146428e_22">
              <w:r>
                <w:rPr>
                  <w:rStyle w:val="InternetLink"/>
                  <w:rFonts w:ascii="Times New Roman;sans-serif" w:hAnsi="Times New Roman;sans-serif"/>
                  <w:b w:val="false"/>
                  <w:color w:val="000080"/>
                  <w:sz w:val="20"/>
                  <w:u w:val="single"/>
                </w:rPr>
                <w:t xml:space="preserve">Months Ended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30</w:t>
              </w:r>
            </w:hyperlink>
            <w:hyperlink w:anchor="i85fa5d16387545ee951b90c14146428e_22">
              <w:r>
                <w:rPr>
                  <w:rStyle w:val="InternetLink"/>
                  <w:rFonts w:ascii="Times New Roman;sans-serif" w:hAnsi="Times New Roman;sans-serif"/>
                  <w:b w:val="false"/>
                  <w:color w:val="000080"/>
                  <w:sz w:val="20"/>
                  <w:u w:val="single"/>
                </w:rPr>
                <w:t>, 202</w:t>
              </w:r>
            </w:hyperlink>
            <w:hyperlink w:anchor="i85fa5d16387545ee951b90c14146428e_22">
              <w:r>
                <w:rPr>
                  <w:rStyle w:val="InternetLink"/>
                  <w:rFonts w:ascii="Times New Roman;sans-serif" w:hAnsi="Times New Roman;sans-serif"/>
                  <w:b w:val="false"/>
                  <w:color w:val="000080"/>
                  <w:sz w:val="20"/>
                  <w:u w:val="single"/>
                </w:rPr>
                <w:t>5</w:t>
              </w:r>
            </w:hyperlink>
            <w:hyperlink w:anchor="i85fa5d16387545ee951b90c14146428e_22">
              <w:r>
                <w:rPr>
                  <w:rStyle w:val="InternetLink"/>
                  <w:rFonts w:ascii="Times New Roman;sans-serif" w:hAnsi="Times New Roman;sans-serif"/>
                  <w:b w:val="false"/>
                  <w:color w:val="000080"/>
                  <w:sz w:val="20"/>
                  <w:u w:val="single"/>
                </w:rPr>
                <w:t xml:space="preserve"> and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w:t>
              </w:r>
            </w:hyperlink>
            <w:hyperlink w:anchor="i85fa5d16387545ee951b90c14146428e_22">
              <w:r>
                <w:rPr>
                  <w:rStyle w:val="InternetLink"/>
                  <w:rFonts w:ascii="Times New Roman;sans-serif" w:hAnsi="Times New Roman;sans-serif"/>
                  <w:b w:val="false"/>
                  <w:color w:val="000080"/>
                  <w:sz w:val="20"/>
                  <w:u w:val="single"/>
                </w:rPr>
                <w:t xml:space="preserve">1, </w:t>
              </w:r>
            </w:hyperlink>
            <w:hyperlink w:anchor="i85fa5d16387545ee951b90c14146428e_22">
              <w:r>
                <w:rPr>
                  <w:rStyle w:val="InternetLink"/>
                  <w:rFonts w:ascii="Times New Roman;sans-serif" w:hAnsi="Times New Roman;sans-serif"/>
                  <w:b w:val="false"/>
                  <w:color w:val="000080"/>
                  <w:sz w:val="20"/>
                  <w:u w:val="single"/>
                </w:rPr>
                <w:t>2024</w:t>
              </w:r>
            </w:hyperlink>
            <w:hyperlink w:anchor="i85fa5d16387545ee951b90c14146428e_25">
              <w:r>
                <w:rPr>
                  <w:rStyle w:val="InternetLink"/>
                  <w:rFonts w:ascii="Times New Roman;sans-serif" w:hAnsi="Times New Roman;sans-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25">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28">
              <w:r>
                <w:rPr>
                  <w:rStyle w:val="InternetLink"/>
                  <w:rFonts w:ascii="Times New Roman;sans-serif" w:hAnsi="Times New Roman;sans-serif"/>
                  <w:b w:val="false"/>
                  <w:color w:val="000080"/>
                  <w:sz w:val="20"/>
                  <w:u w:val="single"/>
                </w:rPr>
                <w:t xml:space="preserve">Condensed Consolidated Statements of Stockholders’ Equity for the </w:t>
              </w:r>
            </w:hyperlink>
            <w:hyperlink w:anchor="i85fa5d16387545ee951b90c14146428e_22">
              <w:r>
                <w:rPr>
                  <w:rStyle w:val="InternetLink"/>
                  <w:rFonts w:ascii="Times New Roman;sans-serif" w:hAnsi="Times New Roman;sans-serif"/>
                  <w:b w:val="false"/>
                  <w:color w:val="000080"/>
                  <w:sz w:val="20"/>
                  <w:u w:val="single"/>
                </w:rPr>
                <w:t xml:space="preserve">Three </w:t>
              </w:r>
            </w:hyperlink>
            <w:hyperlink w:anchor="i85fa5d16387545ee951b90c14146428e_22">
              <w:r>
                <w:rPr>
                  <w:rStyle w:val="InternetLink"/>
                  <w:rFonts w:ascii="Times New Roman;sans-serif" w:hAnsi="Times New Roman;sans-serif"/>
                  <w:b w:val="false"/>
                  <w:color w:val="000080"/>
                  <w:sz w:val="20"/>
                  <w:u w:val="single"/>
                </w:rPr>
                <w:t xml:space="preserve">Months Ended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30</w:t>
              </w:r>
            </w:hyperlink>
            <w:hyperlink w:anchor="i85fa5d16387545ee951b90c14146428e_22">
              <w:r>
                <w:rPr>
                  <w:rStyle w:val="InternetLink"/>
                  <w:rFonts w:ascii="Times New Roman;sans-serif" w:hAnsi="Times New Roman;sans-serif"/>
                  <w:b w:val="false"/>
                  <w:color w:val="000080"/>
                  <w:sz w:val="20"/>
                  <w:u w:val="single"/>
                </w:rPr>
                <w:t>, 202</w:t>
              </w:r>
            </w:hyperlink>
            <w:hyperlink w:anchor="i85fa5d16387545ee951b90c14146428e_22">
              <w:r>
                <w:rPr>
                  <w:rStyle w:val="InternetLink"/>
                  <w:rFonts w:ascii="Times New Roman;sans-serif" w:hAnsi="Times New Roman;sans-serif"/>
                  <w:b w:val="false"/>
                  <w:color w:val="000080"/>
                  <w:sz w:val="20"/>
                  <w:u w:val="single"/>
                </w:rPr>
                <w:t>5</w:t>
              </w:r>
            </w:hyperlink>
            <w:hyperlink w:anchor="i85fa5d16387545ee951b90c14146428e_22">
              <w:r>
                <w:rPr>
                  <w:rStyle w:val="InternetLink"/>
                  <w:rFonts w:ascii="Times New Roman;sans-serif" w:hAnsi="Times New Roman;sans-serif"/>
                  <w:b w:val="false"/>
                  <w:color w:val="000080"/>
                  <w:sz w:val="20"/>
                  <w:u w:val="single"/>
                </w:rPr>
                <w:t xml:space="preserve"> and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w:t>
              </w:r>
            </w:hyperlink>
            <w:hyperlink w:anchor="i85fa5d16387545ee951b90c14146428e_22">
              <w:r>
                <w:rPr>
                  <w:rStyle w:val="InternetLink"/>
                  <w:rFonts w:ascii="Times New Roman;sans-serif" w:hAnsi="Times New Roman;sans-serif"/>
                  <w:b w:val="false"/>
                  <w:color w:val="000080"/>
                  <w:sz w:val="20"/>
                  <w:u w:val="single"/>
                </w:rPr>
                <w:t>1, 20</w:t>
              </w:r>
            </w:hyperlink>
            <w:hyperlink w:anchor="i85fa5d16387545ee951b90c14146428e_22">
              <w:r>
                <w:rPr>
                  <w:rStyle w:val="InternetLink"/>
                  <w:rFonts w:ascii="Times New Roman;sans-serif" w:hAnsi="Times New Roman;sans-serif"/>
                  <w:b w:val="false"/>
                  <w:color w:val="000080"/>
                  <w:sz w:val="20"/>
                  <w:u w:val="single"/>
                </w:rPr>
                <w:t>24</w:t>
              </w:r>
            </w:hyperlink>
            <w:hyperlink w:anchor="i85fa5d16387545ee951b90c14146428e_28">
              <w:r>
                <w:rPr>
                  <w:rStyle w:val="InternetLink"/>
                  <w:rFonts w:ascii="Times New Roman;sans-serif" w:hAnsi="Times New Roman;sans-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28">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34">
              <w:r>
                <w:rPr>
                  <w:rStyle w:val="InternetLink"/>
                  <w:rFonts w:ascii="Times New Roman;sans-serif" w:hAnsi="Times New Roman;sans-serif"/>
                  <w:b w:val="false"/>
                  <w:color w:val="000080"/>
                  <w:sz w:val="20"/>
                  <w:u w:val="single"/>
                </w:rPr>
                <w:t xml:space="preserve">Condensed Consolidated Statements of Cash Flows for the </w:t>
              </w:r>
            </w:hyperlink>
            <w:hyperlink w:anchor="i85fa5d16387545ee951b90c14146428e_34">
              <w:r>
                <w:rPr>
                  <w:rStyle w:val="InternetLink"/>
                  <w:rFonts w:ascii="Times New Roman;sans-serif" w:hAnsi="Times New Roman;sans-serif"/>
                  <w:b w:val="false"/>
                  <w:color w:val="000080"/>
                  <w:sz w:val="20"/>
                  <w:u w:val="single"/>
                </w:rPr>
                <w:t>Three</w:t>
              </w:r>
            </w:hyperlink>
            <w:hyperlink w:anchor="i85fa5d16387545ee951b90c14146428e_34">
              <w:r>
                <w:rPr>
                  <w:rStyle w:val="InternetLink"/>
                  <w:rFonts w:ascii="Times New Roman;sans-serif" w:hAnsi="Times New Roman;sans-serif"/>
                  <w:b w:val="false"/>
                  <w:color w:val="000080"/>
                  <w:sz w:val="20"/>
                  <w:u w:val="single"/>
                </w:rPr>
                <w:t xml:space="preserve"> Months Ended</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30</w:t>
              </w:r>
            </w:hyperlink>
            <w:hyperlink w:anchor="i85fa5d16387545ee951b90c14146428e_22">
              <w:r>
                <w:rPr>
                  <w:rStyle w:val="InternetLink"/>
                  <w:rFonts w:ascii="Times New Roman;sans-serif" w:hAnsi="Times New Roman;sans-serif"/>
                  <w:b w:val="false"/>
                  <w:color w:val="000080"/>
                  <w:sz w:val="20"/>
                  <w:u w:val="single"/>
                </w:rPr>
                <w:t>, 202</w:t>
              </w:r>
            </w:hyperlink>
            <w:hyperlink w:anchor="i85fa5d16387545ee951b90c14146428e_22">
              <w:r>
                <w:rPr>
                  <w:rStyle w:val="InternetLink"/>
                  <w:rFonts w:ascii="Times New Roman;sans-serif" w:hAnsi="Times New Roman;sans-serif"/>
                  <w:b w:val="false"/>
                  <w:color w:val="000080"/>
                  <w:sz w:val="20"/>
                  <w:u w:val="single"/>
                </w:rPr>
                <w:t>5</w:t>
              </w:r>
            </w:hyperlink>
            <w:hyperlink w:anchor="i85fa5d16387545ee951b90c14146428e_22">
              <w:r>
                <w:rPr>
                  <w:rStyle w:val="InternetLink"/>
                  <w:rFonts w:ascii="Times New Roman;sans-serif" w:hAnsi="Times New Roman;sans-serif"/>
                  <w:b w:val="false"/>
                  <w:color w:val="000080"/>
                  <w:sz w:val="20"/>
                  <w:u w:val="single"/>
                </w:rPr>
                <w:t xml:space="preserve"> and </w:t>
              </w:r>
            </w:hyperlink>
            <w:hyperlink w:anchor="i85fa5d16387545ee951b90c14146428e_22">
              <w:r>
                <w:rPr>
                  <w:rStyle w:val="InternetLink"/>
                  <w:rFonts w:ascii="Times New Roman;sans-serif" w:hAnsi="Times New Roman;sans-serif"/>
                  <w:b w:val="false"/>
                  <w:color w:val="000080"/>
                  <w:sz w:val="20"/>
                  <w:u w:val="single"/>
                </w:rPr>
                <w:t>March</w:t>
              </w:r>
            </w:hyperlink>
            <w:hyperlink w:anchor="i85fa5d16387545ee951b90c14146428e_22">
              <w:r>
                <w:rPr>
                  <w:rStyle w:val="InternetLink"/>
                  <w:rFonts w:ascii="Times New Roman;sans-serif" w:hAnsi="Times New Roman;sans-serif"/>
                  <w:b w:val="false"/>
                  <w:color w:val="000080"/>
                  <w:sz w:val="20"/>
                  <w:u w:val="single"/>
                </w:rPr>
                <w:t xml:space="preserve"> </w:t>
              </w:r>
            </w:hyperlink>
            <w:hyperlink w:anchor="i85fa5d16387545ee951b90c14146428e_22">
              <w:r>
                <w:rPr>
                  <w:rStyle w:val="InternetLink"/>
                  <w:rFonts w:ascii="Times New Roman;sans-serif" w:hAnsi="Times New Roman;sans-serif"/>
                  <w:b w:val="false"/>
                  <w:color w:val="000080"/>
                  <w:sz w:val="20"/>
                  <w:u w:val="single"/>
                </w:rPr>
                <w:t>3</w:t>
              </w:r>
            </w:hyperlink>
            <w:hyperlink w:anchor="i85fa5d16387545ee951b90c14146428e_22">
              <w:r>
                <w:rPr>
                  <w:rStyle w:val="InternetLink"/>
                  <w:rFonts w:ascii="Times New Roman;sans-serif" w:hAnsi="Times New Roman;sans-serif"/>
                  <w:b w:val="false"/>
                  <w:color w:val="000080"/>
                  <w:sz w:val="20"/>
                  <w:u w:val="single"/>
                </w:rPr>
                <w:t>1, 20</w:t>
              </w:r>
            </w:hyperlink>
            <w:hyperlink w:anchor="i85fa5d16387545ee951b90c14146428e_22">
              <w:r>
                <w:rPr>
                  <w:rStyle w:val="InternetLink"/>
                  <w:rFonts w:ascii="Times New Roman;sans-serif" w:hAnsi="Times New Roman;sans-serif"/>
                  <w:b w:val="false"/>
                  <w:color w:val="000080"/>
                  <w:sz w:val="20"/>
                  <w:u w:val="single"/>
                </w:rPr>
                <w:t>24</w:t>
              </w:r>
            </w:hyperlink>
            <w:r>
              <w:rPr>
                <w:color w:val="000000"/>
              </w:rPr>
              <w:t xml:space="preserve"> </w:t>
            </w:r>
            <w:hyperlink w:anchor="i85fa5d16387545ee951b90c14146428e_34">
              <w:r>
                <w:rPr>
                  <w:rStyle w:val="InternetLink"/>
                  <w:rFonts w:ascii="Times New Roman;sans-serif" w:hAnsi="Times New Roman;sans-serif"/>
                  <w:b w:val="false"/>
                  <w:color w:val="0000FF"/>
                  <w:sz w:val="20"/>
                  <w:u w:val="single"/>
                </w:rPr>
                <w:t>(unaudited)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34">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37">
              <w:r>
                <w:rPr>
                  <w:rStyle w:val="InternetLink"/>
                  <w:rFonts w:ascii="Times New Roman;sans-serif" w:hAnsi="Times New Roman;sans-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37">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88">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88">
              <w:r>
                <w:rPr>
                  <w:rStyle w:val="InternetLink"/>
                  <w:rFonts w:ascii="Times New Roman;sans-serif" w:hAnsi="Times New Roman;sans-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21">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21">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21">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24">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24">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24">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fa5d16387545ee951b90c14146428e_127">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0">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0">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30">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3">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3">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33">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6">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6">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36">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9">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39">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39">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42">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42">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42">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45">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45">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45">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51">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51">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a5d16387545ee951b90c14146428e_151">
              <w:r>
                <w:rPr>
                  <w:rStyle w:val="InternetLink"/>
                  <w:rFonts w:ascii="Times New Roman;sans-serif" w:hAnsi="Times New Roman;sans-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796"/>
        <w:gridCol w:w="2304"/>
        <w:gridCol w:w="2303"/>
        <w:gridCol w:w="226"/>
        <w:gridCol w:w="796"/>
        <w:gridCol w:w="125"/>
        <w:gridCol w:w="109"/>
        <w:gridCol w:w="109"/>
        <w:gridCol w:w="109"/>
        <w:gridCol w:w="249"/>
        <w:gridCol w:w="880"/>
        <w:gridCol w:w="199"/>
      </w:tblGrid>
      <w:tr>
        <w:trPr/>
        <w:tc>
          <w:tcPr>
            <w:tcW w:w="279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2024</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Inventoried costs,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Liabilities and Stockholders</w:t>
            </w:r>
            <w:r>
              <w:rPr>
                <w:color w:val="000000"/>
              </w:rPr>
              <w:t xml:space="preserve">’ </w:t>
            </w:r>
            <w:r>
              <w:rPr>
                <w:rFonts w:ascii="Times New Roman;sans-serif" w:hAnsi="Times New Roman;sans-serif"/>
                <w:b/>
                <w:color w:val="000000"/>
                <w:sz w:val="18"/>
              </w:rPr>
              <w:t>Equity</w:t>
            </w:r>
          </w:p>
        </w:tc>
        <w:tc>
          <w:tcPr>
            <w:tcW w:w="114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earnings on uncompleted contracts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finance lease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net of current portion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Stockholders</w:t>
            </w:r>
            <w:r>
              <w:rPr>
                <w:color w:val="000000"/>
              </w:rPr>
              <w:t xml:space="preserve">’ </w:t>
            </w:r>
            <w:r>
              <w:rPr>
                <w:rFonts w:ascii="Times New Roman;sans-serif" w:hAnsi="Times New Roman;sans-serif"/>
                <w:b w:val="false"/>
                <w:color w:val="000000"/>
                <w:sz w:val="18"/>
              </w:rPr>
              <w:t>equity:</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0 shares issued and outstanding at March 30, 2025 and December 29, 2024</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195,000,000 shares authorized; 153,349,134 and 151,092,292 shares issued and outstanding at March 30, 2025 and December 29, 2024,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stockholders</w:t>
            </w:r>
            <w:r>
              <w:rPr>
                <w:color w:val="000000"/>
              </w:rPr>
              <w:t xml:space="preserve">’ </w:t>
            </w:r>
            <w:r>
              <w:rPr>
                <w:rFonts w:ascii="Times New Roman;sans-serif" w:hAnsi="Times New Roman;sans-serif"/>
                <w:b w:val="false"/>
                <w:color w:val="000000"/>
                <w:sz w:val="18"/>
              </w:rPr>
              <w:t>equity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liabilities and stockholders</w:t>
            </w:r>
            <w:r>
              <w:rPr>
                <w:color w:val="000000"/>
              </w:rPr>
              <w:t xml:space="preserve">’ </w:t>
            </w:r>
            <w:r>
              <w:rPr>
                <w:rFonts w:ascii="Times New Roman;sans-serif" w:hAnsi="Times New Roman;sans-serif"/>
                <w:b w:val="false"/>
                <w:color w:val="000000"/>
                <w:sz w:val="18"/>
              </w:rPr>
              <w:t>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tbl>
      <w:tblPr>
        <w:tblW w:w="7408" w:type="dxa"/>
        <w:jc w:val="left"/>
        <w:tblInd w:w="0" w:type="dxa"/>
        <w:tblLayout w:type="fixed"/>
        <w:tblCellMar>
          <w:top w:w="28" w:type="dxa"/>
          <w:left w:w="28" w:type="dxa"/>
          <w:bottom w:w="28" w:type="dxa"/>
          <w:right w:w="28" w:type="dxa"/>
        </w:tblCellMar>
      </w:tblPr>
      <w:tblGrid>
        <w:gridCol w:w="1477"/>
        <w:gridCol w:w="1300"/>
        <w:gridCol w:w="1303"/>
        <w:gridCol w:w="287"/>
        <w:gridCol w:w="814"/>
        <w:gridCol w:w="159"/>
        <w:gridCol w:w="109"/>
        <w:gridCol w:w="109"/>
        <w:gridCol w:w="109"/>
        <w:gridCol w:w="287"/>
        <w:gridCol w:w="814"/>
        <w:gridCol w:w="159"/>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income taxes </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consolidated operations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Kratos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per common share attributable to Kratos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per common share attributable to Kratos</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7"/>
        <w:gridCol w:w="2330"/>
        <w:gridCol w:w="2345"/>
        <w:gridCol w:w="282"/>
        <w:gridCol w:w="542"/>
        <w:gridCol w:w="156"/>
        <w:gridCol w:w="109"/>
        <w:gridCol w:w="109"/>
        <w:gridCol w:w="109"/>
        <w:gridCol w:w="282"/>
        <w:gridCol w:w="542"/>
        <w:gridCol w:w="156"/>
        <w:gridCol w:w="109"/>
        <w:gridCol w:w="109"/>
        <w:gridCol w:w="109"/>
        <w:gridCol w:w="159"/>
      </w:tblGrid>
      <w:tr>
        <w:trPr/>
        <w:tc>
          <w:tcPr>
            <w:tcW w:w="275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consolidated operations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cash flow hedge (net of taxes of $0.1 million for the three month period ended March 30, 2025 and $0.4 million for the three month period ended March 31, 2024)</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cumulative translation adjustment</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Kratos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30, 2025 and March 31, 2024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914"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14"/>
        <w:gridCol w:w="757"/>
        <w:gridCol w:w="170"/>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options and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consolidated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loss,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14"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331"/>
        <w:gridCol w:w="685"/>
        <w:gridCol w:w="185"/>
        <w:gridCol w:w="109"/>
        <w:gridCol w:w="109"/>
        <w:gridCol w:w="109"/>
        <w:gridCol w:w="278"/>
        <w:gridCol w:w="278"/>
        <w:gridCol w:w="196"/>
        <w:gridCol w:w="109"/>
        <w:gridCol w:w="109"/>
        <w:gridCol w:w="109"/>
        <w:gridCol w:w="216"/>
        <w:gridCol w:w="414"/>
        <w:gridCol w:w="121"/>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09"/>
        <w:gridCol w:w="109"/>
        <w:gridCol w:w="109"/>
        <w:gridCol w:w="109"/>
        <w:gridCol w:w="214"/>
        <w:gridCol w:w="757"/>
        <w:gridCol w:w="170"/>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options and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consolidated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715"/>
        <w:gridCol w:w="2349"/>
        <w:gridCol w:w="2359"/>
        <w:gridCol w:w="274"/>
        <w:gridCol w:w="778"/>
        <w:gridCol w:w="152"/>
        <w:gridCol w:w="109"/>
        <w:gridCol w:w="109"/>
        <w:gridCol w:w="109"/>
        <w:gridCol w:w="270"/>
        <w:gridCol w:w="767"/>
        <w:gridCol w:w="214"/>
      </w:tblGrid>
      <w:tr>
        <w:trPr/>
        <w:tc>
          <w:tcPr>
            <w:tcW w:w="271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consolidated operations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from consolidated operations to net cash provided by (used in) operating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lease right-of-use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acquisitions:</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Inventoried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Billings in excess of costs and earnings on uncompleted contracts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 and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net of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 under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under credit facility and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under finance leases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employee taxes withheld from share-based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shares issued under equity plans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(used)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94" w:type="dxa"/>
        <w:jc w:val="center"/>
        <w:tblInd w:w="0" w:type="dxa"/>
        <w:tblLayout w:type="fixed"/>
        <w:tblCellMar>
          <w:top w:w="28" w:type="dxa"/>
          <w:left w:w="28" w:type="dxa"/>
          <w:bottom w:w="28" w:type="dxa"/>
          <w:right w:w="28" w:type="dxa"/>
        </w:tblCellMar>
      </w:tblPr>
      <w:tblGrid>
        <w:gridCol w:w="1859"/>
        <w:gridCol w:w="1629"/>
        <w:gridCol w:w="1642"/>
        <w:gridCol w:w="196"/>
        <w:gridCol w:w="406"/>
        <w:gridCol w:w="109"/>
        <w:gridCol w:w="109"/>
        <w:gridCol w:w="109"/>
        <w:gridCol w:w="109"/>
        <w:gridCol w:w="196"/>
        <w:gridCol w:w="37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activities: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obligation incurred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included in accounts payable and accrued expenses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issuance for acquisition </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color w:val="000000"/>
          <w:sz w:val="20"/>
        </w:rPr>
        <w:t>(a)</w:t>
      </w:r>
      <w:r>
        <w:rPr>
          <w:color w:val="000000"/>
        </w:rPr>
        <w:t>    </w:t>
      </w: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information as of March 30, 2025 and for the three months ended March 30, 2025 and March 31, 2024 is unaudited. The condensed consolidated balance sheet as of December 29, 2024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2024, included in the Company’s Annual Report on Form 10-K filed with the U.S. Securities and Exchange Commission (the “SEC”) on February 26, 2025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year items have been reclassified to be consistent with current year presentation.</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condensed consolidated financial statements include the accounts of the Company and its 100% owned subsidiaries. All inter-company transactions have been eliminated in consolidation. On June 21, 2024, the Company purchased the remaining 9.95% interest in KTT CORE, Inc., a Delaware corporation formerly known as KTT CORE, LLC (“KTT Core”) which previously had been reported as a majority owned subsidiary. KTT Core is now a 100% owned subsidiary.</w:t>
      </w:r>
      <w:r>
        <w:rPr>
          <w:color w:val="000000"/>
        </w:rPr>
        <w:t xml:space="preserve"> </w:t>
      </w:r>
      <w:r>
        <w:rPr>
          <w:rFonts w:ascii="Times New Roman;sans-serif" w:hAnsi="Times New Roman;sans-serif"/>
          <w:b w:val="false"/>
          <w:color w:val="000000"/>
          <w:sz w:val="20"/>
        </w:rPr>
        <w:t>See Note 11 for further information related to the redeemable noncontrolling interest.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52/53 week fiscal year ending on the last Sunday of the calendar year. The three month periods ended March 30, 2025 and March 31, 2024 consisted of 13-week periods. There are 52 calendar weeks in the fiscal years ending on December 28, 2025 and December 29, 2024.</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Use of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estimates for the three months ended March 30, 2025 as compared to the accounting estimates described in the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March 30, 2025, the derivative instruments were included in other current assets and other long-term liabilities on the Company's condensed consolidated balance sheets.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related fair values of the Company’s derivative instruments measured at fair value on a recurring basis at March 30, 2025 are presented in Note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March 30, 2025 and December 29, 2024 due to the short-term nature of these instruments.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     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2023, the FASB issued ASU 2023-07,</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expands reportable segment disclosure requirements by requiring disclosures of significant reportable segment expenses that are regularly provided to the Chief Operating Decision Maker (“CODM”) and included within each reported measure of a segment's profit or loss. ASU 2023-07 also requires all segment profit or loss and assets disclosures to be provided on an annual and interim basis. ASU 2023-07 is effective for fiscal years beginning after December 15, 2023, and interim periods within fiscal years beginning one year later. The amendments must be applied retrospectively to all prior periods presented. The Company has adopted ASU 2023-07 effective December 29, 2024. As a result, the Company has enhanced its segment disclosures to include the presentation of cost of sales by segment and the disclosure of the Company’s CODM. The adoption of this ASU affects only the Company’s disclosures, with no impacts to its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 Income Taxes (Topic 740): Improvements to Income Tax Disclosures, </w:t>
      </w:r>
      <w:r>
        <w:rPr>
          <w:rFonts w:ascii="Times New Roman;sans-serif" w:hAnsi="Times New Roman;sans-serif"/>
          <w:b w:val="false"/>
          <w:color w:val="000000"/>
          <w:sz w:val="20"/>
        </w:rPr>
        <w:t>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will adopt ASU 2023-09 for the period ending December 28, 2025. The adoption of this standard is not expected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an impact on the Company’s consolidated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2024, the FASB issued ASU 2024-03,</w:t>
      </w:r>
      <w:r>
        <w:rPr>
          <w:color w:val="000000"/>
        </w:rPr>
        <w:t xml:space="preserve"> </w:t>
      </w:r>
      <w:r>
        <w:rPr>
          <w:rFonts w:ascii="Times New Roman;sans-serif" w:hAnsi="Times New Roman;sans-serif"/>
          <w:b w:val="false"/>
          <w:i/>
          <w:color w:val="000000"/>
          <w:sz w:val="20"/>
        </w:rPr>
        <w:t>Income Statement (Topic 220): Reporting Comprehensive Income – Expense Disaggregation Disclosures,</w:t>
      </w:r>
      <w:r>
        <w:rPr>
          <w:color w:val="000000"/>
        </w:rPr>
        <w:t xml:space="preserve"> </w:t>
      </w:r>
      <w:r>
        <w:rPr>
          <w:rFonts w:ascii="Times New Roman;sans-serif" w:hAnsi="Times New Roman;sans-serif"/>
          <w:b w:val="false"/>
          <w:color w:val="000000"/>
          <w:sz w:val="20"/>
        </w:rPr>
        <w:t>which requires the amounts of purchases of inventory, employee compensation, depreciation, and intangible asset amortization included in each relevant expense caption. It also requires companies to include certain amounts that are already required to be disclosed under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(as further clarified through ASU No. 2025-01, </w:t>
      </w:r>
      <w:r>
        <w:rPr>
          <w:rFonts w:ascii="Times New Roman;sans-serif" w:hAnsi="Times New Roman;sans-serif"/>
          <w:b w:val="false"/>
          <w:i/>
          <w:color w:val="000000"/>
          <w:sz w:val="20"/>
        </w:rPr>
        <w:t>Income Statement - Reporting Comprehensive Income - Expense Disaggregation Disclosures (Subtopic 220-40))</w:t>
      </w:r>
      <w:r>
        <w:rPr>
          <w:color w:val="000000"/>
        </w:rPr>
        <w:t xml:space="preserve"> </w:t>
      </w:r>
      <w:r>
        <w:rPr>
          <w:rFonts w:ascii="Times New Roman;sans-serif" w:hAnsi="Times New Roman;sans-serif"/>
          <w:b w:val="false"/>
          <w:color w:val="000000"/>
          <w:sz w:val="20"/>
        </w:rPr>
        <w:t>will be effective for annual periods beginning after December 15, 2026 and interim periods beginning after December 15, 2027, with early adoption permitted and will be applied on a prospective basis with the option to apply the standard retrospectively. The Company is currently evaluating the impact of the adoption of ASU 2024-03; however, the standard is not expected to have an impact on the Company’s consolidated financial position,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Norden Millimeter,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asset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Kratos granted Norden certain registration rights under the Asset Purchase Agreement and registered the 1,095,674 shares with the SEC on February 7, 2025. The Purchased Assets and Assumed Liabilities are included in the KGS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statements.The operating results of the acquisition have been included in the Company’s results of operations from the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date. The Company has determined that pro forma revenue and earnings information is incomplete for the periods prior to the acquisition and that it is impracticable to present such prior periods until the Company obtains final information regarding such prior period revenues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business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preliminary allocation of the purchase price over the estimated fair values of the Norden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preliminary estimate of fair value, as of February 4, 2025, net liabilities included $7.6 million of current liabilities. The identifiable intangible assets include customer relationships of $2.5 million with a remaining useful life of 7 years, trade names of $2.0 million with a remaining useful life of 7 years, contracts and backlog of $3.0 million with an estimated useful life of 5 years, developed technology of $2.0 million with a remaining useful life of 7 years, and a non-compete agreement valued at $0.5 million with a remaining useful life of 5 years. The goodwill recorded in this transaction is expected to be tax-deductible.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of revenue and operating income of the acquired Norden business included in the Company’s consolidated statement of operations for the three months ended March 30, 2025 were $4.8 million and $2.2 million,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consideration paid for the acquired assets is as follows (in millions):</w:t>
      </w:r>
    </w:p>
    <w:p>
      <w:pPr>
        <w:pStyle w:val="TextBody"/>
        <w:bidi w:val="0"/>
        <w:spacing w:before="0" w:after="0"/>
        <w:jc w:val="left"/>
        <w:rPr/>
      </w:pPr>
      <w:r>
        <w:rPr/>
      </w:r>
    </w:p>
    <w:tbl>
      <w:tblPr>
        <w:tblW w:w="4728" w:type="dxa"/>
        <w:jc w:val="left"/>
        <w:tblInd w:w="0" w:type="dxa"/>
        <w:tblLayout w:type="fixed"/>
        <w:tblCellMar>
          <w:top w:w="28" w:type="dxa"/>
          <w:left w:w="28" w:type="dxa"/>
          <w:bottom w:w="28" w:type="dxa"/>
          <w:right w:w="28" w:type="dxa"/>
        </w:tblCellMar>
      </w:tblPr>
      <w:tblGrid>
        <w:gridCol w:w="1275"/>
        <w:gridCol w:w="1121"/>
        <w:gridCol w:w="1129"/>
        <w:gridCol w:w="109"/>
        <w:gridCol w:w="109"/>
        <w:gridCol w:w="109"/>
        <w:gridCol w:w="211"/>
        <w:gridCol w:w="51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Holdback that may be issued at later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estimated purchase price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The Company has adopted the FASB ASU 2014-09,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revenues from remaining performance obligations as the dollar value of the remaining performance obligations on executed contracts. On March 30, 2025, the Company had approximately $1,508.1 million of remaining performance obligations. The Company expects to recognize approximately 48% of the remaining performance obligations as revenue in fiscal year 2025, an additional 25% in fiscal year 2026,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30, 2025, and March 31, 2024. Likewise, total cumulative catch-up adjustments were not material for the three-month periods ended March 30, 2025, and March 31,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 and liabilities are as follows (in millions):</w:t>
      </w:r>
    </w:p>
    <w:tbl>
      <w:tblPr>
        <w:tblW w:w="6203" w:type="dxa"/>
        <w:jc w:val="center"/>
        <w:tblInd w:w="0" w:type="dxa"/>
        <w:tblLayout w:type="fixed"/>
        <w:tblCellMar>
          <w:top w:w="28" w:type="dxa"/>
          <w:left w:w="28" w:type="dxa"/>
          <w:bottom w:w="28" w:type="dxa"/>
          <w:right w:w="28" w:type="dxa"/>
        </w:tblCellMar>
      </w:tblPr>
      <w:tblGrid>
        <w:gridCol w:w="597"/>
        <w:gridCol w:w="525"/>
        <w:gridCol w:w="528"/>
        <w:gridCol w:w="291"/>
        <w:gridCol w:w="849"/>
        <w:gridCol w:w="150"/>
        <w:gridCol w:w="109"/>
        <w:gridCol w:w="109"/>
        <w:gridCol w:w="109"/>
        <w:gridCol w:w="348"/>
        <w:gridCol w:w="1017"/>
        <w:gridCol w:w="180"/>
        <w:gridCol w:w="109"/>
        <w:gridCol w:w="109"/>
        <w:gridCol w:w="109"/>
        <w:gridCol w:w="256"/>
        <w:gridCol w:w="621"/>
        <w:gridCol w:w="18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$38.0 million during the three months ended March 30, 2025, primarily due to higher unbilled receivables, net during the three months ended March 30, 2025. There were no significant impairment losses related to any receivables or contract assets arising from the Company’s contracts with customers during the three months ended March 30, 2025. Contract liabilities increased $5.7 million during the three months ended March 30, 2025, primarily due to payments received in excess of revenue recognized on these performance obligations. For the three months ended March 30, 2025, the Company recognized revenue of $36.4 million that was previously included in the contract liabilities that existed at December 29, 2024. For the three months ended March 31, 2024 the Company recognized revenue of $43.4 million that was previously included in the contract liabilities that existed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series of tables presents the Company’s revenue disaggregated by several categories. For the majority of contracts, revenue is recognized over time as work is performed on the contract.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contract type was as follows (in millions):</w:t>
      </w:r>
    </w:p>
    <w:tbl>
      <w:tblPr>
        <w:tblW w:w="6325" w:type="dxa"/>
        <w:jc w:val="left"/>
        <w:tblInd w:w="0" w:type="dxa"/>
        <w:tblLayout w:type="fixed"/>
        <w:tblCellMar>
          <w:top w:w="28" w:type="dxa"/>
          <w:left w:w="28" w:type="dxa"/>
          <w:bottom w:w="28" w:type="dxa"/>
          <w:right w:w="28" w:type="dxa"/>
        </w:tblCellMar>
      </w:tblPr>
      <w:tblGrid>
        <w:gridCol w:w="1087"/>
        <w:gridCol w:w="953"/>
        <w:gridCol w:w="959"/>
        <w:gridCol w:w="284"/>
        <w:gridCol w:w="829"/>
        <w:gridCol w:w="146"/>
        <w:gridCol w:w="109"/>
        <w:gridCol w:w="109"/>
        <w:gridCol w:w="109"/>
        <w:gridCol w:w="284"/>
        <w:gridCol w:w="829"/>
        <w:gridCol w:w="146"/>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customer was as follows (in millions):</w:t>
      </w:r>
    </w:p>
    <w:tbl>
      <w:tblPr>
        <w:tblW w:w="6475" w:type="dxa"/>
        <w:jc w:val="left"/>
        <w:tblInd w:w="0" w:type="dxa"/>
        <w:tblLayout w:type="fixed"/>
        <w:tblCellMar>
          <w:top w:w="28" w:type="dxa"/>
          <w:left w:w="28" w:type="dxa"/>
          <w:bottom w:w="28" w:type="dxa"/>
          <w:right w:w="28" w:type="dxa"/>
        </w:tblCellMar>
      </w:tblPr>
      <w:tblGrid>
        <w:gridCol w:w="1141"/>
        <w:gridCol w:w="1001"/>
        <w:gridCol w:w="1007"/>
        <w:gridCol w:w="284"/>
        <w:gridCol w:w="829"/>
        <w:gridCol w:w="146"/>
        <w:gridCol w:w="109"/>
        <w:gridCol w:w="109"/>
        <w:gridCol w:w="109"/>
        <w:gridCol w:w="284"/>
        <w:gridCol w:w="829"/>
        <w:gridCol w:w="146"/>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sales with customers outside the U.S.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was as follows (in millions):</w:t>
      </w:r>
    </w:p>
    <w:tbl>
      <w:tblPr>
        <w:tblW w:w="5740" w:type="dxa"/>
        <w:jc w:val="left"/>
        <w:tblInd w:w="0" w:type="dxa"/>
        <w:tblLayout w:type="fixed"/>
        <w:tblCellMar>
          <w:top w:w="28" w:type="dxa"/>
          <w:left w:w="28" w:type="dxa"/>
          <w:bottom w:w="28" w:type="dxa"/>
          <w:right w:w="28" w:type="dxa"/>
        </w:tblCellMar>
      </w:tblPr>
      <w:tblGrid>
        <w:gridCol w:w="876"/>
        <w:gridCol w:w="767"/>
        <w:gridCol w:w="771"/>
        <w:gridCol w:w="284"/>
        <w:gridCol w:w="829"/>
        <w:gridCol w:w="146"/>
        <w:gridCol w:w="109"/>
        <w:gridCol w:w="109"/>
        <w:gridCol w:w="109"/>
        <w:gridCol w:w="284"/>
        <w:gridCol w:w="829"/>
        <w:gridCol w:w="146"/>
        <w:gridCol w:w="109"/>
        <w:gridCol w:w="109"/>
        <w:gridCol w:w="109"/>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Other North America</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                 </w:t>
            </w:r>
            <w:r>
              <w:rPr>
                <w:rFonts w:ascii="Times New Roman;sans-serif" w:hAnsi="Times New Roman;sans-serif"/>
                <w:b w:val="false"/>
                <w:color w:val="000000"/>
                <w:sz w:val="20"/>
              </w:rPr>
              <w:t>Total Revenues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carrying amounts of goodwill as of March 30, 2025 and December 29, 2024 by reportable segment are as follows (in millions):</w:t>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30,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041" w:type="dxa"/>
        <w:jc w:val="center"/>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29,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1025"/>
        <w:gridCol w:w="900"/>
        <w:gridCol w:w="903"/>
        <w:gridCol w:w="211"/>
        <w:gridCol w:w="616"/>
        <w:gridCol w:w="109"/>
        <w:gridCol w:w="109"/>
        <w:gridCol w:w="109"/>
        <w:gridCol w:w="109"/>
        <w:gridCol w:w="239"/>
        <w:gridCol w:w="717"/>
        <w:gridCol w:w="125"/>
        <w:gridCol w:w="109"/>
        <w:gridCol w:w="109"/>
        <w:gridCol w:w="109"/>
        <w:gridCol w:w="211"/>
        <w:gridCol w:w="511"/>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29, 2024</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finite-lived intangible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technical know-how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amortization expense related to intangible assets subject to amortization was $2.2 million and $2.1 million for the three months ended March 30, 2025 and March 31, 2024, respectively.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of acquired intangible assets with finite lives for the remainder of 2025 and the next five fiscal years, and thereafter as of March 30, 2025 is as follows (in millions):</w:t>
      </w:r>
    </w:p>
    <w:tbl>
      <w:tblPr>
        <w:tblW w:w="1822" w:type="dxa"/>
        <w:jc w:val="left"/>
        <w:tblInd w:w="0" w:type="dxa"/>
        <w:tblLayout w:type="fixed"/>
        <w:tblCellMar>
          <w:top w:w="28" w:type="dxa"/>
          <w:left w:w="28" w:type="dxa"/>
          <w:bottom w:w="28" w:type="dxa"/>
          <w:right w:w="28" w:type="dxa"/>
        </w:tblCellMar>
      </w:tblPr>
      <w:tblGrid>
        <w:gridCol w:w="342"/>
        <w:gridCol w:w="300"/>
        <w:gridCol w:w="304"/>
        <w:gridCol w:w="211"/>
        <w:gridCol w:w="51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Inventoried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consisted of the following components (in millions):</w:t>
      </w:r>
    </w:p>
    <w:p>
      <w:pPr>
        <w:pStyle w:val="TextBody"/>
        <w:bidi w:val="0"/>
        <w:spacing w:lineRule="auto" w:line="288" w:before="0" w:after="0"/>
        <w:jc w:val="left"/>
        <w:rPr>
          <w:color w:val="000000"/>
        </w:rPr>
      </w:pPr>
      <w:r>
        <w:rPr>
          <w:color w:val="000000"/>
        </w:rPr>
        <w:t> </w:t>
      </w:r>
    </w:p>
    <w:tbl>
      <w:tblPr>
        <w:tblW w:w="5201" w:type="dxa"/>
        <w:jc w:val="left"/>
        <w:tblInd w:w="0" w:type="dxa"/>
        <w:tblLayout w:type="fixed"/>
        <w:tblCellMar>
          <w:top w:w="28" w:type="dxa"/>
          <w:left w:w="28" w:type="dxa"/>
          <w:bottom w:w="28" w:type="dxa"/>
          <w:right w:w="28" w:type="dxa"/>
        </w:tblCellMar>
      </w:tblPr>
      <w:tblGrid>
        <w:gridCol w:w="722"/>
        <w:gridCol w:w="634"/>
        <w:gridCol w:w="638"/>
        <w:gridCol w:w="291"/>
        <w:gridCol w:w="849"/>
        <w:gridCol w:w="150"/>
        <w:gridCol w:w="109"/>
        <w:gridCol w:w="109"/>
        <w:gridCol w:w="109"/>
        <w:gridCol w:w="342"/>
        <w:gridCol w:w="999"/>
        <w:gridCol w:w="24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2024</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inventoried costs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6. Net Income (Loss)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calculates net income (loss) per share in accordance with FASB ASC Topic 260,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(“Topic 260”)</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Under Topic</w:t>
      </w:r>
      <w:r>
        <w:rPr>
          <w:color w:val="000000"/>
        </w:rPr>
        <w:t xml:space="preserve"> </w:t>
      </w:r>
      <w:r>
        <w:rPr>
          <w:rFonts w:ascii="Times New Roman;sans-serif" w:hAnsi="Times New Roman;sans-serif"/>
          <w:b w:val="false"/>
          <w:color w:val="000000"/>
          <w:sz w:val="20"/>
        </w:rPr>
        <w:t>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for the three months ended March 30, 2025 includes the dilutive effect of an aggregate of 2.1 million shares of the Company’s common stock granted to employees under stock-based compensation plans. Diluted net income per share for the three months ended March 31, 2024 excludes the dilutive effects of awards granted to employees under stock-based compensation plans of 1.9 million shares because their inclusion would have been anti-dilutive.</w:t>
      </w:r>
    </w:p>
    <w:p>
      <w:pPr>
        <w:pStyle w:val="TextBody"/>
        <w:bidi w:val="0"/>
        <w:spacing w:lineRule="auto" w:line="288" w:before="0" w:after="0"/>
        <w:ind w:left="0" w:right="0" w:firstLine="63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depreciable life of lease assets and leasehold improvements is limited by the expected lease term, unless there is a transfer of title or purchase option reasonably certain of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components of lease expense were as follows (in millions):</w:t>
      </w:r>
    </w:p>
    <w:tbl>
      <w:tblPr>
        <w:tblW w:w="7482" w:type="dxa"/>
        <w:jc w:val="left"/>
        <w:tblInd w:w="0" w:type="dxa"/>
        <w:tblLayout w:type="fixed"/>
        <w:tblCellMar>
          <w:top w:w="28" w:type="dxa"/>
          <w:left w:w="28" w:type="dxa"/>
          <w:bottom w:w="28" w:type="dxa"/>
          <w:right w:w="28" w:type="dxa"/>
        </w:tblCellMar>
      </w:tblPr>
      <w:tblGrid>
        <w:gridCol w:w="1505"/>
        <w:gridCol w:w="1321"/>
        <w:gridCol w:w="1328"/>
        <w:gridCol w:w="366"/>
        <w:gridCol w:w="705"/>
        <w:gridCol w:w="189"/>
        <w:gridCol w:w="109"/>
        <w:gridCol w:w="109"/>
        <w:gridCol w:w="109"/>
        <w:gridCol w:w="366"/>
        <w:gridCol w:w="705"/>
        <w:gridCol w:w="189"/>
        <w:gridCol w:w="109"/>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 of use assets - finance leases</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 finance leases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leases on the balance sheet were as follows (in millions):</w:t>
      </w:r>
    </w:p>
    <w:tbl>
      <w:tblPr>
        <w:tblW w:w="7691" w:type="dxa"/>
        <w:jc w:val="left"/>
        <w:tblInd w:w="0" w:type="dxa"/>
        <w:tblLayout w:type="fixed"/>
        <w:tblCellMar>
          <w:top w:w="28" w:type="dxa"/>
          <w:left w:w="28" w:type="dxa"/>
          <w:bottom w:w="28" w:type="dxa"/>
          <w:right w:w="28" w:type="dxa"/>
        </w:tblCellMar>
      </w:tblPr>
      <w:tblGrid>
        <w:gridCol w:w="1650"/>
        <w:gridCol w:w="1448"/>
        <w:gridCol w:w="1462"/>
        <w:gridCol w:w="320"/>
        <w:gridCol w:w="775"/>
        <w:gridCol w:w="165"/>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as follows (in millions):</w:t>
      </w:r>
    </w:p>
    <w:tbl>
      <w:tblPr>
        <w:tblW w:w="7933" w:type="dxa"/>
        <w:jc w:val="left"/>
        <w:tblInd w:w="0" w:type="dxa"/>
        <w:tblLayout w:type="fixed"/>
        <w:tblCellMar>
          <w:top w:w="28" w:type="dxa"/>
          <w:left w:w="28" w:type="dxa"/>
          <w:bottom w:w="28" w:type="dxa"/>
          <w:right w:w="28" w:type="dxa"/>
        </w:tblCellMar>
      </w:tblPr>
      <w:tblGrid>
        <w:gridCol w:w="1665"/>
        <w:gridCol w:w="1467"/>
        <w:gridCol w:w="1473"/>
        <w:gridCol w:w="366"/>
        <w:gridCol w:w="705"/>
        <w:gridCol w:w="189"/>
        <w:gridCol w:w="109"/>
        <w:gridCol w:w="109"/>
        <w:gridCol w:w="109"/>
        <w:gridCol w:w="366"/>
        <w:gridCol w:w="705"/>
        <w:gridCol w:w="189"/>
        <w:gridCol w:w="109"/>
        <w:gridCol w:w="109"/>
        <w:gridCol w:w="109"/>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cash paid for interest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financing cash flows</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operating cash flows (fixed payments)</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noncash information (in millions):</w:t>
      </w:r>
    </w:p>
    <w:tbl>
      <w:tblPr>
        <w:tblW w:w="9019" w:type="dxa"/>
        <w:jc w:val="left"/>
        <w:tblInd w:w="0" w:type="dxa"/>
        <w:tblLayout w:type="fixed"/>
        <w:tblCellMar>
          <w:top w:w="28" w:type="dxa"/>
          <w:left w:w="28" w:type="dxa"/>
          <w:bottom w:w="28" w:type="dxa"/>
          <w:right w:w="28" w:type="dxa"/>
        </w:tblCellMar>
      </w:tblPr>
      <w:tblGrid>
        <w:gridCol w:w="2015"/>
        <w:gridCol w:w="1770"/>
        <w:gridCol w:w="1780"/>
        <w:gridCol w:w="109"/>
        <w:gridCol w:w="109"/>
        <w:gridCol w:w="158"/>
        <w:gridCol w:w="158"/>
        <w:gridCol w:w="306"/>
        <w:gridCol w:w="589"/>
        <w:gridCol w:w="393"/>
        <w:gridCol w:w="109"/>
        <w:gridCol w:w="109"/>
        <w:gridCol w:w="109"/>
        <w:gridCol w:w="295"/>
        <w:gridCol w:w="568"/>
        <w:gridCol w:w="442"/>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632"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lease liabilities is (in millions):</w:t>
      </w:r>
    </w:p>
    <w:tbl>
      <w:tblPr>
        <w:tblW w:w="6806" w:type="dxa"/>
        <w:jc w:val="left"/>
        <w:tblInd w:w="0" w:type="dxa"/>
        <w:tblLayout w:type="fixed"/>
        <w:tblCellMar>
          <w:top w:w="28" w:type="dxa"/>
          <w:left w:w="28" w:type="dxa"/>
          <w:bottom w:w="28" w:type="dxa"/>
          <w:right w:w="28" w:type="dxa"/>
        </w:tblCellMar>
      </w:tblPr>
      <w:tblGrid>
        <w:gridCol w:w="1404"/>
        <w:gridCol w:w="1232"/>
        <w:gridCol w:w="1248"/>
        <w:gridCol w:w="346"/>
        <w:gridCol w:w="839"/>
        <w:gridCol w:w="180"/>
        <w:gridCol w:w="109"/>
        <w:gridCol w:w="109"/>
        <w:gridCol w:w="109"/>
        <w:gridCol w:w="296"/>
        <w:gridCol w:w="718"/>
        <w:gridCol w:w="216"/>
      </w:tblGrid>
      <w:tr>
        <w:trPr/>
        <w:tc>
          <w:tcPr>
            <w:tcW w:w="140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w:t>
            </w:r>
            <w:r>
              <w:rPr>
                <w:rFonts w:ascii="Times New Roman;sans-serif" w:hAnsi="Times New Roman;sans-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Excludes the three months ended March 30, 2025.</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and the effective income tax rate are as follows:</w:t>
      </w:r>
    </w:p>
    <w:tbl>
      <w:tblPr>
        <w:tblW w:w="7149" w:type="dxa"/>
        <w:jc w:val="left"/>
        <w:tblInd w:w="0" w:type="dxa"/>
        <w:tblLayout w:type="fixed"/>
        <w:tblCellMar>
          <w:top w:w="28" w:type="dxa"/>
          <w:left w:w="28" w:type="dxa"/>
          <w:bottom w:w="28" w:type="dxa"/>
          <w:right w:w="28" w:type="dxa"/>
        </w:tblCellMar>
      </w:tblPr>
      <w:tblGrid>
        <w:gridCol w:w="1381"/>
        <w:gridCol w:w="1209"/>
        <w:gridCol w:w="1219"/>
        <w:gridCol w:w="299"/>
        <w:gridCol w:w="576"/>
        <w:gridCol w:w="385"/>
        <w:gridCol w:w="113"/>
        <w:gridCol w:w="113"/>
        <w:gridCol w:w="113"/>
        <w:gridCol w:w="299"/>
        <w:gridCol w:w="576"/>
        <w:gridCol w:w="385"/>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20"/>
              </w:rPr>
              <w:t>$ in millions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foreign income tax expense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first quarter 2025 effective tax rate (ETR) decreased to 17.26% from 66.95% in the prior year period principally due to increased tax benefits related to stock based compensation. The effective rate for the three months ended March 30, 2025 was lower than the federal statutory rate of 21% primarily due to excess tax benefits from employee share based compensation partially offset by nondeductible expenses. The effective rate for the three months ended March 31, 2024 was higher than the federal statutory rate of 21% primarily due to nondeductible expenses partially offset by excess tax benefits from employee share based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interim income tax provision in accordance with ASC Topic 270, “Interim Reporting,” and ASC Topic 740, “Accounting for Income Taxes.” In 2025,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 Prior to 2025, a discrete effective tax rate method was used since small changes in estimated “ordinary” income would result in significant changes in the estimated annual effective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30, 2025, the Company had $25.4 million of unrecognized tax benefits. Included in the balance of unrecognized tax benefits at March 30, 2025 are $22.8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 penalties related to unrecognized tax benefits in its provision for income taxes. For the three months ended March 30, 2025 and March 31, 2024, the Company recorded an expense of $0.1 million in each period. For the three months ended March 30, 2025 and March 31, 2024, there was no material benefit recorded related to the removal of interest and penalties.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did not have a significant impact on our 2025 effective tax rate and we do not currently expect Pillar 2 to have a material impact on our effective tax rate or our consolidated results of operation, financial position, and cash flows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2022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2022, the Company completed the refinancing of its then-outstanding $90 million revolving credit facility and $300 million 6.5% Senior Secured Notes, with a new 5-year $200 million Revolving Credit Facility and 5-year $200 million Term Loan A (collectively, the “2022 Credit Facility”). The Company incurred debt issuance costs of $3.3 million associated with the 2022 Credit Facility. As of March 30, 2025, the Company has made an aggregate of $17.5 million in principal payments on Term Loan A and has no amounts outstanding under the Revolving Credit Facility, with $200.0 million remaining in borrowing capacity, less approximately $8.9 million of letters of credit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and Revolving Credit Debt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and revolving credit debt and the current period interest rates are as follows (in millions):</w:t>
      </w:r>
    </w:p>
    <w:tbl>
      <w:tblPr>
        <w:tblW w:w="9459" w:type="dxa"/>
        <w:jc w:val="left"/>
        <w:tblInd w:w="0" w:type="dxa"/>
        <w:tblLayout w:type="fixed"/>
        <w:tblCellMar>
          <w:top w:w="28" w:type="dxa"/>
          <w:left w:w="28" w:type="dxa"/>
          <w:bottom w:w="28" w:type="dxa"/>
          <w:right w:w="28" w:type="dxa"/>
        </w:tblCellMar>
      </w:tblPr>
      <w:tblGrid>
        <w:gridCol w:w="2173"/>
        <w:gridCol w:w="1908"/>
        <w:gridCol w:w="1919"/>
        <w:gridCol w:w="109"/>
        <w:gridCol w:w="109"/>
        <w:gridCol w:w="109"/>
        <w:gridCol w:w="450"/>
        <w:gridCol w:w="232"/>
        <w:gridCol w:w="578"/>
        <w:gridCol w:w="109"/>
        <w:gridCol w:w="109"/>
        <w:gridCol w:w="109"/>
        <w:gridCol w:w="511"/>
        <w:gridCol w:w="264"/>
        <w:gridCol w:w="770"/>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unamortized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long-term debt principal payments at March 30, 2025 were as follows (in millions):</w:t>
      </w:r>
    </w:p>
    <w:p>
      <w:pPr>
        <w:pStyle w:val="TextBody"/>
        <w:bidi w:val="0"/>
        <w:spacing w:before="0" w:after="0"/>
        <w:jc w:val="left"/>
        <w:rPr/>
      </w:pPr>
      <w:r>
        <w:rPr/>
      </w:r>
    </w:p>
    <w:tbl>
      <w:tblPr>
        <w:tblW w:w="184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products.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not any significant intersegment sales, cost of sales and profit for the three month periods ended March 30, 2025 and March 31,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Summary Operating Results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expense (net), and other income (expense) items not considered part of management’s evaluation of segment operating income (loss). See Note 3 (Revenue Recognition) to these condensed consolidated financial statements for segment revenues disaggregated by contract type, customer and geographic region. The summary operating results for the Company’s reportable segments for the three month periods ended March 30, 2025 and March 31, 2024, are as follows (in millions): </w:t>
      </w:r>
    </w:p>
    <w:tbl>
      <w:tblPr>
        <w:tblW w:w="9038" w:type="dxa"/>
        <w:jc w:val="left"/>
        <w:tblInd w:w="0" w:type="dxa"/>
        <w:tblLayout w:type="fixed"/>
        <w:tblCellMar>
          <w:top w:w="28" w:type="dxa"/>
          <w:left w:w="28" w:type="dxa"/>
          <w:bottom w:w="28" w:type="dxa"/>
          <w:right w:w="28" w:type="dxa"/>
        </w:tblCellMar>
      </w:tblPr>
      <w:tblGrid>
        <w:gridCol w:w="215"/>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56"/>
        <w:gridCol w:w="154"/>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Quarter Ended March 30, 2025</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&amp; administrative expenses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segment operating income</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segment operating income</w:t>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amounts: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18"/>
        </w:rPr>
        <w:t xml:space="preserve">Revenues from foreign customers were approximately $61.1 million or 20% of total revenue for the </w:t>
      </w:r>
      <w:r>
        <w:rPr>
          <w:rFonts w:ascii="Times New Roman;sans-serif" w:hAnsi="Times New Roman;sans-serif"/>
          <w:b w:val="false"/>
          <w:color w:val="000000"/>
          <w:sz w:val="20"/>
        </w:rPr>
        <w:t>three months ended</w:t>
      </w:r>
      <w:r>
        <w:rPr>
          <w:color w:val="000000"/>
        </w:rPr>
        <w:t xml:space="preserve"> </w:t>
      </w:r>
      <w:r>
        <w:rPr>
          <w:rFonts w:ascii="Times New Roman;sans-serif" w:hAnsi="Times New Roman;sans-serif"/>
          <w:b w:val="false"/>
          <w:color w:val="000000"/>
          <w:sz w:val="18"/>
        </w:rPr>
        <w:t>March 30, 2025. Revenues from any one foreign country did not exceed 10% of total revenues.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9038" w:type="dxa"/>
        <w:jc w:val="left"/>
        <w:tblInd w:w="0" w:type="dxa"/>
        <w:tblLayout w:type="fixed"/>
        <w:tblCellMar>
          <w:top w:w="28" w:type="dxa"/>
          <w:left w:w="28" w:type="dxa"/>
          <w:bottom w:w="28" w:type="dxa"/>
          <w:right w:w="28" w:type="dxa"/>
        </w:tblCellMar>
      </w:tblPr>
      <w:tblGrid>
        <w:gridCol w:w="215"/>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56"/>
        <w:gridCol w:w="154"/>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Quarter Ended March 31, 2024</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w:t>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w:t>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&amp; administrative expenses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and other</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segment operating income</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segment operating income</w:t>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amounts: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18"/>
        </w:rPr>
        <w:t xml:space="preserve">Revenues from foreign customers were approximately $53.1 million or 19% of total revenue for the </w:t>
      </w:r>
      <w:r>
        <w:rPr>
          <w:rFonts w:ascii="Times New Roman;sans-serif" w:hAnsi="Times New Roman;sans-serif"/>
          <w:b w:val="false"/>
          <w:color w:val="000000"/>
          <w:sz w:val="20"/>
        </w:rPr>
        <w:t>three months ended</w:t>
      </w:r>
      <w:r>
        <w:rPr>
          <w:color w:val="000000"/>
        </w:rPr>
        <w:t xml:space="preserve"> </w:t>
      </w:r>
      <w:r>
        <w:rPr>
          <w:rFonts w:ascii="Times New Roman;sans-serif" w:hAnsi="Times New Roman;sans-serif"/>
          <w:b w:val="false"/>
          <w:color w:val="000000"/>
          <w:sz w:val="18"/>
        </w:rPr>
        <w:t>March 31, 2024. Revenues from any one foreign country did not exceed 10% of total revenues.</w:t>
      </w:r>
    </w:p>
    <w:p>
      <w:pPr>
        <w:pStyle w:val="TextBody"/>
        <w:bidi w:val="0"/>
        <w:spacing w:before="0" w:after="0"/>
        <w:ind w:left="0" w:right="0" w:firstLine="720"/>
        <w:jc w:val="left"/>
        <w:rPr/>
      </w:pPr>
      <w:r>
        <w:rPr/>
      </w:r>
    </w:p>
    <w:tbl>
      <w:tblPr>
        <w:tblW w:w="6251" w:type="dxa"/>
        <w:jc w:val="left"/>
        <w:tblInd w:w="0" w:type="dxa"/>
        <w:tblLayout w:type="fixed"/>
        <w:tblCellMar>
          <w:top w:w="28" w:type="dxa"/>
          <w:left w:w="28" w:type="dxa"/>
          <w:bottom w:w="28" w:type="dxa"/>
          <w:right w:w="28" w:type="dxa"/>
        </w:tblCellMar>
      </w:tblPr>
      <w:tblGrid>
        <w:gridCol w:w="206"/>
        <w:gridCol w:w="182"/>
        <w:gridCol w:w="182"/>
        <w:gridCol w:w="182"/>
        <w:gridCol w:w="182"/>
        <w:gridCol w:w="182"/>
        <w:gridCol w:w="182"/>
        <w:gridCol w:w="182"/>
        <w:gridCol w:w="182"/>
        <w:gridCol w:w="182"/>
        <w:gridCol w:w="182"/>
        <w:gridCol w:w="182"/>
        <w:gridCol w:w="182"/>
        <w:gridCol w:w="182"/>
        <w:gridCol w:w="182"/>
        <w:gridCol w:w="182"/>
        <w:gridCol w:w="182"/>
        <w:gridCol w:w="182"/>
        <w:gridCol w:w="328"/>
        <w:gridCol w:w="780"/>
        <w:gridCol w:w="182"/>
        <w:gridCol w:w="109"/>
        <w:gridCol w:w="109"/>
        <w:gridCol w:w="109"/>
        <w:gridCol w:w="227"/>
        <w:gridCol w:w="539"/>
        <w:gridCol w:w="568"/>
      </w:tblGrid>
      <w:tr>
        <w:trPr/>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68" w:before="0" w:after="0"/>
              <w:ind w:left="0" w:right="0" w:hanging="720"/>
              <w:jc w:val="left"/>
              <w:rPr>
                <w:rFonts w:ascii="Times New Roman;sans-serif" w:hAnsi="Times New Roman;sans-serif"/>
                <w:b/>
                <w:color w:val="000000"/>
                <w:sz w:val="18"/>
              </w:rPr>
            </w:pPr>
            <w:r>
              <w:rPr>
                <w:rFonts w:ascii="Times New Roman;sans-serif" w:hAnsi="Times New Roman;sans-serif"/>
                <w:b/>
                <w:color w:val="000000"/>
                <w:sz w:val="18"/>
              </w:rPr>
              <w:t>(b)    Capital Expenditures (in millions):</w:t>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Government Solutions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Unmanned Systems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reportable segment capital expenditures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capital expenditures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6887" w:type="dxa"/>
        <w:jc w:val="left"/>
        <w:tblInd w:w="0" w:type="dxa"/>
        <w:tblLayout w:type="fixed"/>
        <w:tblCellMar>
          <w:top w:w="28" w:type="dxa"/>
          <w:left w:w="28" w:type="dxa"/>
          <w:bottom w:w="28" w:type="dxa"/>
          <w:right w:w="28" w:type="dxa"/>
        </w:tblCellMar>
      </w:tblPr>
      <w:tblGrid>
        <w:gridCol w:w="247"/>
        <w:gridCol w:w="217"/>
        <w:gridCol w:w="217"/>
        <w:gridCol w:w="217"/>
        <w:gridCol w:w="217"/>
        <w:gridCol w:w="217"/>
        <w:gridCol w:w="217"/>
        <w:gridCol w:w="217"/>
        <w:gridCol w:w="217"/>
        <w:gridCol w:w="217"/>
        <w:gridCol w:w="217"/>
        <w:gridCol w:w="217"/>
        <w:gridCol w:w="217"/>
        <w:gridCol w:w="217"/>
        <w:gridCol w:w="217"/>
        <w:gridCol w:w="217"/>
        <w:gridCol w:w="217"/>
        <w:gridCol w:w="217"/>
        <w:gridCol w:w="328"/>
        <w:gridCol w:w="780"/>
        <w:gridCol w:w="182"/>
        <w:gridCol w:w="109"/>
        <w:gridCol w:w="109"/>
        <w:gridCol w:w="109"/>
        <w:gridCol w:w="360"/>
        <w:gridCol w:w="691"/>
        <w:gridCol w:w="283"/>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936" w:type="dxa"/>
            <w:gridSpan w:val="18"/>
            <w:tcBorders/>
            <w:shd w:fill="FFFFFF" w:val="clear"/>
            <w:tcMar>
              <w:top w:w="0" w:type="dxa"/>
              <w:left w:w="0" w:type="dxa"/>
              <w:bottom w:w="0" w:type="dxa"/>
              <w:right w:w="0" w:type="dxa"/>
            </w:tcMar>
            <w:vAlign w:val="center"/>
          </w:tcPr>
          <w:p>
            <w:pPr>
              <w:pStyle w:val="TableContents"/>
              <w:bidi w:val="0"/>
              <w:spacing w:lineRule="auto" w:line="268" w:before="0" w:after="0"/>
              <w:ind w:left="0" w:right="0" w:hanging="720"/>
              <w:jc w:val="left"/>
              <w:rPr>
                <w:rFonts w:ascii="Times New Roman;sans-serif" w:hAnsi="Times New Roman;sans-serif"/>
                <w:b/>
                <w:color w:val="000000"/>
                <w:sz w:val="18"/>
              </w:rPr>
            </w:pPr>
            <w:r>
              <w:rPr>
                <w:rFonts w:ascii="Times New Roman;sans-serif" w:hAnsi="Times New Roman;sans-serif"/>
                <w:b/>
                <w:color w:val="000000"/>
                <w:sz w:val="18"/>
              </w:rPr>
              <w:t>(c)     Depreciation and Amortization (in millions):</w:t>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r>
      <w:tr>
        <w:trPr/>
        <w:tc>
          <w:tcPr>
            <w:tcW w:w="19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93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Government Solutions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Unmanned Systems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r>
      <w:tr>
        <w:trPr/>
        <w:tc>
          <w:tcPr>
            <w:tcW w:w="68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253" w:type="dxa"/>
            <w:gridSpan w:val="15"/>
            <w:tcBorders/>
          </w:tcPr>
          <w:p>
            <w:pPr>
              <w:pStyle w:val="TableContents"/>
              <w:bidi w:val="0"/>
              <w:spacing w:before="0" w:after="283"/>
              <w:jc w:val="left"/>
              <w:rPr>
                <w:sz w:val="4"/>
                <w:szCs w:val="4"/>
              </w:rPr>
            </w:pPr>
            <w:r>
              <w:rPr>
                <w:sz w:val="4"/>
                <w:szCs w:val="4"/>
              </w:rPr>
            </w:r>
          </w:p>
        </w:tc>
      </w:tr>
      <w:tr>
        <w:trPr/>
        <w:tc>
          <w:tcPr>
            <w:tcW w:w="68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ind w:left="0" w:right="0" w:firstLine="360"/>
              <w:jc w:val="left"/>
              <w:rPr>
                <w:sz w:val="4"/>
                <w:szCs w:val="4"/>
              </w:rPr>
            </w:pPr>
            <w:r>
              <w:rPr>
                <w:sz w:val="4"/>
                <w:szCs w:val="4"/>
              </w:rPr>
            </w:r>
          </w:p>
        </w:tc>
        <w:tc>
          <w:tcPr>
            <w:tcW w:w="4253" w:type="dxa"/>
            <w:gridSpan w:val="15"/>
            <w:tcBorders/>
          </w:tcPr>
          <w:p>
            <w:pPr>
              <w:pStyle w:val="TableContents"/>
              <w:bidi w:val="0"/>
              <w:spacing w:before="0" w:after="283"/>
              <w:jc w:val="left"/>
              <w:rPr>
                <w:sz w:val="4"/>
                <w:szCs w:val="4"/>
              </w:rPr>
            </w:pPr>
            <w:r>
              <w:rPr>
                <w:sz w:val="4"/>
                <w:szCs w:val="4"/>
              </w:rPr>
            </w:r>
          </w:p>
        </w:tc>
      </w:tr>
      <w:tr>
        <w:trPr/>
        <w:tc>
          <w:tcPr>
            <w:tcW w:w="393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72" w:type="dxa"/>
        <w:jc w:val="left"/>
        <w:tblInd w:w="0" w:type="dxa"/>
        <w:tblLayout w:type="fixed"/>
        <w:tblCellMar>
          <w:top w:w="28" w:type="dxa"/>
          <w:left w:w="28" w:type="dxa"/>
          <w:bottom w:w="28" w:type="dxa"/>
          <w:right w:w="28" w:type="dxa"/>
        </w:tblCellMar>
      </w:tblPr>
      <w:tblGrid>
        <w:gridCol w:w="1688"/>
        <w:gridCol w:w="1487"/>
        <w:gridCol w:w="1490"/>
        <w:gridCol w:w="254"/>
        <w:gridCol w:w="895"/>
        <w:gridCol w:w="141"/>
        <w:gridCol w:w="109"/>
        <w:gridCol w:w="109"/>
        <w:gridCol w:w="109"/>
        <w:gridCol w:w="299"/>
        <w:gridCol w:w="1056"/>
        <w:gridCol w:w="235"/>
      </w:tblGrid>
      <w:tr>
        <w:trPr/>
        <w:tc>
          <w:tcPr>
            <w:tcW w:w="168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ans-serif" w:hAnsi="Times New Roman;sans-serif"/>
                <w:b/>
                <w:color w:val="000000"/>
                <w:sz w:val="18"/>
              </w:rPr>
            </w:pPr>
            <w:r>
              <w:rPr>
                <w:rFonts w:ascii="Times New Roman;sans-serif" w:hAnsi="Times New Roman;sans-serif"/>
                <w:b/>
                <w:color w:val="000000"/>
                <w:sz w:val="18"/>
              </w:rPr>
              <w:t>d)    Reportable Segment Assets are as follows (in millions):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Government Solutions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Unmanned Systems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ans-serif" w:hAnsi="Times New Roman;sans-serif"/>
                <w:b w:val="false"/>
                <w:color w:val="000000"/>
                <w:sz w:val="18"/>
              </w:rPr>
            </w:pPr>
            <w:r>
              <w:rPr>
                <w:rFonts w:ascii="Times New Roman;sans-serif" w:hAnsi="Times New Roman;sans-serif"/>
                <w:b w:val="false"/>
                <w:color w:val="000000"/>
                <w:sz w:val="18"/>
              </w:rPr>
              <w:t>385.7</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reportable segment assets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8"/>
              </w:rPr>
              <w:t>Corporate assets</w:t>
            </w:r>
            <w:r>
              <w:rPr>
                <w:rFonts w:ascii="Times New Roman;sans-serif" w:hAnsi="Times New Roman;sans-serif"/>
                <w:b w:val="false"/>
                <w:color w:val="000000"/>
                <w:sz w:val="12"/>
              </w:rPr>
              <w:t>(1)</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pPr>
      <w:r>
        <w:rPr>
          <w:rFonts w:ascii="Times New Roman;sans-serif" w:hAnsi="Times New Roman;sans-serif"/>
          <w:b w:val="false"/>
          <w:i/>
          <w:color w:val="000000"/>
          <w:sz w:val="10"/>
        </w:rPr>
        <w:t>(1)</w:t>
      </w:r>
      <w:r>
        <w:rPr>
          <w:rFonts w:ascii="Times New Roman;sans-serif" w:hAnsi="Times New Roman;sans-serif"/>
          <w:b w:val="false"/>
          <w:i/>
          <w:color w:val="000000"/>
          <w:sz w:val="16"/>
        </w:rPr>
        <w:t>Corporate assets primarily include cash and cash equivalents, deferred income tax assets, and property, plant and equipment used in our corporate operations.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of foreign subsidiaries in the KGS segment were $230.7 million and $193.6 million as of March 30, 2025 and March 31, 2024, respectively. Assets from any one foreign country did not exceed 10% of total assets.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Redeemable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Interests with a value of $10.7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2024, the Holders notified Kratos of their intent to sell their remaining Minority Interests through the Holders’ exercise of the Put Right. On June 21, 2024, the Company acquired the remaining 9.95% of the issued and outstanding shares of capital stock of KTT Core for an aggregate purchase price of approximately $22.5 million, which was comprised of approximately $11.25 million in cash and 583,700 shares of Kratos common stock valued at $11.25 million based on Kratos’ 90 day average trading price ending on day immediately prior to the date of acquisition. Following the closing of the transaction the Company owned 100% of KTT Core.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had a corresponding effect on net income per share attributable to Kratos shareholders. For the three month period ended March 31, 2024, the Company recorded an adjustment of $0.5 million to decrease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Stockholders Equity -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expects to use the net proceeds of this public equity offering to facilitate its long-term strategy, including potential investment in facilities, expanding manufacturing capacity, anticipated capital expenditures for expansion of current sole-source/single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this public equity offering to pay down amounts outstanding under its Revolving Credit Facility.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U.S. Government, which includes foreign military sales contracted through the U.S. Government, includes revenue from contracts for which the Company is the prime contractor as well as those for which the Company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subcontractor and the ultimate customer is the U.S. Government. The KGS and US segments have substantial revenue from the U.S. Government. Sales to the U.S. Government amounted to approximately $205.5 million and $190.9 million, or 68% and 69% of total Kratos revenue, for the three months ended March 30, 2025 and March 31, 2024,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ans-serif" w:hAnsi="Times New Roman;sans-serif"/>
          <w:b/>
          <w:color w:val="000000"/>
          <w:sz w:val="20"/>
        </w:rPr>
        <w:t>Legal and Regulatory Matters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Forward Exchange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values of the foreign currency exchange contracts are recorded each period in earnings. As of March 30, 2025, the Company did not use hedge accounting for its foreign currency exchange contracts. The notional value of the Company’s foreign currency exchange contracts at March 30, 2025 was $31.2 million. At March 30, 2025, the fair value amounts of the foreign currency exchange contracts were a $0.2 million asset and a $0.3 million liability. The net gain from these forward exchange contracts was $0.2 million for the three months ended March 30, 2025, and is included in other expense. The notional value of the Company’s foreign currency exchange contracts at December 29, 2024, was $24.5 million. At December 29, 2024, the fair value amounts of the foreign currency exchange contracts were a $0.2 million asset and a $0.1 million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Cash Flow Hedge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$0.3 million for the three months ended March 30, 2025, respectively, and is recorded as an offset to interest expense. The net gain reclassed from AOCI from the interest rate swap reflected in earnings was $0.8 million for the three months ended March 31, 2024, respectively, and is recorded as an offset to 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58"/>
        <w:gridCol w:w="1545"/>
        <w:gridCol w:w="1555"/>
        <w:gridCol w:w="109"/>
        <w:gridCol w:w="109"/>
        <w:gridCol w:w="109"/>
        <w:gridCol w:w="257"/>
        <w:gridCol w:w="754"/>
        <w:gridCol w:w="132"/>
        <w:gridCol w:w="109"/>
        <w:gridCol w:w="109"/>
        <w:gridCol w:w="109"/>
        <w:gridCol w:w="247"/>
        <w:gridCol w:w="476"/>
        <w:gridCol w:w="128"/>
        <w:gridCol w:w="109"/>
        <w:gridCol w:w="109"/>
        <w:gridCol w:w="109"/>
        <w:gridCol w:w="257"/>
        <w:gridCol w:w="754"/>
        <w:gridCol w:w="132"/>
        <w:gridCol w:w="109"/>
        <w:gridCol w:w="109"/>
        <w:gridCol w:w="109"/>
        <w:gridCol w:w="245"/>
        <w:gridCol w:w="472"/>
        <w:gridCol w:w="185"/>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designated as a cash flow hedge,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(this “Quarterly Report”) contains “forward-looking statements” relating to our future financial performance, the market for our services and our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29, 2024 filed with the U.S. Securities and Exchange Commission (the “SEC”) on February 26, 2025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Defense, traditional legacy prime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integrators and partners. These investments include; unmanned jet powered aircraft such as Kratos Valkyrie ahead of potential contract award; a hypersonic system fabrication and integration facility including for Kratos Zeus standard rocket missiles (SRMs) and Erinyes hypersonic flight systems; the purchase of long lead items for up to 60 Oriole SRM’s for ballistic missile defense related, hypersonic or other expected customer missions; expansion of our small turbojet engine production capacity in Michigan; establishment of a planned small turbofan jet engine production facility in the United States;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expansion of existing and construction of additional classified facilities for certain programs and contracts.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Industry Update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U.S. Presidential and Congressional elections occurred, with Donald Trump being elected President of the United States, and the Republican party controlling the Senate and the House of Representatives. President Trump took office on January 20, 2025, and the new Congress and Senate were seated on January 3, 2025. On March 14, 2025 the Senate voted to pass the “Full-Year Continuing Appropriations and Extensions Act of 2025” (H.R. 1968) to further extend appropriations and avert a government shutdown through the end of fiscal year 2025 on September 30. This CRA largely extends fiscal year 2024 spending levels, including certain limited flexibility to reallocate certain program funds, and, according to the Congressional Budget Office, would allow for $1.6 trillion in discretionary spending in FY 2025, with $893 billion for defense (an approximately $6 billion increase) and $708 billion for non-defense spending (an approximately $13 billion reduction).) Additionally, both the Senate and the House are working on a reconciliation bill, which would increase defense funding by up to an additional $150 billion, if passed by Congress and approved by the President. The President and Secretary of Defense also recently stated that the Trump Administration will be submitting a $1 trillion FY 2026 national security budget, as part of the Administration’s rebuilding of the U.S. military and its focus on lethality.</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challenges presented by the recent elections, Presidential and Congressional changes, the CRA, proposed new tariffs, the current budgetary and deficit funding environment, the Trump Administration’s stated fiscal policies, including the extension and potential expansion of reduced federal tax rates, Israel, Ukraine and Taiwan funding support, continuing heightened levels of inflation, ongoing supply chain disruption, and the challenging appropriations process, among other items, all continue to create significant short and long-term risks to the industry and the Company. Additionally, the Trump Administration has recently executed certain executive orders directly related to significantly changing the current DoD procurement policies and procedures, and the Federal Acquisition Regulations, the potential impact of which such changes, if effected either by executive orders or changes to the relevant law, to the industry, and to Kratos, is unknown at this time.</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continued budget and deficit funding pressures (which are expected),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Such a challenging federal and DoD budgetary environment may negatively impact our customers,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 </w:t>
      </w:r>
    </w:p>
    <w:p>
      <w:pPr>
        <w:pStyle w:val="TextBody"/>
        <w:bidi w:val="0"/>
        <w:spacing w:before="0" w:after="0"/>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actions by the Federal Reserve to increase interest rates in the past few years have impacted our interest expense on our outstanding debt borrowings and the related cost of executing Kratos’ business. Although the most recent actions by the Federal Reserve decreased rates slightly, the industry and Kratos are still impacted by rates that are higher than prevailing interest rates over the past several years. Each of these challenges are expected to continue for the foreseeable future and are expected to continue to adversely impact the Company’s operations, financial results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do believe that our business is well-positioned, including in areas that the Trump Administration, the DoD, national security related and other customers currently indicate are priorities for future defense spending. As noted above, we believe that there is a generational recapitalization of weapon systems occurring with the U.S. and its allies to address peer and near peer threats, including Russia, China, North Korea and Iran, and the Company’s positioning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Three Months Ended March 30, 2025 to the Three Months Ended March 31,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by reporting segment for the three months ended March 30, 2025 and March 31, 2024 are as follows (dollars in millions):</w:t>
      </w:r>
    </w:p>
    <w:tbl>
      <w:tblPr>
        <w:tblW w:w="8431" w:type="dxa"/>
        <w:jc w:val="left"/>
        <w:tblInd w:w="0" w:type="dxa"/>
        <w:tblLayout w:type="fixed"/>
        <w:tblCellMar>
          <w:top w:w="28" w:type="dxa"/>
          <w:left w:w="28" w:type="dxa"/>
          <w:bottom w:w="28" w:type="dxa"/>
          <w:right w:w="28" w:type="dxa"/>
        </w:tblCellMar>
      </w:tblPr>
      <w:tblGrid>
        <w:gridCol w:w="1087"/>
        <w:gridCol w:w="953"/>
        <w:gridCol w:w="959"/>
        <w:gridCol w:w="284"/>
        <w:gridCol w:w="829"/>
        <w:gridCol w:w="146"/>
        <w:gridCol w:w="109"/>
        <w:gridCol w:w="109"/>
        <w:gridCol w:w="109"/>
        <w:gridCol w:w="284"/>
        <w:gridCol w:w="829"/>
        <w:gridCol w:w="146"/>
        <w:gridCol w:w="109"/>
        <w:gridCol w:w="109"/>
        <w:gridCol w:w="109"/>
        <w:gridCol w:w="211"/>
        <w:gridCol w:w="511"/>
        <w:gridCol w:w="109"/>
        <w:gridCol w:w="109"/>
        <w:gridCol w:w="109"/>
        <w:gridCol w:w="109"/>
        <w:gridCol w:w="290"/>
        <w:gridCol w:w="295"/>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$25.4 million to $302.6 million for the three months ended March 30, 2025 from $277.2 million for the three months ended March 31, 2024. Revenues in our KGS segment increased $21.7 million primarily due to increased revenues across all business units, with the most notable organic revenue increases in our C5ISR, Defense Rocket Support and microwave products businesses as well as growth in our turbine technologies and space, satellite and cyber business, and the contribution of $4.8 million in revenue from the recent acquisition of certain assets from Norden Millimeter, Inc.. Revenues in our US segment increased $3.7 million to $63.1 million for the three months ended March 30, 2025, reflecting the increased target drone production activity during the quarter ended March 30,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increased $29.5 million to $200.2 million for the three months ended March 30, 2025 from $170.7 million for the three months ended March 31, 2024, primarily as a result of increased production in our US segment. As a percentage of total consolidated revenues, product sales were 66.2% for the three months ended March 30, 2025 as compared to 61.6% for the three months ended March 31, 2024. Service revenues decreased by $4.1 million to $102.4 million for the three months ended March 30, 2025 from $106.5 million for the three months ended March 31, 2024, primarily related to decreased activity in our space, training and cyber business in our KGS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Cost of Revenues.</w:t>
      </w:r>
      <w:r>
        <w:rPr>
          <w:color w:val="000000"/>
        </w:rPr>
        <w:t xml:space="preserve">  </w:t>
      </w:r>
      <w:r>
        <w:rPr>
          <w:rFonts w:ascii="Times New Roman;sans-serif" w:hAnsi="Times New Roman;sans-serif"/>
          <w:b w:val="false"/>
          <w:color w:val="000000"/>
          <w:sz w:val="20"/>
        </w:rPr>
        <w:t>Cost of revenues increased $22.8 million to $229.0 million for the three months ended March 30, 2025 from $206.2 million for the three months ended March 31, 2024. The increase in cost of revenues was primarily related to the increased revenues as well the impact of increased labor and material costs, with the most notable increased activity in our Unmanned Systems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Gross Margin</w:t>
      </w:r>
      <w:r>
        <w:rPr>
          <w:rFonts w:ascii="Times New Roman;sans-serif" w:hAnsi="Times New Roman;sans-serif"/>
          <w:b w:val="false"/>
          <w:color w:val="000000"/>
          <w:sz w:val="20"/>
        </w:rPr>
        <w:t>.  Gross margin decreased to 24.3% for the three months ended March 30, 2025 from 25.6% for the three months ended March 31, 2024. Margins on services increased to 26.1% for the three months ended March 30, 2025 from 25.6% for the three months ended March 31, 2024. Margins on products decreased to 23.4% for the three months ended March 30, 2025 from 25.6% for the three months end March 31, 2024. Margins in the KGS segment decreased to 26.6% for the three months ended March 30, 2025 from 27.3% for the three months ended March 31, 2024. Margins in the US segment decreased to 15.8% for the three months ended March 30, 2025 from 19.5% for the three months ended March 31, 2024, primarily due to a less favorable mix of products produced and shipped, and from the impact of increased labor and material costs in the three months ended March 30, 2025, which are not recoverable under multi-year fixed priced contracts.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Selling, General and Administrative (“SG&amp;A”) Expenses</w:t>
      </w:r>
      <w:r>
        <w:rPr>
          <w:rFonts w:ascii="Times New Roman;sans-serif" w:hAnsi="Times New Roman;sans-serif"/>
          <w:b w:val="false"/>
          <w:color w:val="000000"/>
          <w:sz w:val="20"/>
        </w:rPr>
        <w:t>.  SG&amp;A expenses increased $2.6 million to $57.0 million for the three months ended March 30, 2025 from $54.4 million for the three months ended March 31, 2024 due primarily to the increased revenue volume and headcount. As a percentage of revenues, SG&amp;A decreased to 18.8% at March 30, 2025 from 19.6% at March 31,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Research and Development (“R&amp;D”) Expenses.</w:t>
      </w:r>
      <w:r>
        <w:rPr>
          <w:color w:val="000000"/>
        </w:rPr>
        <w:t xml:space="preserve">  </w:t>
      </w:r>
      <w:r>
        <w:rPr>
          <w:rFonts w:ascii="Times New Roman;sans-serif" w:hAnsi="Times New Roman;sans-serif"/>
          <w:b w:val="false"/>
          <w:color w:val="000000"/>
          <w:sz w:val="20"/>
        </w:rPr>
        <w:t xml:space="preserve">R&amp;D expenses increased $0.4 million to $10.0 million for the three months ended March 30, 2025 from $9.6 million for the three months ended March 31, 2024, primarily due to increased development efforts in our space and satellite communications business and our microwave products businesses partially offset with decreases in our unmanned systems. As a percentage of revenues, R&amp;D decreased to 3.3%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2025 from 3.5% for the three months ended March 31,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color w:val="000000"/>
        </w:rPr>
        <w:t xml:space="preserve">  </w:t>
      </w:r>
      <w:r>
        <w:rPr>
          <w:rFonts w:ascii="Times New Roman;sans-serif" w:hAnsi="Times New Roman;sans-serif"/>
          <w:b w:val="false"/>
          <w:color w:val="000000"/>
          <w:sz w:val="20"/>
        </w:rPr>
        <w:t>The total other expense, net was $1.2 million for the three months ended March 30, 2025 and $3.0 million for the three months ended March 31, 2024. This decrease in total other expense, net of $1.8 million was primarily related to a decrease in interest expense of $1.0 million as a result of the reduction of debt and the interest rate hedge entered into during the third quarter of 2023 on the Company’s Term Loan A, and an increase in interest income of $0.9 million in the three months ended March 30, 2025, resulting from the increased cash balances following the February 27, 2024 stock offering which raised approximately $331.2 million in net proceeds.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Provision for Income Taxes.</w:t>
      </w:r>
      <w:r>
        <w:rPr>
          <w:color w:val="000000"/>
        </w:rPr>
        <w:t> </w:t>
      </w:r>
      <w:r>
        <w:rPr>
          <w:rFonts w:ascii="Times New Roman;sans-serif" w:hAnsi="Times New Roman;sans-serif"/>
          <w:b w:val="false"/>
          <w:color w:val="000000"/>
          <w:sz w:val="20"/>
        </w:rPr>
        <w:t>Income tax expense decreased $1.8 million to $0.9 million for the three months ended March 30, 2025 from $2.7 million for the three months ended March 31, 2024, primarily as a result of increased tax benefits related to stock based compensation, as well as a change in the tax rate method used to estimate our interim tax provision. For the three months ended March 30, 2025, the Company utilized the annual effective tax rate method based on the forecasted information provided. For the three months ended March 31, 2024,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30, 2025, we had approximately $1,508.1 million of total backlog, of which $1,173.6 million was funded. We expect to recognize approximately 48% of the remaining total backlog as revenue in fiscal year 2025, an additional 25% in fiscal year 2026 and the balance thereafter. Our comparable total backlog balance as of March 31, 2024, was approximately $1,272.8 million, of which $1,043.9 million was funded. Backlog as of March 30, 2025 as compared to March 31, 2024 has increased primarily as a result of contract awards in our Microwave Products, C5ISR, Defense and Rocket Support and Unmanned Systems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30, 2025, we had cash and cash equivalents of $263.7 million compared with cash and cash equivalents of $329.3 million as of December 29, 2024, which includes $27.9 million and $40.2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long-term debt decreased from $185.0 million at December 29, 2024 to $182.5 million at March 30, 2025, reflecting the $2.5 million in aggregate principal payments we have made on the Term Loan A during the three months ended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2025. On February 18, 2022, we completed the refinancing of our outstanding $90 million revolving credit facility and $300 million of Senior Secured Notes, with a new 5-year $200 million Revolving Credit Facility and 5-year $200 million Term Loan A. As of March 30, 2025, the Company has made an aggregate of $17.5 million of principal payments on Term Loan A, and has no amounts outstanding under the new Revolving Credit Facility, with $200.0 million remaining in borrowing capacity, less approximately $8.9 million for outstanding letters of credit (as more fully described in Note 9 of the accompanying unaudited condensed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and prepayments for long-lead materials related to production and revenue growth. These financing requirements have increased and have recently negatively impacted our operating cash flows due to actions we have taken to advance inventory purchases in an attempt to mitigate supply chain disruptions and to bolster our inventory levels. For the three months ended March 30, 2025, approximately $12.8 million of operating cash flow use was related to increases in prepaid expenses and other assets which also include certain vendor prepayments and deposits related to the procurement of long-lead materials and inventory. Cash from continuing operations is primarily derived from our customer contracts in progress and associated changes in working capital components. Our days sales outstanding (“DSO”) have increased from 104 days as of December 29, 2024 to 109 days at March 30, 2025, primarily reflecting the timing of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net cash provided by (used in) operating activities, investing activities, and financing activities from our condensed consolidated statements of cash flows is as follows (in millions):</w:t>
      </w:r>
    </w:p>
    <w:tbl>
      <w:tblPr>
        <w:tblW w:w="7464" w:type="dxa"/>
        <w:jc w:val="center"/>
        <w:tblInd w:w="0" w:type="dxa"/>
        <w:tblLayout w:type="fixed"/>
        <w:tblCellMar>
          <w:top w:w="28" w:type="dxa"/>
          <w:left w:w="28" w:type="dxa"/>
          <w:bottom w:w="28" w:type="dxa"/>
          <w:right w:w="28" w:type="dxa"/>
        </w:tblCellMar>
      </w:tblPr>
      <w:tblGrid>
        <w:gridCol w:w="1657"/>
        <w:gridCol w:w="1457"/>
        <w:gridCol w:w="1460"/>
        <w:gridCol w:w="293"/>
        <w:gridCol w:w="815"/>
        <w:gridCol w:w="151"/>
        <w:gridCol w:w="109"/>
        <w:gridCol w:w="109"/>
        <w:gridCol w:w="109"/>
        <w:gridCol w:w="357"/>
        <w:gridCol w:w="687"/>
        <w:gridCol w:w="260"/>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$29.2 million for the three months ended March 30, 2025. Net cash used in operating activities for the three months ended March 30, 2025 was primarily a result of net income of $4.5 million and changes in net working capital accounts of $56.0 million partially offset by noncash charges of $22.3 million which includes stock compensation, depreciation and amortization. Net cash provided by operating activities was $0.7 million for the three months ended March 31, 2024. Net cash provided by operating activities from continuing operations for the three months ended March 31, 2024 was primarily a result of the net gain of $1.3 million and changes in net working capital accounts of $22.3 million partially offset by noncash charges of $21.7 million which includes stock compensation, depreciation and amortization.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$22.6 million for the three months ended March 30, 2025 and is comprised of $22.6 million in capital expenditures. During the three months ended March 30, 2025, capital expenditures of approximately $8.3 million were incurred in our US business, primarily related to our unmanned tactical initiative. We expect our capital expenditures for fiscal year 2025 to continue to be significant for investments we are making, specifically in our US business totaling approximately $35 to $40 million, including approximately $18 to $22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for the three months ended March 31, 2024 is comprised of $16.6 million in capital expenditures. During the three months ended March 31, 2024, capital expenditures of approximately $6.8 million were incurred in our US business, primarily related to our unmanned tactical initiative.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$14.5 million for the three months ended March 30, 2025, which included $2.5 million of principal payments on our Term Loan A, payroll withholding taxes paid from vested restricted stock traded for taxes of $16.2 million and payments made on financing lease obligations of $0.4 million. These uses were partially offset by employee stock purchase plan receipts of $4.6 million, Net cash provided by financing activities was $282.6 million for the three months ended March 31, 2024, which included employee stock purchase plan receipts of $3.6 million and net proceeds from the issuance of common stock of approximately $330.7 million. These proceeds were partially offset by $1.3 million of principal payments on our Term Loan A and a $45.0 million payment (partially offset by a $10.0 million draw) on our Revolving Credit Facility, payroll withholding taxes paid from vested restricted stock traded for taxes of $15.1 million and payments made on financing lease obligations of $0.3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2022 Credit Facility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On February 18, 2022, the Company completed the refinancing of its then-outstanding $90 million revolving credit facility and $300 million Senior Secured Notes, with a new 5-year $200 million Revolving Credit Facility and 5-year $200 million Term Loan A. The Company incurred debt issuance costs of $3.3 million associated with the 2022 Credit Facility. As of March 30, 2025, the Company has made an aggregate of $17.5 million of principal payments on Term Loan A. As of March 30, 2025, the Company has no amounts outstanding under the Revolving Credit Facility, with $200.0 million remaining in borrowing capacity, less approximately $8.9 million for outstanding letters of credit.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A may take the form of base rate loans or SOFR loans. Base rate loans under the Credit Agreement will bear interest at a rate per annum equal to the sum of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Since December 29, 2024,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r>
        <w:rPr>
          <w:color w:val="000000"/>
        </w:rPr>
        <w:t xml:space="preserve"> </w:t>
      </w:r>
      <w:r>
        <w:rPr>
          <w:rFonts w:ascii="Times New Roman;sans-serif" w:hAnsi="Times New Roman;sans-serif"/>
          <w:b w:val="false"/>
          <w:color w:val="000000"/>
          <w:sz w:val="20"/>
        </w:rPr>
        <w:t>for the fiscal year ended December 31, 2024 that we filed with the SEC on February 26,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foregoing, our Principal Executive Officer and Principal Financial Officer concluded that our disclosure controls and procedures were effective at the reasonable assurance level as of March 30, 2025.</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three months ended March 30, 2025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    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30, 2025,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30"/>
        <w:gridCol w:w="511"/>
        <w:gridCol w:w="511"/>
        <w:gridCol w:w="518"/>
        <w:gridCol w:w="269"/>
        <w:gridCol w:w="269"/>
        <w:gridCol w:w="273"/>
        <w:gridCol w:w="378"/>
        <w:gridCol w:w="378"/>
        <w:gridCol w:w="380"/>
        <w:gridCol w:w="383"/>
        <w:gridCol w:w="383"/>
        <w:gridCol w:w="385"/>
        <w:gridCol w:w="671"/>
        <w:gridCol w:w="671"/>
        <w:gridCol w:w="673"/>
        <w:gridCol w:w="437"/>
        <w:gridCol w:w="383"/>
        <w:gridCol w:w="383"/>
        <w:gridCol w:w="383"/>
        <w:gridCol w:w="383"/>
        <w:gridCol w:w="558"/>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Date</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c>
          <w:tcPr>
            <w:tcW w:w="20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Rule 10b5-1 Trading Arrangement? (Y/N)</w:t>
            </w:r>
            <w:r>
              <w:rPr>
                <w:rFonts w:ascii="Times New Roman;sans-serif" w:hAnsi="Times New Roman;sans-serif"/>
                <w:b/>
                <w:color w:val="000000"/>
                <w:sz w:val="13"/>
              </w:rPr>
              <w:t>(1)</w:t>
            </w:r>
          </w:p>
        </w:tc>
        <w:tc>
          <w:tcPr>
            <w:tcW w:w="252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Subject to Trading Arrangement</w:t>
            </w:r>
          </w:p>
        </w:tc>
      </w:tr>
      <w:tr>
        <w:trPr/>
        <w:tc>
          <w:tcPr>
            <w:tcW w:w="1025"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Marie Mendoza</w:t>
            </w:r>
          </w:p>
        </w:tc>
        <w:tc>
          <w:tcPr>
            <w:tcW w:w="1540"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w:t>
            </w:r>
          </w:p>
        </w:tc>
        <w:tc>
          <w:tcPr>
            <w:tcW w:w="811"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1136"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3/17/2025</w:t>
            </w:r>
          </w:p>
        </w:tc>
        <w:tc>
          <w:tcPr>
            <w:tcW w:w="1151"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9/30/2026</w:t>
            </w:r>
          </w:p>
        </w:tc>
        <w:tc>
          <w:tcPr>
            <w:tcW w:w="2015"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1203" w:type="dxa"/>
            <w:gridSpan w:val="3"/>
            <w:vMerge w:val="restart"/>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24,473</w:t>
            </w:r>
          </w:p>
        </w:tc>
        <w:tc>
          <w:tcPr>
            <w:tcW w:w="132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5"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540"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Normal"/>
              <w:bidi w:val="0"/>
              <w:jc w:val="left"/>
              <w:rPr/>
            </w:pPr>
            <w:r>
              <w:rPr/>
            </w:r>
          </w:p>
        </w:tc>
        <w:tc>
          <w:tcPr>
            <w:tcW w:w="1136"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151"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2015"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203" w:type="dxa"/>
            <w:gridSpan w:val="3"/>
            <w:vMerge w:val="continue"/>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Normal"/>
              <w:bidi w:val="0"/>
              <w:jc w:val="left"/>
              <w:rPr/>
            </w:pPr>
            <w:r>
              <w:rPr/>
            </w:r>
          </w:p>
        </w:tc>
        <w:tc>
          <w:tcPr>
            <w:tcW w:w="1324"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6829" w:type="dxa"/>
            <w:gridSpan w:val="15"/>
            <w:tcBorders/>
          </w:tcPr>
          <w:p>
            <w:pPr>
              <w:pStyle w:val="TableContents"/>
              <w:bidi w:val="0"/>
              <w:spacing w:before="0" w:after="283"/>
              <w:jc w:val="left"/>
              <w:rPr>
                <w:sz w:val="4"/>
                <w:szCs w:val="4"/>
              </w:rPr>
            </w:pPr>
            <w:r>
              <w:rPr>
                <w:sz w:val="4"/>
                <w:szCs w:val="4"/>
              </w:rPr>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1025"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6829"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 xml:space="preserve">Denotes whether the trading arrangement is intended </w:t>
      </w:r>
      <w:r>
        <w:rPr>
          <w:rFonts w:ascii="Times New Roman;sans-serif" w:hAnsi="Times New Roman;sans-serif"/>
          <w:b w:val="false"/>
          <w:color w:val="000000"/>
          <w:sz w:val="18"/>
          <w:shd w:fill="FFFFFF" w:val="clear"/>
        </w:rPr>
        <w:t>to satisfy the affirmative defense of Rule 10b5-1(c).</w:t>
      </w:r>
    </w:p>
    <w:p>
      <w:pPr>
        <w:pStyle w:val="TextBody"/>
        <w:bidi w:val="0"/>
        <w:spacing w:lineRule="auto" w:line="256" w:before="0" w:after="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18"/>
          <w:shd w:fill="FFFFFF" w:val="clear"/>
        </w:rPr>
        <w:t>This number represents the maximum number of shares of our common stock that may be sold pursuant to the trading arrangement. The number of shares actually sold will depend on the satisfaction of certain conditions set forth in the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5fa5d16387545ee951b90c1414642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8"/>
        <w:gridCol w:w="239"/>
        <w:gridCol w:w="109"/>
        <w:gridCol w:w="109"/>
        <w:gridCol w:w="109"/>
        <w:gridCol w:w="1598"/>
        <w:gridCol w:w="1598"/>
        <w:gridCol w:w="1609"/>
        <w:gridCol w:w="109"/>
        <w:gridCol w:w="109"/>
        <w:gridCol w:w="109"/>
        <w:gridCol w:w="170"/>
        <w:gridCol w:w="170"/>
        <w:gridCol w:w="171"/>
        <w:gridCol w:w="109"/>
        <w:gridCol w:w="109"/>
        <w:gridCol w:w="109"/>
        <w:gridCol w:w="333"/>
        <w:gridCol w:w="333"/>
        <w:gridCol w:w="334"/>
        <w:gridCol w:w="109"/>
        <w:gridCol w:w="109"/>
        <w:gridCol w:w="109"/>
        <w:gridCol w:w="210"/>
        <w:gridCol w:w="210"/>
        <w:gridCol w:w="211"/>
        <w:gridCol w:w="109"/>
        <w:gridCol w:w="109"/>
        <w:gridCol w:w="109"/>
        <w:gridCol w:w="255"/>
        <w:gridCol w:w="255"/>
        <w:gridCol w:w="367"/>
      </w:tblGrid>
      <w:tr>
        <w:trPr/>
        <w:tc>
          <w:tcPr>
            <w:tcW w:w="2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05/24/2024</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330ex-311.htm">
              <w:r>
                <w:rPr>
                  <w:rStyle w:val="InternetLink"/>
                  <w:rFonts w:ascii="Times New Roman;sans-serif" w:hAnsi="Times New Roman;sans-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330ex-312.htm">
              <w:r>
                <w:rPr>
                  <w:rStyle w:val="InternetLink"/>
                  <w:rFonts w:ascii="Times New Roman;sans-serif" w:hAnsi="Times New Roman;sans-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330e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330e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fa5d16387545ee951b90c14146428e_16">
              <w:r>
                <w:rPr>
                  <w:rStyle w:val="InternetLink"/>
                  <w:rFonts w:ascii="Times New Roman;sans-serif" w:hAnsi="Times New Roman;sans-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confidential information contained in this Exhibit (indicated by asterisks) has been omitted because it is both (i) not material and (ii)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5fa5d16387545ee951b90c1414642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00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7, 2025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7, 2025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March 30, 2025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March 30, 2025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58/000106925817000009/ktos20161225ex-31.htm" TargetMode="External"/><Relationship Id="rId3" Type="http://schemas.openxmlformats.org/officeDocument/2006/relationships/hyperlink" Target="https://www.sec.gov/Archives/edgar/data/1069258/000106925824000042/exhibit31-thirdamendedandr.htm" TargetMode="External"/><Relationship Id="rId4" Type="http://schemas.openxmlformats.org/officeDocument/2006/relationships/hyperlink" Target="https://www.sec.gov/Archives/edgar/data/1069258/000106925817000009/kratoscommonformofcertif.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19482</Words>
  <Characters>107769</Characters>
  <CharactersWithSpaces>126497</CharactersWithSpaces>
  <Paragraphs>2094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