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63">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469"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380" w:right="360" w:hanging="778"/>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30, 2008</w:t>
      </w:r>
    </w:p>
    <w:p>
      <w:pPr>
        <w:spacing w:after="0" w:line="239" w:lineRule="exact"/>
        <w:rPr>
          <w:sz w:val="24"/>
          <w:szCs w:val="24"/>
          <w:color w:val="auto"/>
        </w:rPr>
      </w:pPr>
    </w:p>
    <w:p>
      <w:pPr>
        <w:ind w:left="1380" w:right="1140" w:hanging="737"/>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tbl>
      <w:tblPr>
        <w:tblLayout w:type="fixed"/>
        <w:tblInd w:w="1740" w:type="dxa"/>
        <w:tblCellMar>
          <w:top w:w="0" w:type="dxa"/>
          <w:left w:w="0" w:type="dxa"/>
          <w:bottom w:w="0" w:type="dxa"/>
          <w:right w:w="0" w:type="dxa"/>
        </w:tblCellMar>
      </w:tblPr>
      <w:tr>
        <w:trPr>
          <w:trHeight w:val="222"/>
        </w:trPr>
        <w:tc>
          <w:tcPr>
            <w:tcW w:w="6240" w:type="dxa"/>
            <w:vAlign w:val="bottom"/>
            <w:gridSpan w:val="3"/>
          </w:tcPr>
          <w:p>
            <w:pPr>
              <w:jc w:val="center"/>
              <w:ind w:left="1632"/>
              <w:spacing w:after="0"/>
              <w:rPr>
                <w:sz w:val="20"/>
                <w:szCs w:val="20"/>
                <w:color w:val="auto"/>
              </w:rPr>
            </w:pPr>
            <w:r>
              <w:rPr>
                <w:rFonts w:ascii="Arial" w:cs="Arial" w:eastAsia="Arial" w:hAnsi="Arial"/>
                <w:sz w:val="18"/>
                <w:szCs w:val="18"/>
                <w:color w:val="auto"/>
                <w:w w:val="88"/>
              </w:rPr>
              <w:t>(Exact name of Registrant as specified in its charter)</w:t>
            </w:r>
          </w:p>
        </w:tc>
        <w:tc>
          <w:tcPr>
            <w:tcW w:w="1360" w:type="dxa"/>
            <w:vAlign w:val="bottom"/>
          </w:tcPr>
          <w:p>
            <w:pPr>
              <w:spacing w:after="0"/>
              <w:rPr>
                <w:sz w:val="19"/>
                <w:szCs w:val="19"/>
                <w:color w:val="auto"/>
              </w:rPr>
            </w:pPr>
          </w:p>
        </w:tc>
      </w:tr>
      <w:tr>
        <w:trPr>
          <w:trHeight w:val="412"/>
        </w:trPr>
        <w:tc>
          <w:tcPr>
            <w:tcW w:w="6240" w:type="dxa"/>
            <w:vAlign w:val="bottom"/>
            <w:gridSpan w:val="3"/>
          </w:tcPr>
          <w:p>
            <w:pPr>
              <w:jc w:val="center"/>
              <w:ind w:right="4120"/>
              <w:spacing w:after="0"/>
              <w:rPr>
                <w:sz w:val="20"/>
                <w:szCs w:val="20"/>
                <w:color w:val="auto"/>
              </w:rPr>
            </w:pPr>
            <w:r>
              <w:rPr>
                <w:rFonts w:ascii="Arial" w:cs="Arial" w:eastAsia="Arial" w:hAnsi="Arial"/>
                <w:sz w:val="18"/>
                <w:szCs w:val="18"/>
                <w:b w:val="1"/>
                <w:bCs w:val="1"/>
                <w:color w:val="auto"/>
                <w:w w:val="91"/>
              </w:rPr>
              <w:t>Delaware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13-3818604</w:t>
            </w:r>
          </w:p>
        </w:tc>
      </w:tr>
      <w:tr>
        <w:trPr>
          <w:trHeight w:val="216"/>
        </w:trPr>
        <w:tc>
          <w:tcPr>
            <w:tcW w:w="6240" w:type="dxa"/>
            <w:vAlign w:val="bottom"/>
            <w:gridSpan w:val="3"/>
          </w:tcPr>
          <w:p>
            <w:pPr>
              <w:jc w:val="center"/>
              <w:ind w:right="4120"/>
              <w:spacing w:after="0"/>
              <w:rPr>
                <w:sz w:val="20"/>
                <w:szCs w:val="20"/>
                <w:color w:val="auto"/>
              </w:rPr>
            </w:pPr>
            <w:r>
              <w:rPr>
                <w:rFonts w:ascii="Arial" w:cs="Arial" w:eastAsia="Arial" w:hAnsi="Arial"/>
                <w:sz w:val="18"/>
                <w:szCs w:val="18"/>
                <w:color w:val="auto"/>
                <w:w w:val="90"/>
              </w:rPr>
              <w:t>(State or other jurisdiction of</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6240" w:type="dxa"/>
            <w:vAlign w:val="bottom"/>
            <w:gridSpan w:val="3"/>
          </w:tcPr>
          <w:p>
            <w:pPr>
              <w:jc w:val="center"/>
              <w:ind w:right="4120"/>
              <w:spacing w:after="0"/>
              <w:rPr>
                <w:sz w:val="20"/>
                <w:szCs w:val="20"/>
                <w:color w:val="auto"/>
              </w:rPr>
            </w:pPr>
            <w:r>
              <w:rPr>
                <w:rFonts w:ascii="Arial" w:cs="Arial" w:eastAsia="Arial" w:hAnsi="Arial"/>
                <w:sz w:val="18"/>
                <w:szCs w:val="18"/>
                <w:color w:val="auto"/>
                <w:w w:val="90"/>
              </w:rPr>
              <w:t>incorporation or organization)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r>
        <w:trPr>
          <w:trHeight w:val="447"/>
        </w:trPr>
        <w:tc>
          <w:tcPr>
            <w:tcW w:w="3160" w:type="dxa"/>
            <w:vAlign w:val="bottom"/>
          </w:tcPr>
          <w:p>
            <w:pPr>
              <w:spacing w:after="0"/>
              <w:rPr>
                <w:sz w:val="24"/>
                <w:szCs w:val="24"/>
                <w:color w:val="auto"/>
              </w:rPr>
            </w:pPr>
          </w:p>
        </w:tc>
        <w:tc>
          <w:tcPr>
            <w:tcW w:w="308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89"/>
              </w:rPr>
              <w:t>4810 Eastgate Mall</w:t>
            </w:r>
          </w:p>
        </w:tc>
        <w:tc>
          <w:tcPr>
            <w:tcW w:w="136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308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88"/>
              </w:rPr>
              <w:t>San Diego, CA 92121</w:t>
            </w:r>
          </w:p>
        </w:tc>
        <w:tc>
          <w:tcPr>
            <w:tcW w:w="1360" w:type="dxa"/>
            <w:vAlign w:val="bottom"/>
          </w:tcPr>
          <w:p>
            <w:pPr>
              <w:spacing w:after="0"/>
              <w:rPr>
                <w:sz w:val="18"/>
                <w:szCs w:val="18"/>
                <w:color w:val="auto"/>
              </w:rPr>
            </w:pPr>
          </w:p>
        </w:tc>
      </w:tr>
      <w:tr>
        <w:trPr>
          <w:trHeight w:val="222"/>
        </w:trPr>
        <w:tc>
          <w:tcPr>
            <w:tcW w:w="4800" w:type="dxa"/>
            <w:vAlign w:val="bottom"/>
            <w:gridSpan w:val="2"/>
          </w:tcPr>
          <w:p>
            <w:pPr>
              <w:jc w:val="center"/>
              <w:ind w:left="3052"/>
              <w:spacing w:after="0"/>
              <w:rPr>
                <w:sz w:val="20"/>
                <w:szCs w:val="20"/>
                <w:color w:val="auto"/>
              </w:rPr>
            </w:pPr>
            <w:r>
              <w:rPr>
                <w:rFonts w:ascii="Arial" w:cs="Arial" w:eastAsia="Arial" w:hAnsi="Arial"/>
                <w:sz w:val="18"/>
                <w:szCs w:val="18"/>
                <w:b w:val="1"/>
                <w:bCs w:val="1"/>
                <w:color w:val="auto"/>
                <w:w w:val="89"/>
              </w:rPr>
              <w:t>(858) 812-7300</w:t>
            </w: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6240" w:type="dxa"/>
            <w:vAlign w:val="bottom"/>
            <w:gridSpan w:val="3"/>
          </w:tcPr>
          <w:p>
            <w:pPr>
              <w:jc w:val="center"/>
              <w:ind w:left="1612"/>
              <w:spacing w:after="0"/>
              <w:rPr>
                <w:sz w:val="20"/>
                <w:szCs w:val="20"/>
                <w:color w:val="auto"/>
              </w:rPr>
            </w:pPr>
            <w:r>
              <w:rPr>
                <w:rFonts w:ascii="Arial" w:cs="Arial" w:eastAsia="Arial" w:hAnsi="Arial"/>
                <w:sz w:val="18"/>
                <w:szCs w:val="18"/>
                <w:color w:val="auto"/>
                <w:w w:val="89"/>
              </w:rPr>
              <w:t>(Address, including zip code, and telephone number, including</w:t>
            </w:r>
          </w:p>
        </w:tc>
        <w:tc>
          <w:tcPr>
            <w:tcW w:w="1360" w:type="dxa"/>
            <w:vAlign w:val="bottom"/>
          </w:tcPr>
          <w:p>
            <w:pPr>
              <w:spacing w:after="0"/>
              <w:rPr>
                <w:sz w:val="18"/>
                <w:szCs w:val="18"/>
                <w:color w:val="auto"/>
              </w:rPr>
            </w:pPr>
          </w:p>
        </w:tc>
      </w:tr>
      <w:tr>
        <w:trPr>
          <w:trHeight w:val="222"/>
        </w:trPr>
        <w:tc>
          <w:tcPr>
            <w:tcW w:w="6240" w:type="dxa"/>
            <w:vAlign w:val="bottom"/>
            <w:gridSpan w:val="3"/>
          </w:tcPr>
          <w:p>
            <w:pPr>
              <w:jc w:val="center"/>
              <w:ind w:left="1612"/>
              <w:spacing w:after="0"/>
              <w:rPr>
                <w:sz w:val="20"/>
                <w:szCs w:val="20"/>
                <w:color w:val="auto"/>
              </w:rPr>
            </w:pPr>
            <w:r>
              <w:rPr>
                <w:rFonts w:ascii="Arial" w:cs="Arial" w:eastAsia="Arial" w:hAnsi="Arial"/>
                <w:sz w:val="18"/>
                <w:szCs w:val="18"/>
                <w:color w:val="auto"/>
                <w:w w:val="88"/>
              </w:rPr>
              <w:t>area code, of Registrant's principal executive offices)</w:t>
            </w:r>
          </w:p>
        </w:tc>
        <w:tc>
          <w:tcPr>
            <w:tcW w:w="1360" w:type="dxa"/>
            <w:vAlign w:val="bottom"/>
          </w:tcPr>
          <w:p>
            <w:pPr>
              <w:spacing w:after="0"/>
              <w:rPr>
                <w:sz w:val="19"/>
                <w:szCs w:val="19"/>
                <w:color w:val="auto"/>
              </w:rPr>
            </w:pPr>
          </w:p>
        </w:tc>
      </w:tr>
      <w:tr>
        <w:trPr>
          <w:trHeight w:val="120"/>
        </w:trPr>
        <w:tc>
          <w:tcPr>
            <w:tcW w:w="316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44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7" w:lineRule="exact"/>
        <w:rPr>
          <w:sz w:val="24"/>
          <w:szCs w:val="24"/>
          <w:color w:val="auto"/>
        </w:rPr>
      </w:pPr>
    </w:p>
    <w:p>
      <w:pPr>
        <w:ind w:left="440"/>
        <w:spacing w:after="0" w:line="207" w:lineRule="exact"/>
        <w:tabs>
          <w:tab w:leader="none" w:pos="3420" w:val="left"/>
          <w:tab w:leader="none" w:pos="6040" w:val="left"/>
          <w:tab w:leader="none" w:pos="8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51" w:lineRule="exact"/>
        <w:rPr>
          <w:sz w:val="24"/>
          <w:szCs w:val="24"/>
          <w:color w:val="auto"/>
        </w:rPr>
      </w:pPr>
    </w:p>
    <w:p>
      <w:pPr>
        <w:ind w:left="5700"/>
        <w:spacing w:after="0"/>
        <w:rPr>
          <w:sz w:val="20"/>
          <w:szCs w:val="20"/>
          <w:color w:val="auto"/>
        </w:rPr>
      </w:pPr>
      <w:r>
        <w:rPr>
          <w:rFonts w:ascii="Arial" w:cs="Arial" w:eastAsia="Arial" w:hAnsi="Arial"/>
          <w:sz w:val="14"/>
          <w:szCs w:val="14"/>
          <w:color w:val="auto"/>
        </w:rPr>
        <w:t>(Do not check if smaller reporting company)</w:t>
      </w:r>
    </w:p>
    <w:p>
      <w:pPr>
        <w:spacing w:after="0" w:line="162"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30, 2008 79,696,237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69" w:right="29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30, 2008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984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9840" w:type="dxa"/>
            <w:vAlign w:val="bottom"/>
            <w:vMerge w:val="restart"/>
          </w:tcPr>
          <w:p>
            <w:pPr>
              <w:jc w:val="center"/>
              <w:ind w:right="572"/>
              <w:spacing w:after="0"/>
              <w:rPr>
                <w:sz w:val="20"/>
                <w:szCs w:val="20"/>
                <w:color w:val="auto"/>
              </w:rPr>
            </w:pPr>
            <w:r>
              <w:rPr>
                <w:rFonts w:ascii="Arial" w:cs="Arial" w:eastAsia="Arial" w:hAnsi="Arial"/>
                <w:sz w:val="18"/>
                <w:szCs w:val="18"/>
                <w:b w:val="1"/>
                <w:bCs w:val="1"/>
                <w:color w:val="auto"/>
                <w:w w:val="99"/>
              </w:rPr>
              <w:t>PART I. FINANCIAL INFORMATION</w:t>
            </w: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62"/>
        </w:trPr>
        <w:tc>
          <w:tcPr>
            <w:tcW w:w="1120" w:type="dxa"/>
            <w:vAlign w:val="bottom"/>
          </w:tcPr>
          <w:p>
            <w:pPr>
              <w:spacing w:after="0"/>
              <w:rPr>
                <w:sz w:val="24"/>
                <w:szCs w:val="24"/>
                <w:color w:val="auto"/>
              </w:rPr>
            </w:pPr>
          </w:p>
        </w:tc>
        <w:tc>
          <w:tcPr>
            <w:tcW w:w="98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500"/>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840" w:type="dxa"/>
            <w:vAlign w:val="bottom"/>
          </w:tcPr>
          <w:p>
            <w:pPr>
              <w:ind w:left="680"/>
              <w:spacing w:after="0"/>
              <w:rPr>
                <w:sz w:val="20"/>
                <w:szCs w:val="20"/>
                <w:color w:val="auto"/>
              </w:rPr>
            </w:pPr>
            <w:r>
              <w:rPr>
                <w:rFonts w:ascii="Arial" w:cs="Arial" w:eastAsia="Arial" w:hAnsi="Arial"/>
                <w:sz w:val="18"/>
                <w:szCs w:val="18"/>
                <w:color w:val="auto"/>
              </w:rPr>
              <w:t>Consolidated Balance Sheets at December 31, 2007 and March 30, 2008 (unaudited)</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840" w:type="dxa"/>
            <w:vAlign w:val="bottom"/>
          </w:tcPr>
          <w:p>
            <w:pPr>
              <w:ind w:left="680"/>
              <w:spacing w:after="0"/>
              <w:rPr>
                <w:sz w:val="20"/>
                <w:szCs w:val="20"/>
                <w:color w:val="auto"/>
              </w:rPr>
            </w:pPr>
            <w:r>
              <w:rPr>
                <w:rFonts w:ascii="Arial" w:cs="Arial" w:eastAsia="Arial" w:hAnsi="Arial"/>
                <w:sz w:val="18"/>
                <w:szCs w:val="18"/>
                <w:color w:val="auto"/>
              </w:rPr>
              <w:t>Consolidated Statements of Operations for the Three Months Ended March 31, 2007 and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840" w:type="dxa"/>
            <w:vAlign w:val="bottom"/>
          </w:tcPr>
          <w:p>
            <w:pPr>
              <w:ind w:left="840"/>
              <w:spacing w:after="0"/>
              <w:rPr>
                <w:sz w:val="20"/>
                <w:szCs w:val="20"/>
                <w:color w:val="auto"/>
              </w:rPr>
            </w:pPr>
            <w:r>
              <w:rPr>
                <w:rFonts w:ascii="Arial" w:cs="Arial" w:eastAsia="Arial" w:hAnsi="Arial"/>
                <w:sz w:val="18"/>
                <w:szCs w:val="18"/>
                <w:color w:val="auto"/>
              </w:rPr>
              <w:t>March 30, 2008 (unaudited)</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840" w:type="dxa"/>
            <w:vAlign w:val="bottom"/>
          </w:tcPr>
          <w:p>
            <w:pPr>
              <w:ind w:left="680"/>
              <w:spacing w:after="0"/>
              <w:rPr>
                <w:sz w:val="20"/>
                <w:szCs w:val="20"/>
                <w:color w:val="auto"/>
              </w:rPr>
            </w:pPr>
            <w:r>
              <w:rPr>
                <w:rFonts w:ascii="Arial" w:cs="Arial" w:eastAsia="Arial" w:hAnsi="Arial"/>
                <w:sz w:val="18"/>
                <w:szCs w:val="18"/>
                <w:color w:val="auto"/>
              </w:rPr>
              <w:t>Consolidated Statements of Cash Flows for the Three Months Ended March 31, 2007 and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840" w:type="dxa"/>
            <w:vAlign w:val="bottom"/>
          </w:tcPr>
          <w:p>
            <w:pPr>
              <w:ind w:left="840"/>
              <w:spacing w:after="0"/>
              <w:rPr>
                <w:sz w:val="20"/>
                <w:szCs w:val="20"/>
                <w:color w:val="auto"/>
              </w:rPr>
            </w:pPr>
            <w:r>
              <w:rPr>
                <w:rFonts w:ascii="Arial" w:cs="Arial" w:eastAsia="Arial" w:hAnsi="Arial"/>
                <w:sz w:val="18"/>
                <w:szCs w:val="18"/>
                <w:color w:val="auto"/>
              </w:rPr>
              <w:t>March 30, 2008 (unaudited)</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840" w:type="dxa"/>
            <w:vAlign w:val="bottom"/>
          </w:tcPr>
          <w:p>
            <w:pPr>
              <w:ind w:left="680"/>
              <w:spacing w:after="0"/>
              <w:rPr>
                <w:sz w:val="20"/>
                <w:szCs w:val="20"/>
                <w:color w:val="auto"/>
              </w:rPr>
            </w:pPr>
            <w:r>
              <w:rPr>
                <w:rFonts w:ascii="Arial" w:cs="Arial" w:eastAsia="Arial" w:hAnsi="Arial"/>
                <w:sz w:val="18"/>
                <w:szCs w:val="18"/>
                <w:color w:val="auto"/>
              </w:rPr>
              <w:t>Notes to Consolidated Financial Statements (unaudited)</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5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500"/>
              <w:spacing w:after="0"/>
              <w:rPr>
                <w:sz w:val="20"/>
                <w:szCs w:val="20"/>
                <w:color w:val="auto"/>
              </w:rPr>
            </w:pPr>
            <w:r>
              <w:rPr>
                <w:rFonts w:ascii="Arial" w:cs="Arial" w:eastAsia="Arial" w:hAnsi="Arial"/>
                <w:sz w:val="18"/>
                <w:szCs w:val="18"/>
                <w:color w:val="auto"/>
              </w:rPr>
              <w:t>Quantitative and Qualitative Disclosures About Market Risk</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500"/>
              <w:spacing w:after="0"/>
              <w:rPr>
                <w:sz w:val="20"/>
                <w:szCs w:val="20"/>
                <w:color w:val="auto"/>
              </w:rPr>
            </w:pPr>
            <w:r>
              <w:rPr>
                <w:rFonts w:ascii="Arial" w:cs="Arial" w:eastAsia="Arial" w:hAnsi="Arial"/>
                <w:sz w:val="18"/>
                <w:szCs w:val="18"/>
                <w:color w:val="auto"/>
              </w:rPr>
              <w:t>Controls and Procedures</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9840" w:type="dxa"/>
            <w:vAlign w:val="bottom"/>
          </w:tcPr>
          <w:p>
            <w:pPr>
              <w:jc w:val="center"/>
              <w:ind w:right="572"/>
              <w:spacing w:after="0"/>
              <w:rPr>
                <w:sz w:val="20"/>
                <w:szCs w:val="20"/>
                <w:color w:val="auto"/>
              </w:rPr>
            </w:pPr>
            <w:r>
              <w:rPr>
                <w:rFonts w:ascii="Arial" w:cs="Arial" w:eastAsia="Arial" w:hAnsi="Arial"/>
                <w:sz w:val="18"/>
                <w:szCs w:val="18"/>
                <w:b w:val="1"/>
                <w:bCs w:val="1"/>
                <w:color w:val="auto"/>
              </w:rPr>
              <w:t>PART II. OTHER 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500"/>
              <w:spacing w:after="0"/>
              <w:rPr>
                <w:sz w:val="20"/>
                <w:szCs w:val="20"/>
                <w:color w:val="auto"/>
              </w:rPr>
            </w:pPr>
            <w:r>
              <w:rPr>
                <w:rFonts w:ascii="Arial" w:cs="Arial" w:eastAsia="Arial" w:hAnsi="Arial"/>
                <w:sz w:val="18"/>
                <w:szCs w:val="18"/>
                <w:color w:val="auto"/>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500"/>
              <w:spacing w:after="0"/>
              <w:rPr>
                <w:sz w:val="20"/>
                <w:szCs w:val="20"/>
                <w:color w:val="auto"/>
              </w:rPr>
            </w:pPr>
            <w:r>
              <w:rPr>
                <w:rFonts w:ascii="Arial" w:cs="Arial" w:eastAsia="Arial" w:hAnsi="Arial"/>
                <w:sz w:val="18"/>
                <w:szCs w:val="18"/>
                <w:color w:val="auto"/>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500"/>
              <w:spacing w:after="0"/>
              <w:rPr>
                <w:sz w:val="20"/>
                <w:szCs w:val="20"/>
                <w:color w:val="auto"/>
              </w:rPr>
            </w:pPr>
            <w:r>
              <w:rPr>
                <w:rFonts w:ascii="Arial" w:cs="Arial" w:eastAsia="Arial" w:hAnsi="Arial"/>
                <w:sz w:val="18"/>
                <w:szCs w:val="18"/>
                <w:color w:val="auto"/>
              </w:rPr>
              <w:t>Exhibits</w:t>
            </w: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840" w:type="dxa"/>
            <w:vAlign w:val="bottom"/>
          </w:tcPr>
          <w:p>
            <w:pPr>
              <w:jc w:val="center"/>
              <w:ind w:right="552"/>
              <w:spacing w:after="0"/>
              <w:rPr>
                <w:sz w:val="20"/>
                <w:szCs w:val="20"/>
                <w:color w:val="auto"/>
              </w:rPr>
            </w:pPr>
            <w:r>
              <w:rPr>
                <w:rFonts w:ascii="Arial" w:cs="Arial" w:eastAsia="Arial" w:hAnsi="Arial"/>
                <w:sz w:val="18"/>
                <w:szCs w:val="18"/>
                <w:color w:val="auto"/>
                <w:w w:val="79"/>
              </w:rPr>
              <w:t>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8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-4387850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320" w:type="dxa"/>
            <w:vAlign w:val="bottom"/>
          </w:tcPr>
          <w:p>
            <w:pPr>
              <w:jc w:val="right"/>
              <w:ind w:right="4"/>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74"/>
        </w:trPr>
        <w:tc>
          <w:tcPr>
            <w:tcW w:w="7840" w:type="dxa"/>
            <w:vAlign w:val="bottom"/>
          </w:tcPr>
          <w:p>
            <w:pPr>
              <w:spacing w:after="0"/>
              <w:rPr>
                <w:sz w:val="15"/>
                <w:szCs w:val="15"/>
                <w:color w:val="auto"/>
              </w:rPr>
            </w:pPr>
          </w:p>
        </w:tc>
        <w:tc>
          <w:tcPr>
            <w:tcW w:w="1320" w:type="dxa"/>
            <w:vAlign w:val="bottom"/>
          </w:tcPr>
          <w:p>
            <w:pPr>
              <w:jc w:val="right"/>
              <w:ind w:right="264"/>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3620"/>
              <w:spacing w:after="0" w:line="149" w:lineRule="exact"/>
              <w:rPr>
                <w:sz w:val="20"/>
                <w:szCs w:val="20"/>
                <w:color w:val="auto"/>
              </w:rPr>
            </w:pPr>
            <w:r>
              <w:rPr>
                <w:rFonts w:ascii="Arial" w:cs="Arial" w:eastAsia="Arial" w:hAnsi="Arial"/>
                <w:sz w:val="14"/>
                <w:szCs w:val="14"/>
                <w:b w:val="1"/>
                <w:bCs w:val="1"/>
                <w:color w:val="auto"/>
              </w:rPr>
              <w:t>Assets</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320" w:type="dxa"/>
            <w:vAlign w:val="bottom"/>
            <w:shd w:val="clear" w:color="auto" w:fill="CCEEFF"/>
          </w:tcPr>
          <w:p>
            <w:pPr>
              <w:jc w:val="right"/>
              <w:ind w:right="1204"/>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132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220"/>
              <w:spacing w:after="0" w:line="149" w:lineRule="exact"/>
              <w:rPr>
                <w:sz w:val="20"/>
                <w:szCs w:val="20"/>
                <w:color w:val="auto"/>
              </w:rPr>
            </w:pPr>
            <w:r>
              <w:rPr>
                <w:rFonts w:ascii="Arial" w:cs="Arial" w:eastAsia="Arial" w:hAnsi="Arial"/>
                <w:sz w:val="14"/>
                <w:szCs w:val="14"/>
                <w:color w:val="auto"/>
              </w:rPr>
              <w:t>Income taxes receivable</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220"/>
              <w:spacing w:after="0" w:line="149" w:lineRule="exact"/>
              <w:rPr>
                <w:sz w:val="20"/>
                <w:szCs w:val="20"/>
                <w:color w:val="auto"/>
              </w:rPr>
            </w:pPr>
            <w:r>
              <w:rPr>
                <w:rFonts w:ascii="Arial" w:cs="Arial" w:eastAsia="Arial" w:hAnsi="Arial"/>
                <w:sz w:val="14"/>
                <w:szCs w:val="14"/>
                <w:color w:val="auto"/>
              </w:rPr>
              <w:t>Notes receivable</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840" w:type="dxa"/>
            <w:vAlign w:val="bottom"/>
          </w:tcPr>
          <w:p>
            <w:pPr>
              <w:ind w:left="220"/>
              <w:spacing w:after="0"/>
              <w:rPr>
                <w:sz w:val="20"/>
                <w:szCs w:val="20"/>
                <w:color w:val="auto"/>
              </w:rPr>
            </w:pPr>
            <w:r>
              <w:rPr>
                <w:rFonts w:ascii="Arial" w:cs="Arial" w:eastAsia="Arial" w:hAnsi="Arial"/>
                <w:sz w:val="14"/>
                <w:szCs w:val="14"/>
                <w:color w:val="auto"/>
              </w:rPr>
              <w:t>Current assets of discontinued operations</w:t>
            </w: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84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194.5</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Other intangibles, net</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Investments in unconsolidated affiliates</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 current assets of discontinued operations</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84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84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320" w:type="dxa"/>
            <w:vAlign w:val="bottom"/>
          </w:tcPr>
          <w:p>
            <w:pPr>
              <w:jc w:val="right"/>
              <w:ind w:right="1204"/>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335.3</w:t>
            </w:r>
          </w:p>
        </w:tc>
        <w:tc>
          <w:tcPr>
            <w:tcW w:w="200" w:type="dxa"/>
            <w:vAlign w:val="bottom"/>
          </w:tcPr>
          <w:p>
            <w:pPr>
              <w:spacing w:after="0"/>
              <w:rPr>
                <w:sz w:val="23"/>
                <w:szCs w:val="23"/>
                <w:color w:val="auto"/>
              </w:rPr>
            </w:pP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7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840" w:type="dxa"/>
            <w:vAlign w:val="bottom"/>
            <w:tcBorders>
              <w:right w:val="single" w:sz="8" w:color="808080"/>
            </w:tcBorders>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78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320" w:type="dxa"/>
            <w:vAlign w:val="bottom"/>
            <w:shd w:val="clear" w:color="auto" w:fill="CCEEFF"/>
          </w:tcPr>
          <w:p>
            <w:pPr>
              <w:jc w:val="right"/>
              <w:ind w:right="1204"/>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compensation</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220"/>
              <w:spacing w:after="0" w:line="149" w:lineRule="exact"/>
              <w:rPr>
                <w:sz w:val="20"/>
                <w:szCs w:val="20"/>
                <w:color w:val="auto"/>
              </w:rPr>
            </w:pPr>
            <w:r>
              <w:rPr>
                <w:rFonts w:ascii="Arial" w:cs="Arial" w:eastAsia="Arial" w:hAnsi="Arial"/>
                <w:sz w:val="14"/>
                <w:szCs w:val="14"/>
                <w:color w:val="auto"/>
              </w:rPr>
              <w:t>Billings in excess of costs and earnings on uncompleted contracts</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contingent acquisition consideration</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220"/>
              <w:spacing w:after="0" w:line="149" w:lineRule="exact"/>
              <w:rPr>
                <w:sz w:val="20"/>
                <w:szCs w:val="20"/>
                <w:color w:val="auto"/>
              </w:rPr>
            </w:pPr>
            <w:r>
              <w:rPr>
                <w:rFonts w:ascii="Arial" w:cs="Arial" w:eastAsia="Arial" w:hAnsi="Arial"/>
                <w:sz w:val="14"/>
                <w:szCs w:val="14"/>
                <w:color w:val="auto"/>
              </w:rPr>
              <w:t>Income taxes payable</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Accrual for unused office space</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220"/>
              <w:spacing w:after="0" w:line="149" w:lineRule="exact"/>
              <w:rPr>
                <w:sz w:val="20"/>
                <w:szCs w:val="20"/>
                <w:color w:val="auto"/>
              </w:rPr>
            </w:pPr>
            <w:r>
              <w:rPr>
                <w:rFonts w:ascii="Arial" w:cs="Arial" w:eastAsia="Arial" w:hAnsi="Arial"/>
                <w:sz w:val="14"/>
                <w:szCs w:val="14"/>
                <w:color w:val="auto"/>
              </w:rPr>
              <w:t>Other current liabilities</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220"/>
              <w:spacing w:after="0" w:line="149" w:lineRule="exact"/>
              <w:rPr>
                <w:sz w:val="20"/>
                <w:szCs w:val="20"/>
                <w:color w:val="auto"/>
              </w:rPr>
            </w:pPr>
            <w:r>
              <w:rPr>
                <w:rFonts w:ascii="Arial" w:cs="Arial" w:eastAsia="Arial" w:hAnsi="Arial"/>
                <w:sz w:val="14"/>
                <w:szCs w:val="14"/>
                <w:color w:val="auto"/>
              </w:rPr>
              <w:t>Current portion of capital lease</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liabilities of discontinued operations</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84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84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1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83.5</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Long-term debt, net of current portion</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Accrual for unused office space, net of current portion</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lease, net of current portion</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Deferred tax liabilities</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840" w:type="dxa"/>
            <w:vAlign w:val="bottom"/>
          </w:tcPr>
          <w:p>
            <w:pPr>
              <w:spacing w:after="0"/>
              <w:rPr>
                <w:sz w:val="20"/>
                <w:szCs w:val="20"/>
                <w:color w:val="auto"/>
              </w:rPr>
            </w:pPr>
            <w:r>
              <w:rPr>
                <w:rFonts w:ascii="Arial" w:cs="Arial" w:eastAsia="Arial" w:hAnsi="Arial"/>
                <w:sz w:val="14"/>
                <w:szCs w:val="14"/>
                <w:color w:val="auto"/>
              </w:rPr>
              <w:t>Non current liabilities of discontinued operations</w:t>
            </w: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84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168.1</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840" w:type="dxa"/>
            <w:vAlign w:val="bottom"/>
            <w:vMerge w:val="restart"/>
          </w:tcPr>
          <w:p>
            <w:pPr>
              <w:spacing w:after="0"/>
              <w:rPr>
                <w:sz w:val="20"/>
                <w:szCs w:val="20"/>
                <w:color w:val="auto"/>
              </w:rPr>
            </w:pPr>
            <w:r>
              <w:rPr>
                <w:rFonts w:ascii="Arial" w:cs="Arial" w:eastAsia="Arial" w:hAnsi="Arial"/>
                <w:sz w:val="14"/>
                <w:szCs w:val="14"/>
                <w:color w:val="auto"/>
              </w:rPr>
              <w:t>Commitments and contingencies (Notes 5, 9 and 13)</w:t>
            </w:r>
          </w:p>
        </w:tc>
        <w:tc>
          <w:tcPr>
            <w:tcW w:w="1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840" w:type="dxa"/>
            <w:vAlign w:val="bottom"/>
            <w:vMerge w:val="continue"/>
          </w:tcPr>
          <w:p>
            <w:pPr>
              <w:spacing w:after="0"/>
              <w:rPr>
                <w:sz w:val="22"/>
                <w:szCs w:val="22"/>
                <w:color w:val="auto"/>
              </w:rPr>
            </w:pPr>
          </w:p>
        </w:tc>
        <w:tc>
          <w:tcPr>
            <w:tcW w:w="1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840" w:type="dxa"/>
            <w:vAlign w:val="bottom"/>
          </w:tcPr>
          <w:p>
            <w:pPr>
              <w:ind w:left="220"/>
              <w:spacing w:after="0" w:line="138" w:lineRule="exact"/>
              <w:rPr>
                <w:sz w:val="20"/>
                <w:szCs w:val="20"/>
                <w:color w:val="auto"/>
              </w:rPr>
            </w:pPr>
            <w:r>
              <w:rPr>
                <w:rFonts w:ascii="Arial" w:cs="Arial" w:eastAsia="Arial" w:hAnsi="Arial"/>
                <w:sz w:val="14"/>
                <w:szCs w:val="14"/>
                <w:color w:val="auto"/>
                <w:w w:val="93"/>
              </w:rPr>
              <w:t>Preferred stock, 5,000,000 shares authorized, Series B Convertible Preferred Stock, $.001 par value; 10,000 shares outstanding at</w:t>
            </w: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220"/>
              <w:spacing w:after="0" w:line="159" w:lineRule="exact"/>
              <w:rPr>
                <w:sz w:val="20"/>
                <w:szCs w:val="20"/>
                <w:color w:val="auto"/>
              </w:rPr>
            </w:pPr>
            <w:r>
              <w:rPr>
                <w:rFonts w:ascii="Arial" w:cs="Arial" w:eastAsia="Arial" w:hAnsi="Arial"/>
                <w:sz w:val="14"/>
                <w:szCs w:val="14"/>
                <w:color w:val="auto"/>
              </w:rPr>
              <w:t>December 31, 2007 and March 30, 2008 (liquidation preference $5.0 million)</w:t>
            </w:r>
          </w:p>
        </w:tc>
        <w:tc>
          <w:tcPr>
            <w:tcW w:w="1320" w:type="dxa"/>
            <w:vAlign w:val="bottom"/>
          </w:tcPr>
          <w:p>
            <w:pPr>
              <w:spacing w:after="0"/>
              <w:rPr>
                <w:sz w:val="13"/>
                <w:szCs w:val="13"/>
                <w:color w:val="auto"/>
              </w:rPr>
            </w:pPr>
          </w:p>
        </w:tc>
        <w:tc>
          <w:tcPr>
            <w:tcW w:w="6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3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8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w w:val="90"/>
              </w:rPr>
              <w:t>Common Stock, $.001 par value, 195,000,000 shares authorized; 78,999,922 shares issued and outstanding at December 31, 2007 and</w:t>
            </w:r>
          </w:p>
        </w:tc>
        <w:tc>
          <w:tcPr>
            <w:tcW w:w="132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March 30, 2008</w:t>
            </w:r>
          </w:p>
        </w:tc>
        <w:tc>
          <w:tcPr>
            <w:tcW w:w="1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40" w:type="dxa"/>
            <w:vAlign w:val="bottom"/>
          </w:tcPr>
          <w:p>
            <w:pPr>
              <w:ind w:left="220"/>
              <w:spacing w:after="0" w:line="149" w:lineRule="exact"/>
              <w:rPr>
                <w:sz w:val="20"/>
                <w:szCs w:val="20"/>
                <w:color w:val="auto"/>
              </w:rPr>
            </w:pPr>
            <w:r>
              <w:rPr>
                <w:rFonts w:ascii="Arial" w:cs="Arial" w:eastAsia="Arial" w:hAnsi="Arial"/>
                <w:sz w:val="14"/>
                <w:szCs w:val="14"/>
                <w:color w:val="auto"/>
              </w:rPr>
              <w:t>Additional paid-in capital</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412.7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414.6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Accumulated deficit</w:t>
            </w:r>
          </w:p>
        </w:tc>
        <w:tc>
          <w:tcPr>
            <w:tcW w:w="1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(245.5)</w:t>
            </w:r>
          </w:p>
        </w:tc>
        <w:tc>
          <w:tcPr>
            <w:tcW w:w="2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(247.4)</w:t>
            </w:r>
          </w:p>
        </w:tc>
        <w:tc>
          <w:tcPr>
            <w:tcW w:w="0" w:type="dxa"/>
            <w:vAlign w:val="bottom"/>
          </w:tcPr>
          <w:p>
            <w:pPr>
              <w:spacing w:after="0"/>
              <w:rPr>
                <w:sz w:val="1"/>
                <w:szCs w:val="1"/>
                <w:color w:val="auto"/>
              </w:rPr>
            </w:pPr>
          </w:p>
        </w:tc>
      </w:tr>
      <w:tr>
        <w:trPr>
          <w:trHeight w:val="172"/>
        </w:trPr>
        <w:tc>
          <w:tcPr>
            <w:tcW w:w="784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13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784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840" w:type="dxa"/>
            <w:vAlign w:val="bottom"/>
            <w:tcBorders>
              <w:right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stockholders' equity</w:t>
            </w:r>
          </w:p>
        </w:tc>
        <w:tc>
          <w:tcPr>
            <w:tcW w:w="13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167.2</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84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840" w:type="dxa"/>
            <w:vAlign w:val="bottom"/>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1320" w:type="dxa"/>
            <w:vAlign w:val="bottom"/>
          </w:tcPr>
          <w:p>
            <w:pPr>
              <w:jc w:val="right"/>
              <w:ind w:right="1204"/>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335.3</w:t>
            </w:r>
          </w:p>
        </w:tc>
        <w:tc>
          <w:tcPr>
            <w:tcW w:w="200" w:type="dxa"/>
            <w:vAlign w:val="bottom"/>
          </w:tcPr>
          <w:p>
            <w:pPr>
              <w:spacing w:after="0"/>
              <w:rPr>
                <w:sz w:val="23"/>
                <w:szCs w:val="23"/>
                <w:color w:val="auto"/>
              </w:rPr>
            </w:pP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7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840" w:type="dxa"/>
            <w:vAlign w:val="bottom"/>
            <w:tcBorders>
              <w:right w:val="single" w:sz="8" w:color="808080"/>
            </w:tcBorders>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-6154420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-6154420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-6154420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-6154420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-5057140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-5057140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-5057140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-5057140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-4242435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-4242435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-4242435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-4242435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-2595880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-2595880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-2595880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-2595880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-1781175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-1781175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-1781175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-1781175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-1532255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-1532255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-1532255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-1532255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-528955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-528955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-528955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-528955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-280035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-280035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-280035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400" w:type="dxa"/>
            <w:vAlign w:val="bottom"/>
          </w:tcPr>
          <w:p>
            <w:pPr>
              <w:jc w:val="center"/>
              <w:ind w:left="347"/>
              <w:spacing w:after="0"/>
              <w:rPr>
                <w:sz w:val="20"/>
                <w:szCs w:val="20"/>
                <w:color w:val="auto"/>
              </w:rPr>
            </w:pPr>
            <w:r>
              <w:rPr>
                <w:rFonts w:ascii="Arial" w:cs="Arial" w:eastAsia="Arial" w:hAnsi="Arial"/>
                <w:sz w:val="14"/>
                <w:szCs w:val="14"/>
                <w:b w:val="1"/>
                <w:bCs w:val="1"/>
                <w:color w:val="auto"/>
                <w:w w:val="89"/>
              </w:rPr>
              <w:t>Three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400" w:type="dxa"/>
            <w:vAlign w:val="bottom"/>
          </w:tcPr>
          <w:p>
            <w:pPr>
              <w:jc w:val="center"/>
              <w:ind w:left="367"/>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40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400" w:type="dxa"/>
            <w:vAlign w:val="bottom"/>
          </w:tcPr>
          <w:p>
            <w:pPr>
              <w:jc w:val="center"/>
              <w:ind w:left="347"/>
              <w:spacing w:after="0"/>
              <w:rPr>
                <w:sz w:val="20"/>
                <w:szCs w:val="20"/>
                <w:color w:val="auto"/>
              </w:rPr>
            </w:pPr>
            <w:r>
              <w:rPr>
                <w:rFonts w:ascii="Arial" w:cs="Arial" w:eastAsia="Arial" w:hAnsi="Arial"/>
                <w:sz w:val="14"/>
                <w:szCs w:val="14"/>
                <w:b w:val="1"/>
                <w:bCs w:val="1"/>
                <w:color w:val="auto"/>
                <w:w w:val="83"/>
              </w:rPr>
              <w:t>2007</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jc w:val="center"/>
              <w:ind w:right="235"/>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revenues</w:t>
            </w:r>
          </w:p>
        </w:tc>
        <w:tc>
          <w:tcPr>
            <w:tcW w:w="1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Stock option investigation and related fees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14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4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before provision for income taxes</w:t>
            </w:r>
          </w:p>
        </w:tc>
        <w:tc>
          <w:tcPr>
            <w:tcW w:w="1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4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5"/>
        </w:trPr>
        <w:tc>
          <w:tcPr>
            <w:tcW w:w="740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00" w:type="dxa"/>
            <w:vAlign w:val="bottom"/>
            <w:gridSpan w:val="2"/>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7400" w:type="dxa"/>
            <w:vAlign w:val="bottom"/>
            <w:gridSpan w:val="2"/>
          </w:tcPr>
          <w:p>
            <w:pPr>
              <w:spacing w:after="0"/>
              <w:rPr>
                <w:sz w:val="20"/>
                <w:szCs w:val="20"/>
                <w:color w:val="auto"/>
              </w:rPr>
            </w:pPr>
            <w:r>
              <w:rPr>
                <w:rFonts w:ascii="Arial" w:cs="Arial" w:eastAsia="Arial" w:hAnsi="Arial"/>
                <w:sz w:val="18"/>
                <w:szCs w:val="18"/>
                <w:color w:val="auto"/>
              </w:rPr>
              <w:t>Basic loss per common share:</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continuing operations</w:t>
            </w: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14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5"/>
        </w:trPr>
        <w:tc>
          <w:tcPr>
            <w:tcW w:w="740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00" w:type="dxa"/>
            <w:vAlign w:val="bottom"/>
            <w:gridSpan w:val="2"/>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740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continuing operations</w:t>
            </w: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14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5"/>
        </w:trPr>
        <w:tc>
          <w:tcPr>
            <w:tcW w:w="740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00" w:type="dxa"/>
            <w:vAlign w:val="bottom"/>
            <w:gridSpan w:val="2"/>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74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-5967730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-5967730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-5967730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-5967730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-5539105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-5539105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-5539105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-5539105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-4973320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-4973320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-4973320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-4973320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-4681220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-4681220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-4681220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-4681220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-4115435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-4115435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-4115435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-4115435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-3823970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-3823970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-3823970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-3823970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-3395345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-3395345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-3395345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-3395345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-2966085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-2966085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-2966085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-2966085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-1954530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-1954530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-1954530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-1954530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-942340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-942340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-942340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-942340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400" w:type="dxa"/>
            <w:vAlign w:val="bottom"/>
          </w:tcPr>
          <w:p>
            <w:pPr>
              <w:jc w:val="center"/>
              <w:ind w:left="369"/>
              <w:spacing w:after="0"/>
              <w:rPr>
                <w:sz w:val="20"/>
                <w:szCs w:val="20"/>
                <w:color w:val="auto"/>
              </w:rPr>
            </w:pPr>
            <w:r>
              <w:rPr>
                <w:rFonts w:ascii="Arial" w:cs="Arial" w:eastAsia="Arial" w:hAnsi="Arial"/>
                <w:sz w:val="14"/>
                <w:szCs w:val="14"/>
                <w:b w:val="1"/>
                <w:bCs w:val="1"/>
                <w:color w:val="auto"/>
                <w:w w:val="94"/>
              </w:rPr>
              <w:t>Three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400" w:type="dxa"/>
            <w:vAlign w:val="bottom"/>
          </w:tcPr>
          <w:p>
            <w:pPr>
              <w:jc w:val="center"/>
              <w:ind w:left="369"/>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400" w:type="dxa"/>
            <w:vAlign w:val="bottom"/>
          </w:tcPr>
          <w:p>
            <w:pPr>
              <w:jc w:val="center"/>
              <w:ind w:left="369"/>
              <w:spacing w:after="0" w:line="149" w:lineRule="exact"/>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400" w:type="dxa"/>
            <w:vAlign w:val="bottom"/>
          </w:tcPr>
          <w:p>
            <w:pPr>
              <w:jc w:val="center"/>
              <w:ind w:left="369"/>
              <w:spacing w:after="0"/>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center"/>
              <w:ind w:right="214"/>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1249"/>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income (loss) from discontinued operations</w:t>
            </w: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Loss from continuing operations</w:t>
            </w:r>
          </w:p>
        </w:tc>
        <w:tc>
          <w:tcPr>
            <w:tcW w:w="14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 from continuing operations to net cash provided by operating</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activities from continuing operations:</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Asset impairment charges and net loss on disposition of fixed assets</w:t>
            </w:r>
          </w:p>
        </w:tc>
        <w:tc>
          <w:tcPr>
            <w:tcW w:w="1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1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contingent acquisition consideration</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Accrual for unused office space</w:t>
            </w:r>
          </w:p>
        </w:tc>
        <w:tc>
          <w:tcPr>
            <w:tcW w:w="14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14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Cash paid for acquisition, net of cash required</w:t>
            </w:r>
          </w:p>
        </w:tc>
        <w:tc>
          <w:tcPr>
            <w:tcW w:w="14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restricted cash</w:t>
            </w: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Proceeds from the disposition of discontinued operations</w:t>
            </w:r>
          </w:p>
        </w:tc>
        <w:tc>
          <w:tcPr>
            <w:tcW w:w="1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1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Borrowings under line of credit</w:t>
            </w:r>
          </w:p>
        </w:tc>
        <w:tc>
          <w:tcPr>
            <w:tcW w:w="1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under line of credit</w:t>
            </w: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Repayment/increase of capital lease obligations</w:t>
            </w:r>
          </w:p>
        </w:tc>
        <w:tc>
          <w:tcPr>
            <w:tcW w:w="14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380" w:type="dxa"/>
            <w:vAlign w:val="bottom"/>
            <w:gridSpan w:val="2"/>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80" w:type="dxa"/>
            <w:vAlign w:val="bottom"/>
            <w:gridSpan w:val="2"/>
          </w:tcPr>
          <w:p>
            <w:pPr>
              <w:spacing w:after="0"/>
              <w:rPr>
                <w:sz w:val="20"/>
                <w:szCs w:val="20"/>
                <w:color w:val="auto"/>
              </w:rPr>
            </w:pPr>
            <w:r>
              <w:rPr>
                <w:rFonts w:ascii="Arial" w:cs="Arial" w:eastAsia="Arial" w:hAnsi="Arial"/>
                <w:sz w:val="18"/>
                <w:szCs w:val="18"/>
                <w:color w:val="auto"/>
              </w:rPr>
              <w:t>Net cash flows of continuing operations</w:t>
            </w:r>
          </w:p>
        </w:tc>
        <w:tc>
          <w:tcPr>
            <w:tcW w:w="1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of discontinued operations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Operating cash flows</w:t>
            </w:r>
          </w:p>
        </w:tc>
        <w:tc>
          <w:tcPr>
            <w:tcW w:w="14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cash flows</w:t>
            </w: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Net cash flows of discontinued operations</w:t>
            </w:r>
          </w:p>
        </w:tc>
        <w:tc>
          <w:tcPr>
            <w:tcW w:w="14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0" w:type="dxa"/>
            <w:vAlign w:val="bottom"/>
            <w:shd w:val="clear" w:color="auto" w:fill="CCEEFF"/>
          </w:tcPr>
          <w:p>
            <w:pPr>
              <w:jc w:val="right"/>
              <w:ind w:right="124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60" w:type="dxa"/>
            <w:vAlign w:val="bottom"/>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-7338060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-7338060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-7338060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-7338060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-4164965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-4164965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-4164965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-4164965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-3873500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-3873500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-3873500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-3873500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-3032760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-3032760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-3032760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-3032760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-2741295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-2741295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-2741295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-2741295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-2038350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-2038350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-2038350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-2038350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-1746885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-1746885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-1746885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-1746885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-1043305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-1043305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-1043305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-1043305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-751840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-751840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-751840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-751840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-323215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341" w:right="239" w:bottom="1017"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017"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Kratos Defense &amp; Security Solutions, Inc. ("Kratos" or "the Company") was initially incorporated under the name of Wireless Facilities, Inc. in the state of New York on December 19, 1994, commenced operations in March 1995, and was reincorporated in Delaware in 1998. Under its former name of Wireless Facilities, the Company historically conducted business in three segments: Wireless Network Services, Government Network Services and Enterprise Network Services. The Company was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and enterprise customers through its Enterprise Network Services division ("ENS").</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2006 and 2007, the Company undertook a transformation strategy that culminated in the divestiture in 2007 of its wireless-related businesses and the Company has aggressively pursued business with the federal government, primarily the U.S. Department of Defense, through strategic acquisition. See Note 7, Acquisitions. The Company's divestiture of its European wireless engineering services business which was discontinued and held for sale in December 2006 was completed in March 2007. In addition, the Company's divestiture of its domestic wireless engineering services business was completed in June 2007 and the divestiture of its wireless deployment services business were completed in July 2007. Accordingly, the accompanying financial statements reflect the divestiture of the domestic wireless engineering services and wireless network deployment business and the results of operations through the date of divestiture are reflected as discontinued operations in the accompanying statements of operations.</w:t>
      </w:r>
    </w:p>
    <w:p>
      <w:pPr>
        <w:spacing w:after="0" w:line="172" w:lineRule="exact"/>
        <w:rPr>
          <w:sz w:val="20"/>
          <w:szCs w:val="20"/>
          <w:color w:val="auto"/>
        </w:rPr>
      </w:pPr>
    </w:p>
    <w:p>
      <w:pPr>
        <w:ind w:right="60" w:firstLine="341"/>
        <w:spacing w:after="0" w:line="253" w:lineRule="auto"/>
        <w:rPr>
          <w:sz w:val="20"/>
          <w:szCs w:val="20"/>
          <w:color w:val="auto"/>
        </w:rPr>
      </w:pPr>
      <w:r>
        <w:rPr>
          <w:rFonts w:ascii="Arial" w:cs="Arial" w:eastAsia="Arial" w:hAnsi="Arial"/>
          <w:sz w:val="18"/>
          <w:szCs w:val="18"/>
          <w:color w:val="auto"/>
        </w:rPr>
        <w:t>As a result of the divestiture of the Company's wireless related assets and businesses in 2007, the Company changed its name from Wireless Facilities, Inc to Kratos Defense &amp; Security Solutions, Inc. on September 12, 2007. The name was changed to reflect the Company's revised focus as a defense contractor and security systems integrator for the federal government and for state and local agencies and reflects the Company's business going forward. Additionally, the former operating segments have been renamed as the Kratos Government Solutions ("KGS") segment, which includes all former government-related business formerly included in the GNS segment, and the Public Safety &amp; Security ("PSS") segment, which includes all enterprise, commercial and other civilian business formerly included in the ENS segment. All previous financial statements prior to September 12, 2007 were issued under the Company's previous name, Wireless Facilities, Inc.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information as of March 30, 2008, and for the three months ended March 31, 2007 and March 30, 2008 is unaudited. The consolidated balance sheet as of December 31, 2007 was derived from the Company's audited consolidated financial statements at that date. In the opinion of management, these unaudited consolidated financial statements include all adjustments, consisting of normal recurring adjustments, necessary for a fair presentation of our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of America. These unaudited consolidated financial statements should be read in conjunction with the consolidated financial statements and the related notes included in the Company's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both"/>
        <w:ind w:right="100"/>
        <w:spacing w:after="0" w:line="259" w:lineRule="auto"/>
        <w:rPr>
          <w:sz w:val="20"/>
          <w:szCs w:val="20"/>
          <w:color w:val="auto"/>
        </w:rPr>
      </w:pPr>
      <w:r>
        <w:rPr>
          <w:rFonts w:ascii="Arial" w:cs="Arial" w:eastAsia="Arial" w:hAnsi="Arial"/>
          <w:sz w:val="18"/>
          <w:szCs w:val="18"/>
          <w:color w:val="auto"/>
        </w:rPr>
        <w:t>audited annual consolidated financial statements for the year ended December 31, 2007, filed on Form 10-K on March 27, 2008 with the United States Securities and Exchange Commission ("SEC"). Interim operating results are not necessarily indicative of operating results expected in subsequent periods or for the year as a whole.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Principles of Consolidation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Investments in unconsolidated affiliates are accounted for using the cost method as the Company owns less than 20% and the Company has no significant influence over the affiliates.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Fiscal Calendar</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2008, the Company changed its fiscal year end to the last Sunday of the year with interim fiscal periods ending on the last Sunday of the last calendar month of each quarter. For fiscal year 2007 the Company's year end was December 31 with fiscal periods ending on the last calendar day of the last month of each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Company provides services to customers under three primary types of contracts: fixed-price; time and materials; and cost reimbursable plus fixed fee. The Company realizes a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The full amount of an estimated loss associated with a contract is accrued and charged to operations in the period it is determined that it is probable a loss will be realized from the performance of the contract.</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Significant management judgments and estimates, including the estimated costs to complete projects, which determine the project's percentage of completion and profit margin must be made and used in connection with the revenue recognized in any accounting period. In the future, the Company may realize actual results that differ from current estimates and the differences could be material.</w:t>
      </w:r>
    </w:p>
    <w:p>
      <w:pPr>
        <w:spacing w:after="0" w:line="194"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If, in any period, we significantly increase or decrease our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8"/>
          <w:szCs w:val="18"/>
          <w:color w:val="auto"/>
        </w:rPr>
        <w:t>using the completed contract method. There are no contracts for which the Company utilized the completed contract method for the quarter ended March 31, 2007 and March 30, 2008.</w:t>
      </w:r>
    </w:p>
    <w:p>
      <w:pPr>
        <w:spacing w:after="0" w:line="186" w:lineRule="exact"/>
        <w:rPr>
          <w:sz w:val="20"/>
          <w:szCs w:val="20"/>
          <w:color w:val="auto"/>
        </w:rPr>
      </w:pPr>
    </w:p>
    <w:p>
      <w:pPr>
        <w:ind w:right="40" w:firstLine="351"/>
        <w:spacing w:after="0" w:line="282" w:lineRule="auto"/>
        <w:rPr>
          <w:sz w:val="20"/>
          <w:szCs w:val="20"/>
          <w:color w:val="auto"/>
        </w:rPr>
      </w:pPr>
      <w:r>
        <w:rPr>
          <w:rFonts w:ascii="Arial" w:cs="Arial" w:eastAsia="Arial" w:hAnsi="Arial"/>
          <w:sz w:val="16"/>
          <w:szCs w:val="16"/>
          <w:color w:val="auto"/>
        </w:rPr>
        <w:t>Under the terms of substantially all of the Company's fixed price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compensate the Company for additional or excess costs incurred, whereby any scope reductions or other modifications are subject to reimbursement of costs incurred to date with a reasonable profit margin based on the contract value and completed work at that time. The inherent aforementioned risks are reflected in the Company's ongoing periodic assessment of the "total contract value" and the associated revenue recognized. Total net unbilled accounts receivable at December 31, 2007 and March 30, 2008 were $34.2 million and $38.4 million, respectively. The Company periodically performs work under authorizations to proceed or work orders from its customers for which a formal purchase order may not be received until after the work has commenced. As of December 31, 2007 and March 30, 2008, approximately $0.4 million and</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$0.6 million, respectively, of the Company's unbilled accounts receivable balance were under an authorization to proceed or work order from its customers where a formal purchase order had not yet been received.</w:t>
      </w:r>
    </w:p>
    <w:p>
      <w:pPr>
        <w:spacing w:after="0" w:line="19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Revenue from certain time and materials and fixed-price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16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Cost reimbursable contracts for the government provide for reimbursement of costs plus the payment of a fee. The Company records the fee as costs are incurred. 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170"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161" w:lineRule="exact"/>
        <w:rPr>
          <w:sz w:val="20"/>
          <w:szCs w:val="20"/>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 Inventory</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Inventories which are comprised primarily of supplies including parts and materials are stated at the lower of cost or market and are included in other current assets in the accompanying consolidated balance sheets.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31, 2007 and March 30, 2008, the Company had $2.1 million and $1.9 million, respectively, of inventories which were reflected in other current assets on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Use of Estimates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Reclassifications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prior period amounts in the Consolidated Financial Statements have been reclassified to be consistent with the current period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Liquidity</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currently carries a significant amount of debt and as such, its ability to execute on additional business opportunities may be limited due to its existing borrowing capacity. In addition, given the relatively highly leveraged liquidity position, any down-turn in its operating earnings could impair its ability to comply with the financial covenants of its existing credit facility. If the Company anticipated a potential covenant violation, it would seek relief from its lenders. This relief would have some cost to the Company and such relief might not be on terms as favorable as those in its existing Credit Agreement. If the Company were to actually default due to its failure to meet the financial covenants of its Credit Agreement and inability to obtain a waiver from the lenders, the Company's Credit Agreement could require the Company to immediately repay all amounts then outstanding under the Credit Agreement and/or require the Company to pay interest at default rates per the Credit Agreement.</w:t>
      </w:r>
    </w:p>
    <w:p>
      <w:pPr>
        <w:spacing w:after="0" w:line="17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the event the Company was required to repay the amount outstanding under the existing credit facility, it would need to obtain alternative sources of financing to continue its operating activities at existing levels. There can be no assurance that alternative financing would be available on acceptable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ind w:right="40"/>
        <w:spacing w:after="0" w:line="288" w:lineRule="auto"/>
        <w:rPr>
          <w:sz w:val="20"/>
          <w:szCs w:val="20"/>
          <w:color w:val="auto"/>
        </w:rPr>
      </w:pPr>
      <w:r>
        <w:rPr>
          <w:rFonts w:ascii="Arial" w:cs="Arial" w:eastAsia="Arial" w:hAnsi="Arial"/>
          <w:sz w:val="16"/>
          <w:szCs w:val="16"/>
          <w:color w:val="auto"/>
        </w:rPr>
        <w:t>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proposed 157-c.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157-c clarifies the principles in SFAS 157 on the fair value measurement of liabilities. Public comments on FSP 157-c were due in February 2008, and responses and recommendations were presented to the board on April 9, 2008. The Company adopted SFAS 157 as of January 1, 2008, with the exception of the application of the statement to non-recurring nonfinancial assets and nonfinancial liabilities. Refer to Note 10 to the Condensed Consolidated Financial Statements for additional discussion on fair value measurements.</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which is effective for fiscal years beginning after November 15, 2007. This statement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The Company have adopted SFAS 159 as of January 1, 2008 and have elected not to measure any additional financial instruments or other items at fair value.</w:t>
      </w:r>
    </w:p>
    <w:p>
      <w:pPr>
        <w:spacing w:after="0" w:line="174" w:lineRule="exact"/>
        <w:rPr>
          <w:sz w:val="20"/>
          <w:szCs w:val="20"/>
          <w:color w:val="auto"/>
        </w:rPr>
      </w:pPr>
    </w:p>
    <w:p>
      <w:pPr>
        <w:jc w:val="both"/>
        <w:ind w:right="340" w:firstLine="351"/>
        <w:spacing w:after="0" w:line="303" w:lineRule="auto"/>
        <w:rPr>
          <w:sz w:val="20"/>
          <w:szCs w:val="20"/>
          <w:color w:val="auto"/>
        </w:rPr>
      </w:pPr>
      <w:r>
        <w:rPr>
          <w:rFonts w:ascii="Arial" w:cs="Arial" w:eastAsia="Arial" w:hAnsi="Arial"/>
          <w:sz w:val="15"/>
          <w:szCs w:val="15"/>
          <w:color w:val="auto"/>
        </w:rPr>
        <w:t>In December 2007, the FASB issued SFAS No. 141 (revised 2007), "Business Combinations" (SFAS 141(R)), which replaces SFAS No. 141, "Business Combinations." SFAS 141(R) retains the underlying concepts of SFAS 141 in that all business combinations are still required to be accounted for at fair value under the acquisition method of accounting, but SFAS 141(R) changed the method of applying the acquisition method in a number of significant aspects.</w:t>
      </w:r>
    </w:p>
    <w:p>
      <w:pPr>
        <w:spacing w:after="0" w:line="1"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Acquisition costs will generally be expensed as incurred; noncontrolling interests will be valued at fair value at the acquisition date; in-process research and development will be recorded at fair value as an indefinite-lived intangible asset at the acquisition date; restructuring costs associated with a business combination will generally be expensed subsequent to the acquisition date; and any adjustments to an entity's deferred tax assets and uncertain tax positions that occur after the measurement period be recorded as a component of income tax expense. SFAS 141(R) is effective on a prospective basis for all business combinations for which the acquisition date is on or after the beginning of the first annual period subsequent to December 15, 2008. Additionally, SFAS 141 (R) is effective for changes to valuation allowances or acquired uncertain tax positions occurring after the effective date of SFAS 141 (R), where the acquisition date occurs prior to the effective date for SFAS 141 (R). Early adoption is not permitted. The Company is currently evaluating the effects, if any, that SFAS 141(R) may have on its financial statements; however, since the Company has significant acquired deferred tax assets for which full valuation allowances were recorded at the acquisition date, SFAS 141(R) could significantly affect the results of operations if changes in the valuation allowances occur subsequent to adoption. For additional discussion on deferred tax valuation allowances, refer to Note 10 to the Consolidated Financial Statements in our 2007 Annual Report filed on Form 10-K.</w:t>
      </w:r>
    </w:p>
    <w:p>
      <w:pPr>
        <w:spacing w:after="0" w:line="16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ARB No. 51." This statement is effective for fiscal years, and interim periods within those fiscal years, beginning on or after December 15, 2008, with earlier adoption prohibited. This statement requires the recognition of a noncontrolling interest (minority interest) as equity in the consolidated financial statements and separate from the parent's equity.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ind w:right="180"/>
        <w:spacing w:after="0" w:line="298" w:lineRule="auto"/>
        <w:rPr>
          <w:sz w:val="20"/>
          <w:szCs w:val="20"/>
          <w:color w:val="auto"/>
        </w:rPr>
      </w:pPr>
      <w:r>
        <w:rPr>
          <w:rFonts w:ascii="Arial" w:cs="Arial" w:eastAsia="Arial" w:hAnsi="Arial"/>
          <w:sz w:val="16"/>
          <w:szCs w:val="16"/>
          <w:color w:val="auto"/>
        </w:rPr>
        <w:t>amount of net income attributable to the noncontrolling interest will be included in consolidated net income on the face of the income statement. It also amends certain of ARB No. 51's consolidation procedures for consistency with the requirements of SFAS 141(R). This statement also includes expanded disclosure requirements regarding the interests of the parent and its noncontrolling interest. The Company is currently evaluating this new statement and anticipate that the statement will not have a significant impact on the reporting of its results of operations.</w:t>
      </w:r>
    </w:p>
    <w:p>
      <w:pPr>
        <w:spacing w:after="0" w:line="16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December 2007, the EITF issued Issue No. 07-1, "Accounting for Collaborative Arrangements." This Issue is effective for financial statements issued for fiscal years beginning after December 15, 2008, and interim periods within those fiscal years, and shall be applied retrospectively to all prior periods presented for all collaborative arrangements existing as of the effective date. This Issue requires that transactions with third parties (i.e., revenue generated and costs incurred by the partners) should be reported in the appropriate line item in each company's financial statement pursuant to the guidance in EITF Issue No. 99-19, "Reporting Revenue Gross as a Principal versus Net as an Agent." This Issue also includes enhanced disclosure requirements regarding the nature and purpose of the arrangement, rights and obligations under the arrangement, accounting policy, mount and income statement classification of collaboration transactions between the parties. The Company is currently evaluating this new statement and anticipate that the statement will not have a significant impact on the reporting of its results of operations.</w:t>
      </w:r>
    </w:p>
    <w:p>
      <w:pPr>
        <w:spacing w:after="0" w:line="172"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"Accounting for Derivative Instruments and Hedging Activities"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The Company is currently evaluating the disclosure implications of this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had the following three stock option plans under which shares were available for grant at March 30, 2008: the 1999 Equity Incentive Plan (the "1999 Plan"), the 2000 Non-Statutory Stock Option Plan (the "2000 Plan") and the 2005 Equity Incentive Plan (the "2005 Plan"). In addition, the Company has a form of Restricted Stock Unit Agreement (the "RSU Agreement") to govern the issuance of restricted stock units ("RSU") to executive officers under the Company's 2005 Equity Incentive Plan (the "Plan").</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following table summarizes the Company's Restricted Stock Unit activity: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w w:val="88"/>
              </w:rPr>
              <w:t>Weighted-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Units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Grant-Date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800" w:type="dxa"/>
            <w:vAlign w:val="bottom"/>
            <w:gridSpan w:val="2"/>
          </w:tcPr>
          <w:p>
            <w:pPr>
              <w:ind w:left="1140"/>
              <w:spacing w:after="0"/>
              <w:rPr>
                <w:sz w:val="20"/>
                <w:szCs w:val="20"/>
                <w:color w:val="auto"/>
              </w:rPr>
            </w:pPr>
            <w:r>
              <w:rPr>
                <w:rFonts w:ascii="Arial" w:cs="Arial" w:eastAsia="Arial" w:hAnsi="Arial"/>
                <w:sz w:val="14"/>
                <w:szCs w:val="14"/>
                <w:b w:val="1"/>
                <w:bCs w:val="1"/>
                <w:color w:val="auto"/>
              </w:rPr>
              <w:t>(Shares in Thousands)</w:t>
            </w:r>
          </w:p>
        </w:tc>
        <w:tc>
          <w:tcPr>
            <w:tcW w:w="2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(000's)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Fair Value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beginning of period</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Grants</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760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Cancellations/Forfeitures</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March 30, 2008</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0" w:type="dxa"/>
            <w:vAlign w:val="bottom"/>
            <w:vMerge w:val="restart"/>
          </w:tcPr>
          <w:p>
            <w:pPr>
              <w:jc w:val="right"/>
              <w:ind w:right="1112"/>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64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-1523365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-1523365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-1523365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-1523365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-1523365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-1523365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-820420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-820420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-820420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-820420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left="360"/>
        <w:spacing w:after="0"/>
        <w:rPr>
          <w:sz w:val="20"/>
          <w:szCs w:val="20"/>
          <w:color w:val="auto"/>
        </w:rPr>
      </w:pPr>
      <w:r>
        <w:rPr>
          <w:rFonts w:ascii="Arial" w:cs="Arial" w:eastAsia="Arial" w:hAnsi="Arial"/>
          <w:sz w:val="16"/>
          <w:szCs w:val="16"/>
          <w:color w:val="auto"/>
        </w:rPr>
        <w:t>The following table shows the amounts recognized in the financial statements for the three months ended March 31, 2007 and March 30, 2008 for share-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 related to employees (in millions, except per share data). The share-based compensation expense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2007 and March 30, 2008 primarily relates to the grant of restricted stock units. In addition, for the three months ended March 31, 2007 and March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2008, there was no incremental tax benefit from stock options exercised in the period.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center"/>
              <w:ind w:left="372"/>
              <w:spacing w:after="0"/>
              <w:rPr>
                <w:sz w:val="20"/>
                <w:szCs w:val="20"/>
                <w:color w:val="auto"/>
              </w:rPr>
            </w:pPr>
            <w:r>
              <w:rPr>
                <w:rFonts w:ascii="Arial" w:cs="Arial" w:eastAsia="Arial" w:hAnsi="Arial"/>
                <w:sz w:val="14"/>
                <w:szCs w:val="14"/>
                <w:b w:val="1"/>
                <w:bCs w:val="1"/>
                <w:color w:val="auto"/>
                <w:w w:val="89"/>
              </w:rPr>
              <w:t>Three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7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83"/>
              </w:rPr>
              <w:t>2007</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center"/>
              <w:ind w:right="199"/>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72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Total cost of employee share-based compensation included in</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loss, before income tax</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 of income tax recognized in earnings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Amount charged against income from continuing operations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Total charged against income</w:t>
            </w:r>
          </w:p>
        </w:tc>
        <w:tc>
          <w:tcPr>
            <w:tcW w:w="1720" w:type="dxa"/>
            <w:vAlign w:val="bottom"/>
            <w:gridSpan w:val="2"/>
          </w:tcPr>
          <w:p>
            <w:pPr>
              <w:jc w:val="right"/>
              <w:ind w:right="123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Impact on net loss per common share:</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ind w:right="123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-2087880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-2087880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-2087880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-2087880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-1658620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-1658620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-1658620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-1658620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-1092835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-1092835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-1092835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-1092835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-801370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-801370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-801370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-801370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changes in Stockholders' Equity for the quarters ended March 31, 2007 and March 30, 2008 is provided below (in millions):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jc w:val="center"/>
              <w:ind w:left="372"/>
              <w:spacing w:after="0"/>
              <w:rPr>
                <w:sz w:val="20"/>
                <w:szCs w:val="20"/>
                <w:color w:val="auto"/>
              </w:rPr>
            </w:pPr>
            <w:r>
              <w:rPr>
                <w:rFonts w:ascii="Arial" w:cs="Arial" w:eastAsia="Arial" w:hAnsi="Arial"/>
                <w:sz w:val="14"/>
                <w:szCs w:val="14"/>
                <w:b w:val="1"/>
                <w:bCs w:val="1"/>
                <w:color w:val="auto"/>
                <w:w w:val="89"/>
              </w:rPr>
              <w:t>Three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880" w:type="dxa"/>
            <w:vAlign w:val="bottom"/>
            <w:gridSpan w:val="2"/>
          </w:tcPr>
          <w:p>
            <w:pPr>
              <w:jc w:val="center"/>
              <w:ind w:left="859"/>
              <w:spacing w:after="0"/>
              <w:rPr>
                <w:sz w:val="20"/>
                <w:szCs w:val="20"/>
                <w:color w:val="auto"/>
              </w:rPr>
            </w:pPr>
            <w:r>
              <w:rPr>
                <w:rFonts w:ascii="Arial" w:cs="Arial" w:eastAsia="Arial" w:hAnsi="Arial"/>
                <w:sz w:val="14"/>
                <w:szCs w:val="14"/>
                <w:b w:val="1"/>
                <w:bCs w:val="1"/>
                <w:color w:val="auto"/>
                <w:w w:val="83"/>
              </w:rPr>
              <w:t>2007</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center"/>
              <w:ind w:right="200"/>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beginning of period</w:t>
            </w:r>
          </w:p>
        </w:tc>
        <w:tc>
          <w:tcPr>
            <w:tcW w:w="188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187.1</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 for Haverstick acquisition</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Cumulative effect adjustment upon adoption of FIN No. 48</w:t>
            </w: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 for acquisition</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end of period</w:t>
            </w:r>
          </w:p>
        </w:tc>
        <w:tc>
          <w:tcPr>
            <w:tcW w:w="188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-1300480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-1300480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-1300480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-1300480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-323215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-323215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Company has two classes of stock, Series B Convertible Preferred Stock and Common Stock. There was no issuance, redemption or conversion of the Series B Convertible Preferred Stock in the most recent fiscal year ended December 31, 2007 or for the quarter ended March 30, 2008. Common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ind w:right="600"/>
        <w:spacing w:after="0" w:line="268" w:lineRule="auto"/>
        <w:rPr>
          <w:sz w:val="20"/>
          <w:szCs w:val="20"/>
          <w:color w:val="auto"/>
        </w:rPr>
      </w:pPr>
      <w:r>
        <w:rPr>
          <w:rFonts w:ascii="Arial" w:cs="Arial" w:eastAsia="Arial" w:hAnsi="Arial"/>
          <w:sz w:val="18"/>
          <w:szCs w:val="18"/>
          <w:color w:val="auto"/>
        </w:rPr>
        <w:t>stock issued by the Company for the most recent fiscal year ended December 31, 2007 and through the quarter ended March 30, 2008 was as follows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0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4"/>
              </w:rPr>
              <w:t>Year 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0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74"/>
        </w:trPr>
        <w:tc>
          <w:tcPr>
            <w:tcW w:w="6880" w:type="dxa"/>
            <w:vAlign w:val="bottom"/>
            <w:gridSpan w:val="3"/>
          </w:tcPr>
          <w:p>
            <w:pPr>
              <w:jc w:val="center"/>
              <w:ind w:left="5972"/>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5"/>
                <w:szCs w:val="15"/>
                <w:color w:val="auto"/>
              </w:rPr>
            </w:pPr>
          </w:p>
        </w:tc>
        <w:tc>
          <w:tcPr>
            <w:tcW w:w="190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at the beginning of the period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73.9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Common stock issued for acquisitions</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right w:val="single" w:sz="8" w:color="CCEEFF"/>
            </w:tcBorders>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Stock options exercised</w:t>
            </w: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at the end of the period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79.0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-1026160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-1026160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-1026160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-1026160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-323215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Company has an Employee Stock Purchase Plan (ESPP) which was approved in 1999 and subsequently suspended effective January 1, 2006. The Company reactivated the ESPP on April 1,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calculates net income (loss) per share in accordance with SFAS No. 128, "Earnings Per Share". Under SFAS No. 128,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900" w:type="dxa"/>
            <w:vAlign w:val="bottom"/>
          </w:tcPr>
          <w:p>
            <w:pPr>
              <w:jc w:val="center"/>
              <w:ind w:left="252"/>
              <w:spacing w:after="0"/>
              <w:rPr>
                <w:sz w:val="20"/>
                <w:szCs w:val="20"/>
                <w:color w:val="auto"/>
              </w:rPr>
            </w:pPr>
            <w:r>
              <w:rPr>
                <w:rFonts w:ascii="Arial" w:cs="Arial" w:eastAsia="Arial" w:hAnsi="Arial"/>
                <w:sz w:val="14"/>
                <w:szCs w:val="14"/>
                <w:b w:val="1"/>
                <w:bCs w:val="1"/>
                <w:color w:val="auto"/>
                <w:w w:val="89"/>
              </w:rPr>
              <w:t>March 31,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74"/>
        </w:trPr>
        <w:tc>
          <w:tcPr>
            <w:tcW w:w="84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154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Anti-dilutive weighted shares from stock options excluded from calculation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Anti-dilutive weighted shares from preferred stock excluded from calculation</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Anti-dilutive weighted shares of common stock contingently issuable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-492760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-492760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-492760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-492760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adopted the provisions of FIN 48 on January 1, 2007. The total liability for unrecognized tax benefits as of the date of adoption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 million. Additionally, the Company has a tax refund claim of $2.4 million for which it has not recorded any benefit under FIN 48 or prior standards.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the implementation of FIN 48, the Company recognized a $0.7 million increase in the liability for unrecognized tax benefits, with $0.2 million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valuation allowance, $0.1 million charged to retained earnings, and $0.4 million recorded to goodwill. In addition, the Company reduced its gross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by $10.8 million for unrecognized tax benefits, which was offset by a reduction in its valuation allowance by the same amount.</w:t>
      </w:r>
    </w:p>
    <w:p>
      <w:pPr>
        <w:spacing w:after="0" w:line="242" w:lineRule="exact"/>
        <w:rPr>
          <w:sz w:val="20"/>
          <w:szCs w:val="20"/>
          <w:color w:val="auto"/>
        </w:rPr>
      </w:pPr>
    </w:p>
    <w:p>
      <w:pPr>
        <w:jc w:val="both"/>
        <w:ind w:right="460" w:firstLine="341"/>
        <w:spacing w:after="0" w:line="306" w:lineRule="auto"/>
        <w:rPr>
          <w:sz w:val="20"/>
          <w:szCs w:val="20"/>
          <w:color w:val="auto"/>
        </w:rPr>
      </w:pPr>
      <w:r>
        <w:rPr>
          <w:rFonts w:ascii="Arial" w:cs="Arial" w:eastAsia="Arial" w:hAnsi="Arial"/>
          <w:sz w:val="16"/>
          <w:szCs w:val="16"/>
          <w:color w:val="auto"/>
        </w:rPr>
        <w:t>As of December 31, 2007, the Company had $15.2 million of unrecognized tax benefits. During the first quarter of 2008, this amount was reduced by $1.2 million relating to the expiration of statutes of limitations resulting in unrecognized tax benefits at March 31, 2008 of $14.0 million. The reduction in unrecognized tax benefits was recorded as a tax benefit from discontinued operations for $1.1 million and a reduction to goodwill for $0.1 million.</w:t>
      </w:r>
    </w:p>
    <w:p>
      <w:pPr>
        <w:spacing w:after="0" w:line="16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There were no material amounts recorded during the periods ended March 31, 2007 and March 30, 2008.</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13" w:name="page14"/>
    <w:bookmarkEnd w:id="13"/>
    <w:p>
      <w:pPr>
        <w:ind w:right="120" w:firstLine="348"/>
        <w:spacing w:after="0" w:line="332" w:lineRule="auto"/>
        <w:rPr>
          <w:sz w:val="20"/>
          <w:szCs w:val="20"/>
          <w:color w:val="auto"/>
        </w:rPr>
      </w:pPr>
      <w:r>
        <w:rPr>
          <w:rFonts w:ascii="Arial" w:cs="Arial" w:eastAsia="Arial" w:hAnsi="Arial"/>
          <w:sz w:val="16"/>
          <w:szCs w:val="16"/>
          <w:color w:val="auto"/>
        </w:rPr>
        <w:t>The Company believes that it is reasonably possible that as much as $3 million of the FIN 48 tax liabilities will expire within 12 months of March 30, 2008 due to the expiration of various applicable statutes of limitations and possible settlement of a pending income tax refund claim.</w:t>
      </w:r>
    </w:p>
    <w:p>
      <w:pPr>
        <w:spacing w:after="0" w:line="139"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net deferred tax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December 28, 2006, the Board of Directors of the Company approved a plan to divest portions of the Company's business where critical mass had not been achieved. This plan involved the divestiture of the Company's EMEA (Europe, Middle East and Asia) operations and its remaining South American operations. The Company determined that these operations met the criteria to be classified as held for sale. Accordingly, these operations were reflected as discontinued in accordance with SFAS No. 144, "Accounting for the Impairment or Disposal of Long-Lived Assets" in the accompanying consolidated financial statements.</w:t>
      </w:r>
    </w:p>
    <w:p>
      <w:pPr>
        <w:spacing w:after="0" w:line="197"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EMEA operations were sold to LCC International, Inc. (LCC) on March 9, 2007 for $4.0 million in cash, $3.3 million of which was received on that date. The Company also received approximately $1.8 million from its EMEA operations, prior and subsequent to the closing date as payment on outstanding intercompany debt. The sale of EMEA generated a gain on disposition of $3.3 million. The balance of the $0.7 million sales price was withheld as security for the satisfaction of certain indemnification obligations and was payable on March 31, 2008. In the fourth quarter of 2007, the Company recorded a reserve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$0.7 million on the remaining sales price holdback based on the Company's assessment of LCC's available liquidity and ability to pay following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review of LCC's most recently filed financial statements, thereby reducing the net estimated gain on this transaction to $2.6 million. In May 2008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LCC reached an agreement related to the $0.7 million holdback amount, under which LCC has agreed to pay the Company the outstanding balance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 increments each month commencing June 30, 2008. The Company intends to record income from discontinued operations in the period each payment 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collected.</w:t>
      </w:r>
    </w:p>
    <w:p>
      <w:pPr>
        <w:spacing w:after="0" w:line="219"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April 20, 2007, the Company entered into an Equity Purchase Agreement to sell all of the issued and outstanding equity of its interests of its wholly owned subsidiary WFI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The Company recorded an impairment charge of approximately $5.2 million as of December 31, 2006 to reduce the current carrying value of the Brazil operations to their estimated fair value based upon current indications of interest. In the second quarter of 2007, when this business was sold, a gain on disposition of $0.2 million was recorded primarily due to lower than expected selling costs.</w:t>
      </w:r>
    </w:p>
    <w:p>
      <w:pPr>
        <w:spacing w:after="0" w:line="17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May 29, 2007, the Company entered into an Asset Purchase Agreement with LCC pursuant to which the Company agreed to sell to LCC all of the assets used in the conduct of the operation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ind w:right="440"/>
        <w:spacing w:after="0" w:line="268" w:lineRule="auto"/>
        <w:rPr>
          <w:sz w:val="20"/>
          <w:szCs w:val="20"/>
          <w:color w:val="auto"/>
        </w:rPr>
      </w:pPr>
      <w:r>
        <w:rPr>
          <w:rFonts w:ascii="Arial" w:cs="Arial" w:eastAsia="Arial" w:hAnsi="Arial"/>
          <w:sz w:val="18"/>
          <w:szCs w:val="18"/>
          <w:color w:val="auto"/>
        </w:rPr>
        <w:t>Company's Wireless Network Services business segment that provides engineering services to the non-government wireless communications industry in the United States.</w:t>
      </w:r>
    </w:p>
    <w:p>
      <w:pPr>
        <w:spacing w:after="0" w:line="18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transaction was completed on June 4, 2007. The aggregate consideration paid by LCC in connection with the Acquisition was $46 million. LCC delivered a subordinated promissory note for the principal amount of $21.6 million (the "</w:t>
      </w:r>
      <w:r>
        <w:rPr>
          <w:rFonts w:ascii="Arial" w:cs="Arial" w:eastAsia="Arial" w:hAnsi="Arial"/>
          <w:sz w:val="18"/>
          <w:szCs w:val="18"/>
          <w:i w:val="1"/>
          <w:iCs w:val="1"/>
          <w:color w:val="auto"/>
        </w:rPr>
        <w:t>Subordinated Promissory Note</w:t>
      </w:r>
      <w:r>
        <w:rPr>
          <w:rFonts w:ascii="Arial" w:cs="Arial" w:eastAsia="Arial" w:hAnsi="Arial"/>
          <w:sz w:val="18"/>
          <w:szCs w:val="18"/>
          <w:color w:val="auto"/>
        </w:rPr>
        <w:t>"), paid $17 million at closing and paid final working capital adjustments of $2.4 million through an amendment to the Subordinated Promissory Note, and the Company retained an estimated $5.0 million in net working capital of the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5, 2007, the Company sold the $21.6 million subordinated promissory note taken in the sale of assets to LCC in exchange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$19.6 million in net cash proceeds, reflecting a discount from par value of less than five percent and aggregate transaction fees of approximately $1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 was acquired by a fund affiliated with Silver Point Capital, L.P. In addition, the Company and LCC agreed to a final working capital calculation of</w:t>
      </w:r>
    </w:p>
    <w:p>
      <w:pPr>
        <w:spacing w:after="0" w:line="3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$2.4 million. The Company collected $2.3 million in January 2008, net of a $0.1 million discount from Silver Point in accordance with the terms of the note agreement. The Company did not provide any guaranty for LCC's payment obligations for the note.</w:t>
      </w:r>
    </w:p>
    <w:p>
      <w:pPr>
        <w:spacing w:after="0" w:line="19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July 24, 2007, the Company completed the sale to an affiliate of Platinum Equity of its wireless deployment services portion of the Wireless Network Services segment and the Wireless Facilities trade and corporate names. The total consideration for the acquisition was $24 million including $18 million in cash at closing, subject to typical post-closing working capital adjustments, and an aggregate $6 million in a three-year earn-out arrangement. The Company provided certain transition services to Platinum Equity for a period of nine months pursuant to a Transition Services Agreement. Under an employee leasing arrangement with Platinum Equity, the Company serviced the payroll for the deployment business employees until October 1, 2007. On September 25, 2007, in accordance with the acquisition agreement, the Company provided its working capital calculation to Platinum Equity. However, the Company has not been able to come to an agreement with Platinum Equity on the amount of the working capital adjustment. Pursuant to the terms of the agreement, both parties are in the process of choosing a firm to resolve this issue. As of March 30, 2008, the balance of the Company's calculation has been reflected in other current liabilities.</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Company determined that the U.S. engineering and U.S. deployment operations met the criteria to be classified as held for sale in the first quarter of 2007. Accordingly, the Company has reflected these operations as discontinued and assessed these assets for impairment in accordance with SFAS No. 144, "Accounting for the Impairment or Disposal of Long-Lived Assets". The Company determined that the assets of the U.S. deployment operations were impaired and recorded an impairment charge of approximately $13.4 million. The fair value of the assets was determined by utilizing the sale price less estimated costs to sell the business. The Company subsequently recorded a gain in discontinued operations from the sale of the U.S. engineering operations of $14.8 million. Upon the divestiture of the deployment business, the Company recorded a loss from disposal of $1.9 million, reflecting the closing working capital adjustment and final closing balance sheet. In addition, the Company recorded a charge for an excess facility accrual of approximately $1.1 million related to certain facility leases of Deployment field offices that were not assumed by Platinum.</w:t>
      </w:r>
    </w:p>
    <w:p>
      <w:pPr>
        <w:spacing w:after="0" w:line="172"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the Company's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charge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approximately $7.2 million related to goodwill for this reporting unit which was recorded in the first quarter of 2007.</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In addition,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xml:space="preserve"> ("EITF 87-24"), interest expense incurred on the debt that was required to be repaid as a result of the sales of our wireless network services business was allocated to discontinued operations for the periods presented. During the periods ended March 31, 2007 and March 30, 2008, interest expense allocated to discontinued operations was approximately $1.1 million and zero, respectively. For the three months ended March 30, 2008, the primary activity related to discontinued operations was a reduction in tax contingencies net of a charge for impairment of assets. The following table presents the results of discontinued operations (in millions):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(loss) after taxes</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-633730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-633730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-633730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-633730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the assets and liabilities of discontinued operations as of December 31, 2007 and March 30, 2008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0" w:type="dxa"/>
            <w:vAlign w:val="bottom"/>
          </w:tcPr>
          <w:p>
            <w:pPr>
              <w:jc w:val="right"/>
              <w:ind w:right="72"/>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75"/>
              <w:spacing w:after="0"/>
              <w:rPr>
                <w:sz w:val="20"/>
                <w:szCs w:val="20"/>
                <w:color w:val="auto"/>
              </w:rPr>
            </w:pPr>
            <w:r>
              <w:rPr>
                <w:rFonts w:ascii="Arial" w:cs="Arial" w:eastAsia="Arial" w:hAnsi="Arial"/>
                <w:sz w:val="14"/>
                <w:szCs w:val="14"/>
                <w:b w:val="1"/>
                <w:bCs w:val="1"/>
                <w:color w:val="auto"/>
              </w:rPr>
              <w:t>March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9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980" w:type="dxa"/>
            <w:vAlign w:val="bottom"/>
            <w:gridSpan w:val="2"/>
            <w:shd w:val="clear" w:color="auto" w:fill="CCEEFF"/>
          </w:tcPr>
          <w:p>
            <w:pPr>
              <w:jc w:val="right"/>
              <w:ind w:right="1252"/>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shd w:val="clear" w:color="auto" w:fill="CCEEFF"/>
          </w:tcPr>
          <w:p>
            <w:pPr>
              <w:spacing w:after="0"/>
              <w:rPr>
                <w:sz w:val="18"/>
                <w:szCs w:val="18"/>
                <w:color w:val="auto"/>
              </w:rPr>
            </w:pPr>
          </w:p>
        </w:tc>
        <w:tc>
          <w:tcPr>
            <w:tcW w:w="14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40" w:type="dxa"/>
            <w:vAlign w:val="bottom"/>
            <w:gridSpan w:val="2"/>
          </w:tcPr>
          <w:p>
            <w:pPr>
              <w:spacing w:after="0"/>
              <w:rPr>
                <w:sz w:val="10"/>
                <w:szCs w:val="10"/>
                <w:color w:val="auto"/>
              </w:rPr>
            </w:pPr>
          </w:p>
        </w:tc>
        <w:tc>
          <w:tcPr>
            <w:tcW w:w="258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Current assets of discontinued operations</w:t>
            </w:r>
          </w:p>
        </w:tc>
        <w:tc>
          <w:tcPr>
            <w:tcW w:w="3980" w:type="dxa"/>
            <w:vAlign w:val="bottom"/>
            <w:gridSpan w:val="2"/>
          </w:tcPr>
          <w:p>
            <w:pPr>
              <w:jc w:val="right"/>
              <w:ind w:right="12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2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00" w:type="dxa"/>
            <w:vAlign w:val="bottom"/>
            <w:tcBorders>
              <w:left w:val="single" w:sz="8" w:color="808080"/>
            </w:tcBorders>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980" w:type="dxa"/>
            <w:vAlign w:val="bottom"/>
            <w:gridSpan w:val="2"/>
            <w:shd w:val="clear" w:color="auto" w:fill="CCEEFF"/>
          </w:tcPr>
          <w:p>
            <w:pPr>
              <w:jc w:val="right"/>
              <w:ind w:right="1252"/>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40" w:type="dxa"/>
            <w:vAlign w:val="bottom"/>
            <w:gridSpan w:val="2"/>
          </w:tcPr>
          <w:p>
            <w:pPr>
              <w:spacing w:after="0"/>
              <w:rPr>
                <w:sz w:val="10"/>
                <w:szCs w:val="10"/>
                <w:color w:val="auto"/>
              </w:rPr>
            </w:pPr>
          </w:p>
        </w:tc>
        <w:tc>
          <w:tcPr>
            <w:tcW w:w="258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Non-current assets of discontinued operations</w:t>
            </w:r>
          </w:p>
        </w:tc>
        <w:tc>
          <w:tcPr>
            <w:tcW w:w="3980" w:type="dxa"/>
            <w:vAlign w:val="bottom"/>
            <w:gridSpan w:val="2"/>
          </w:tcPr>
          <w:p>
            <w:pPr>
              <w:jc w:val="right"/>
              <w:ind w:right="12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2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00" w:type="dxa"/>
            <w:vAlign w:val="bottom"/>
            <w:tcBorders>
              <w:left w:val="single" w:sz="8" w:color="808080"/>
            </w:tcBorders>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980" w:type="dxa"/>
            <w:vAlign w:val="bottom"/>
            <w:gridSpan w:val="2"/>
            <w:shd w:val="clear" w:color="auto" w:fill="CCEEFF"/>
          </w:tcPr>
          <w:p>
            <w:pPr>
              <w:jc w:val="right"/>
              <w:ind w:right="1252"/>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Accrued expenses</w:t>
            </w: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tax contingencies</w:t>
            </w:r>
          </w:p>
        </w:tc>
        <w:tc>
          <w:tcPr>
            <w:tcW w:w="2580" w:type="dxa"/>
            <w:vAlign w:val="bottom"/>
            <w:shd w:val="clear" w:color="auto" w:fill="CCEEFF"/>
          </w:tcPr>
          <w:p>
            <w:pPr>
              <w:spacing w:after="0"/>
              <w:rPr>
                <w:sz w:val="18"/>
                <w:szCs w:val="18"/>
                <w:color w:val="auto"/>
              </w:rPr>
            </w:pPr>
          </w:p>
        </w:tc>
        <w:tc>
          <w:tcPr>
            <w:tcW w:w="14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3980" w:type="dxa"/>
            <w:vAlign w:val="bottom"/>
            <w:gridSpan w:val="2"/>
            <w:shd w:val="clear" w:color="auto" w:fill="CCEEFF"/>
          </w:tcPr>
          <w:p>
            <w:pPr>
              <w:jc w:val="right"/>
              <w:ind w:right="1252"/>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40" w:type="dxa"/>
            <w:vAlign w:val="bottom"/>
            <w:gridSpan w:val="2"/>
          </w:tcPr>
          <w:p>
            <w:pPr>
              <w:spacing w:after="0"/>
              <w:rPr>
                <w:sz w:val="9"/>
                <w:szCs w:val="9"/>
                <w:color w:val="auto"/>
              </w:rPr>
            </w:pPr>
          </w:p>
        </w:tc>
        <w:tc>
          <w:tcPr>
            <w:tcW w:w="39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40" w:type="dxa"/>
            <w:vAlign w:val="bottom"/>
            <w:gridSpan w:val="2"/>
          </w:tcPr>
          <w:p>
            <w:pPr>
              <w:spacing w:after="0"/>
              <w:rPr>
                <w:sz w:val="5"/>
                <w:szCs w:val="5"/>
                <w:color w:val="auto"/>
              </w:rPr>
            </w:pPr>
          </w:p>
        </w:tc>
        <w:tc>
          <w:tcPr>
            <w:tcW w:w="2580" w:type="dxa"/>
            <w:vAlign w:val="bottom"/>
          </w:tcPr>
          <w:p>
            <w:pPr>
              <w:spacing w:after="0"/>
              <w:rPr>
                <w:sz w:val="5"/>
                <w:szCs w:val="5"/>
                <w:color w:val="auto"/>
              </w:rPr>
            </w:pPr>
          </w:p>
        </w:tc>
        <w:tc>
          <w:tcPr>
            <w:tcW w:w="1400" w:type="dxa"/>
            <w:vAlign w:val="bottom"/>
            <w:tcBorders>
              <w:left w:val="single" w:sz="8" w:color="808080"/>
            </w:tcBorders>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Non-current income tax contingencies</w:t>
            </w:r>
          </w:p>
        </w:tc>
        <w:tc>
          <w:tcPr>
            <w:tcW w:w="3980" w:type="dxa"/>
            <w:vAlign w:val="bottom"/>
            <w:gridSpan w:val="2"/>
          </w:tcPr>
          <w:p>
            <w:pPr>
              <w:jc w:val="right"/>
              <w:ind w:right="12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580" w:type="dxa"/>
            <w:vAlign w:val="bottom"/>
            <w:shd w:val="clear" w:color="auto" w:fill="CCEEFF"/>
          </w:tcPr>
          <w:p>
            <w:pPr>
              <w:spacing w:after="0"/>
              <w:rPr>
                <w:sz w:val="18"/>
                <w:szCs w:val="18"/>
                <w:color w:val="auto"/>
              </w:rPr>
            </w:pPr>
          </w:p>
        </w:tc>
        <w:tc>
          <w:tcPr>
            <w:tcW w:w="14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40" w:type="dxa"/>
            <w:vAlign w:val="bottom"/>
            <w:gridSpan w:val="2"/>
          </w:tcPr>
          <w:p>
            <w:pPr>
              <w:spacing w:after="0"/>
              <w:rPr>
                <w:sz w:val="10"/>
                <w:szCs w:val="10"/>
                <w:color w:val="auto"/>
              </w:rPr>
            </w:pPr>
          </w:p>
        </w:tc>
        <w:tc>
          <w:tcPr>
            <w:tcW w:w="258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Non-current liabilities of discontinued operations</w:t>
            </w:r>
          </w:p>
        </w:tc>
        <w:tc>
          <w:tcPr>
            <w:tcW w:w="3980" w:type="dxa"/>
            <w:vAlign w:val="bottom"/>
            <w:gridSpan w:val="2"/>
          </w:tcPr>
          <w:p>
            <w:pPr>
              <w:jc w:val="right"/>
              <w:ind w:right="12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580" w:type="dxa"/>
            <w:vAlign w:val="bottom"/>
            <w:vMerge w:val="restart"/>
          </w:tcPr>
          <w:p>
            <w:pPr>
              <w:jc w:val="right"/>
              <w:ind w:right="1534"/>
              <w:spacing w:after="0"/>
              <w:rPr>
                <w:sz w:val="20"/>
                <w:szCs w:val="20"/>
                <w:color w:val="auto"/>
              </w:rPr>
            </w:pPr>
            <w:r>
              <w:rPr>
                <w:rFonts w:ascii="Arial" w:cs="Arial" w:eastAsia="Arial" w:hAnsi="Arial"/>
                <w:sz w:val="18"/>
                <w:szCs w:val="18"/>
                <w:color w:val="auto"/>
              </w:rPr>
              <w:t>16</w:t>
            </w: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26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1400" w:type="dxa"/>
            <w:vAlign w:val="bottom"/>
            <w:tcBorders>
              <w:left w:val="single" w:sz="8" w:color="808080"/>
            </w:tcBorders>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-3736340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-3736340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-3736340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-3736340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-3169920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-3169920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-3169920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-3169920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-2569845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-2569845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-2569845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-2569845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-1557655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-1557655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-1557655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-1557655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-820420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-820420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-820420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-820420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Acquisitions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tables summarize the changes in the carrying amounts of goodwill and other finite-life intangible assets for the three months ended March 30, 2008,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Government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1"/>
              </w:rPr>
              <w:t>Solutions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w w:val="85"/>
              </w:rPr>
              <w:t>Balance as of December 31, 2007</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Borders>
              <w:right w:val="single" w:sz="8" w:color="CCEEFF"/>
            </w:tcBorders>
            <w:gridSpan w:val="3"/>
            <w:shd w:val="clear" w:color="auto" w:fill="CCEEFF"/>
          </w:tcPr>
          <w:p>
            <w:pPr>
              <w:jc w:val="right"/>
              <w:ind w:right="338"/>
              <w:spacing w:after="0"/>
              <w:rPr>
                <w:sz w:val="20"/>
                <w:szCs w:val="20"/>
                <w:color w:val="auto"/>
              </w:rPr>
            </w:pPr>
            <w:r>
              <w:rPr>
                <w:rFonts w:ascii="Arial" w:cs="Arial" w:eastAsia="Arial" w:hAnsi="Arial"/>
                <w:sz w:val="18"/>
                <w:szCs w:val="18"/>
                <w:color w:val="auto"/>
                <w:w w:val="95"/>
              </w:rPr>
              <w:t>Purchase accounting adjustments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00" w:type="dxa"/>
            <w:vAlign w:val="bottom"/>
            <w:gridSpan w:val="2"/>
          </w:tcPr>
          <w:p>
            <w:pPr>
              <w:ind w:left="1120"/>
              <w:spacing w:after="0"/>
              <w:rPr>
                <w:sz w:val="20"/>
                <w:szCs w:val="20"/>
                <w:color w:val="auto"/>
              </w:rPr>
            </w:pPr>
            <w:r>
              <w:rPr>
                <w:rFonts w:ascii="Arial" w:cs="Arial" w:eastAsia="Arial" w:hAnsi="Arial"/>
                <w:sz w:val="18"/>
                <w:szCs w:val="18"/>
                <w:color w:val="auto"/>
                <w:w w:val="94"/>
              </w:rPr>
              <w:t>Balance as of March 30, 2008</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December 31, 2007</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March 30, 2008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0"/>
                <w:szCs w:val="20"/>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20"/>
                <w:szCs w:val="20"/>
                <w:color w:val="auto"/>
              </w:rPr>
            </w:pPr>
          </w:p>
        </w:tc>
        <w:tc>
          <w:tcPr>
            <w:tcW w:w="660" w:type="dxa"/>
            <w:vAlign w:val="bottom"/>
          </w:tcPr>
          <w:p>
            <w:pPr>
              <w:jc w:val="right"/>
              <w:ind w:right="158"/>
              <w:spacing w:after="0"/>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0"/>
                <w:szCs w:val="20"/>
                <w:color w:val="auto"/>
              </w:rPr>
            </w:pPr>
          </w:p>
        </w:tc>
        <w:tc>
          <w:tcPr>
            <w:tcW w:w="660" w:type="dxa"/>
            <w:vAlign w:val="bottom"/>
          </w:tcPr>
          <w:p>
            <w:pPr>
              <w:jc w:val="right"/>
              <w:ind w:right="23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5"/>
                <w:szCs w:val="15"/>
                <w:color w:val="auto"/>
              </w:rPr>
            </w:pPr>
          </w:p>
        </w:tc>
        <w:tc>
          <w:tcPr>
            <w:tcW w:w="660" w:type="dxa"/>
            <w:vAlign w:val="bottom"/>
          </w:tcPr>
          <w:p>
            <w:pPr>
              <w:jc w:val="right"/>
              <w:ind w:right="158"/>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Acquired finite-lived intangible assets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Contracts and Backlog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-2904490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-2904490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-2338070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-2338070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-1643380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-1643380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-1643380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-1643380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-1300480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-1300480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-1300480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-1300480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-1300480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-1300480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-1300480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-1300480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-1300480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-1300480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-1300480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-1300480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-323215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-323215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-323215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-323215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-323215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-323215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-323215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-323215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-323215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-323215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Consolidated amortization expense related to intangible assets subject to amortization was $0.7 million and $1.2 million for the quarters ended March 31, 2007 and March 30, 2008, respectively.</w:t>
      </w:r>
    </w:p>
    <w:p>
      <w:pPr>
        <w:spacing w:after="0" w:line="186"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On December 31, 2007, the Company acquired Indianapolis, Indiana headquartered Haverstick Consulting, Inc. (Haverstick) as part of the Kratos Government Solutions Segment. Haverstick provides rocket and missile test and evaluation, weapons systems support, and professional services to the U.S. Army, U.S. Air Force, U.S. Navy, NASA, and other federal, state and local agencies. Through the Haverstick acquisition, the Company expanded its customer footprint within the DoD, and enhanced its presence with the U.S. Air Force, a key growth area for Kratos.</w:t>
      </w:r>
    </w:p>
    <w:p>
      <w:pPr>
        <w:spacing w:after="0" w:line="167" w:lineRule="exact"/>
        <w:rPr>
          <w:sz w:val="20"/>
          <w:szCs w:val="20"/>
          <w:color w:val="auto"/>
        </w:rPr>
      </w:pPr>
    </w:p>
    <w:p>
      <w:pPr>
        <w:ind w:right="40" w:firstLine="348"/>
        <w:spacing w:after="0" w:line="283" w:lineRule="auto"/>
        <w:rPr>
          <w:sz w:val="20"/>
          <w:szCs w:val="20"/>
          <w:color w:val="auto"/>
        </w:rPr>
      </w:pPr>
      <w:r>
        <w:rPr>
          <w:rFonts w:ascii="Arial" w:cs="Arial" w:eastAsia="Arial" w:hAnsi="Arial"/>
          <w:sz w:val="16"/>
          <w:szCs w:val="16"/>
          <w:color w:val="auto"/>
        </w:rPr>
        <w:t>The total purchase price was $90.2 million including transaction costs incurred by Kratos of $0.5 million. The purchase price paid to Haverstick was $89.7 million comprised of $70.3 million in cash and the issuance of 7.48 million shares of the Company's common stock valued at $2.60 per share or an aggregate stock consideration of $19.4 million. The value of the share issued was determined by averaging the market price of the stock two days before and two days after the announcement of the acquisition, November 5, 2007. The Company paid $81.1 million, $66.7 million of which was cash paid at closing,</w:t>
      </w:r>
    </w:p>
    <w:p>
      <w:pPr>
        <w:spacing w:after="0" w:line="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$2.4 million was paid shortly thereafter, and $12.0 million in common stock. The Company held back $8.6 million (the Holdback Consideration) to secure any negative working capital adjustments required by the Merger Agreement and the Company's indemnity rights. The Holdback Consideration is comprised of both cash and Kratos stock in the amounts of $1.2 million and $7.4 million, respectively. The holdback consideration will be released in 50% increments on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month of the anniversary date of the acquisition. In addition to the indemnity holdback, the Agreement also calls for a post closing working capital adjustment. To fund the acquisition, the Company secured a new credit facility of $85.0 million arranged by KeyBanc Capital Markets. The credit facility, which includes a $25.0 million line of credit and $60.0 million in term notes, replaced the Company's previous credit facility which had an outstanding principal balance of $6.0 million on the date of closing.</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7" w:name="page18"/>
    <w:bookmarkEnd w:id="17"/>
    <w:p>
      <w:pPr>
        <w:ind w:right="80" w:firstLine="351"/>
        <w:spacing w:after="0" w:line="259" w:lineRule="auto"/>
        <w:rPr>
          <w:sz w:val="20"/>
          <w:szCs w:val="20"/>
          <w:color w:val="auto"/>
        </w:rPr>
      </w:pPr>
      <w:r>
        <w:rPr>
          <w:rFonts w:ascii="Arial" w:cs="Arial" w:eastAsia="Arial" w:hAnsi="Arial"/>
          <w:sz w:val="18"/>
          <w:szCs w:val="18"/>
          <w:color w:val="auto"/>
        </w:rPr>
        <w:t>In February 2008, the Company and Haverstick agreed on the working capital calculation called for in the Agreement. The calculation resulted in a working capital adjustment due to Haverstick in an amount of $1.5 million. The working capital adjustment was paid with 697,307 shares of Company stock valued at $1.3 million and cash of $0.2 million in April 2008.</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Pursuant to the terms of the Merger Agreement, the Company has agreed to use its reasonable best efforts to file a resale registration statement covering the shares issued in connection with the Merger promptly following the closing date. In the event that the shares of common stock issued are not salable under rules promulgated under the Securities Act, holders of the stock may elect to exchange such shares for a cash amount equal to $2.74 per share in accordance with the terms of the Merger Agreement. Until the date on which the shares of stock are salable interest shall accrue on the value of the Closing Stock at a floating rate of one-month LIBOR plus four percent (4%) per annum.</w:t>
      </w:r>
    </w:p>
    <w:p>
      <w:pPr>
        <w:spacing w:after="0" w:line="170"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following table summarizes supplemental statement of operations information on an unaudited pro forma basis as if the acquisition of Haverstick had occurred on January 1, 2007 and includes adjustments that were directly attributable to the transaction or were not expected to have a continuing impact on the Company.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unaudited amounts, except per share amounts are in millions):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center"/>
              <w:ind w:right="222"/>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2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 forma net loss</w:t>
            </w:r>
          </w:p>
        </w:tc>
        <w:tc>
          <w:tcPr>
            <w:tcW w:w="2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loss per share</w:t>
            </w:r>
          </w:p>
        </w:tc>
        <w:tc>
          <w:tcPr>
            <w:tcW w:w="2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Diluted pro forma net loss per share</w:t>
            </w:r>
          </w:p>
        </w:tc>
        <w:tc>
          <w:tcPr>
            <w:tcW w:w="2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-633730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-633730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February 2008, the Company entered into a definitive merger agreement with San Diego-based C5ISR and net-centric warfare solutions provider SYS Technologies (AMEX:SYS) in a stock-for-stock transaction. Under the terms of the agreement, SYS will merge into a wholly owned subsidiary of Kratos and all of SYS's outstanding common shares will be converted into Kratos common shares. Upon closing, the Company will issue approximately 25 million shares of common stock. The transaction is subject to customary closing conditions, including approval of the transaction by SYS's shareholders and the approval of the Company's stockholders of the issuance of shares. The transaction is expected to close in the second quarter of 2008.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Contingent Acquisition Consideration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the additional consideration becomes payable. The current liabilities accrual for contingent consideration on the accompanying Consolidated Balance Sheet as of March 30, 2008 includes $2.3 million for MRC and $0.6 million for Haverstick. Included in long term other liabilities is $0.7 million for Haverstick with the contingent common stock consideration of $7.5 million reflected as paid in capital for contingent consideration in the accompanying Consolidated Statement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ind w:right="140"/>
        <w:spacing w:after="0" w:line="268" w:lineRule="auto"/>
        <w:rPr>
          <w:sz w:val="20"/>
          <w:szCs w:val="20"/>
          <w:color w:val="auto"/>
        </w:rPr>
      </w:pPr>
      <w:r>
        <w:rPr>
          <w:rFonts w:ascii="Arial" w:cs="Arial" w:eastAsia="Arial" w:hAnsi="Arial"/>
          <w:sz w:val="18"/>
          <w:szCs w:val="18"/>
          <w:color w:val="auto"/>
        </w:rPr>
        <w:t>Stockholder's Equity. A summary of the contingent acquisition consideration as of December 31, 2007 and March 30, 2008 is summarized in the following table (in millions):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auto"/>
              </w:rPr>
              <w:t>Haverstick</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MRC</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208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280"/>
              <w:spacing w:after="0"/>
              <w:rPr>
                <w:sz w:val="20"/>
                <w:szCs w:val="20"/>
                <w:color w:val="auto"/>
              </w:rPr>
            </w:pPr>
            <w:r>
              <w:rPr>
                <w:rFonts w:ascii="Arial" w:cs="Arial" w:eastAsia="Arial" w:hAnsi="Arial"/>
                <w:sz w:val="18"/>
                <w:szCs w:val="18"/>
                <w:color w:val="auto"/>
              </w:rPr>
              <w:t>Post acquisition adjustments and interest accruals</w:t>
            </w: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30, 2008</w:t>
            </w:r>
          </w:p>
        </w:tc>
        <w:tc>
          <w:tcPr>
            <w:tcW w:w="208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-751840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-751840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-751840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-751840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-751840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-751840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-323215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-323215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-323215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-323215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Credit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31, 2007, the Company entered into a credit facility of $85.0 million with KeyBanc Capital Markets which replaced the October 2, 2006 credit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Key Bank. This credit facility provides for two term loans consisting of a first lien term note of $50.0 million and a second lien term note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as well as, a first lien $25 million revolving line of credit. The $10.0 million term loan has a five and one half year term with principal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quarterly beginning on March 31, 2008 of $25,000 through March 31, 2013 with the final balance of $9.5 million due on June 30, 2013. The</w:t>
      </w:r>
    </w:p>
    <w:p>
      <w:pPr>
        <w:spacing w:after="0" w:line="32"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$50.0 million term loan has a five year term with principal payments required quarterly beginning on March 31, 2008 of $0.6 million in 2008, $1.3 million in 2009, $2.5 million in 2110, and $4.1 million in 2011 and 2012. The term loans have a provision which states that once the full amount of the note has been borrowed, the notes cannot be paid down and reborrowed again. The revolving line of credit has a four year term which expires on December 31, 2011 and contains provisions typical in such arrangements. All loans under the new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the Company's aggregate debt to its EBITDA for the previous four fiscal quarters. The Company used the credit facility to fund the acquisition of Haverstick Consulting Inc. (Haverstick) and to retire the outstanding debt from the October 2006 agreement.</w:t>
      </w:r>
    </w:p>
    <w:p>
      <w:pPr>
        <w:spacing w:after="0" w:line="162"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Credit Facilities contain covenants which impose certain restrictions on the Company's ability to, among other things, incur additional debt, pay dividends, make investments or sell assets. Additionally, certain non-recurring cash inflows such as proceeds from asset sales, insurance recoveries, and equity offerings may have to be used to pay down indebtedness and may not be reborrowed. In addition, the Credit Facilities contain certain financial covenants which include certain financial covenants as defined by the terms of the agreements. These financial covenants include a maximum first lien leverage ratio, a maximum total leverage ratio, a minimum liquidity ratio, a minimum fixed charge coverage ratio, and a minimum consolidated EBITDA at various dates for the $50.0 million term loan and the $25.0 million revolver as outlined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Maximum First</w:t>
            </w:r>
          </w:p>
        </w:tc>
        <w:tc>
          <w:tcPr>
            <w:tcW w:w="18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Maximum Total</w:t>
            </w:r>
          </w:p>
        </w:tc>
        <w:tc>
          <w:tcPr>
            <w:tcW w:w="18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Minimum</w:t>
            </w:r>
          </w:p>
        </w:tc>
        <w:tc>
          <w:tcPr>
            <w:tcW w:w="18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Minimum Fixed</w:t>
            </w:r>
          </w:p>
        </w:tc>
        <w:tc>
          <w:tcPr>
            <w:tcW w:w="8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17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5"/>
                <w:szCs w:val="15"/>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Lien Leverage Ratio</w:t>
            </w:r>
          </w:p>
        </w:tc>
        <w:tc>
          <w:tcPr>
            <w:tcW w:w="18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Leverage Ratio</w:t>
            </w:r>
          </w:p>
        </w:tc>
        <w:tc>
          <w:tcPr>
            <w:tcW w:w="1840" w:type="dxa"/>
            <w:vAlign w:val="bottom"/>
            <w:gridSpan w:val="2"/>
          </w:tcPr>
          <w:p>
            <w:pPr>
              <w:ind w:left="360"/>
              <w:spacing w:after="0"/>
              <w:rPr>
                <w:sz w:val="20"/>
                <w:szCs w:val="20"/>
                <w:color w:val="auto"/>
              </w:rPr>
            </w:pPr>
            <w:r>
              <w:rPr>
                <w:rFonts w:ascii="Arial" w:cs="Arial" w:eastAsia="Arial" w:hAnsi="Arial"/>
                <w:sz w:val="14"/>
                <w:szCs w:val="14"/>
                <w:b w:val="1"/>
                <w:bCs w:val="1"/>
                <w:color w:val="auto"/>
              </w:rPr>
              <w:t>Liquidity Ratio</w:t>
            </w:r>
          </w:p>
        </w:tc>
        <w:tc>
          <w:tcPr>
            <w:tcW w:w="1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Charge Coverage Ratio</w:t>
            </w:r>
          </w:p>
        </w:tc>
        <w:tc>
          <w:tcPr>
            <w:tcW w:w="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EBITDA (in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2007—2008</w:t>
            </w:r>
          </w:p>
        </w:tc>
        <w:tc>
          <w:tcPr>
            <w:tcW w:w="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3.22 to 4.76:1.00</w:t>
            </w:r>
          </w:p>
        </w:tc>
        <w:tc>
          <w:tcPr>
            <w:tcW w:w="1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3.76 to 5.68:1.00</w:t>
            </w:r>
          </w:p>
        </w:tc>
        <w:tc>
          <w:tcPr>
            <w:tcW w:w="18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1.56 to 1.33:1.00</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 to 0.50:1.00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5"/>
              </w:rPr>
              <w:t>16.1 to $19.4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220" w:type="dxa"/>
            <w:vAlign w:val="bottom"/>
          </w:tcPr>
          <w:p>
            <w:pPr>
              <w:spacing w:after="0"/>
              <w:rPr>
                <w:sz w:val="12"/>
                <w:szCs w:val="12"/>
                <w:color w:val="auto"/>
              </w:rPr>
            </w:pPr>
          </w:p>
        </w:tc>
        <w:tc>
          <w:tcPr>
            <w:tcW w:w="1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2.97 to 2.33:1.00</w:t>
            </w:r>
          </w:p>
        </w:tc>
        <w:tc>
          <w:tcPr>
            <w:tcW w:w="1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2.78 to 3.50:1.00</w:t>
            </w:r>
          </w:p>
        </w:tc>
        <w:tc>
          <w:tcPr>
            <w:tcW w:w="18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1.60 to 1.58:1.00</w:t>
            </w: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 to 1.02:1.00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Pr>
          <w:p>
            <w:pPr>
              <w:ind w:left="660"/>
              <w:spacing w:after="0" w:line="149" w:lineRule="exact"/>
              <w:rPr>
                <w:sz w:val="20"/>
                <w:szCs w:val="20"/>
                <w:color w:val="auto"/>
              </w:rPr>
            </w:pPr>
            <w:r>
              <w:rPr>
                <w:rFonts w:ascii="Arial" w:cs="Arial" w:eastAsia="Arial" w:hAnsi="Arial"/>
                <w:sz w:val="14"/>
                <w:szCs w:val="14"/>
                <w:color w:val="auto"/>
                <w:w w:val="85"/>
              </w:rPr>
              <w:t>19,8 to $21.5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 to 2.00:1.00</w:t>
            </w:r>
          </w:p>
        </w:tc>
        <w:tc>
          <w:tcPr>
            <w:tcW w:w="1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2.25 to 2.50:1.00</w:t>
            </w:r>
          </w:p>
        </w:tc>
        <w:tc>
          <w:tcPr>
            <w:tcW w:w="18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1.54 to 1.49:1.00</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 to 1.06:1.00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5"/>
              </w:rPr>
              <w:t>21.5 to $23.4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20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1.75:1.00</w:t>
            </w:r>
          </w:p>
        </w:tc>
        <w:tc>
          <w:tcPr>
            <w:tcW w:w="1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2.25:1.00</w:t>
            </w:r>
          </w:p>
        </w:tc>
        <w:tc>
          <w:tcPr>
            <w:tcW w:w="18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1.55 to 1.53:1.00</w:t>
            </w: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1.10:1.00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Pr>
          <w:p>
            <w:pPr>
              <w:ind w:left="660"/>
              <w:spacing w:after="0" w:line="149" w:lineRule="exact"/>
              <w:rPr>
                <w:sz w:val="20"/>
                <w:szCs w:val="20"/>
                <w:color w:val="auto"/>
              </w:rPr>
            </w:pPr>
            <w:r>
              <w:rPr>
                <w:rFonts w:ascii="Arial" w:cs="Arial" w:eastAsia="Arial" w:hAnsi="Arial"/>
                <w:sz w:val="14"/>
                <w:szCs w:val="14"/>
                <w:color w:val="auto"/>
                <w:w w:val="85"/>
              </w:rPr>
              <w:t>24.4 to $26.5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20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1.75:1.00</w:t>
            </w:r>
          </w:p>
        </w:tc>
        <w:tc>
          <w:tcPr>
            <w:tcW w:w="1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2.25:1.00</w:t>
            </w:r>
          </w:p>
        </w:tc>
        <w:tc>
          <w:tcPr>
            <w:tcW w:w="18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1.42 to 1.54:1.00</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5"/>
              </w:rPr>
              <w:t>26.7 to $27.6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-552450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-552450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-552450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-552450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-552450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-552450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-552450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-552450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-552450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-552450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-552450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$10.0 million term loan also provides for similar financial covenants.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right="360" w:firstLine="341"/>
        <w:spacing w:after="0" w:line="268" w:lineRule="auto"/>
        <w:rPr>
          <w:sz w:val="20"/>
          <w:szCs w:val="20"/>
          <w:color w:val="auto"/>
        </w:rPr>
      </w:pPr>
      <w:r>
        <w:rPr>
          <w:rFonts w:ascii="Arial" w:cs="Arial" w:eastAsia="Arial" w:hAnsi="Arial"/>
          <w:sz w:val="18"/>
          <w:szCs w:val="18"/>
          <w:color w:val="auto"/>
        </w:rPr>
        <w:t>As of March 30, 2008, the Company's outstanding balance on the facility was $77.5 million and the weighted average interest rate on the debt borrowed during the quarter ended March 30, 2008 was 11.4%.</w:t>
      </w:r>
    </w:p>
    <w:p>
      <w:pPr>
        <w:spacing w:after="0" w:line="186"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of March 30, 2008, the unused line of credit under the revolving line of credit was $7.5 million. The only restriction on the use of these funds is that the Company must be in compliance with covenants of the credit facility which it is as of March 30, 2008.</w:t>
      </w:r>
    </w:p>
    <w:p>
      <w:pPr>
        <w:spacing w:after="0" w:line="186"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On February 11, 2008, the Company entered into a three derivative financial instruments with Key Bank to reduce the Company's exposure to its variable interest rates on its outstanding debt. These instruments initially hedged $70 million of its LIBOR-based floating rate debt with the amounts hedged decreasing over time. The derivatives mature on March 31, 2010 and March 31, 2011 and result in an average fixed rate of 3.16% for the term of the agreements. The Company designated these instruments as cash flow hedges. In March 2008, as a result of the amendment to the Company's credit facility, which included a LIBOR floor rate of 4.25%, the Company determined that these instruments were no longer highly effective as a hedge. As a result, the charge of $0.7 million from marking the derivative financial instruments to market has been reflected in other income (expense), net rather than in other comprehensive income on the Company's Consolidated Balance Sheet. Future gains and losses on these derivative instruments as well as the offsetting gain or loss on the hedged item attributable to the hedged risk will be recognized in the Company's statement of earnings. See Note 10.</w:t>
      </w:r>
    </w:p>
    <w:p>
      <w:pPr>
        <w:spacing w:after="0" w:line="172"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March 2008, the Company entered into a tentative agreement to settle the 2004 and 2007 securities class action litigation actions and, as a result, the Company recorded a $4.9 million charge in the quarter ended December 31, 2007 to accrue its share of the settlement amounts and an estimate for a contingent liability associated with legal proceedings related to the derivative actions, net of the amounts to be covered by the Company's insurance carriers. As a consequence of recording this legal settlement, the Company did not meet certain of the financial covenants in accordance with the credit facility. Accordingly, on March 27, 2008, the Company obtained an amendment and waiver from its lenders to waive the impact of the legal settlement amounts on its financial covenants as of December 31, 2007 and the affected future periods. The amendment also amended the credit facility to provide for an increase in the LIBOR floor rate to</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4.25% and to require that the Company set aside in a restricted account approximately 50% of the proceeds of the recovery from the theft of stock options by its former stock option administrator, or approximately $1.7 million, to fund these settlement amounts. In April 2008, $1.7 million of cash was transferred to a restricted cash account. The lenders have also reserved the right to require the Company to utilize the entire amount of the $3.4 million in proceeds received from the theft of stock options to permanently pay down indebtedness. This right can be exercised no earlier than 60 days from March 27, 2008 and expires upon the Company's compliance with financial covenants under the credit facility for the four consecutive quarters commencing after January 1,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jc w:val="both"/>
        <w:ind w:right="60" w:firstLine="351"/>
        <w:spacing w:after="0" w:line="256" w:lineRule="auto"/>
        <w:rPr>
          <w:sz w:val="20"/>
          <w:szCs w:val="20"/>
          <w:color w:val="auto"/>
        </w:rPr>
      </w:pPr>
      <w:r>
        <w:rPr>
          <w:rFonts w:ascii="Arial" w:cs="Arial" w:eastAsia="Arial" w:hAnsi="Arial"/>
          <w:sz w:val="18"/>
          <w:szCs w:val="18"/>
          <w:color w:val="auto"/>
        </w:rPr>
        <w:t>Relative to SFAS 157, the FASB issued FASB Staff Positions (FSP) 157-1 and 157-2. FSP 157-1 amends SFAS 157 to exclude SFAS No. 13, "Accounting for Leases," (SFAS 13) and its related interpretive accounting pronouncements that address leasing transactions, while FSP 157-2 delays the effective date of the application of SFAS 157 to fiscal years beginning after November 15, 2008 for all nonfinancial assets and nonfinancial liabilities that are recognized or disclosed at fair value in the financial statements on a nonrecurring basis.</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adopted SFAS 157 as of January 1, 2008, with the exception of the application of the statement to non-recurring nonfinancial assets and nonfinancial liabilities. Non-recurring nonfinancial assets and nonfinancial liabilities for which it has not applied the provisions of SFAS 157 include those measured at fair value in goodwill impairment testing, indefinite lived intangible assets measured at fair value for impairment testing, asset retirement obligations initially measured at fair value, and those initially measured at fair value in a business combination.</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SFAS 157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March 30, 2008 (in millions):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Value Measurements at March 30, 2008 Using</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Significant other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6"/>
              </w:rPr>
              <w:t>observable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9"/>
              </w:rPr>
              <w:t>Total Carrying Value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5"/>
              </w:rPr>
              <w:t>inputs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Pr>
          <w:p>
            <w:pPr>
              <w:jc w:val="center"/>
              <w:ind w:left="232"/>
              <w:spacing w:after="0"/>
              <w:rPr>
                <w:sz w:val="20"/>
                <w:szCs w:val="20"/>
                <w:color w:val="auto"/>
              </w:rPr>
            </w:pPr>
            <w:r>
              <w:rPr>
                <w:rFonts w:ascii="Arial" w:cs="Arial" w:eastAsia="Arial" w:hAnsi="Arial"/>
                <w:sz w:val="14"/>
                <w:szCs w:val="14"/>
                <w:b w:val="1"/>
                <w:bCs w:val="1"/>
                <w:color w:val="auto"/>
                <w:w w:val="88"/>
              </w:rPr>
              <w:t>March 30, 2008</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center"/>
              <w:ind w:left="212"/>
              <w:spacing w:after="0"/>
              <w:rPr>
                <w:sz w:val="20"/>
                <w:szCs w:val="20"/>
                <w:color w:val="auto"/>
              </w:rPr>
            </w:pPr>
            <w:r>
              <w:rPr>
                <w:rFonts w:ascii="Arial" w:cs="Arial" w:eastAsia="Arial" w:hAnsi="Arial"/>
                <w:sz w:val="14"/>
                <w:szCs w:val="14"/>
                <w:b w:val="1"/>
                <w:bCs w:val="1"/>
                <w:color w:val="auto"/>
                <w:w w:val="91"/>
              </w:rPr>
              <w:t>(Level 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left="212"/>
              <w:spacing w:after="0"/>
              <w:rPr>
                <w:sz w:val="20"/>
                <w:szCs w:val="20"/>
                <w:color w:val="auto"/>
              </w:rPr>
            </w:pPr>
            <w:r>
              <w:rPr>
                <w:rFonts w:ascii="Arial" w:cs="Arial" w:eastAsia="Arial" w:hAnsi="Arial"/>
                <w:sz w:val="14"/>
                <w:szCs w:val="14"/>
                <w:b w:val="1"/>
                <w:bCs w:val="1"/>
                <w:color w:val="auto"/>
                <w:w w:val="91"/>
              </w:rPr>
              <w:t>(Level 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380" w:type="dxa"/>
            <w:vAlign w:val="bottom"/>
            <w:gridSpan w:val="2"/>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80" w:type="dxa"/>
            <w:vAlign w:val="bottom"/>
            <w:gridSpan w:val="2"/>
            <w:shd w:val="clear" w:color="auto" w:fill="CCEEFF"/>
          </w:tcPr>
          <w:p>
            <w:pPr>
              <w:jc w:val="right"/>
              <w:ind w:right="1332"/>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-217805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-217805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-217805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-217805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-217805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-217805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-217805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Valuation Techniques: Derivatives that are exchange-traded are measured at fair value using quoted market prices and are classified within Level 1 of the valuation hierarchy.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our key customers for the periods presented and the percentage of net sales made to such customers (in millions):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4"/>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Key Customers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March 31, 2007</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March 30, 2008</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U.S. Navy</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9.4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22.0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U.S. Army</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00"/>
              <w:spacing w:after="0"/>
              <w:rPr>
                <w:sz w:val="20"/>
                <w:szCs w:val="20"/>
                <w:color w:val="auto"/>
              </w:rPr>
            </w:pPr>
            <w:r>
              <w:rPr>
                <w:rFonts w:ascii="Arial" w:cs="Arial" w:eastAsia="Arial" w:hAnsi="Arial"/>
                <w:sz w:val="18"/>
                <w:szCs w:val="18"/>
                <w:color w:val="auto"/>
              </w:rPr>
              <w:t>10.1</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20.6%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00"/>
              <w:spacing w:after="0"/>
              <w:rPr>
                <w:sz w:val="20"/>
                <w:szCs w:val="20"/>
                <w:color w:val="auto"/>
              </w:rPr>
            </w:pPr>
            <w:r>
              <w:rPr>
                <w:rFonts w:ascii="Arial" w:cs="Arial" w:eastAsia="Arial" w:hAnsi="Arial"/>
                <w:sz w:val="18"/>
                <w:szCs w:val="18"/>
                <w:color w:val="auto"/>
              </w:rPr>
              <w:t>12.6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Foreign Military Sales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-492760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-492760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-492760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-492760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-492760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-492760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customers are all part of our Government Services segment. Our top five customers accounted for approximately 60% and 65% of our total revenue for the three months ended March 31, 2007 and March 30, 2008,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Segment Information</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the divestiture of our wireless-related business, we had three operating segments: our Wireless Network Services (WNS) segment, our Enterprise Network Services (ENS) segment, and our Government Network Services (GNS) segment. Following the divestiture of the WNS segment and corporate name change, we reorganized into two operating segments, Kratos Government Solutions (KGS) (formerly GNS) and Public Safety and Security (PSS) (formerly ENS). The financial statements in this Quarterly Report are presented in a manner consistent with the new operating structure.</w:t>
      </w:r>
    </w:p>
    <w:p>
      <w:pPr>
        <w:spacing w:after="0" w:line="16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Certain income and charges are not allocated to segments in the Company's management reports because they are not considered in evaluating the segments' operating performance. Unallocated charges are related to corporate expenses previously allocated to the discontinued Wireless Network Services segment, share based compensation charges and related tax adjustments, and expenses related to the stock option investigation that was completed in September 2007. These charges are included in corporate activities in the table below. Revenues and operating income generated by the Company's current reporting segments for the three months ended March 31, 2007 and March 30, 2008 are as follows (in millions):</w:t>
      </w:r>
    </w:p>
    <w:p>
      <w:pPr>
        <w:spacing w:after="0" w:line="165"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Three Months Ended</w:t>
      </w:r>
    </w:p>
    <w:p>
      <w:pPr>
        <w:jc w:val="center"/>
        <w:ind w:left="6920"/>
        <w:spacing w:after="0" w:line="223" w:lineRule="auto"/>
        <w:rPr>
          <w:sz w:val="20"/>
          <w:szCs w:val="20"/>
          <w:color w:val="auto"/>
        </w:rPr>
      </w:pPr>
      <w:r>
        <w:rPr>
          <w:rFonts w:ascii="Arial" w:cs="Arial" w:eastAsia="Arial" w:hAnsi="Arial"/>
          <w:sz w:val="14"/>
          <w:szCs w:val="14"/>
          <w:b w:val="1"/>
          <w:bCs w:val="1"/>
          <w:color w:val="auto"/>
        </w:rPr>
        <w:t>March 31, 2007 and</w:t>
      </w:r>
    </w:p>
    <w:p>
      <w:pPr>
        <w:jc w:val="center"/>
        <w:ind w:left="6920"/>
        <w:spacing w:after="0"/>
        <w:rPr>
          <w:sz w:val="20"/>
          <w:szCs w:val="20"/>
          <w:color w:val="auto"/>
        </w:rPr>
      </w:pPr>
      <w:r>
        <w:rPr>
          <w:rFonts w:ascii="Arial" w:cs="Arial" w:eastAsia="Arial" w:hAnsi="Arial"/>
          <w:sz w:val="14"/>
          <w:szCs w:val="14"/>
          <w:b w:val="1"/>
          <w:bCs w:val="1"/>
          <w:color w:val="auto"/>
        </w:rPr>
        <w:t>March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58420</wp:posOffset>
            </wp:positionV>
            <wp:extent cx="132461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24610" cy="215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Public Safety &amp; Security</w:t>
            </w:r>
          </w:p>
        </w:tc>
        <w:tc>
          <w:tcPr>
            <w:tcW w:w="2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12.0</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Solutions</w:t>
            </w:r>
          </w:p>
        </w:tc>
        <w:tc>
          <w:tcPr>
            <w:tcW w:w="2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37.0</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Total revenues</w:t>
            </w:r>
          </w:p>
        </w:tc>
        <w:tc>
          <w:tcPr>
            <w:tcW w:w="2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49.0</w:t>
            </w:r>
          </w:p>
        </w:tc>
        <w:tc>
          <w:tcPr>
            <w:tcW w:w="16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Public Safety &amp; Security</w:t>
            </w:r>
          </w:p>
        </w:tc>
        <w:tc>
          <w:tcPr>
            <w:tcW w:w="2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Solutions</w:t>
            </w:r>
          </w:p>
        </w:tc>
        <w:tc>
          <w:tcPr>
            <w:tcW w:w="2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Corporate activities</w:t>
            </w:r>
          </w:p>
        </w:tc>
        <w:tc>
          <w:tcPr>
            <w:tcW w:w="2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income (loss)</w:t>
            </w:r>
          </w:p>
        </w:tc>
        <w:tc>
          <w:tcPr>
            <w:tcW w:w="2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-1884045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-1884045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-1884045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-1884045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-1317625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-1317625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-1317625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-1026160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-1026160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-1026160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-1026160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2002, the Company issued 90,000 shares of Series B Convertible Preferred Stock in a private placement to entities affiliated with one of the directors of the Company (40,000 shares), to a brother of the previous Chairman and Chief Executive Officer of the Company (10,000 shares) and to an unrelated third-party investor (40,000 shares).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30, 2008 a total of 10,000 shares of Series B Convertible Stock remains outstanding with a total liquidation preference of $5.0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No. 01-CV-4779. In the amended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40"/>
        <w:spacing w:after="0" w:line="294" w:lineRule="auto"/>
        <w:rPr>
          <w:sz w:val="20"/>
          <w:szCs w:val="20"/>
          <w:color w:val="auto"/>
        </w:rPr>
      </w:pPr>
      <w:r>
        <w:rPr>
          <w:rFonts w:ascii="Arial" w:cs="Arial" w:eastAsia="Arial" w:hAnsi="Arial"/>
          <w:sz w:val="16"/>
          <w:szCs w:val="16"/>
          <w:color w:val="auto"/>
        </w:rPr>
        <w:t>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settlement was terminated pursuant to stipulation and will not receive final approval.</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Plaintiffs filed amended complaints in the six focus cases in August 2007. The Company is not one of the focus case issuers. In September 2007, the Company's named officers and directors again extended the tolling agreement with plaintiffs. In September 2007, plaintiffs moved to certify the classes alleged in the focus cases and to appoint class representatives and class counsel in those cases. The focus case issuers filed motions to dismiss the claims against them in November 2007 and an opposition to plaintiffs' motion for class certification in December 2007. The Court denied the motions to dismiss on March 16, 2008. A date for the focus case defendants to answer has not yet been set. Due to the inherent uncertainties of litigation, the ultimate outcome of this matter cannot be predicted. In accordance with FASB No. 5, "Accounting for Contingencies," the Company believes any contingent liability related to this claim is not probable or estimable and therefore no amounts have been accrued in regards to this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action—In re Wireless Facilities, Inc. Securities Litigation,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3" w:name="page24"/>
    <w:bookmarkEnd w:id="23"/>
    <w:p>
      <w:pPr>
        <w:ind w:right="20"/>
        <w:spacing w:after="0" w:line="285" w:lineRule="auto"/>
        <w:rPr>
          <w:sz w:val="20"/>
          <w:szCs w:val="20"/>
          <w:color w:val="auto"/>
        </w:rPr>
      </w:pPr>
      <w:r>
        <w:rPr>
          <w:rFonts w:ascii="Arial" w:cs="Arial" w:eastAsia="Arial" w:hAnsi="Arial"/>
          <w:sz w:val="16"/>
          <w:szCs w:val="16"/>
          <w:color w:val="auto"/>
        </w:rPr>
        <w:t>Master File 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Under the tentative settlement, plaintiffs and the class will dismiss all claims, with prejudice, in exchange for a cash payment in the total amount of $12 million. The Company's directors' and officers' liability insurers will pay the settlement amount in accordance with the Company's insurance policies, less any applicable retention or co-insurance obligations that are expected to be paid directly by the Company. The Company estimates that the amount of its payment toward the settlement will be approximately $2.4 million. The Company has accrued approximately $2.4 million as of March 30, 2008 related to this matter. The parties currently are in the process of documenting their agreement and, if agreement terms are reached, will seek a determination by the Court that the proposed settlement is fair, reasonable and adequate. The Company makes no assurances at this time that the parties will reach agreement on settlement terms, that the Court will approve the proposed settlement terms or that the matter ultimately will be settled. Despite the tentative settlement reached in this action, the Company believes that the allegations lack merit.</w:t>
      </w:r>
    </w:p>
    <w:p>
      <w:pPr>
        <w:spacing w:after="0" w:line="178"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No. 04CV1663; and Roth v. Wireless Facilities, Inc., Case No.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ind w:right="80"/>
        <w:spacing w:after="0" w:line="253" w:lineRule="auto"/>
        <w:rPr>
          <w:sz w:val="20"/>
          <w:szCs w:val="20"/>
          <w:color w:val="auto"/>
        </w:rPr>
      </w:pPr>
      <w:r>
        <w:rPr>
          <w:rFonts w:ascii="Arial" w:cs="Arial" w:eastAsia="Arial" w:hAnsi="Arial"/>
          <w:sz w:val="18"/>
          <w:szCs w:val="18"/>
          <w:color w:val="auto"/>
        </w:rPr>
        <w:t>the amended federal derivative complaint. Plaintiffs have moved the Court for certification and entry of final judgment of the Court's order dismissing the non-residents for lack of personal jurisdiction so that the plaintiffs may seek immediate appellate review of the matter. A hearing on the plaintiffs' motion for certification is set for May 19, 2008. The parties have conferred and discussed the Court's order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June 5,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20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No. 07-CV-0680 BTM(RBB) (the "Hameed Action"), against several of the Company's current and former officers and directors. The allegations in this new derivative complaint mirror the amended allegations in the 2004 federal derivative action. Pursuant to the Court's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The parties have conferred and discussed the Court's order and have stipulated to a briefing schedule for any remaining motions to dismiss that the Company or the individual defendants may bring in an effort to dismiss the Hameed Action. Pursuant to the parties' stipulation, such motions must be brought on or before June 5, 2008. At this time, the parties have not set a date by which such motions must be brought.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No. GIC 834253. The plaintiffs filed a Consolidated Shareholder Derivative Complaint on October 14, 2004. This action has been stayed pending a decision in federal court on a motion to dismiss the federal derivative lawsuits. In April 2008, the parties notified the Court of the status of the federal action and the court continued the stay for an additional six months. The Court also ordered the parties to file an updated status report in October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$0.8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March and April 2007, there were three federal class actions filed in the United States District Court for the Southern District of California against the Company and several of its current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6"/>
          <w:szCs w:val="16"/>
          <w:color w:val="auto"/>
        </w:rPr>
        <w:t>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The consolidated class action complaint was filed on November 19, 2007. In March 2008, following a voluntary mediation of the matter, the parties reached a tentative agreement to settle the class action. Under the settlement proposal, plaintiffs and the class will dismiss all claims, with prejudice, in exchange for a cash payment in the amount of $4.5 million. The Company's directors' and officers' liability insurers will pay the settlement amount, less any applicable retention or co-insurance obligations and contributions that are expected to be paid directly by the Company. The Company estimates that the total amount of its payment toward the settlement will be approximately $1.7 million. The Company has accrued approximately $1.7 million as of March 30, 2008 related to this matter. The parties currently are in the process of documenting their agreement, and if agreement terms are reached, will seek a determination by the Court that the proposed settlement is fair, reasonable and adequate. The Company makes no assurances at this time that the parties will reach agreement or settlement terms, the Court will approve the proposed settlement terms or that the matter ultimately will be settled. Despite the tentative settlement reached in this action, the Company believes that the allegations lack merit.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$0.6 million for his back wages, vacation pay and certain other benefits. The Company filed an appeal in the matter on July 20, 2006 and is challenging the basis for the award on several theories. The Company has accrued approximately $0.6 million as of March 30, 2008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Although the Company believes that the allegations lack merit, it has agreed in principle with the plaintiffs to settle their claims for an aggregate amount in the range of $0.3 million to $0.5 million, to include individual and incentive awards, attorneys' fees and administrative costs, subject to court approval. The actual amount paid by the Company will depend upon the number of responses received from members of the purported class of plaintiffs. The Company has recorded an accrual for a contingent liability associated with this legal proceeding in the amount of $0.3 million.</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 w:name="page27"/>
    <w:bookmarkEnd w:id="26"/>
    <w:p>
      <w:pPr>
        <w:ind w:firstLine="351"/>
        <w:spacing w:after="0" w:line="287" w:lineRule="auto"/>
        <w:rPr>
          <w:sz w:val="20"/>
          <w:szCs w:val="20"/>
          <w:color w:val="auto"/>
        </w:rPr>
      </w:pPr>
      <w:r>
        <w:rPr>
          <w:rFonts w:ascii="Arial" w:cs="Arial" w:eastAsia="Arial" w:hAnsi="Arial"/>
          <w:sz w:val="16"/>
          <w:szCs w:val="16"/>
          <w:color w:val="auto"/>
        </w:rPr>
        <w:t>Kratos promptly reported to the SEC the discovery of the theft. The SEC initiated an informal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informal investigation and that it did not intend to recommend any enforcement action by the SEC against the Company. Kratos has cooperated with, and intends to continue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is in the process of liquidating the remaining assets which approximate $0.1 million in value.</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of the U.S. Department of Defense, which could cause delays or cancellations of key government contracts; the timing, rescheduling or cancellation of significant customer contracts and agreements, or consolidation by or the loss of key customers; risks that the closing of the SYS acquisition will be delayed or that the conditions to closing will not be satisfied; risks that the integration will prove more costly, take more time, or be more distracting than currently anticipated; risks that the transaction will cause disruption of the Company's operations and distraction of its management; risks of adverse regulatory action or litigation; risks associated with debt leverage; failure to obtain court approval of the proposed litigation settlement or to ultimately settle the litigation; failure to successfully consummate acquisitions or integrate acquired operations; and competition in the marketplace which could reduce revenues and profit margins.</w:t>
      </w:r>
    </w:p>
    <w:p>
      <w:pPr>
        <w:spacing w:after="0" w:line="18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Certain of the information set forth herein, including costs and expenses that exclude the impact of stock compensation expense and amortization costs of purchased intangibles in 2007 and 2008,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ind w:right="60"/>
        <w:spacing w:after="0" w:line="298" w:lineRule="auto"/>
        <w:rPr>
          <w:sz w:val="20"/>
          <w:szCs w:val="20"/>
          <w:color w:val="auto"/>
        </w:rPr>
      </w:pPr>
      <w:r>
        <w:rPr>
          <w:rFonts w:ascii="Arial" w:cs="Arial" w:eastAsia="Arial" w:hAnsi="Arial"/>
          <w:sz w:val="16"/>
          <w:szCs w:val="16"/>
          <w:i w:val="1"/>
          <w:iCs w:val="1"/>
          <w:color w:val="auto"/>
        </w:rPr>
        <w:t>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6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for the year ended December 31, 2007 and other reports and filings made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provide mission critical engineering, IT services and warfighter solutions to the U.S. Government and government agencies, as well as to state and local agencies and commercial customers. Our principal services are related to, but are not limited to, Command, Control, Communications, Computing, Combat Systems Intelligence, Surveillance and Reconnaissance (C5ISR), weapons systems lifecycle support and extension, military range operations and technical services, missile, rocket and weapon test and evaluation, mission launch services, public safety, security and surveillance, advanced network engineering services and IT services, and critical infrastructure design and integration services. We offer our customers solutions and expertise to support their mission-critical needs by leveraging our skills across these core service areas.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Historically, the majority of our business was concentrated in the area of wireless network services, and our business operated in three reportable segments: Wireless Network Services, Government Network Services, and Enterprise Network Services. 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2006 and 2007, we undertook a transformation strategy whereby we divested our wireless-related businesses and chose to pursue business with the federal government, primarily the U.S. Department of Defense, through strategic acquisitions and organic growth. We divested assets in our Wireless Network Services segment and renamed our Enterprise Network Services segment "Public Safety and Security". Today, under the new corporate name of Kratos Defense &amp; Security Solutions, Inc., we are organized into two primary operating segments: Kratos Government Solutions (KGS) and Public Safety &amp; Security (PSS).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Prior to the divestiture of our wireless-related business, we had three operating segments: our Wireless Network Services (WNS) segment, our Enterprise Network Services (ENS) segment, and our Government Network Services (GNS) segment. Following the divestiture of the WNS segment and corporate name change, we reorganized into two operating segments, Kratos Government Solutions (KGS) (formerly GNS) and Public Safety and Security (PSS) (formerly ENS). The financial statements in this Quarterly Report are presented in a manner consistent with our new operating structure. For additional information regarding our operating segments, see Note 12 of Notes to Consolidated Financial Statements. From a customer and solutions perspective, we view our business as an integrated whole, leveraging skills and assets wherever possible.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ind w:left="540"/>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The Kratos Government Solutions segment provides engineering, information technology and technical services to federal, state, and local government agencies, but primarily the U.S. Department of Defense (DoD). Our work includes weapon systems lifecycle support and extension; command, control, communications, computing, combat systems, intelligence, surveillance and reconnaissance (C5ISR); military range operations and technical services; missile, rocket, and weapons systems test and evaluation; mission launch services; public safety and security services; advanced network engineering and information technology services; and public safety, security and surveillance systems integration. Our KGS segment also focuses on the homeland security market with products and services aimed at supporting first responders.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Kratos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and temperature control and fire and life safety. We provide services that combine such systems and offer integrated solutions on an Ethernet-based platform. We also offer solutions that combine voice, data, electronic security and building automation systems with fixed or wireless connectivity solutions. Our target markets are retail, healthcare, education, sports and entertainment, municipal government, correctional facilities and other public facilities. Our commitments to these markets and our ability to provide feature-rich, cost-effective solutions have allowed us to become one of the larger independent integrators for these types of systems. We maintain regional office locations, comprised of Kratos Mid- Atlantic, Kratos Southeast, and Kratos Southwest, where we are focused on security, surveillance and other building automation and integration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Wireless Network Business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December 28, 2006, our Board approved a plan to divest portions of our business where critical mass had not been achieved. This plan involved the divestiture of our EMEA operations and our remaining South American operations. The EMEA operations were sold to LCC International, Inc. ("LCC") on March 9, 2007 for $4.0 million in cash, $3.3 million of which was received on that date. We also received approximately $1.8 million from our EMEA operations prior and subsequent to the closing date as payment on outstanding intercompany debt. The balance of the $0.7 million sales price was withheld as security for the satisfaction of certain indemnification obligations and was payable on March 31, 2008. Based upon our review of the most recently available financial statements of the buyer, as of December 31, 2007, we have concern about their ability to pay this holdback, due to their available liquidity. We have recorded a reserve of $0.7 million for this receivable. In May 2008 we reached an agreement with LCC for the payment of the $0.7 million holdback amount, under which LCC has agreed to pay as the outstanding balance in $100,000 increments each month commencing June 30, 2008. We intend to record income from discontinued operations in the period each payment is collected.</w:t>
      </w:r>
    </w:p>
    <w:p>
      <w:pPr>
        <w:spacing w:after="0" w:line="1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recorded an impairment charge of $5.2 million in the fourth quarter of 2006 to reduce the current carrying value of our South American operations to their estimated fair value based upon current indications of interest.</w:t>
      </w:r>
    </w:p>
    <w:p>
      <w:pPr>
        <w:spacing w:after="0" w:line="186"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On April 20, 2007, we entered into an Equity Purchase Agreement to sell all of the issued and outstanding equity of its interests of our wholly-owned subsidiary WFI de Brazil Techlogia en Telecommunications LTDA to Strategic Project Services, LLC (SPS). The consideration included the assumption of substantially all outstanding liabilities of WFI Brazil, nominal cash consideration,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additional earn-out consideration based on 25 percent of net receivables collected subsequent to the closing date.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29, 2007, we entered into an Asset Purchase Agreement with LCC International, Inc. for the sale of all of the assets used in the conduct of the operation of our engineering services business of our Wireless Network Services segment that provided engineering services to the non-government wireless communications industry in the United States, for aggregate consideration of $46 million. LCC delivered a subordinated promissory note for the principal amount of $21.6 million (the "</w:t>
      </w:r>
      <w:r>
        <w:rPr>
          <w:rFonts w:ascii="Arial" w:cs="Arial" w:eastAsia="Arial" w:hAnsi="Arial"/>
          <w:sz w:val="16"/>
          <w:szCs w:val="16"/>
          <w:i w:val="1"/>
          <w:iCs w:val="1"/>
          <w:color w:val="auto"/>
        </w:rPr>
        <w:t>Subordinated Promissory Note</w:t>
      </w:r>
      <w:r>
        <w:rPr>
          <w:rFonts w:ascii="Arial" w:cs="Arial" w:eastAsia="Arial" w:hAnsi="Arial"/>
          <w:sz w:val="16"/>
          <w:szCs w:val="16"/>
          <w:color w:val="auto"/>
        </w:rPr>
        <w:t>"), paid $17 million at closing and paid final working capital adjustments of $2.4 million through an amendment to the Subordinated Promissory Note. We retained an estimated $5.0 million in net working capital. The transaction was completed on June 4, 2007.</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July 5, 2007, we sold the $21.6 million Subordinated Promissory Note to Silver Point Capital, L.P. ("Silver Point") in a transaction arranged by KeyBanc Capital Markets ("KeyBanc"). We received approximately $19.6 million in net cash proceeds, reflecting a discount from par value of less than five percent and aggregate transaction fees of approximately $1 million, which includes a $0.75 million fee to KeyBanc, an affiliate of our lender. On January 30, 2008, we received net proceeds of approximately $2.3 million on the working capital adjustment from Silver Point, net of a $0.1 million discount from par value. We did not provide any guaranty for LCC's payment obligations for the note.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July 9, 2007, we entered into a definitive agreement with an affiliate of Platinum Equity to sell our deployment services business of our wireless network services segment for total consideration payable of $24 million, including $18 million in cash at closing (subject to typical post closing working capital adjustments) and an aggregate $6 million in a three-year earn-out arrangement. We also agreed to provide certain transition services for a period of six months. The assets sold to Platinum Equity included all of our wireless deployment business and the Wireless Facilities name. The transaction closed on July 24, 2007. As a result of these engineering and deployment services divestitures in 2007, the Wireless Network Services segment has been classified as a discontinued operation in this Quarterly Report and all prior year results presented herein have been reclassified to reflect these businesses as discontinued operations in accordance with SFAS No. 144, "Accounting for the Impairment or Disposal of Long-Lived Assets".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September 25, 2007, we provided the working capital calculation to Platinum Equity, which indicated a working capital adjustment was due to Platinum primarily due to cash collected on accounts receivables by us prior to the close of the transaction that exceeded our previous estimate of working capital to be delivered to Platinum. Platinum has reviewed our working capital calculation, and we have not been able to come to an agreement on the working capital adjustment. In accordance with the terms of the acquisition agreement, we and Platinum are currently in the process of choosing a firm to resolve this matter. As of March 30, 2008 the balance of our calculation has been reflected in other current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December 31, 2007 we completed our acquisition of Indianapolis, Indiana headquartered Haverstick Consulting, Inc. ("Haverstick") as part of our Kratos Government Solutions, or KGS segment. Haverstick provides rocket and missile test and evaluation, weapons systems support, and professional services to the U.S. Army, U.S. Air Force, U.S. Navy, NASA, and other federal, state and local agencies. Through the Haverstick acquisition, we expanded our customer relationship within the DoD and enhanced our presence with the U.S. Air Force, a key growth area for Haverstick.</w:t>
      </w:r>
    </w:p>
    <w:p>
      <w:pPr>
        <w:spacing w:after="0" w:line="167" w:lineRule="exact"/>
        <w:rPr>
          <w:sz w:val="20"/>
          <w:szCs w:val="20"/>
          <w:color w:val="auto"/>
        </w:rPr>
      </w:pPr>
    </w:p>
    <w:p>
      <w:pPr>
        <w:ind w:right="740" w:firstLine="348"/>
        <w:spacing w:after="0" w:line="286" w:lineRule="auto"/>
        <w:rPr>
          <w:sz w:val="20"/>
          <w:szCs w:val="20"/>
          <w:color w:val="auto"/>
        </w:rPr>
      </w:pPr>
      <w:r>
        <w:rPr>
          <w:rFonts w:ascii="Arial" w:cs="Arial" w:eastAsia="Arial" w:hAnsi="Arial"/>
          <w:sz w:val="16"/>
          <w:szCs w:val="16"/>
          <w:color w:val="auto"/>
        </w:rPr>
        <w:t>The total purchase price was $90.2 million including transaction costs incurred by Kratos of $0.5 million. The purchase price paid to Haverstick of $89.7 million was paid in a combination of $70.3 million of cash and common stock valued at $19.4 million. We paid $66.7 million in cash at closing,</w:t>
      </w:r>
    </w:p>
    <w:p>
      <w:pPr>
        <w:ind w:right="60"/>
        <w:spacing w:after="0" w:line="261" w:lineRule="auto"/>
        <w:rPr>
          <w:sz w:val="20"/>
          <w:szCs w:val="20"/>
          <w:color w:val="auto"/>
        </w:rPr>
      </w:pPr>
      <w:r>
        <w:rPr>
          <w:rFonts w:ascii="Arial" w:cs="Arial" w:eastAsia="Arial" w:hAnsi="Arial"/>
          <w:sz w:val="18"/>
          <w:szCs w:val="18"/>
          <w:color w:val="auto"/>
        </w:rPr>
        <w:t>$2.4 million in cash shortly thereafter and $12.0 million of common stock. In addition, $1.2 million in cash and $7.4 million in stock was held back to secure any negative working capital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0" w:name="page31"/>
    <w:bookmarkEnd w:id="30"/>
    <w:p>
      <w:pPr>
        <w:ind w:right="100"/>
        <w:spacing w:after="0" w:line="232" w:lineRule="auto"/>
        <w:rPr>
          <w:sz w:val="20"/>
          <w:szCs w:val="20"/>
          <w:color w:val="auto"/>
        </w:rPr>
      </w:pPr>
      <w:r>
        <w:rPr>
          <w:rFonts w:ascii="Arial" w:cs="Arial" w:eastAsia="Arial" w:hAnsi="Arial"/>
          <w:sz w:val="18"/>
          <w:szCs w:val="18"/>
          <w:color w:val="auto"/>
        </w:rPr>
        <w:t>adjustments required by the merger agreement and our indemnity rights. The holdback consideration, which accrues interest in accordance with the terms of the agreement until paid, will be released on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months after the date of the acquisition. In addition to the indemnity holdback, the agreement also calls for a post closing working capital adjustment. To fund the acquisition, we secured a new credit facility of $85.0 million arranged by KeyBanc Capital Markets. The credit facility, which includes a $25.0 million line of credit and $60.0 million in term notes, replaced our previous credit facility, which had an outstanding principal balance of $6.0 million on December 31, 2007.</w:t>
      </w:r>
    </w:p>
    <w:p>
      <w:pPr>
        <w:spacing w:after="0" w:line="21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February 2008, we and Haverstick agreed on the working capital calculation called for in the agreement. The calculation resulted in a working capital adjustment due to Haverstick in an amount of $1.5 million. The working capital adjustment was paid with 697,307 shares of Company stock valued at $1.3 million and cash of $0.2 million in April 2008.</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Pursuant to the terms of the Merger Agreement, we have agreed to use our reasonable best efforts to file a resale registration statement covering the shares issued in connection with the merger promptly following the closing date. In the event that the common stock issued are not salable after twelve months under rules promulgated under the Securities Act, holders of the stock may elect to exchange such shares for a cash amount equal to $2.74 per share in accordance with the terms of the merger agreement. Until the date on which the shares of stock are salable interest shall accrue on the value of the closing stock at a floating rate of one-month LIBOR plus four percent (4%) per annum.</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February 2008, we entered into a definitive merger agreement with San Diego-based C5ISR and net-centric warfare solutions provider SYS Technologies (AMEX:SYS) in a stock-for-stock transaction. Under the terms of the agreement, SYS will merge into a wholly owned subsidiary of Kratos and all of SYS's outstanding common shares will be converted into Kratos common shares. Upon closing, we will issue approximately 25 million shares of common stock. The transaction is subject to customary closing conditions, including approval of the transaction by SYS's shareholders and the approval of our stockholders of the issuance of shares. The transaction is expected to close in the second quarter of 2008.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complete description of our business is set forth in our Form 10-K filed with the Securities and Exchange Commission on March 27, 2008.</w:t>
      </w:r>
    </w:p>
    <w:p>
      <w:pPr>
        <w:spacing w:after="0" w:line="24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For a discussion of our complete critical accounting matters, please refer to Item 7, "Management's Discussion and Analysis of Financial Condition and Results of Operations," in our 2007 Report on Form 10-K under the heading "Critical Accounting Matters."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30, 2008, we consider the following factors to be important in understanding our financial statements.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Public Security and Safety contracts are primarily fixed-price contracts whereby revenue is recognized using the percentage-of-completion method of accounting under the provisions of Statement of Position (SOP) 81-1, "Accounting for Performance of Construction Type and Certain Production Type Contracts." For contracts offered on a time and material basis, we recognize revenues as services are performed.</w:t>
      </w:r>
    </w:p>
    <w:p>
      <w:pPr>
        <w:spacing w:after="0" w:line="15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31" w:name="page32"/>
    <w:bookmarkEnd w:id="31"/>
    <w:p>
      <w:pPr>
        <w:spacing w:after="0" w:line="254" w:lineRule="auto"/>
        <w:rPr>
          <w:sz w:val="20"/>
          <w:szCs w:val="20"/>
          <w:color w:val="auto"/>
        </w:rPr>
      </w:pPr>
      <w:r>
        <w:rPr>
          <w:rFonts w:ascii="Arial" w:cs="Arial" w:eastAsia="Arial" w:hAnsi="Arial"/>
          <w:sz w:val="18"/>
          <w:szCs w:val="18"/>
          <w:color w:val="auto"/>
        </w:rPr>
        <w:t>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98"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 Total retainages included in accounts receivable and current assets of discontinued operations December 31, 2007 and March 30, 2008 were approximately $1.7 million and $1.6 million, respectively. In addition, $0.6 million of retainages that are expected to be paid after March 30, 2008 are included in other assets (long term).</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our Kratos Government Solutions segment will build and expand our customer relationships within the U.S. Departments of Defense "DoD", Department of Homeland Security and other non-DoD state and local agencies by taking advantage of the significant opportunities for companies with substantial expertise in advanced engineering and information technology. We believe we will experience continued growth in revenues and operating income from this operating segment. The acquisition of Haverstick on December 31, 2007 resulted in the addition of nearly 500 highly skilled technical professionals and engineers with expertise in the areas of military weapons and target range support as well as targets and missile operations and maintenance.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March 31, 2007 to the Three Months Ended March 30, 2008</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$19.2 million from $49.0 million for the three months ended March 31, 2007 to $68.2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30, 2008. This increase was primarily due to $19.8 million in revenues from Haverstick, which was acquired on December 31, 2007, partially offset by decreases due to the reduction of one program with quarterly revenues of nearly $1.6 million that was consolidated by one of our DoD customers in 2007, as well as increases in revenues in our Public Safety and Security segment. Revenues by operating segment for the three months ended March 31, 2007 and March 30, 2008 are as follows (in millions):</w:t>
      </w:r>
    </w:p>
    <w:p>
      <w:pPr>
        <w:spacing w:after="0" w:line="192"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Public Safety &amp; Security</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Government Solutions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-751840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-751840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-751840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-751840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-751840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-751840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-751840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-751840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-323215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-323215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-323215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-323215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-323215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ind w:right="140"/>
        <w:spacing w:after="0" w:line="298" w:lineRule="auto"/>
        <w:rPr>
          <w:sz w:val="20"/>
          <w:szCs w:val="20"/>
          <w:color w:val="auto"/>
        </w:rPr>
      </w:pPr>
      <w:r>
        <w:rPr>
          <w:rFonts w:ascii="Arial" w:cs="Arial" w:eastAsia="Arial" w:hAnsi="Arial"/>
          <w:sz w:val="16"/>
          <w:szCs w:val="16"/>
          <w:color w:val="auto"/>
        </w:rPr>
        <w:t>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$41.7 million for the three months ended March 31, 2007 to $55.6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30, 2008 primarily as a result of the increase in revenues from Haversick, partially offset by reduced costs in the PSS segment as a result of improved operating margins in this segment. Gross margin increased from 14.9% in the first quarter of 2007 to 18.5% for the three months ended March 30, 2008. The increase in gross margin primarily resulted from the improved operating performance of the PSS segment and the higher gross margins from Haverstick.</w:t>
      </w:r>
    </w:p>
    <w:p>
      <w:pPr>
        <w:spacing w:after="0" w:line="167"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from $9.1 million in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2007 to $11.9 million in the three months ended March 30, 2008. The increase was a result of the Haverstick acquisition, partially offset by reduced SG&amp;A expenses in the PSS segment. In addition, amortization of costs of purchased intangibles increased from $0.7 million to $1.2 million in the first quarter of 2007 to 2008, respectively, reflecting the acquisition of Haverstick. Excluding amortization of costs of purchased intangibles, SG&amp;A increased from $8.4 million to $10.7 million, or decreased from 17.1% of revenues to 15.7% of revenues reflecting improved leverage of SG&amp;A on increased revenue.</w:t>
      </w:r>
    </w:p>
    <w:p>
      <w:pPr>
        <w:spacing w:after="0" w:line="170"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Stock Option Investigation and Related Fees. </w:t>
      </w:r>
      <w:r>
        <w:rPr>
          <w:rFonts w:ascii="Arial" w:cs="Arial" w:eastAsia="Arial" w:hAnsi="Arial"/>
          <w:sz w:val="18"/>
          <w:szCs w:val="18"/>
          <w:color w:val="auto"/>
        </w:rPr>
        <w:t>The costs in the first quarter of 2007 of $1.5 million were comprised of legal, accounting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fees related to our Equity Award Review which was completed in September 2007 compared to nominal fees related to the ongoing government inquiries by the Department of Justice in the first quarter of 2008.</w:t>
      </w:r>
    </w:p>
    <w:p>
      <w:pPr>
        <w:spacing w:after="0" w:line="194" w:lineRule="exact"/>
        <w:rPr>
          <w:sz w:val="20"/>
          <w:szCs w:val="20"/>
          <w:color w:val="auto"/>
        </w:rPr>
      </w:pPr>
    </w:p>
    <w:p>
      <w:pPr>
        <w:jc w:val="both"/>
        <w:ind w:right="20" w:firstLine="351"/>
        <w:spacing w:after="0" w:line="33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Net other income (expense) decreased from income of $0.5 million to an expense of $2.7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2007 and March 30, 2008, respectively. Income of $0.5 million for the three months ended March 31, 2007 was primarily a result of the sale of assets.</w:t>
      </w:r>
    </w:p>
    <w:p>
      <w:pPr>
        <w:spacing w:after="0" w:line="13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In 2007, in accordance with EITF 87-24, </w:t>
      </w:r>
      <w:r>
        <w:rPr>
          <w:rFonts w:ascii="Arial" w:cs="Arial" w:eastAsia="Arial" w:hAnsi="Arial"/>
          <w:sz w:val="18"/>
          <w:szCs w:val="18"/>
          <w:i w:val="1"/>
          <w:iCs w:val="1"/>
          <w:color w:val="auto"/>
        </w:rPr>
        <w:t>Allocation of Interest to Discontinued Operations</w:t>
      </w:r>
      <w:r>
        <w:rPr>
          <w:rFonts w:ascii="Arial" w:cs="Arial" w:eastAsia="Arial" w:hAnsi="Arial"/>
          <w:sz w:val="18"/>
          <w:szCs w:val="18"/>
          <w:color w:val="auto"/>
        </w:rPr>
        <w:t xml:space="preserve"> ("EITF 87-24"), interest expense incurred on debt of $1.1 million for the period ended March 31, 2007 that was required to be repaid as a result of the sales of our wireless network services business was allocated to discontinued operations for the periods presented. See Note 6, significant transactions.</w:t>
      </w:r>
    </w:p>
    <w:p>
      <w:pPr>
        <w:spacing w:after="0" w:line="194"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For the three months ended March 30, 2008, in addition to interest expense incurred on our Credit Facility of $2.4 million as a result of the Haverstick acquisition, we also incurred other expense of $0.7 million related to a $70 million cash flow hedge we entered into to reduce our exposure to variable rates on our outstanding debt. This hedge became ineffective in March 2008 as a result of terms in our amendment to our Credit Facility that we entered into in March 2008 as a result of the charge we recorded related to the estimated settlement of our securities litigation. As a result, the expense related to marking the derivative financial instruments to market has been reflected in the statement of operations rather than in other comprehensive income on our Consolidated Balance Sheet. Future gains and losses on these derivative instruments as well as the offsetting gain or loss on the hedged item attributable to the hedged risk will be recognized in our statement of operations. These expenses were partially offset by other income of $0.3 million as a result of the sale of assets in the quarter.</w:t>
      </w:r>
    </w:p>
    <w:p>
      <w:pPr>
        <w:spacing w:after="0" w:line="159"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Provision (benefit) for income taxes increased from a provision of $0.2 million or a negative rate of 7.1% on</w:t>
      </w:r>
      <w:r>
        <w:rPr>
          <w:rFonts w:ascii="Arial" w:cs="Arial" w:eastAsia="Arial" w:hAnsi="Arial"/>
          <w:sz w:val="18"/>
          <w:szCs w:val="18"/>
          <w:i w:val="1"/>
          <w:iCs w:val="1"/>
          <w:color w:val="auto"/>
        </w:rPr>
        <w:t xml:space="preserve"> </w:t>
      </w:r>
      <w:r>
        <w:rPr>
          <w:rFonts w:ascii="Arial" w:cs="Arial" w:eastAsia="Arial" w:hAnsi="Arial"/>
          <w:sz w:val="18"/>
          <w:szCs w:val="18"/>
          <w:color w:val="auto"/>
        </w:rPr>
        <w:t>$2.8 million of loss before income taxes in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3" w:name="page34"/>
    <w:bookmarkEnd w:id="33"/>
    <w:p>
      <w:pPr>
        <w:ind w:right="20"/>
        <w:spacing w:after="0" w:line="298" w:lineRule="auto"/>
        <w:rPr>
          <w:sz w:val="20"/>
          <w:szCs w:val="20"/>
          <w:color w:val="auto"/>
        </w:rPr>
      </w:pPr>
      <w:r>
        <w:rPr>
          <w:rFonts w:ascii="Arial" w:cs="Arial" w:eastAsia="Arial" w:hAnsi="Arial"/>
          <w:sz w:val="16"/>
          <w:szCs w:val="16"/>
          <w:color w:val="auto"/>
        </w:rPr>
        <w:t>first quarter of 2007 to a provision of $0.5 million or a negative 25% rate on a loss before income taxes of $2 million. The tax provision in the first quarters of both 2007 and 2008 included an increase in the deferred tax liability related to temporary differences on indefinite life intangibles that were not offset by deferred tax assets due to the full valuation allowance we have recorded on these assets. During the first quarter of 2008, the Company recorded approximately $0.3 million of current state taxes in excess of the amounts recorded for the first quarter of 2007.</w:t>
      </w:r>
    </w:p>
    <w:p>
      <w:pPr>
        <w:spacing w:after="0" w:line="16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Income (loss) from discontinued operations changed from a loss of $17.1 million to income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2007 and March 30, 2008, respectively. The loss in 2007 was primarily due to impairment of assets related to the Wireless Deployment business of $13.4 million and an impairment of goodwill related to this business of $7.2 million, partially offset by a gain of $3.3 million on the sale of the EMEA operations. During the quarter ended March 30, 2008 we recognized a tax benefit of $1.1 million related to the expiration of the statute of limitations for certain foreign tax contingencies. This benefit was offset partially by an impairment charge of $0.5 million related to retained assets and liabilities from the sale and discontinuance of these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sources of liquidity include cash and cash equivalents, cash from operations and other external sources of funds. As of March 30, 2008, we had cash and cash equivalents totaling $11.0 million and restricted cash of $0.3 million related to our credit card program used to fund the travel expenses of our employees.</w:t>
      </w:r>
    </w:p>
    <w:p>
      <w:pPr>
        <w:spacing w:after="0" w:line="116"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Our operating cash flow is used to finance trade accounts receivable, fund capital expenditures and make strategic acquisitions. Financing trade accounts receivable is necessary because, on average, the customers and payers for our services do not pay us as quickly as we pay our vendors and employees for their goods and services primarily due to contractual billing milestones that must be achieved to enable us to bill our customers. Capital expenditures consist primarily of investment in computer hardware and software and improvement of our physical properties in order to maintain suitable conditions to conduct our business.</w:t>
      </w:r>
    </w:p>
    <w:p>
      <w:pPr>
        <w:spacing w:after="0" w:line="15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Cash from continuing operations is primarily derived from our customer contracts in progress and associated changes in working capital components. Cash provided by continuing operations was $2.5 million for the three months ended March 31, 2007 and $2.0 million for the three months ended March 30, 2008. The decrease in cash provided by operations was primarily a result of the increase in our Days Sales Outstanding from 101 days to 106 days for the quarters ended March 31, 2007 and March 30, 2008, respectively, impacted by the contractual billing milestones on certain of our projects, partially offset by $3.4 million in receipt of payment related to the recovery of assets under the settlement with the former stock option administrator.</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Cash provided by investing activities from continuing operations was $2.1 million for the three months ended March 31, 2007 compared to cash used in investing activities of $1.3 million for the three months ended March 30, 2008. During the three months ended March 31, 2007, investing activities included cash received of $2.9 million on the sale of our EMEA operations to LCC partially offset by capital expenditures of $0.7 million. During the three months ended March 30, 2008, investing activities included cash paid of $3.0 million related to expenses for the Haverstick acquisition partially offset by proceeds received of $2.3 million from the settlement of the working capital amount owed by LCC on the sale of our domestic engineering operations. See Notes 6 and 7 to our unaudited consolidated financial statements for further discussion of our acquisitions and divestitures.</w:t>
      </w:r>
    </w:p>
    <w:p>
      <w:pPr>
        <w:spacing w:after="0" w:line="17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Cash used by financing activities from continuing operations was $0.1 million for the three months ended March 31, 2007 and cash provided by financing activities from continuing operations was $1.9 million for the three months ended March 30, 2008. In 2007, borrowings of $4.0 million under the line of credit were offset by payments of $4.0 million under the Line of Credit and repayment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4" w:name="page35"/>
    <w:bookmarkEnd w:id="34"/>
    <w:p>
      <w:pPr>
        <w:ind w:right="240"/>
        <w:spacing w:after="0" w:line="268" w:lineRule="auto"/>
        <w:rPr>
          <w:sz w:val="20"/>
          <w:szCs w:val="20"/>
          <w:color w:val="auto"/>
        </w:rPr>
      </w:pPr>
      <w:r>
        <w:rPr>
          <w:rFonts w:ascii="Arial" w:cs="Arial" w:eastAsia="Arial" w:hAnsi="Arial"/>
          <w:sz w:val="18"/>
          <w:szCs w:val="18"/>
          <w:color w:val="auto"/>
        </w:rPr>
        <w:t>capital lease obligations of $0.1 million. The positive cash flow from financing activities for the 2008 period consisted primarily of $2.0 million of borrowings from our Credit Facility offset by repayments of capital lease obligations.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Cash used by discontinued operations was $1.9 million and $0.2 million for the three months ended March 31, 2007 and March 30, 2008, respectively. The decrease was primarily a result of the sale of these operations in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connection with our business acquisitions, we have agreed to make additional future payments to sellers based on final purchase price adjustments and the expiration of certain indemnification obligations. Pursuant to the provisions of SFAS No. 141, such amounts are accrued, and therefore, recorded by the Company when the contingency is resolved beyond a reasonable doubt and, hence, the additional consideration becomes payable. As of March 30, 2008, we have approximately $3.5 million of cash holdback amounts and $7.4 million of common stock holdback due for the MRC and Haverstick acquisitions; these will be released subject to indemnity rights. The MRC holdback of approximately $2.3 million was originally due in April 2008 and this date has been extended to July 2008 to provide additional time to resolve outstanding indemnification obligations. The remaining amounts for Haverstick of $1.2 million in cash and</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$7.4 million in common stock are due in December 2008 and September 2009. The holdback arrangements accrue interest in accordance with the terms of the purchase agreements.</w:t>
      </w:r>
    </w:p>
    <w:p>
      <w:pPr>
        <w:spacing w:after="0" w:line="19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the indemnity holdback, the Haverstick agreement also calls for a post closing working capital adjustment. In February 2008, we and Haverstick agreed on the working capital calculation called for in the agreement. The calculation resulted in a working capital adjustment due to Haverstick in an amount of $1.5 million. The working capital adjustment was paid with the issuance of 697,307 common shares of our stock valued at $1.3 million and cash of $0.2 million.</w:t>
      </w:r>
    </w:p>
    <w:p>
      <w:pPr>
        <w:spacing w:after="0" w:line="197" w:lineRule="exact"/>
        <w:rPr>
          <w:sz w:val="20"/>
          <w:szCs w:val="20"/>
          <w:color w:val="auto"/>
        </w:rPr>
      </w:pPr>
    </w:p>
    <w:p>
      <w:pPr>
        <w:ind w:right="260" w:firstLine="351"/>
        <w:spacing w:after="0" w:line="283" w:lineRule="auto"/>
        <w:rPr>
          <w:sz w:val="20"/>
          <w:szCs w:val="20"/>
          <w:color w:val="auto"/>
        </w:rPr>
      </w:pPr>
      <w:r>
        <w:rPr>
          <w:rFonts w:ascii="Arial" w:cs="Arial" w:eastAsia="Arial" w:hAnsi="Arial"/>
          <w:sz w:val="16"/>
          <w:szCs w:val="16"/>
          <w:color w:val="auto"/>
        </w:rPr>
        <w:t>On December 31, 2007, we entered into a new credit facility of $85.0 million with KeyBanc Capital Markets which replaced the October 2, 2006 credit agreement with Key Bank. This credit facility provides for two term loans consisting of a first lien term note of $50.0 million and a second lien term note of $10.0 million, as well as a first lien $25 million revolving line of credit. The $10.0 million term loan has a five and one half year term with principal payments required quarterly beginning on March 31, 2008 of $25,000 through March 31, 2013 with the final balance of $9.5 million due on June 30, 2013. The</w:t>
      </w:r>
    </w:p>
    <w:p>
      <w:pPr>
        <w:spacing w:after="0" w:line="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$50.0 million term loan has a five year term with principal payments required quarterly beginning on March 31, 2008 of $0.6 million in 2008, $1.3 million in 2009, $2.5 million in 2110, and $4.1 million in 2011 and 2012. The term loans have a provision which states that once the full amount of the note has been borrowed, the notes cannot be paid down and reborrowed again. The revolving line of credit has a four year term which expires on December 31, 2011 and contains provisions typical in such arrangements. All loans under the new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our aggregate debt to our EBITDA for the previous four fiscal quarters. We used the credit facility to fund the Acquisition of Haverstick Consulting Inc. (Haverstick) and to retire outstanding debt under our October 2006 credit facility with Key Bank. The terms of the new credit agreement require us to provide certain customary covenants for a credit agreement, including certain financial covenants which vary by quarter. See schedules 7.12(a) through (e) to both the First Lien Credit Agreement and the Second Lien Credit Agreement which were filed as Exhibits 10.1 and 10.2 respectively, to our Current Report on Form 8-K filed with the SEC on January 7, 2008. As of March 30, 2008, our outstanding balance on the facility was $77.5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5" w:name="page36"/>
    <w:bookmarkEnd w:id="35"/>
    <w:p>
      <w:pPr>
        <w:ind w:right="20" w:firstLine="351"/>
        <w:spacing w:after="0" w:line="259" w:lineRule="auto"/>
        <w:rPr>
          <w:sz w:val="20"/>
          <w:szCs w:val="20"/>
          <w:color w:val="auto"/>
        </w:rPr>
      </w:pPr>
      <w:r>
        <w:rPr>
          <w:rFonts w:ascii="Arial" w:cs="Arial" w:eastAsia="Arial" w:hAnsi="Arial"/>
          <w:sz w:val="18"/>
          <w:szCs w:val="18"/>
          <w:color w:val="auto"/>
        </w:rPr>
        <w:t>On February 11, 2008, we entered into three interest swap agreements with Key Bank, to fix our LIBOR rate to an average of 3.16% for the term of the swap agreements. The effective date of the swaps was February 14, 2008. The notional amounts and expiration dates of the swap agreements are $15 million and March 31, 2010; $22.5 million and March 31, 2011; and $32.5 million and March 31, 2011.</w:t>
      </w:r>
    </w:p>
    <w:p>
      <w:pPr>
        <w:spacing w:after="0" w:line="194" w:lineRule="exact"/>
        <w:rPr>
          <w:sz w:val="20"/>
          <w:szCs w:val="20"/>
          <w:color w:val="auto"/>
        </w:rPr>
      </w:pPr>
    </w:p>
    <w:p>
      <w:pPr>
        <w:jc w:val="both"/>
        <w:ind w:right="200" w:firstLine="351"/>
        <w:spacing w:after="0" w:line="303" w:lineRule="auto"/>
        <w:rPr>
          <w:sz w:val="20"/>
          <w:szCs w:val="20"/>
          <w:color w:val="auto"/>
        </w:rPr>
      </w:pPr>
      <w:r>
        <w:rPr>
          <w:rFonts w:ascii="Arial" w:cs="Arial" w:eastAsia="Arial" w:hAnsi="Arial"/>
          <w:sz w:val="15"/>
          <w:szCs w:val="15"/>
          <w:color w:val="auto"/>
        </w:rPr>
        <w:t>In March 2008 we entered into a tentative agreement to settle the 2004 and 2007 securities class action litigation actions (described in Part II, Item 1 Legal Proceedings), and as a result, we recorded a $4.9 million charge in the quarter ended December 31, 2007 to accrue our share of the settlement amounts, and an estimate for a contingent liability associated with legal proceedings related to the derivative actions, net of the amounts to be covered by our insurance carriers.</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As a consequence of recording this legal settlement, we did not meet certain of the financial covenants in accordance with the Credit Agreement. Accordingly, on March 27, 2008, we obtained an amendment and waiver from our lenders to waive the impact of the legal settlement amounts on our financial covenants as of December 31, 2007 and the affected future periods. The amendment also amended the Credit Agreement to provide for an increase in the LIBOR floor rate to</w:t>
      </w:r>
    </w:p>
    <w:p>
      <w:pPr>
        <w:spacing w:after="0" w:line="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4.25% and to require that we set aside in a restricted account approximately 50% of the proceeds of the recovery from the theft of stock options by our former stock option administrator, or approximately $1.7 million, to fund these settlement amounts. In April 2008, we transferred $1.7 million to a restricted cash account. The lenders have also reserved the right to require us to utilize the entire amount of the $3.4 million in proceeds received from the theft of stock options to permanently pay down indebtedness. This right can be exercised no earlier than 60 days from March 27, 2008 and expires upon our compliance with financial covenants under the Credit Agreement for the four consecutive quarters commencing after January 1, 2008.</w:t>
      </w:r>
    </w:p>
    <w:p>
      <w:pPr>
        <w:spacing w:after="0" w:line="17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net benefit of the swap agreements entered into by us on February 11, 2008 has been reduced by the LIBOR floor included in the amendment and waiver discussed above. The cost related to this amendment was recorded as deferred financing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intend to fund our cash requirements with cash flows from operating activities, and borrowings under our current credit facilities and potential future credit facilities. We believe these sources should be sufficient to meet our cash needs for at least the next 12 months. However, we expect to pay for the settlement of our shareholder litigation in the second half of 2008 as discussed in Note 14—Legal Matters to the unaudited consolidated financial statements included in Item 1 of Part I of this Quarterly Report, and we may need to raise additional funds to pay for this settlement. In addition, if we become subject to significant judgments, settlements, or fines related to the matters discussed in Note 13 Legal Matters, or any other matters, or incur legal fees in excess of our current expectations, we could be required to make significant payments that could materially and adversely affect our financial condition, potentially impacting our ability to access the capital markets and our compliance with our debt covenants.</w:t>
      </w:r>
    </w:p>
    <w:p>
      <w:pPr>
        <w:spacing w:after="0" w:line="172"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discussed in Part II, Item 1A, "Risk Factors" section of this Quarterly Report on Form 10-Q,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 As of March 30, 2008 we were in compliance with all financial covenants under the Credit Agreements.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right="100" w:firstLine="348"/>
        <w:spacing w:after="0" w:line="291" w:lineRule="auto"/>
        <w:rPr>
          <w:sz w:val="20"/>
          <w:szCs w:val="20"/>
          <w:color w:val="auto"/>
        </w:rPr>
      </w:pPr>
      <w:r>
        <w:rPr>
          <w:rFonts w:ascii="Arial" w:cs="Arial" w:eastAsia="Arial" w:hAnsi="Arial"/>
          <w:sz w:val="16"/>
          <w:szCs w:val="16"/>
          <w:color w:val="auto"/>
        </w:rPr>
        <w:t>We currently carry a significant amount of debt and as such, our ability to execute on additional business opportunities may be limited due to existing borrowing capacity. In addition, given the relatively highly leveraged liquidity position, any down-turn in our operating earnings could impair our ability to comply with the financial covenants of its existing credit facility. If we anticipated a potential covenant violation, we would seek relief from our lenders. This relief would have some cost to us and such relief might not be on terms as favorable as those in its existing Credit Agreement. If we were to actually default due to our failure to meet the financial covenants of our Credit Agreement and inability to obtain a waiver from the lenders, our Credit Agreement could require us to immediately repay all amounts then outstanding under the Credit Agreement and/or require us to pay interest at default rates per the Credit Agreement.</w:t>
      </w:r>
    </w:p>
    <w:p>
      <w:pPr>
        <w:spacing w:after="0" w:line="17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the event we were required to repay the amount outstanding under the existing credit facility, we would need to obtain alternative sources of financing to continue our operating activities at existing levels. There can be no assurance that alternative financing would be available on acceptable terms or at all.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proposed 157-c.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157-c clarifies the principles in SFAS 157 on the fair value measurement of liabilities. Public comments on FSP 157-c were due in February 2008, and responses and recommendations were presented to the board on April 9, 2008. We adopted SFAS 157 as of January 1, 2008, with the exception of the application of the statement to non-recurring nonfinancial assets and nonfinancial liabilities. Refer to Note 10 to the Condensed Consolidated Financial Statements for additional discussion on fair value measurements.</w:t>
      </w:r>
    </w:p>
    <w:p>
      <w:pPr>
        <w:spacing w:after="0" w:line="17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which is effective for fiscal years beginning after November 15, 2007. This statement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We have adopted SFAS 159 as of January 1, 2008 and have elected not to measure any additional financial instruments and or other items at fair value.</w:t>
      </w:r>
    </w:p>
    <w:p>
      <w:pPr>
        <w:spacing w:after="0" w:line="174" w:lineRule="exact"/>
        <w:rPr>
          <w:sz w:val="20"/>
          <w:szCs w:val="20"/>
          <w:color w:val="auto"/>
        </w:rPr>
      </w:pPr>
    </w:p>
    <w:p>
      <w:pPr>
        <w:jc w:val="both"/>
        <w:ind w:right="340" w:firstLine="351"/>
        <w:spacing w:after="0" w:line="303" w:lineRule="auto"/>
        <w:rPr>
          <w:sz w:val="20"/>
          <w:szCs w:val="20"/>
          <w:color w:val="auto"/>
        </w:rPr>
      </w:pPr>
      <w:r>
        <w:rPr>
          <w:rFonts w:ascii="Arial" w:cs="Arial" w:eastAsia="Arial" w:hAnsi="Arial"/>
          <w:sz w:val="15"/>
          <w:szCs w:val="15"/>
          <w:color w:val="auto"/>
        </w:rPr>
        <w:t>In December 2007, the FASB issued SFAS No. 141 (revised 2007), "Business Combinations" (SFAS 141(R)), which replaces SFAS No. 141, "Business Combinations." SFAS 141(R) retains the underlying concepts of SFAS 141 in that all business combinations are still required to be accounted for at fair value under the acquisition method of accounting but SFAS 141(R) changed the method of applying the acquisition method in a number of significant aspects.</w:t>
      </w:r>
    </w:p>
    <w:p>
      <w:pPr>
        <w:spacing w:after="0" w:line="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Acquisition costs will generally be expensed as incurred; noncontrolling interests will be valued at fair value at the acquisition date; in-process research and development will be recorded at fair value as an indefinite-lived intangible asset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ind w:right="20"/>
        <w:spacing w:after="0" w:line="287" w:lineRule="auto"/>
        <w:rPr>
          <w:sz w:val="20"/>
          <w:szCs w:val="20"/>
          <w:color w:val="auto"/>
        </w:rPr>
      </w:pPr>
      <w:r>
        <w:rPr>
          <w:rFonts w:ascii="Arial" w:cs="Arial" w:eastAsia="Arial" w:hAnsi="Arial"/>
          <w:sz w:val="16"/>
          <w:szCs w:val="16"/>
          <w:color w:val="auto"/>
        </w:rPr>
        <w:t>at the acquisition date; restructuring costs associated with a business combination will generally be expensed subsequent to the acquisition date; and changes in deferred tax asset valuation allowances and income tax uncertainties after the acquisition date generally will affect income tax expense. SFAS 141(R) is effective on a prospective basis for all business combinations for which the acquisition date is on or after the beginning of the first annual period subsequent to December 15, 2008, with the exception of the accounting for valuation allowances on deferred taxes and acquired tax contingencies. SFAS 141(R) amends SFAS 109 such that adjustments made to valuation allowances on deferred taxes and acquired tax contingencies associated with acquisitions that closed prior to the effective date of SFAS 141(R) would also apply the provisions of SFAS 141(R). Early adoption is not permitted. We are currently evaluating the effects, if any, that SFAS 141(R) may have on our financial statements; however, since we have significant acquired deferred tax assets for which full valuation allowances were recorded at the acquisition date, SFAS 141(R) could significantly affect the results of operations if changes in the valuation allowances occur subsequent to adoption. For additional discussion on deferred tax valuation allowances, refer to Note 10 to the Consolidated Financial Statements in our 2007 Annual Report filed on Form 10-K.</w:t>
      </w:r>
    </w:p>
    <w:p>
      <w:pPr>
        <w:spacing w:after="0" w:line="17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This statement is effective for fiscal years, and interim periods within those fiscal years, beginning on or after December 15, 2008, with earlier adoption prohibited.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It also amends certain of ARB No. 51's consolidation procedures for consistency with the requirements of SFAS 141(R). This statement also includes expanded disclosure requirements regarding the interests of the parent and its noncontrolling interest. We are currently evaluating this new statement and anticipate that the statement will not have a significant impact on the reporting of our results of operations.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December 2007, the EITF issued Issue No. 07-1, "Accounting for Collaborative Arrangements." This Issue is effective for financial statements issued for fiscal years beginning after December 15, 2008, and interim periods within those fiscal years, and shall be applied retrospectively to all prior periods presented for all collaborative arrangements existing as of the effective date. This Issue requires that transactions with third parties (i.e., revenue generated and costs incurred by the partners) should be reported in the appropriate line item in each company's financial statement pursuant to the guidance in EITF Issue No. 99-19, "Reporting Revenue Gross as a Principal versus Net as an Agent." This Issue also includes enhanced disclosure requirements regarding the nature and purpose of the arrangement, rights and obligations under the arrangement, accounting policy, and income statement classification of collaboration transactions between the parties. We are currently evaluating this new statement and anticipate that the statement will not have a significant impact on the reporting of our results of operations.</w:t>
      </w:r>
    </w:p>
    <w:p>
      <w:pPr>
        <w:spacing w:after="0" w:line="17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"Accounting for Derivative Instruments and Hedging Activities"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We are currently evaluating the disclosure implications of this statement.</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38" w:name="page39"/>
    <w:bookmarkEnd w:id="38"/>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is exposed to market risk in connection with changes in interest rates, primarily in connection with outstanding balances under its credit facility with KeyBank National Association. Based on the Company's average outstanding balances during the three months ended March 30, 2008 a 1% change in the LIBOR rate would impact the Company's financial position and results of operations by approximately $$0.8 million over the next year.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are contracted with investment grade counterparties to reduce exposure to nonperformance on such instruments.</w:t>
      </w:r>
    </w:p>
    <w:p>
      <w:pPr>
        <w:spacing w:after="0" w:line="17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Cash and cash equivalents as of March 30, 2008 were $11.0 million and are primarily invested in money market interest bearing accounts. A hypothetical 10% adverse change in the average interest rate on our money market cash investments and short-term investments would have had no material effect on net income for the three months ended March 30, 2008.</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March 30, 2008.</w:t>
      </w:r>
    </w:p>
    <w:p>
      <w:pPr>
        <w:spacing w:after="0" w:line="167"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30, 2008 that has materially affected, or is reasonably likely to materially affect, our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220" w:firstLine="351"/>
        <w:spacing w:after="0" w:line="289"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No.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settlement was terminated pursuant to stipulation and will not receive final approval.</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Plaintiffs filed amended complaints in the six focus cases in August 2007. The Company is not one of the focus case issuers. In September 2007, the Company's named officers and directors again extended the tolling agreement with plaintiffs. In September 2007, plaintiffs moved to certify the classes alleged in the focus cases and to appoint class representatives and class counsel in those cases. The focus case issuers filed motions to dismiss the claims against them in November 2007 and an opposition to plaintiffs' motion for class certification in December 2007. The Court denied the motions to dismiss on March 16, 2008. A date for the focus case defendants to answer has not yet been set. Due to the inherent uncertainties of litigation, the ultimate outcome of this matter cannot be predicted. In accordance with FASB No. 5, "Accounting for Contingencies," the Company believes any contingent liability related to this claim is not probable or estimable and therefore no amounts have been accrued in regards to this matter.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right="100" w:firstLine="351"/>
        <w:spacing w:after="0" w:line="301" w:lineRule="auto"/>
        <w:rPr>
          <w:sz w:val="20"/>
          <w:szCs w:val="20"/>
          <w:color w:val="auto"/>
        </w:rPr>
      </w:pPr>
      <w:r>
        <w:rPr>
          <w:rFonts w:ascii="Arial" w:cs="Arial" w:eastAsia="Arial" w:hAnsi="Arial"/>
          <w:sz w:val="15"/>
          <w:szCs w:val="15"/>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action—In re Wireless Facilities, Inc. Securities Litigation, Master File</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Under the tentative settlement, plaintiffs and the class will dismiss all claims, with prejudice, in exchange for a cash payment in the total amount of $12 million. The Company's directors' and officers' liability insurers will pay the settlement amount in accordance with the Company's insurance policies, less any applicable retention or co-insurance obligations that are expected to be paid directly by the Company. The Company estimates that the amount of its payment toward the settlement will be approximately $2.4 million. The Company has accrued approximately $2.4 million as of March 30, 2008 related to this matter. The parties currently are in the process of documenting their agreement and, if agreement terms are reached, will seek a determination by the Court that the proposed settlement is fair, reasonable and adequate. The Company makes no assurances at this time that the parties will reach agreement on settlement terms, that the Court will approve the proposed settlement terms or that the matter ultimately will be settled. Despite the tentative settlement reached in this action, the Company believes that the allegations lack merit.</w:t>
      </w:r>
    </w:p>
    <w:p>
      <w:pPr>
        <w:spacing w:after="0" w:line="17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No. 04CV1663; and Roth v. Wireless Facilities, Inc., Case No.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right="60"/>
        <w:spacing w:after="0" w:line="285" w:lineRule="auto"/>
        <w:rPr>
          <w:sz w:val="20"/>
          <w:szCs w:val="20"/>
          <w:color w:val="auto"/>
        </w:rPr>
      </w:pPr>
      <w:r>
        <w:rPr>
          <w:rFonts w:ascii="Arial" w:cs="Arial" w:eastAsia="Arial" w:hAnsi="Arial"/>
          <w:sz w:val="16"/>
          <w:szCs w:val="16"/>
          <w:color w:val="auto"/>
        </w:rPr>
        <w:t>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have moved the Court for certification and entry of final judgment of the Court's order dismissing the non-residents for lack of personal jurisdiction so that the plaintiffs may seek immediate appellate review of the matter. A hearing on the plaintiffs' motion for certification is set for May 19, 2008. The parties have conferred and discussed the Court's order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June 5,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82"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No. 07-CV-0680 BTM(RBB) (the "Hameed Action"), against several of the Company's current and former officers and directors. The allegations in this new derivative complaint mirror the amended allegations in the 2004 federal derivative action. Pursuant to the Court's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The parties have conferred and discussed the Court's order and have stipulated to a briefing schedule for any remaining motions to dismiss that the Company, along with the individual defendants subject to the court's jurisdiction, may bring in an effort to dismiss the Hameed Action as to them. Pursuant to the parties stipulation, such motions must be brought on or before June 5, 2008. At this time, the parties' have not set a date by which such motions must be brought.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8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No. GIC 834253. The plaintiffs filed a Consolidated Shareholder Derivative Complaint on October 14, 2004. This action has been stayed pending a decision in federal court on a motion to dismiss the federal derivative lawsuits. In April 2008, the parties notified the Court of the status of the federal action and the court continued the stay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ind w:right="180"/>
        <w:spacing w:after="0" w:line="259" w:lineRule="auto"/>
        <w:rPr>
          <w:sz w:val="20"/>
          <w:szCs w:val="20"/>
          <w:color w:val="auto"/>
        </w:rPr>
      </w:pPr>
      <w:r>
        <w:rPr>
          <w:rFonts w:ascii="Arial" w:cs="Arial" w:eastAsia="Arial" w:hAnsi="Arial"/>
          <w:sz w:val="18"/>
          <w:szCs w:val="18"/>
          <w:color w:val="auto"/>
        </w:rPr>
        <w:t>for an additional six months. The Court also ordered the parties to file an updated status report in October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$0.8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The consolidated class action complaint was filed on November 19, 2007. In March 2008, following a voluntary mediation of the matter, the parties reached a tentative agreement to settle the class action. Under the settlement proposal, plaintiffs and the class will dismiss all claims, with prejudice, in exchange for a cash payment in the amount of $4.5 million. The Company's directors' and officers' liability insurers will pay the settlement amount, less any applicable retention or co-insurance obligations and contributions that are expected to be paid directly by the Company. The Company estimates that the total amount of its payment toward the settlement will be approximately $1.7 million. The Company has accrued approximately $1.7 million as of March 30, 2008 related to this matter. The parties currently are in the process of documenting their agreement, and if agreement terms are reached, will seek a determination by the Court that the proposed settlement is fair, reasonable and adequate. The Company makes no assurances at this time that the parties will reach agreement on settlement terms, the Court will approve the proposed settlement terms or that the matter ultimately will be settled. Despite the tentative settlement reached in this action, the Company believes that the allegations lack merit.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$0.6 million for his back wages, vacation pay and certain other benefits. The Company filed an appeal in the matter on July 20, 2006 and is challenging the basis for the award on several theories. The Company has accrued approximately $0.6 million as of March 30, 2008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Although the Company believes that the allegations lack merit, it has agreed in principle with the plaintiffs to settle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ind w:right="260"/>
        <w:spacing w:after="0" w:line="306" w:lineRule="auto"/>
        <w:rPr>
          <w:sz w:val="20"/>
          <w:szCs w:val="20"/>
          <w:color w:val="auto"/>
        </w:rPr>
      </w:pPr>
      <w:r>
        <w:rPr>
          <w:rFonts w:ascii="Arial" w:cs="Arial" w:eastAsia="Arial" w:hAnsi="Arial"/>
          <w:sz w:val="16"/>
          <w:szCs w:val="16"/>
          <w:color w:val="auto"/>
        </w:rPr>
        <w:t>their claims for an aggregate amount in the range of $0.3 million to $0.5 million, to include individual and incentive awards, attorneys' fees and administrative costs, subject to court approval. The actual amount paid by the Company will depend upon the number of responses received from members of the purported class of plaintiffs. The Company has recorded an accrual for a contingent liability associated with this legal proceeding in the amount of $0.3 million.</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Kratos promptly reported to the SEC the discovery of the theft. The SEC initiated an informal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informal investigation and that it did not intend to recommend any enforcement action by the SEC against the Company. Kratos has cooperated with, and intends to continue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is in the process of liquidating the approximately $0.1 million remaining assets.</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 factors and all other information contained herein as well as the information included in this Quarterly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consolidated financial statements and related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4" w:name="page45"/>
    <w:bookmarkEnd w:id="44"/>
    <w:p>
      <w:pPr>
        <w:ind w:left="360"/>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We derive a significant portion of our revenue from contracts with the U.S. federal government and government agencies and subcontracts under federal government prime contracts, and the success of our business and growth of our business will continue to depend on our successful procurement of government contracts either directly or through prime contractors. Accordingly, changes in government contracting policies or government budgetary constraints could directly affect our financial performance. Among the factors that could adversely affect our business are:</w:t>
      </w:r>
    </w:p>
    <w:p>
      <w:pPr>
        <w:spacing w:after="0" w:line="180" w:lineRule="exact"/>
        <w:rPr>
          <w:sz w:val="20"/>
          <w:szCs w:val="20"/>
          <w:color w:val="auto"/>
        </w:rPr>
      </w:pPr>
    </w:p>
    <w:p>
      <w:pPr>
        <w:ind w:left="1080" w:right="2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 contracts from government agencies could be adversely affected by spending reductions or budget cutbacks at these agencies.</w:t>
      </w:r>
    </w:p>
    <w:p>
      <w:pPr>
        <w:spacing w:after="0" w:line="15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federal government rights and remedies not typically found in commercial contracts, including provisions permitting the federal government to:</w:t>
      </w:r>
    </w:p>
    <w:p>
      <w:pPr>
        <w:spacing w:after="0" w:line="16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4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b w:val="1"/>
          <w:bCs w:val="1"/>
          <w:i w:val="1"/>
          <w:iCs w:val="1"/>
          <w:color w:val="auto"/>
        </w:rPr>
        <w:t>Recent acquisitions and potential future acquisitions could prove difficult to integrate, disrupt our business, dilute stockholder value and strain our resources.</w:t>
      </w:r>
    </w:p>
    <w:p>
      <w:pPr>
        <w:spacing w:after="0" w:line="186" w:lineRule="exact"/>
        <w:rPr>
          <w:sz w:val="20"/>
          <w:szCs w:val="20"/>
          <w:color w:val="auto"/>
        </w:rPr>
      </w:pPr>
    </w:p>
    <w:p>
      <w:pPr>
        <w:ind w:right="660" w:firstLine="348"/>
        <w:spacing w:after="0" w:line="306" w:lineRule="auto"/>
        <w:rPr>
          <w:sz w:val="20"/>
          <w:szCs w:val="20"/>
          <w:color w:val="auto"/>
        </w:rPr>
      </w:pPr>
      <w:r>
        <w:rPr>
          <w:rFonts w:ascii="Arial" w:cs="Arial" w:eastAsia="Arial" w:hAnsi="Arial"/>
          <w:sz w:val="16"/>
          <w:szCs w:val="16"/>
          <w:color w:val="auto"/>
        </w:rPr>
        <w:t>We have completed several acquisitions of complementary businesses in recent years, including our December 2007 acquisition of Haverstick Consulting, Inc. In addition, on February 20, 2008, we entered into an agreement to acquire SYS in a stock for stock transaction. We currently expect the transaction to close by the end of the second quarter of 2008, upon receipt of the required stockholder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6" w:name="page47"/>
    <w:bookmarkEnd w:id="46"/>
    <w:p>
      <w:pPr>
        <w:ind w:right="60"/>
        <w:spacing w:after="0" w:line="256" w:lineRule="auto"/>
        <w:rPr>
          <w:sz w:val="20"/>
          <w:szCs w:val="20"/>
          <w:color w:val="auto"/>
        </w:rPr>
      </w:pPr>
      <w:r>
        <w:rPr>
          <w:rFonts w:ascii="Arial" w:cs="Arial" w:eastAsia="Arial" w:hAnsi="Arial"/>
          <w:sz w:val="18"/>
          <w:szCs w:val="18"/>
          <w:color w:val="auto"/>
        </w:rPr>
        <w:t>approvals. However, the transaction may not close as expected, and the anticipated synergies from the acquisition may not be fully realized or may take longer to realize than expected. The success of the acquisition will depend in part on the success in integrating the operations, technologies and personnel of SYS. The failure to successfully integrate the operations of the two companies or otherwise to realize any of the anticipated benefits of the acquisition could seriously harm our results of operations.</w:t>
      </w:r>
    </w:p>
    <w:p>
      <w:pPr>
        <w:spacing w:after="0" w:line="197"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companies that we believe could complement or expand our business or increase our customer base. Acquisitions involve numerous risks, including:</w:t>
      </w:r>
    </w:p>
    <w:p>
      <w:pPr>
        <w:spacing w:after="0" w:line="15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federal acquisition regulations may require us to enter into government novation agreements, a potentially time-consuming process;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impairments in the future that could harm our financial results. In addition, if we finance acquisitions by issuing convertible debt or equity securities, our existing stockholders may be diluted, which could affect the market price of our stock. As a result, if we fail to properly evaluate acquisitions or investments, we may not achieve the anticipated benefits of any such acquisitions, and we may incur costs in excess of what we anticipate.</w:t>
      </w:r>
    </w:p>
    <w:p>
      <w:pPr>
        <w:spacing w:after="0" w:line="172"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b w:val="1"/>
          <w:bCs w:val="1"/>
          <w:i w:val="1"/>
          <w:iCs w:val="1"/>
          <w:color w:val="auto"/>
        </w:rPr>
        <w:t>We agreed to indemnify acquirers of our divested operations against specified losses in connection with the sale of these operations, and any demands for indemnification may result in expenses we do not anticipate and distract the attention of our management from our continuing businesses.</w:t>
      </w:r>
    </w:p>
    <w:p>
      <w:pPr>
        <w:spacing w:after="0" w:line="11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agreed to indemnify acquirers of our divested operations against specified losses in connection with their sale and generally retain responsibility for various legal liabilities that accrued prior to closing. We also made representations and warranties to these acquirers about the condition of the divested businesses and agreed to working capital adjustment provisions that could obligate us to make substantial payments to some of these acquirers. If any acquirer makes an indemnification claim because it has suffered a loss or a third party has commenced an action against the divested business, or if we are required to make payments in settlement of working capital adjustments, we may incur substantial expenses resolving such claims or defending against the third party action, which would harm our operating results. In addition, our ability to defend ourselves may be impaired because our former employees are now employees of the acquirer or other companies, and our management may have to devote a substantial amount of time to resolving the claim. In addition, these indemnity claims may divert management attention from responsibilities related to the daily ongoing concerns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7" w:name="page48"/>
    <w:bookmarkEnd w:id="47"/>
    <w:p>
      <w:pPr>
        <w:ind w:right="660"/>
        <w:spacing w:after="0" w:line="268" w:lineRule="auto"/>
        <w:rPr>
          <w:sz w:val="20"/>
          <w:szCs w:val="20"/>
          <w:color w:val="auto"/>
        </w:rPr>
      </w:pPr>
      <w:r>
        <w:rPr>
          <w:rFonts w:ascii="Arial" w:cs="Arial" w:eastAsia="Arial" w:hAnsi="Arial"/>
          <w:sz w:val="18"/>
          <w:szCs w:val="18"/>
          <w:color w:val="auto"/>
        </w:rPr>
        <w:t>business. In addition, we may be required to expend substantial resources trying to determine which party has responsibility for the claim, even if we are ultimately found to be not responsible.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variable purchasing patterns under the GSA Schedule 70 Contracts, government wide acquisition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8" w:name="page49"/>
    <w:bookmarkEnd w:id="48"/>
    <w:p>
      <w:pPr>
        <w:jc w:val="both"/>
        <w:ind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 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fiscal year ended December 31, 2007, two customers comprised approximately 60% and 44% of our federal business revenues and total revenues, respectively, and our five largest customers accounted for approximately 84% and 62% of our total federal business revenues and total revenues, respectively.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15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27% and 50%, respectively, of our federal business revenues for the period ended March 30, 2008.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t>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schedule contracts.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4"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ind w:right="40"/>
        <w:spacing w:after="0" w:line="256" w:lineRule="auto"/>
        <w:rPr>
          <w:sz w:val="20"/>
          <w:szCs w:val="20"/>
          <w:color w:val="auto"/>
        </w:rPr>
      </w:pPr>
      <w:r>
        <w:rPr>
          <w:rFonts w:ascii="Arial" w:cs="Arial" w:eastAsia="Arial" w:hAnsi="Arial"/>
          <w:sz w:val="18"/>
          <w:szCs w:val="18"/>
          <w:color w:val="auto"/>
        </w:rPr>
        <w:t>employees, to maintain security clearances. Obtaining and maintaining security clearances for employees involves a lengthy process, and it is difficult to identify, recruit and retain employees who already hold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19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prime contractor, we often rely upon other companies to perform work we are obligated to perform for our clients as subcontractors.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federal government contracts, which affect how we do business with our clients and may impose added costs on us. In addition, 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1" w:name="page52"/>
    <w:bookmarkEnd w:id="51"/>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Other than the technical skills required in our commercial business, the barriers to entry in this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If our commercial customers do not invest in security systems and other new in-building technologies such as wireless local area networks and/or IP-based networks, our business will suffer.</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intend to devote significant resources to developing our enterprise-based wireless local area networks (WLAN),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clients could assert claims against us for damages or refunds.</w:t>
      </w:r>
    </w:p>
    <w:p>
      <w:pPr>
        <w:spacing w:after="0" w:line="260"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assure you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jc w:val="both"/>
        <w:spacing w:after="0" w:line="306" w:lineRule="auto"/>
        <w:rPr>
          <w:sz w:val="20"/>
          <w:szCs w:val="20"/>
          <w:color w:val="auto"/>
        </w:rPr>
      </w:pPr>
      <w:r>
        <w:rPr>
          <w:rFonts w:ascii="Arial" w:cs="Arial" w:eastAsia="Arial" w:hAnsi="Arial"/>
          <w:sz w:val="16"/>
          <w:szCs w:val="16"/>
          <w:color w:val="auto"/>
        </w:rPr>
        <w:t>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3" w:name="page54"/>
    <w:bookmarkEnd w:id="53"/>
    <w:p>
      <w:pPr>
        <w:ind w:right="20" w:firstLine="348"/>
        <w:spacing w:after="0" w:line="290"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have a material adverse effect on us.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summer of 2006, our current executive management team, which has been in place since 2004, initiated an investigation of our past stock option granting practices (the "Equity Award Review") in reaction to media reports regarding stock option granting practices of public companies. The Equity Award Review was conducted with oversight from the Board and assistance from our outside counsel.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and FTI Consulting.</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20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In light of the Equity Award Review, the Audit Committee of our Board concluded that our prior financial statements for periods from 1998 through our filing of interim financial statements for the period ended September 30, 2006, could no longer be relied upon and must be restated.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line="294" w:lineRule="auto"/>
        <w:rPr>
          <w:sz w:val="20"/>
          <w:szCs w:val="20"/>
          <w:color w:val="auto"/>
        </w:rPr>
      </w:pPr>
      <w:r>
        <w:rPr>
          <w:rFonts w:ascii="Arial" w:cs="Arial" w:eastAsia="Arial" w:hAnsi="Arial"/>
          <w:sz w:val="16"/>
          <w:szCs w:val="16"/>
          <w:color w:val="auto"/>
        </w:rPr>
        <w:t>management determined that, from fiscal year 1998 through fiscal year 2005, we had unrecorded 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 Our Annual Report on Form 10-K filed on September 11, 2007 superseded and replaced in their entirety all of our previously issued financial statements and related reports filed with the Securities and Exchange Commission.</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II, Item 1, "Legal Proceedings," several derivative complaints have been filed in state and federal courts against our current directors, some of our former directors and some of our current and former executive officers pertaining to allegations relating to stock option grants. The SEC initiated an informal inquiry into our historical stock option granting practices and we received a subpoena from the United States Attorney's Office for the Southern District of California for the production of documents relating to our historical stock option granting practices. On April 1, 2008, the SEC notified us that it had completed its informal investigation and that it did not intend to recommend any enforcement action by the SEC against us. We are cooperating with the the United States Attorney's Office for the Southern District of California, and expect to continue to do so.</w:t>
      </w:r>
    </w:p>
    <w:p>
      <w:pPr>
        <w:spacing w:after="0" w:line="172"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period of time necessary to resolve the U.S. Attorneys Office inquiry is uncertain, and we cannot predict the outcome of the inquiry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 pending DOJ and recently concluded SEC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20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 federal government investigation uncovers improper or illegal activities, including any potential improper or illegal activities related to our stock option review or related matters,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31, 2007.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ind w:right="40"/>
        <w:spacing w:after="0" w:line="291" w:lineRule="auto"/>
        <w:rPr>
          <w:sz w:val="20"/>
          <w:szCs w:val="20"/>
          <w:color w:val="auto"/>
        </w:rPr>
      </w:pPr>
      <w:r>
        <w:rPr>
          <w:rFonts w:ascii="Arial" w:cs="Arial" w:eastAsia="Arial" w:hAnsi="Arial"/>
          <w:sz w:val="16"/>
          <w:szCs w:val="16"/>
          <w:color w:val="auto"/>
        </w:rPr>
        <w:t>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 the long-term growth of our business or the expenses associated with the ongoing litigation, litigation settlements and government inquiries. In particular, we may experience a negative operating cash flow due to billing milestones and project timelines in certain of our contracts.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our credit facility to fund future acquisitions and for general corporate purposes. However, due to the current challenges in the lending markets, we can provide no assurance that the lender would agree to extend additional or continuing credit under that facility. We could fall out of compliance with financial and other covenants contained in our credit facility which, if not waived, would restrict our access to capital and could require us to pay down our existing debt under the credit facility. Any new financing or offerings would likely dilute our stockholders' equity ownership. In addition, additional financing may not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7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b w:val="1"/>
          <w:bCs w:val="1"/>
          <w:i w:val="1"/>
          <w:iCs w:val="1"/>
          <w:color w:val="auto"/>
        </w:rPr>
        <w:t>Our ability to make payments on our debt will be contingent on our future operating performance, which will depend on a number of factors that are outside of our control.</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Our debt service obligations are estimated to be approximately $11 million to $13 million in 2008, including approximately $2.6 million of principal repayments. This debt service may have an adverse impact on our earnings and cash flow, which could in turn negatively impact our stock price.</w:t>
      </w:r>
    </w:p>
    <w:p>
      <w:pPr>
        <w:spacing w:after="0" w:line="139"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Our ability to make principal and interest payments on our debt is contingent on our future operating performance, which will depend on a number of factors, many of which are outside of our control. The degree to which we are leveraged could have other important negative consequences, including the following:</w:t>
      </w:r>
    </w:p>
    <w:p>
      <w:pPr>
        <w:spacing w:after="0" w:line="208" w:lineRule="exact"/>
        <w:rPr>
          <w:sz w:val="20"/>
          <w:szCs w:val="20"/>
          <w:color w:val="auto"/>
        </w:rPr>
      </w:pPr>
    </w:p>
    <w:p>
      <w:pPr>
        <w:ind w:left="1080" w:right="40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must dedicate a substantial portion of our cash flows from operations to the payment of our indebtedness, reducing the funds available for future working capital requirements, capital expenditures, acquisitions or other general corporate requirements;</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significant portion of our borrowings are, and will continue to be, at variable rates of interest, which may result in higher interest expense in the event of increases in interest rates;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more vulnerable to a downturn in the industries in which we operate or a downturn in the economy in general;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limited in our flexibility to plan for, or react to, changes in our businesses and the industries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determine it to be necessary to dispose of certain assets or one or more of our businesses to reduce our debt;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borrow additional funds in excess of our current financing may be limited.</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may not generate sufficient cash flow from operations and future borrowings may not be available in amounts sufficient to enable us to pay our indebtedness or to fund our other liquidity needs. Moreover, we may need to refinance all or a portion of our indebtedness on or before maturity. In such a case, we cannot make assurances that we will be able to refinance any of our indebtedness on commercially reasonable terms or at all. If we are unable to make scheduled debt payments or comply with the other provisions of our debt instruments, our various lenders may be permitted under certain circumstances to accelerate the maturity of the indebtedness owed to them and exercise other remedies provided for in those instruments and under applicable law.</w:t>
      </w:r>
    </w:p>
    <w:p>
      <w:pPr>
        <w:spacing w:after="0" w:line="15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We are subject to restrictive debt covenants pursuant to our indebtedness. These covenants may restrict our ability to finance our business and, if we do not comply with the covenants or otherwise default under them, we may not have the funds necessary to pay all amounts that could become due and the lenders could foreclose on substantially all of our assets.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indebtedness contains covenants that, among other things, significantly restricts and, in some cases, effectively eliminates our ability and the ability of our subsidiaries to:</w:t>
      </w:r>
    </w:p>
    <w:p>
      <w:pPr>
        <w:spacing w:after="0" w:line="21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secure performance bonds by letters of credit, thereby limiting the amount of work we may bid on or perform;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or acquire new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 a merger or consolidation, or sell all or substantially all of our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raise capital via equity securities.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we must comply with certain financial covenants. In the event we failed to meet any of such covenants and were unable to cure such breach or otherwise renegotiate such covenants, our lenders would have significant rights to deny future access to liquidity and/or seize control of substantially all of our assets. The material financial covenants with which we must comply include a maximum first lien leverage ratio, a maximum total leverage ratio, a minimum liquidity ratio, a minimum fixed charge coverage ratio, and a minimum consolidated EBITDA.</w:t>
      </w:r>
    </w:p>
    <w:p>
      <w:pPr>
        <w:spacing w:after="0" w:line="16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covenants contained in our indebtedness and any credit agreement governing future debt may significantly restrict our future operations. Furthermore, upon the occurrence of any event of default, our lenders could elect to declare all amounts outstanding under such agreements, together with</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5" w:right="379" w:bottom="1440" w:gutter="0" w:footer="0" w:header="0"/>
        </w:sectPr>
      </w:pPr>
    </w:p>
    <w:bookmarkStart w:id="57" w:name="page58"/>
    <w:bookmarkEnd w:id="57"/>
    <w:p>
      <w:pPr>
        <w:ind w:right="180"/>
        <w:spacing w:after="0" w:line="268" w:lineRule="auto"/>
        <w:rPr>
          <w:sz w:val="20"/>
          <w:szCs w:val="20"/>
          <w:color w:val="auto"/>
        </w:rPr>
      </w:pPr>
      <w:r>
        <w:rPr>
          <w:rFonts w:ascii="Arial" w:cs="Arial" w:eastAsia="Arial" w:hAnsi="Arial"/>
          <w:sz w:val="18"/>
          <w:szCs w:val="18"/>
          <w:color w:val="auto"/>
        </w:rPr>
        <w:t>accrued interest, to be immediately due and payable. If those lenders were to accelerate the payment of those amounts, our assets may not be sufficient to repay those amounts in full.</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are also subject to interest rate risk due to our indebtedness at variable interest rates, based on a base rate or LIBOR plus an applicable margin. Shifts in interest rates could have a material adverse effect on 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We may be required to prepay our indebtedness prior to its stated maturity, which may limit our ability to pursue business opportunities.</w:t>
      </w:r>
    </w:p>
    <w:p>
      <w:pPr>
        <w:spacing w:after="0" w:line="24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Pursuant to the terms of certain of our indebtedness, in certain instances we are required to prepay outstanding indebtedness prior to its stated maturity date. Specifically, certain non-recurring cash inflows such as proceeds from asset sales, insurance recoveries, and equity offerings may have to be used to pay down indebtedness and may not be reborrowed. These prepayment provisions may limit our ability to utilize this cash flow to pursue business opportunities.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7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litigation and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 in substantial costs to us and a diversion of our management's attention and resources, which could materially harm our financial condition and results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8" w:name="page59"/>
    <w:bookmarkEnd w:id="58"/>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incur goodwill impairment charges in our reporting entities which could harm our profitability.</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significant portion of our net assets come from goodwill and other intangible assets. In accordance with Statement of Financial Accounting Standards, or SFAS, No. 142, "Goodwill and Other Intangible Assets,"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which could reduce our profitability.</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USES OF PROCEEDS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February 2008, the Company and the former shareholders of Haverstick Consulting, Inc. agreed on the working capital calculation called for in the Agreement and Plan of Reorganization dated as of November 2, 2007. The calculation resulted in a working capital adjustment due to Haverstick in an amount of $1.5 million. The working capital adjustment was paid in part with 697,307 shares of Company stock. The shares issued pursuant to the settlement of the working capital adjustment with Haverstick were issued without registration under the Securities Act of 1933, as amended (the "Securities Act"), in reliance upon the exemption provided by Section 4(2) under the Securities Act and Regulation D thereunder.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9" w:name="page60"/>
    <w:bookmarkEnd w:id="59"/>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454914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549140" cy="215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260" w:right="240" w:hanging="435"/>
        <w:spacing w:after="0" w:line="259" w:lineRule="auto"/>
        <w:tabs>
          <w:tab w:leader="none" w:pos="1240" w:val="left"/>
        </w:tabs>
        <w:rPr>
          <w:sz w:val="20"/>
          <w:szCs w:val="20"/>
          <w:color w:val="auto"/>
        </w:rPr>
      </w:pPr>
      <w:r>
        <w:rPr>
          <w:rFonts w:ascii="Arial" w:cs="Arial" w:eastAsia="Arial" w:hAnsi="Arial"/>
          <w:sz w:val="18"/>
          <w:szCs w:val="18"/>
          <w:color w:val="auto"/>
        </w:rPr>
        <w:t>2.1</w:t>
        <w:tab/>
        <w:t>Merger Agreement, dated August 8, 2006, by and among the Company, WFI Government Services, Inc., MRC Merger Company, Inc. and Madison Research Corporation**</w:t>
      </w:r>
    </w:p>
    <w:p>
      <w:pPr>
        <w:spacing w:after="0" w:line="194" w:lineRule="exact"/>
        <w:rPr>
          <w:sz w:val="20"/>
          <w:szCs w:val="20"/>
          <w:color w:val="auto"/>
        </w:rPr>
      </w:pPr>
    </w:p>
    <w:p>
      <w:pPr>
        <w:ind w:left="1260" w:right="120" w:hanging="435"/>
        <w:spacing w:after="0" w:line="268" w:lineRule="auto"/>
        <w:tabs>
          <w:tab w:leader="none" w:pos="1240" w:val="left"/>
        </w:tabs>
        <w:rPr>
          <w:sz w:val="20"/>
          <w:szCs w:val="20"/>
          <w:color w:val="auto"/>
        </w:rPr>
      </w:pPr>
      <w:r>
        <w:rPr>
          <w:rFonts w:ascii="Arial" w:cs="Arial" w:eastAsia="Arial" w:hAnsi="Arial"/>
          <w:sz w:val="18"/>
          <w:szCs w:val="18"/>
          <w:color w:val="auto"/>
        </w:rPr>
        <w:t>2.2</w:t>
        <w:tab/>
        <w:t>Agreement dated as of March 9, 2007 by and between LCC Wireless Engineering Services Limited and the Company.**</w:t>
      </w:r>
    </w:p>
    <w:p>
      <w:pPr>
        <w:spacing w:after="0" w:line="186" w:lineRule="exact"/>
        <w:rPr>
          <w:sz w:val="20"/>
          <w:szCs w:val="20"/>
          <w:color w:val="auto"/>
        </w:rPr>
      </w:pPr>
    </w:p>
    <w:p>
      <w:pPr>
        <w:ind w:left="1260" w:right="180" w:hanging="435"/>
        <w:spacing w:after="0" w:line="268" w:lineRule="auto"/>
        <w:tabs>
          <w:tab w:leader="none" w:pos="1240" w:val="left"/>
        </w:tabs>
        <w:rPr>
          <w:sz w:val="20"/>
          <w:szCs w:val="20"/>
          <w:color w:val="auto"/>
        </w:rPr>
      </w:pPr>
      <w:r>
        <w:rPr>
          <w:rFonts w:ascii="Arial" w:cs="Arial" w:eastAsia="Arial" w:hAnsi="Arial"/>
          <w:sz w:val="18"/>
          <w:szCs w:val="18"/>
          <w:color w:val="auto"/>
        </w:rPr>
        <w:t>2.3</w:t>
        <w:tab/>
        <w:t>Equity Purchase Agreement, dated April 20, 2007, by and between the Company and Strategic Project Services, LLC**</w:t>
      </w:r>
    </w:p>
    <w:p>
      <w:pPr>
        <w:spacing w:after="0" w:line="186" w:lineRule="exact"/>
        <w:rPr>
          <w:sz w:val="20"/>
          <w:szCs w:val="20"/>
          <w:color w:val="auto"/>
        </w:rPr>
      </w:pPr>
    </w:p>
    <w:p>
      <w:pPr>
        <w:ind w:left="1260" w:hanging="435"/>
        <w:spacing w:after="0" w:line="268" w:lineRule="auto"/>
        <w:tabs>
          <w:tab w:leader="none" w:pos="1240" w:val="left"/>
        </w:tabs>
        <w:rPr>
          <w:sz w:val="20"/>
          <w:szCs w:val="20"/>
          <w:color w:val="auto"/>
        </w:rPr>
      </w:pPr>
      <w:r>
        <w:rPr>
          <w:rFonts w:ascii="Arial" w:cs="Arial" w:eastAsia="Arial" w:hAnsi="Arial"/>
          <w:sz w:val="18"/>
          <w:szCs w:val="18"/>
          <w:color w:val="auto"/>
        </w:rPr>
        <w:t>2.4</w:t>
        <w:tab/>
        <w:t>Asset Purchase Agreement, dated May 29, 2007, by and between the Company and LCC International, Inc.**</w:t>
      </w:r>
    </w:p>
    <w:p>
      <w:pPr>
        <w:spacing w:after="0" w:line="186" w:lineRule="exact"/>
        <w:rPr>
          <w:sz w:val="20"/>
          <w:szCs w:val="20"/>
          <w:color w:val="auto"/>
        </w:rPr>
      </w:pPr>
    </w:p>
    <w:p>
      <w:pPr>
        <w:ind w:left="1260" w:right="120" w:hanging="435"/>
        <w:spacing w:after="0" w:line="268" w:lineRule="auto"/>
        <w:tabs>
          <w:tab w:leader="none" w:pos="1240" w:val="left"/>
        </w:tabs>
        <w:rPr>
          <w:sz w:val="20"/>
          <w:szCs w:val="20"/>
          <w:color w:val="auto"/>
        </w:rPr>
      </w:pPr>
      <w:r>
        <w:rPr>
          <w:rFonts w:ascii="Arial" w:cs="Arial" w:eastAsia="Arial" w:hAnsi="Arial"/>
          <w:sz w:val="18"/>
          <w:szCs w:val="18"/>
          <w:color w:val="auto"/>
        </w:rPr>
        <w:t>2.5</w:t>
        <w:tab/>
        <w:t>Asset Purchase Agreement, dated July 7, 2007, by and between the Company and Burgundy Acquisition Corporation.**</w:t>
      </w:r>
    </w:p>
    <w:p>
      <w:pPr>
        <w:spacing w:after="0" w:line="186" w:lineRule="exact"/>
        <w:rPr>
          <w:sz w:val="20"/>
          <w:szCs w:val="20"/>
          <w:color w:val="auto"/>
        </w:rPr>
      </w:pPr>
    </w:p>
    <w:p>
      <w:pPr>
        <w:jc w:val="right"/>
        <w:ind w:left="820" w:right="560"/>
        <w:spacing w:after="0" w:line="332" w:lineRule="auto"/>
        <w:rPr>
          <w:sz w:val="20"/>
          <w:szCs w:val="20"/>
          <w:color w:val="auto"/>
        </w:rPr>
      </w:pPr>
      <w:r>
        <w:rPr>
          <w:rFonts w:ascii="Arial" w:cs="Arial" w:eastAsia="Arial" w:hAnsi="Arial"/>
          <w:sz w:val="16"/>
          <w:szCs w:val="16"/>
          <w:color w:val="auto"/>
        </w:rPr>
        <w:t>2.6   Agreement and Plan of Merger dated November 2, 2007, by and among the Company, Haverstick Acquisition Corp. and Haverstick Consulting, Inc.**</w:t>
      </w:r>
    </w:p>
    <w:p>
      <w:pPr>
        <w:spacing w:after="0" w:line="139" w:lineRule="exact"/>
        <w:rPr>
          <w:sz w:val="20"/>
          <w:szCs w:val="20"/>
          <w:color w:val="auto"/>
        </w:rPr>
      </w:pPr>
    </w:p>
    <w:p>
      <w:pPr>
        <w:ind w:left="1260" w:right="240" w:hanging="435"/>
        <w:spacing w:after="0" w:line="268" w:lineRule="auto"/>
        <w:tabs>
          <w:tab w:leader="none" w:pos="1240" w:val="left"/>
        </w:tabs>
        <w:rPr>
          <w:sz w:val="20"/>
          <w:szCs w:val="20"/>
          <w:color w:val="auto"/>
        </w:rPr>
      </w:pPr>
      <w:r>
        <w:rPr>
          <w:rFonts w:ascii="Arial" w:cs="Arial" w:eastAsia="Arial" w:hAnsi="Arial"/>
          <w:sz w:val="18"/>
          <w:szCs w:val="18"/>
          <w:color w:val="auto"/>
        </w:rPr>
        <w:t>2.7</w:t>
        <w:tab/>
        <w:t>Agreement and Plan of Merger and Reorganization, dated February 20, 2008 by and among the Company, White Shadow, Inc. and SYS**</w:t>
      </w:r>
    </w:p>
    <w:p>
      <w:pPr>
        <w:spacing w:after="0" w:line="186"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22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Ownership and Merger of Kratos</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Defense &amp; Security Solutions, Inc. into Wireless Facilities, Inc.</w:t>
      </w:r>
    </w:p>
    <w:p>
      <w:pPr>
        <w:spacing w:after="0" w:line="219"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Amended and Restated Bylaws</w:t>
      </w:r>
    </w:p>
    <w:p>
      <w:pPr>
        <w:spacing w:after="0" w:line="225" w:lineRule="exact"/>
        <w:rPr>
          <w:sz w:val="20"/>
          <w:szCs w:val="20"/>
          <w:color w:val="auto"/>
        </w:rPr>
      </w:pPr>
    </w:p>
    <w:p>
      <w:pPr>
        <w:jc w:val="center"/>
        <w:ind w:left="580"/>
        <w:spacing w:after="0"/>
        <w:tabs>
          <w:tab w:leader="none" w:pos="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Certificate of Designations, Preferences and Rights of Series A Preferred Stock.</w:t>
      </w:r>
    </w:p>
    <w:p>
      <w:pPr>
        <w:spacing w:after="0" w:line="22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Certificate of Designations, Preferences and Rights of Series B Preferred Stock.</w:t>
      </w:r>
    </w:p>
    <w:p>
      <w:pPr>
        <w:spacing w:after="0" w:line="22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Certificate of Designation of Series C Preferred Stock.</w:t>
      </w:r>
    </w:p>
    <w:p>
      <w:pPr>
        <w:spacing w:after="0" w:line="22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Reference is made to Exhibits 3.1 and 3.2.</w:t>
      </w:r>
    </w:p>
    <w:p>
      <w:pPr>
        <w:spacing w:after="0" w:line="22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Specimen Stock Certificate.</w:t>
      </w:r>
    </w:p>
    <w:p>
      <w:pPr>
        <w:spacing w:after="0" w:line="225" w:lineRule="exact"/>
        <w:rPr>
          <w:sz w:val="20"/>
          <w:szCs w:val="20"/>
          <w:color w:val="auto"/>
        </w:rPr>
      </w:pPr>
    </w:p>
    <w:p>
      <w:pPr>
        <w:ind w:left="1260" w:right="340" w:hanging="435"/>
        <w:spacing w:after="0" w:line="268" w:lineRule="auto"/>
        <w:tabs>
          <w:tab w:leader="none" w:pos="1240" w:val="left"/>
        </w:tabs>
        <w:rPr>
          <w:sz w:val="20"/>
          <w:szCs w:val="20"/>
          <w:color w:val="auto"/>
        </w:rPr>
      </w:pPr>
      <w:r>
        <w:rPr>
          <w:rFonts w:ascii="Arial" w:cs="Arial" w:eastAsia="Arial" w:hAnsi="Arial"/>
          <w:sz w:val="18"/>
          <w:szCs w:val="18"/>
          <w:color w:val="auto"/>
        </w:rPr>
        <w:t>4.3</w:t>
        <w:tab/>
        <w:t>Rights Agreement, dated as of December 16, 2004, between the Company and Wells Fargo, N.A.</w:t>
      </w:r>
    </w:p>
    <w:p>
      <w:pPr>
        <w:spacing w:after="0" w:line="186" w:lineRule="exact"/>
        <w:rPr>
          <w:sz w:val="20"/>
          <w:szCs w:val="20"/>
          <w:color w:val="auto"/>
        </w:rPr>
      </w:pPr>
    </w:p>
    <w:p>
      <w:pPr>
        <w:ind w:left="1260" w:right="80" w:hanging="522"/>
        <w:spacing w:after="0" w:line="268" w:lineRule="auto"/>
        <w:tabs>
          <w:tab w:leader="none" w:pos="1240" w:val="left"/>
        </w:tabs>
        <w:rPr>
          <w:sz w:val="20"/>
          <w:szCs w:val="20"/>
          <w:color w:val="auto"/>
        </w:rPr>
      </w:pPr>
      <w:r>
        <w:rPr>
          <w:rFonts w:ascii="Arial" w:cs="Arial" w:eastAsia="Arial" w:hAnsi="Arial"/>
          <w:sz w:val="18"/>
          <w:szCs w:val="18"/>
          <w:color w:val="auto"/>
        </w:rPr>
        <w:t>10.1</w:t>
        <w:tab/>
        <w:t>Form of Voting Agreement, dated February 20, 2008, by and among the Company and the shareholders of SYS</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66675</wp:posOffset>
            </wp:positionV>
            <wp:extent cx="1384935"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84935" cy="21590"/>
                    </a:xfrm>
                    <a:prstGeom prst="rect">
                      <a:avLst/>
                    </a:prstGeom>
                    <a:noFill/>
                  </pic:spPr>
                </pic:pic>
              </a:graphicData>
            </a:graphic>
          </wp:anchor>
        </w:drawing>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Filing Date/Period</w:t>
      </w:r>
    </w:p>
    <w:p>
      <w:pPr>
        <w:spacing w:after="0" w:line="1" w:lineRule="exact"/>
        <w:rPr>
          <w:sz w:val="20"/>
          <w:szCs w:val="20"/>
          <w:color w:val="auto"/>
        </w:rPr>
      </w:pPr>
    </w:p>
    <w:p>
      <w:pPr>
        <w:spacing w:after="0"/>
        <w:tabs>
          <w:tab w:leader="none" w:pos="1080" w:val="left"/>
          <w:tab w:leader="none" w:pos="220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End Date</w:t>
      </w:r>
      <w:r>
        <w:rPr>
          <w:sz w:val="20"/>
          <w:szCs w:val="20"/>
          <w:color w:val="auto"/>
        </w:rPr>
        <w:tab/>
      </w:r>
      <w:r>
        <w:rPr>
          <w:rFonts w:ascii="Arial" w:cs="Arial" w:eastAsia="Arial" w:hAnsi="Arial"/>
          <w:sz w:val="12"/>
          <w:szCs w:val="12"/>
          <w:b w:val="1"/>
          <w:bCs w:val="1"/>
          <w:color w:val="auto"/>
        </w:rPr>
        <w:t>Filed-Furnished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58420</wp:posOffset>
            </wp:positionV>
            <wp:extent cx="2568575"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ind w:right="1780"/>
        <w:spacing w:after="0"/>
        <w:tabs>
          <w:tab w:leader="none" w:pos="23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08/14/06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10K</w:t>
            </w:r>
          </w:p>
        </w:tc>
        <w:tc>
          <w:tcPr>
            <w:tcW w:w="1000" w:type="dxa"/>
            <w:vAlign w:val="bottom"/>
          </w:tcPr>
          <w:p>
            <w:pPr>
              <w:jc w:val="right"/>
              <w:spacing w:after="0"/>
              <w:rPr>
                <w:sz w:val="20"/>
                <w:szCs w:val="20"/>
                <w:color w:val="auto"/>
              </w:rPr>
            </w:pPr>
            <w:r>
              <w:rPr>
                <w:rFonts w:ascii="Arial" w:cs="Arial" w:eastAsia="Arial" w:hAnsi="Arial"/>
                <w:sz w:val="18"/>
                <w:szCs w:val="18"/>
                <w:color w:val="auto"/>
              </w:rPr>
              <w:t>12/31/06</w:t>
            </w:r>
          </w:p>
        </w:tc>
      </w:tr>
      <w:tr>
        <w:trPr>
          <w:trHeight w:val="648"/>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10-K</w:t>
            </w:r>
          </w:p>
        </w:tc>
        <w:tc>
          <w:tcPr>
            <w:tcW w:w="1000" w:type="dxa"/>
            <w:vAlign w:val="bottom"/>
          </w:tcPr>
          <w:p>
            <w:pPr>
              <w:jc w:val="right"/>
              <w:spacing w:after="0"/>
              <w:rPr>
                <w:sz w:val="20"/>
                <w:szCs w:val="20"/>
                <w:color w:val="auto"/>
              </w:rPr>
            </w:pPr>
            <w:r>
              <w:rPr>
                <w:rFonts w:ascii="Arial" w:cs="Arial" w:eastAsia="Arial" w:hAnsi="Arial"/>
                <w:sz w:val="18"/>
                <w:szCs w:val="18"/>
                <w:color w:val="auto"/>
              </w:rPr>
              <w:t>12/31/06</w:t>
            </w:r>
          </w:p>
        </w:tc>
      </w:tr>
      <w:tr>
        <w:trPr>
          <w:trHeight w:val="648"/>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8-K</w:t>
            </w:r>
          </w:p>
        </w:tc>
        <w:tc>
          <w:tcPr>
            <w:tcW w:w="1000" w:type="dxa"/>
            <w:vAlign w:val="bottom"/>
          </w:tcPr>
          <w:p>
            <w:pPr>
              <w:jc w:val="right"/>
              <w:spacing w:after="0"/>
              <w:rPr>
                <w:sz w:val="20"/>
                <w:szCs w:val="20"/>
                <w:color w:val="auto"/>
              </w:rPr>
            </w:pPr>
            <w:r>
              <w:rPr>
                <w:rFonts w:ascii="Arial" w:cs="Arial" w:eastAsia="Arial" w:hAnsi="Arial"/>
                <w:sz w:val="18"/>
                <w:szCs w:val="18"/>
                <w:color w:val="auto"/>
              </w:rPr>
              <w:t>05/30/07</w:t>
            </w:r>
          </w:p>
        </w:tc>
      </w:tr>
      <w:tr>
        <w:trPr>
          <w:trHeight w:val="648"/>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8-K</w:t>
            </w:r>
          </w:p>
        </w:tc>
        <w:tc>
          <w:tcPr>
            <w:tcW w:w="1000" w:type="dxa"/>
            <w:vAlign w:val="bottom"/>
          </w:tcPr>
          <w:p>
            <w:pPr>
              <w:jc w:val="right"/>
              <w:spacing w:after="0"/>
              <w:rPr>
                <w:sz w:val="20"/>
                <w:szCs w:val="20"/>
                <w:color w:val="auto"/>
              </w:rPr>
            </w:pPr>
            <w:r>
              <w:rPr>
                <w:rFonts w:ascii="Arial" w:cs="Arial" w:eastAsia="Arial" w:hAnsi="Arial"/>
                <w:sz w:val="18"/>
                <w:szCs w:val="18"/>
                <w:color w:val="auto"/>
              </w:rPr>
              <w:t>07/12/07</w:t>
            </w:r>
          </w:p>
        </w:tc>
      </w:tr>
      <w:tr>
        <w:trPr>
          <w:trHeight w:val="648"/>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8-K</w:t>
            </w:r>
          </w:p>
        </w:tc>
        <w:tc>
          <w:tcPr>
            <w:tcW w:w="1000" w:type="dxa"/>
            <w:vAlign w:val="bottom"/>
          </w:tcPr>
          <w:p>
            <w:pPr>
              <w:jc w:val="right"/>
              <w:spacing w:after="0"/>
              <w:rPr>
                <w:sz w:val="20"/>
                <w:szCs w:val="20"/>
                <w:color w:val="auto"/>
              </w:rPr>
            </w:pPr>
            <w:r>
              <w:rPr>
                <w:rFonts w:ascii="Arial" w:cs="Arial" w:eastAsia="Arial" w:hAnsi="Arial"/>
                <w:sz w:val="18"/>
                <w:szCs w:val="18"/>
                <w:color w:val="auto"/>
              </w:rPr>
              <w:t>11/7/07</w:t>
            </w:r>
          </w:p>
        </w:tc>
      </w:tr>
      <w:tr>
        <w:trPr>
          <w:trHeight w:val="648"/>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8-K</w:t>
            </w:r>
          </w:p>
        </w:tc>
        <w:tc>
          <w:tcPr>
            <w:tcW w:w="1000" w:type="dxa"/>
            <w:vAlign w:val="bottom"/>
          </w:tcPr>
          <w:p>
            <w:pPr>
              <w:jc w:val="right"/>
              <w:spacing w:after="0"/>
              <w:rPr>
                <w:sz w:val="20"/>
                <w:szCs w:val="20"/>
                <w:color w:val="auto"/>
              </w:rPr>
            </w:pPr>
            <w:r>
              <w:rPr>
                <w:rFonts w:ascii="Arial" w:cs="Arial" w:eastAsia="Arial" w:hAnsi="Arial"/>
                <w:sz w:val="18"/>
                <w:szCs w:val="18"/>
                <w:color w:val="auto"/>
              </w:rPr>
              <w:t>2/21/08</w:t>
            </w:r>
          </w:p>
        </w:tc>
      </w:tr>
      <w:tr>
        <w:trPr>
          <w:trHeight w:val="648"/>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10-Q</w:t>
            </w:r>
          </w:p>
        </w:tc>
        <w:tc>
          <w:tcPr>
            <w:tcW w:w="1000" w:type="dxa"/>
            <w:vAlign w:val="bottom"/>
          </w:tcPr>
          <w:p>
            <w:pPr>
              <w:jc w:val="right"/>
              <w:spacing w:after="0"/>
              <w:rPr>
                <w:sz w:val="20"/>
                <w:szCs w:val="20"/>
                <w:color w:val="auto"/>
              </w:rPr>
            </w:pPr>
            <w:r>
              <w:rPr>
                <w:rFonts w:ascii="Arial" w:cs="Arial" w:eastAsia="Arial" w:hAnsi="Arial"/>
                <w:sz w:val="18"/>
                <w:szCs w:val="18"/>
                <w:color w:val="auto"/>
              </w:rPr>
              <w:t>09/30/01</w:t>
            </w:r>
          </w:p>
        </w:tc>
      </w:tr>
      <w:tr>
        <w:trPr>
          <w:trHeight w:val="432"/>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8-K</w:t>
            </w:r>
          </w:p>
        </w:tc>
        <w:tc>
          <w:tcPr>
            <w:tcW w:w="1000" w:type="dxa"/>
            <w:vAlign w:val="bottom"/>
          </w:tcPr>
          <w:p>
            <w:pPr>
              <w:jc w:val="right"/>
              <w:spacing w:after="0"/>
              <w:rPr>
                <w:sz w:val="20"/>
                <w:szCs w:val="20"/>
                <w:color w:val="auto"/>
              </w:rPr>
            </w:pPr>
            <w:r>
              <w:rPr>
                <w:rFonts w:ascii="Arial" w:cs="Arial" w:eastAsia="Arial" w:hAnsi="Arial"/>
                <w:sz w:val="18"/>
                <w:szCs w:val="18"/>
                <w:color w:val="auto"/>
              </w:rPr>
              <w:t>9/12/07</w:t>
            </w:r>
          </w:p>
        </w:tc>
      </w:tr>
      <w:tr>
        <w:trPr>
          <w:trHeight w:val="648"/>
        </w:trPr>
        <w:tc>
          <w:tcPr>
            <w:tcW w:w="840" w:type="dxa"/>
            <w:vAlign w:val="bottom"/>
          </w:tcPr>
          <w:p>
            <w:pPr>
              <w:jc w:val="right"/>
              <w:ind w:right="272"/>
              <w:spacing w:after="0"/>
              <w:rPr>
                <w:sz w:val="20"/>
                <w:szCs w:val="20"/>
                <w:color w:val="auto"/>
              </w:rPr>
            </w:pPr>
            <w:r>
              <w:rPr>
                <w:rFonts w:ascii="Arial" w:cs="Arial" w:eastAsia="Arial" w:hAnsi="Arial"/>
                <w:sz w:val="18"/>
                <w:szCs w:val="18"/>
                <w:color w:val="auto"/>
                <w:w w:val="93"/>
              </w:rPr>
              <w:t>10K/A</w:t>
            </w:r>
          </w:p>
        </w:tc>
        <w:tc>
          <w:tcPr>
            <w:tcW w:w="1000" w:type="dxa"/>
            <w:vAlign w:val="bottom"/>
          </w:tcPr>
          <w:p>
            <w:pPr>
              <w:jc w:val="right"/>
              <w:spacing w:after="0"/>
              <w:rPr>
                <w:sz w:val="20"/>
                <w:szCs w:val="20"/>
                <w:color w:val="auto"/>
              </w:rPr>
            </w:pPr>
            <w:r>
              <w:rPr>
                <w:rFonts w:ascii="Arial" w:cs="Arial" w:eastAsia="Arial" w:hAnsi="Arial"/>
                <w:sz w:val="18"/>
                <w:szCs w:val="18"/>
                <w:color w:val="auto"/>
              </w:rPr>
              <w:t>4/29/08</w:t>
            </w:r>
          </w:p>
        </w:tc>
      </w:tr>
      <w:tr>
        <w:trPr>
          <w:trHeight w:val="432"/>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10-Q</w:t>
            </w:r>
          </w:p>
        </w:tc>
        <w:tc>
          <w:tcPr>
            <w:tcW w:w="1000" w:type="dxa"/>
            <w:vAlign w:val="bottom"/>
          </w:tcPr>
          <w:p>
            <w:pPr>
              <w:jc w:val="right"/>
              <w:spacing w:after="0"/>
              <w:rPr>
                <w:sz w:val="20"/>
                <w:szCs w:val="20"/>
                <w:color w:val="auto"/>
              </w:rPr>
            </w:pPr>
            <w:r>
              <w:rPr>
                <w:rFonts w:ascii="Arial" w:cs="Arial" w:eastAsia="Arial" w:hAnsi="Arial"/>
                <w:sz w:val="18"/>
                <w:szCs w:val="18"/>
                <w:color w:val="auto"/>
              </w:rPr>
              <w:t>09/30/01</w:t>
            </w:r>
          </w:p>
        </w:tc>
      </w:tr>
      <w:tr>
        <w:trPr>
          <w:trHeight w:val="432"/>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8-K/A</w:t>
            </w:r>
          </w:p>
        </w:tc>
        <w:tc>
          <w:tcPr>
            <w:tcW w:w="1000" w:type="dxa"/>
            <w:vAlign w:val="bottom"/>
          </w:tcPr>
          <w:p>
            <w:pPr>
              <w:jc w:val="right"/>
              <w:spacing w:after="0"/>
              <w:rPr>
                <w:sz w:val="20"/>
                <w:szCs w:val="20"/>
                <w:color w:val="auto"/>
              </w:rPr>
            </w:pPr>
            <w:r>
              <w:rPr>
                <w:rFonts w:ascii="Arial" w:cs="Arial" w:eastAsia="Arial" w:hAnsi="Arial"/>
                <w:sz w:val="18"/>
                <w:szCs w:val="18"/>
                <w:color w:val="auto"/>
              </w:rPr>
              <w:t>06/05/02</w:t>
            </w:r>
          </w:p>
        </w:tc>
      </w:tr>
      <w:tr>
        <w:trPr>
          <w:trHeight w:val="432"/>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8-K</w:t>
            </w:r>
          </w:p>
        </w:tc>
        <w:tc>
          <w:tcPr>
            <w:tcW w:w="1000" w:type="dxa"/>
            <w:vAlign w:val="bottom"/>
          </w:tcPr>
          <w:p>
            <w:pPr>
              <w:jc w:val="right"/>
              <w:spacing w:after="0"/>
              <w:rPr>
                <w:sz w:val="20"/>
                <w:szCs w:val="20"/>
                <w:color w:val="auto"/>
              </w:rPr>
            </w:pPr>
            <w:r>
              <w:rPr>
                <w:rFonts w:ascii="Arial" w:cs="Arial" w:eastAsia="Arial" w:hAnsi="Arial"/>
                <w:sz w:val="18"/>
                <w:szCs w:val="18"/>
                <w:color w:val="auto"/>
              </w:rPr>
              <w:t>12/17/04</w:t>
            </w:r>
          </w:p>
        </w:tc>
      </w:tr>
      <w:tr>
        <w:trPr>
          <w:trHeight w:val="864"/>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S-1</w:t>
            </w:r>
          </w:p>
        </w:tc>
        <w:tc>
          <w:tcPr>
            <w:tcW w:w="1000" w:type="dxa"/>
            <w:vAlign w:val="bottom"/>
          </w:tcPr>
          <w:p>
            <w:pPr>
              <w:jc w:val="right"/>
              <w:spacing w:after="0"/>
              <w:rPr>
                <w:sz w:val="20"/>
                <w:szCs w:val="20"/>
                <w:color w:val="auto"/>
              </w:rPr>
            </w:pPr>
            <w:r>
              <w:rPr>
                <w:rFonts w:ascii="Arial" w:cs="Arial" w:eastAsia="Arial" w:hAnsi="Arial"/>
                <w:sz w:val="18"/>
                <w:szCs w:val="18"/>
                <w:color w:val="auto"/>
              </w:rPr>
              <w:t>08/18/99</w:t>
            </w:r>
          </w:p>
        </w:tc>
      </w:tr>
      <w:tr>
        <w:trPr>
          <w:trHeight w:val="432"/>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8-K</w:t>
            </w:r>
          </w:p>
        </w:tc>
        <w:tc>
          <w:tcPr>
            <w:tcW w:w="1000" w:type="dxa"/>
            <w:vAlign w:val="bottom"/>
          </w:tcPr>
          <w:p>
            <w:pPr>
              <w:jc w:val="right"/>
              <w:spacing w:after="0"/>
              <w:rPr>
                <w:sz w:val="20"/>
                <w:szCs w:val="20"/>
                <w:color w:val="auto"/>
              </w:rPr>
            </w:pPr>
            <w:r>
              <w:rPr>
                <w:rFonts w:ascii="Arial" w:cs="Arial" w:eastAsia="Arial" w:hAnsi="Arial"/>
                <w:sz w:val="18"/>
                <w:szCs w:val="18"/>
                <w:color w:val="auto"/>
              </w:rPr>
              <w:t>12/17/04</w:t>
            </w:r>
          </w:p>
        </w:tc>
      </w:tr>
      <w:tr>
        <w:trPr>
          <w:trHeight w:val="648"/>
        </w:trPr>
        <w:tc>
          <w:tcPr>
            <w:tcW w:w="840" w:type="dxa"/>
            <w:vAlign w:val="bottom"/>
          </w:tcPr>
          <w:p>
            <w:pPr>
              <w:jc w:val="right"/>
              <w:ind w:right="272"/>
              <w:spacing w:after="0"/>
              <w:rPr>
                <w:sz w:val="20"/>
                <w:szCs w:val="20"/>
                <w:color w:val="auto"/>
              </w:rPr>
            </w:pPr>
            <w:r>
              <w:rPr>
                <w:rFonts w:ascii="Arial" w:cs="Arial" w:eastAsia="Arial" w:hAnsi="Arial"/>
                <w:sz w:val="18"/>
                <w:szCs w:val="18"/>
                <w:color w:val="auto"/>
              </w:rPr>
              <w:t>8-K</w:t>
            </w:r>
          </w:p>
        </w:tc>
        <w:tc>
          <w:tcPr>
            <w:tcW w:w="1000" w:type="dxa"/>
            <w:vAlign w:val="bottom"/>
          </w:tcPr>
          <w:p>
            <w:pPr>
              <w:jc w:val="right"/>
              <w:spacing w:after="0"/>
              <w:rPr>
                <w:sz w:val="20"/>
                <w:szCs w:val="20"/>
                <w:color w:val="auto"/>
              </w:rPr>
            </w:pPr>
            <w:r>
              <w:rPr>
                <w:rFonts w:ascii="Arial" w:cs="Arial" w:eastAsia="Arial" w:hAnsi="Arial"/>
                <w:sz w:val="18"/>
                <w:szCs w:val="18"/>
                <w:color w:val="auto"/>
              </w:rPr>
              <w:t>2/21/08</w:t>
            </w:r>
          </w:p>
        </w:tc>
      </w:tr>
    </w:tbl>
    <w:p>
      <w:pPr>
        <w:sectPr>
          <w:pgSz w:w="11900" w:h="16838" w:orient="portrait"/>
          <w:cols w:equalWidth="0" w:num="2">
            <w:col w:w="7120" w:space="500"/>
            <w:col w:w="3720"/>
          </w:cols>
          <w:pgMar w:left="240" w:top="125" w:right="31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w w:val="95"/>
              </w:rPr>
              <w:t>Form of Voting Agreement, dated February 20, 2008, by and among SYS and the</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2040" w:type="dxa"/>
            <w:vAlign w:val="bottom"/>
          </w:tcPr>
          <w:p>
            <w:pPr>
              <w:jc w:val="right"/>
              <w:ind w:right="992"/>
              <w:spacing w:after="0"/>
              <w:rPr>
                <w:sz w:val="20"/>
                <w:szCs w:val="20"/>
                <w:color w:val="auto"/>
              </w:rPr>
            </w:pPr>
            <w:r>
              <w:rPr>
                <w:rFonts w:ascii="Arial" w:cs="Arial" w:eastAsia="Arial" w:hAnsi="Arial"/>
                <w:sz w:val="18"/>
                <w:szCs w:val="18"/>
                <w:color w:val="auto"/>
              </w:rPr>
              <w:t>2/21/08</w:t>
            </w:r>
          </w:p>
        </w:tc>
      </w:tr>
      <w:tr>
        <w:trPr>
          <w:trHeight w:val="222"/>
        </w:trPr>
        <w:tc>
          <w:tcPr>
            <w:tcW w:w="1160" w:type="dxa"/>
            <w:vAlign w:val="bottom"/>
          </w:tcPr>
          <w:p>
            <w:pPr>
              <w:spacing w:after="0"/>
              <w:rPr>
                <w:sz w:val="19"/>
                <w:szCs w:val="19"/>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stockholders of the Company</w:t>
            </w:r>
          </w:p>
        </w:tc>
        <w:tc>
          <w:tcPr>
            <w:tcW w:w="1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6"/>
        </w:trPr>
        <w:tc>
          <w:tcPr>
            <w:tcW w:w="116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w w:val="99"/>
              </w:rPr>
              <w:t>Amendment and Waiver of First Lien Credit Agreement, dated as of March 27,</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2040" w:type="dxa"/>
            <w:vAlign w:val="bottom"/>
          </w:tcPr>
          <w:p>
            <w:pPr>
              <w:jc w:val="right"/>
              <w:ind w:right="992"/>
              <w:spacing w:after="0"/>
              <w:rPr>
                <w:sz w:val="20"/>
                <w:szCs w:val="20"/>
                <w:color w:val="auto"/>
              </w:rPr>
            </w:pPr>
            <w:r>
              <w:rPr>
                <w:rFonts w:ascii="Arial" w:cs="Arial" w:eastAsia="Arial" w:hAnsi="Arial"/>
                <w:sz w:val="18"/>
                <w:szCs w:val="18"/>
                <w:color w:val="auto"/>
              </w:rPr>
              <w:t>4/2/08</w:t>
            </w:r>
          </w:p>
        </w:tc>
      </w:tr>
      <w:tr>
        <w:trPr>
          <w:trHeight w:val="216"/>
        </w:trPr>
        <w:tc>
          <w:tcPr>
            <w:tcW w:w="1160" w:type="dxa"/>
            <w:vAlign w:val="bottom"/>
          </w:tcPr>
          <w:p>
            <w:pPr>
              <w:spacing w:after="0"/>
              <w:rPr>
                <w:sz w:val="18"/>
                <w:szCs w:val="18"/>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2008, by and among the Company, Keybank National Association as</w:t>
            </w:r>
          </w:p>
        </w:tc>
        <w:tc>
          <w:tcPr>
            <w:tcW w:w="11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Administrative Agent and the Lenders party thereto</w:t>
            </w:r>
          </w:p>
        </w:tc>
        <w:tc>
          <w:tcPr>
            <w:tcW w:w="1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6"/>
        </w:trPr>
        <w:tc>
          <w:tcPr>
            <w:tcW w:w="116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w w:val="95"/>
              </w:rPr>
              <w:t>Amendment and Waiver of Second Lien Credit Agreement, dated as of March 27,</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2040" w:type="dxa"/>
            <w:vAlign w:val="bottom"/>
          </w:tcPr>
          <w:p>
            <w:pPr>
              <w:jc w:val="right"/>
              <w:ind w:right="992"/>
              <w:spacing w:after="0"/>
              <w:rPr>
                <w:sz w:val="20"/>
                <w:szCs w:val="20"/>
                <w:color w:val="auto"/>
              </w:rPr>
            </w:pPr>
            <w:r>
              <w:rPr>
                <w:rFonts w:ascii="Arial" w:cs="Arial" w:eastAsia="Arial" w:hAnsi="Arial"/>
                <w:sz w:val="18"/>
                <w:szCs w:val="18"/>
                <w:color w:val="auto"/>
              </w:rPr>
              <w:t>4/2/08</w:t>
            </w:r>
          </w:p>
        </w:tc>
      </w:tr>
      <w:tr>
        <w:trPr>
          <w:trHeight w:val="216"/>
        </w:trPr>
        <w:tc>
          <w:tcPr>
            <w:tcW w:w="1160" w:type="dxa"/>
            <w:vAlign w:val="bottom"/>
          </w:tcPr>
          <w:p>
            <w:pPr>
              <w:spacing w:after="0"/>
              <w:rPr>
                <w:sz w:val="18"/>
                <w:szCs w:val="18"/>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2008, by and among the Company, Keybank National Association as</w:t>
            </w:r>
          </w:p>
        </w:tc>
        <w:tc>
          <w:tcPr>
            <w:tcW w:w="11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Administrative Agent and the Lenders party thereto</w:t>
            </w:r>
          </w:p>
        </w:tc>
        <w:tc>
          <w:tcPr>
            <w:tcW w:w="1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6"/>
        </w:trPr>
        <w:tc>
          <w:tcPr>
            <w:tcW w:w="116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w w:val="98"/>
              </w:rPr>
              <w:t>Certification of Chief Executive Officer pursuant to Section 302 of the Sarbanes</w:t>
            </w:r>
          </w:p>
        </w:tc>
        <w:tc>
          <w:tcPr>
            <w:tcW w:w="11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Oxley Act of 2002</w:t>
            </w:r>
          </w:p>
        </w:tc>
        <w:tc>
          <w:tcPr>
            <w:tcW w:w="1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6"/>
        </w:trPr>
        <w:tc>
          <w:tcPr>
            <w:tcW w:w="116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w w:val="98"/>
              </w:rPr>
              <w:t>Certification of Chief Financial Officer pursuant to Section 302 of the Sarbanes</w:t>
            </w:r>
          </w:p>
        </w:tc>
        <w:tc>
          <w:tcPr>
            <w:tcW w:w="11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Oxley Act of 2002</w:t>
            </w:r>
          </w:p>
        </w:tc>
        <w:tc>
          <w:tcPr>
            <w:tcW w:w="1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6"/>
        </w:trPr>
        <w:tc>
          <w:tcPr>
            <w:tcW w:w="116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1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1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6"/>
        </w:trPr>
        <w:tc>
          <w:tcPr>
            <w:tcW w:w="1160" w:type="dxa"/>
            <w:vAlign w:val="bottom"/>
          </w:tcPr>
          <w:p>
            <w:pPr>
              <w:jc w:val="right"/>
              <w:ind w:right="32"/>
              <w:spacing w:after="0"/>
              <w:rPr>
                <w:sz w:val="20"/>
                <w:szCs w:val="20"/>
                <w:color w:val="auto"/>
              </w:rPr>
            </w:pPr>
            <w:r>
              <w:rPr>
                <w:rFonts w:ascii="Arial" w:cs="Arial" w:eastAsia="Arial" w:hAnsi="Arial"/>
                <w:sz w:val="18"/>
                <w:szCs w:val="18"/>
                <w:color w:val="auto"/>
              </w:rPr>
              <w:t>32.2</w:t>
            </w: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1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1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schedules and exhibits referenced in the merger agreement have been omitted in accordance with Item 601(b)(2) of Regulation S-K. A copy of any omitted schedules and/or exhibits will be furnished supplementally to the SEC upon request.</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347" w:right="539" w:bottom="1440" w:gutter="0" w:footer="0" w:header="0"/>
        </w:sectPr>
      </w:pPr>
    </w:p>
    <w:bookmarkStart w:id="61" w:name="page62"/>
    <w:bookmarkEnd w:id="61"/>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2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Eric M. DeMarco</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Chief Executive Officer, President</w:t>
      </w:r>
    </w:p>
    <w:p>
      <w:pPr>
        <w:spacing w:after="0" w:line="21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DEANNA H. LUND,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2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Deanna H. Lund</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Senior Vice President, Chief Financial Officer</w:t>
      </w:r>
    </w:p>
    <w:p>
      <w:pPr>
        <w:spacing w:after="0" w:line="21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LAURA L. SIEGAL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2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Laura L. Siegal</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5"/>
          <w:szCs w:val="15"/>
          <w:b w:val="1"/>
          <w:bCs w:val="1"/>
          <w:i w:val="1"/>
          <w:iCs w:val="1"/>
          <w:color w:val="auto"/>
        </w:rPr>
        <w:t>Vice President, Corporate Controller and Principal Accounting Officer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May 8, 2008</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660"/>
        <w:spacing w:after="0" w:line="268" w:lineRule="auto"/>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KRATOS DEFENSE &amp; SECURITY SOLUTIONS, INC. FORM 10-Q FOR THE QUARTERLY PERIOD ENDED MARCH 30, 2008 INDEX</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PART I. FINANCIAL INFORMATION</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KRATOS DEFENSE &amp; SECURITY SOLUTIONS, INC. CONSOLIDATED BALANCE SHEETS (in millions, except par value and number of shares)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KRATOS DEFENSE &amp; SECURITY SOLUTIONS, INC. CONSOLIDATED STATEMENTS OF OPERATIONS (in millions, except per share amounts)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KRATOS DEFENSE &amp; SECURITY SOLUTIONS, INC. CONSOLIDATED STATEMENTS OF CASH FLOWS (in millions)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KRATOS DEFENSE &amp; SECURITY SOLUTIONS, INC. NOTES TO CONSOLIDATED FINANCIAL STATEMENTS (Unaudited)</w:t>
        </w:r>
      </w:hyperlink>
    </w:p>
    <w:p>
      <w:pPr>
        <w:spacing w:after="0" w:line="219" w:lineRule="exact"/>
        <w:rPr>
          <w:sz w:val="20"/>
          <w:szCs w:val="20"/>
          <w:color w:val="auto"/>
        </w:rPr>
      </w:pPr>
    </w:p>
    <w:p>
      <w:pPr>
        <w:ind w:left="540" w:right="3360"/>
        <w:spacing w:after="0" w:line="259"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4. Controls and Procedures</w:t>
        </w:r>
      </w:hyperlink>
    </w:p>
    <w:p>
      <w:pPr>
        <w:spacing w:after="0" w:line="194"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PART II. OTHER INFORMATION</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 Legal Proceedings</w:t>
        </w:r>
      </w:hyperlink>
    </w:p>
    <w:p>
      <w:pPr>
        <w:spacing w:after="0" w:line="1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2. UNREGISTERED SALES OF EQUITY SECURITIES AND USES OF PROCEEDS</w:t>
        </w:r>
      </w:hyperlink>
    </w:p>
    <w:p>
      <w:pPr>
        <w:spacing w:after="0" w:line="21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6. Exhibits</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SIGNATURES</w:t>
        </w:r>
      </w:hyperlink>
    </w:p>
    <w:p>
      <w:pPr>
        <w:sectPr>
          <w:pgSz w:w="11900" w:h="16838" w:orient="portrait"/>
          <w:cols w:equalWidth="0" w:num="1">
            <w:col w:w="10740"/>
          </w:cols>
          <w:pgMar w:left="240" w:top="820" w:right="919" w:bottom="1440" w:gutter="0" w:footer="0" w:header="0"/>
        </w:sectPr>
      </w:pPr>
    </w:p>
    <w:bookmarkStart w:id="63" w:name="page64"/>
    <w:bookmarkEnd w:id="63"/>
    <w:p>
      <w:pPr>
        <w:spacing w:after="0"/>
        <w:rPr>
          <w:rFonts w:ascii="Arial" w:cs="Arial" w:eastAsia="Arial" w:hAnsi="Arial"/>
          <w:sz w:val="22"/>
          <w:szCs w:val="22"/>
          <w:color w:val="0000EE"/>
        </w:rPr>
      </w:pPr>
      <w:hyperlink w:anchor="page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Eric M. DeMarco, certify that:</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jc w:val="both"/>
        <w:ind w:left="1080" w:right="10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right="160" w:hanging="532"/>
        <w:spacing w:after="0" w:line="259"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520" w:hanging="532"/>
        <w:spacing w:after="0" w:line="33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8, 2008</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77470</wp:posOffset>
            </wp:positionV>
            <wp:extent cx="340868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Eric M. De Marco</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CERTIFICATION OF CHIEF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65" w:name="page66"/>
    <w:bookmarkEnd w:id="65"/>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Deanna H. Lund, certify that:</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jc w:val="both"/>
        <w:ind w:left="1080" w:right="10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right="160" w:hanging="532"/>
        <w:spacing w:after="0" w:line="259"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520" w:hanging="532"/>
        <w:spacing w:after="0" w:line="33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8, 2008</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77470</wp:posOffset>
            </wp:positionV>
            <wp:extent cx="340868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CERTIFICATION OF CHIEF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67" w:name="page68"/>
    <w:bookmarkEnd w:id="67"/>
    <w:p>
      <w:pPr>
        <w:spacing w:after="0"/>
        <w:rPr>
          <w:rFonts w:ascii="Arial" w:cs="Arial" w:eastAsia="Arial" w:hAnsi="Arial"/>
          <w:sz w:val="22"/>
          <w:szCs w:val="22"/>
          <w:color w:val="0000EE"/>
        </w:rPr>
      </w:pPr>
      <w:hyperlink w:anchor="page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March 30, 2008 (the "Report"), I, Eric M. DeMarco,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8, 2008</w:t>
      </w:r>
    </w:p>
    <w:p>
      <w:pPr>
        <w:spacing w:after="0"/>
        <w:rPr>
          <w:rFonts w:ascii="Arial" w:cs="Arial" w:eastAsia="Arial" w:hAnsi="Arial"/>
          <w:sz w:val="18"/>
          <w:szCs w:val="18"/>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77470</wp:posOffset>
            </wp:positionV>
            <wp:extent cx="2242185"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242185" cy="21590"/>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CERTIFICATION PURSUANT TO SECTION 906 OF THE SARBANES-OXLEY ACT OF 2002 (18 U.S.C. SECTION 1350)</w:t>
        </w:r>
      </w:hyperlink>
    </w:p>
    <w:p>
      <w:pPr>
        <w:sectPr>
          <w:pgSz w:w="11900" w:h="16838" w:orient="portrait"/>
          <w:cols w:equalWidth="0" w:num="1">
            <w:col w:w="10219"/>
          </w:cols>
          <w:pgMar w:left="240" w:top="820" w:right="1440" w:bottom="1440" w:gutter="0" w:footer="0" w:header="0"/>
        </w:sectPr>
      </w:pPr>
    </w:p>
    <w:bookmarkStart w:id="69" w:name="page70"/>
    <w:bookmarkEnd w:id="69"/>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March 30, 2008 (the "Report"), I, Deanna H. Lund,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8, 2008</w:t>
      </w:r>
    </w:p>
    <w:p>
      <w:pPr>
        <w:spacing w:after="0"/>
        <w:rPr>
          <w:rFonts w:ascii="Arial" w:cs="Arial" w:eastAsia="Arial" w:hAnsi="Arial"/>
          <w:sz w:val="18"/>
          <w:szCs w:val="18"/>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77470</wp:posOffset>
            </wp:positionV>
            <wp:extent cx="2242185"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242185" cy="21590"/>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CERTIFICATION PURSUANT TO SECTION 906 OF THE SARBANES-OXLEY ACT OF 2002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2019-12-14T20:49:48Z</dcterms:created>
  <dcterms:modified xsi:type="dcterms:W3CDTF">2019-12-14T20:49:48Z</dcterms:modified>
</cp:coreProperties>
</file>