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2"/>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29,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2"/>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001-34460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KRATOS DEFENSE &amp; SECURITY SOLUTIONS,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328" w:type="dxa"/>
        <w:jc w:val="center"/>
        <w:tblInd w:w="0" w:type="dxa"/>
        <w:tblLayout w:type="fixed"/>
        <w:tblCellMar>
          <w:top w:w="28" w:type="dxa"/>
          <w:left w:w="28" w:type="dxa"/>
          <w:bottom w:w="28" w:type="dxa"/>
          <w:right w:w="28" w:type="dxa"/>
        </w:tblCellMar>
      </w:tblPr>
      <w:tblGrid>
        <w:gridCol w:w="1193"/>
        <w:gridCol w:w="1047"/>
        <w:gridCol w:w="1059"/>
        <w:gridCol w:w="884"/>
        <w:gridCol w:w="884"/>
        <w:gridCol w:w="1261"/>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13-3818604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100" w:after="283"/>
              <w:jc w:val="center"/>
              <w:rPr/>
            </w:pPr>
            <w:r>
              <w:rPr/>
            </w:r>
          </w:p>
          <w:p>
            <w:pPr>
              <w:pStyle w:val="TableContents"/>
              <w:bidi w:val="0"/>
              <w:spacing w:lineRule="auto" w:line="240" w:before="100" w:after="283"/>
              <w:jc w:val="center"/>
              <w:rPr/>
            </w:pPr>
            <w:r>
              <w:rPr>
                <w:rFonts w:ascii="Times New Roman;serif" w:hAnsi="Times New Roman;serif"/>
                <w:b/>
                <w:color w:val="000000"/>
                <w:sz w:val="20"/>
              </w:rPr>
              <w:t>1 Chisholm Trail</w:t>
            </w:r>
            <w:r>
              <w:rPr>
                <w:rFonts w:ascii="Times New Roman;serif" w:hAnsi="Times New Roman;serif"/>
                <w:b/>
                <w:color w:val="000000"/>
                <w:sz w:val="18"/>
              </w:rPr>
              <w:t xml:space="preserve">, </w:t>
            </w:r>
            <w:r>
              <w:rPr>
                <w:rFonts w:ascii="Times New Roman;serif" w:hAnsi="Times New Roman;serif"/>
                <w:b/>
                <w:color w:val="000000"/>
                <w:sz w:val="20"/>
              </w:rPr>
              <w:t>Suite 300</w:t>
            </w:r>
            <w:r>
              <w:rPr>
                <w:color w:val="000000"/>
              </w:rPr>
              <w:t xml:space="preserve"> </w:t>
            </w:r>
          </w:p>
          <w:p>
            <w:pPr>
              <w:pStyle w:val="TableContents"/>
              <w:bidi w:val="0"/>
              <w:spacing w:lineRule="auto" w:line="240" w:before="0" w:after="0"/>
              <w:jc w:val="center"/>
              <w:rPr/>
            </w:pPr>
            <w:r>
              <w:rPr>
                <w:rFonts w:ascii="Times New Roman;serif" w:hAnsi="Times New Roman;serif"/>
                <w:b/>
                <w:color w:val="000000"/>
                <w:sz w:val="20"/>
              </w:rPr>
              <w:t>Round Rock</w:t>
            </w:r>
            <w:r>
              <w:rPr>
                <w:rFonts w:ascii="Times New Roman;serif" w:hAnsi="Times New Roman;serif"/>
                <w:b/>
                <w:color w:val="000000"/>
                <w:sz w:val="18"/>
              </w:rPr>
              <w:t>, TX</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78681</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(512) 238-9840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417"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60"/>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bl>
    <w:p>
      <w:pPr>
        <w:pStyle w:val="TextBody"/>
        <w:bidi w:val="0"/>
        <w:spacing w:lineRule="auto" w:line="288" w:before="0" w:after="160"/>
        <w:ind w:left="0" w:right="0" w:firstLine="3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1, 2025, 168,794,500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29,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ec1e0c613e4eb393254967dd1c3d1f_10">
              <w:r>
                <w:rPr>
                  <w:rStyle w:val="InternetLink"/>
                  <w:rFonts w:ascii="Times New Roman;serif" w:hAnsi="Times New Roman;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
              <w:r>
                <w:rPr>
                  <w:rStyle w:val="InternetLink"/>
                  <w:rFonts w:ascii="Times New Roman;serif" w:hAnsi="Times New Roman;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3">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6">
              <w:r>
                <w:rPr>
                  <w:rStyle w:val="InternetLink"/>
                  <w:rFonts w:ascii="Times New Roman;serif" w:hAnsi="Times New Roman;serif"/>
                  <w:b w:val="false"/>
                  <w:color w:val="0000FF"/>
                  <w:sz w:val="20"/>
                  <w:u w:val="single"/>
                </w:rPr>
                <w:t>Condensed Consolidated Balance Sheets at June 29, 2025 (unaudited) and December 29, 2024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22">
              <w:r>
                <w:rPr>
                  <w:rStyle w:val="InternetLink"/>
                  <w:rFonts w:ascii="Times New Roman;serif" w:hAnsi="Times New Roman;serif"/>
                  <w:b w:val="false"/>
                  <w:color w:val="000080"/>
                  <w:sz w:val="20"/>
                  <w:u w:val="single"/>
                </w:rPr>
                <w:t xml:space="preserve">Condensed Consolidated Statements of Operations for the Three </w:t>
              </w:r>
            </w:hyperlink>
            <w:hyperlink w:anchor="i32ec1e0c613e4eb393254967dd1c3d1f_22">
              <w:r>
                <w:rPr>
                  <w:rStyle w:val="InternetLink"/>
                  <w:rFonts w:ascii="Times New Roman;serif" w:hAnsi="Times New Roman;serif"/>
                  <w:b w:val="false"/>
                  <w:color w:val="000080"/>
                  <w:sz w:val="20"/>
                  <w:u w:val="single"/>
                </w:rPr>
                <w:t xml:space="preserve">and Six </w:t>
              </w:r>
            </w:hyperlink>
            <w:hyperlink w:anchor="i32ec1e0c613e4eb393254967dd1c3d1f_22">
              <w:r>
                <w:rPr>
                  <w:rStyle w:val="InternetLink"/>
                  <w:rFonts w:ascii="Times New Roman;serif" w:hAnsi="Times New Roman;serif"/>
                  <w:b w:val="false"/>
                  <w:color w:val="000080"/>
                  <w:sz w:val="20"/>
                  <w:u w:val="single"/>
                </w:rPr>
                <w:t xml:space="preserve">Months Ended June 29, 2025 and June 30, 2024 (unaudited)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22">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25">
              <w:r>
                <w:rPr>
                  <w:rStyle w:val="InternetLink"/>
                  <w:rFonts w:ascii="Times New Roman;serif" w:hAnsi="Times New Roman;serif"/>
                  <w:b w:val="false"/>
                  <w:color w:val="000080"/>
                  <w:sz w:val="20"/>
                  <w:u w:val="single"/>
                </w:rPr>
                <w:t xml:space="preserve">Condensed Consolidated Statements of Comprehensive Income </w:t>
              </w:r>
            </w:hyperlink>
            <w:hyperlink w:anchor="i32ec1e0c613e4eb393254967dd1c3d1f_25">
              <w:r>
                <w:rPr>
                  <w:rStyle w:val="InternetLink"/>
                  <w:rFonts w:ascii="Times New Roman;serif" w:hAnsi="Times New Roman;serif"/>
                  <w:b w:val="false"/>
                  <w:color w:val="000080"/>
                  <w:sz w:val="20"/>
                  <w:u w:val="single"/>
                </w:rPr>
                <w:t xml:space="preserve">for the </w:t>
              </w:r>
            </w:hyperlink>
            <w:hyperlink w:anchor="i32ec1e0c613e4eb393254967dd1c3d1f_22">
              <w:r>
                <w:rPr>
                  <w:rStyle w:val="InternetLink"/>
                  <w:rFonts w:ascii="Times New Roman;serif" w:hAnsi="Times New Roman;serif"/>
                  <w:b w:val="false"/>
                  <w:color w:val="000080"/>
                  <w:sz w:val="20"/>
                  <w:u w:val="single"/>
                </w:rPr>
                <w:t>Three and Six Months Ended June 29, 2025 and June 30, 2024</w:t>
              </w:r>
            </w:hyperlink>
            <w:hyperlink w:anchor="i32ec1e0c613e4eb393254967dd1c3d1f_25">
              <w:r>
                <w:rPr>
                  <w:rStyle w:val="InternetLink"/>
                  <w:rFonts w:ascii="Times New Roman;serif" w:hAnsi="Times New Roman;serif"/>
                  <w:b w:val="false"/>
                  <w:color w:val="000080"/>
                  <w:sz w:val="20"/>
                  <w:u w:val="single"/>
                </w:rPr>
                <w:t xml:space="preserve">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25">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28">
              <w:r>
                <w:rPr>
                  <w:rStyle w:val="InternetLink"/>
                  <w:rFonts w:ascii="Times New Roman;serif" w:hAnsi="Times New Roman;serif"/>
                  <w:b w:val="false"/>
                  <w:color w:val="000080"/>
                  <w:sz w:val="20"/>
                  <w:u w:val="single"/>
                </w:rPr>
                <w:t xml:space="preserve">Condensed Consolidated Statements of Stockholders’ Equity for the </w:t>
              </w:r>
            </w:hyperlink>
            <w:hyperlink w:anchor="i32ec1e0c613e4eb393254967dd1c3d1f_22">
              <w:r>
                <w:rPr>
                  <w:rStyle w:val="InternetLink"/>
                  <w:rFonts w:ascii="Times New Roman;serif" w:hAnsi="Times New Roman;serif"/>
                  <w:b w:val="false"/>
                  <w:color w:val="000080"/>
                  <w:sz w:val="20"/>
                  <w:u w:val="single"/>
                </w:rPr>
                <w:t xml:space="preserve">Three </w:t>
              </w:r>
            </w:hyperlink>
            <w:hyperlink w:anchor="i32ec1e0c613e4eb393254967dd1c3d1f_22">
              <w:r>
                <w:rPr>
                  <w:rStyle w:val="InternetLink"/>
                  <w:rFonts w:ascii="Times New Roman;serif" w:hAnsi="Times New Roman;serif"/>
                  <w:b w:val="false"/>
                  <w:color w:val="000080"/>
                  <w:sz w:val="20"/>
                  <w:u w:val="single"/>
                </w:rPr>
                <w:t xml:space="preserve">and Six </w:t>
              </w:r>
            </w:hyperlink>
            <w:hyperlink w:anchor="i32ec1e0c613e4eb393254967dd1c3d1f_22">
              <w:r>
                <w:rPr>
                  <w:rStyle w:val="InternetLink"/>
                  <w:rFonts w:ascii="Times New Roman;serif" w:hAnsi="Times New Roman;serif"/>
                  <w:b w:val="false"/>
                  <w:color w:val="000080"/>
                  <w:sz w:val="20"/>
                  <w:u w:val="single"/>
                </w:rPr>
                <w:t xml:space="preserve">Months Ended </w:t>
              </w:r>
            </w:hyperlink>
            <w:hyperlink w:anchor="i32ec1e0c613e4eb393254967dd1c3d1f_22">
              <w:r>
                <w:rPr>
                  <w:rStyle w:val="InternetLink"/>
                  <w:rFonts w:ascii="Times New Roman;serif" w:hAnsi="Times New Roman;serif"/>
                  <w:b w:val="false"/>
                  <w:color w:val="000080"/>
                  <w:sz w:val="20"/>
                  <w:u w:val="single"/>
                </w:rPr>
                <w:t>June 29</w:t>
              </w:r>
            </w:hyperlink>
            <w:hyperlink w:anchor="i32ec1e0c613e4eb393254967dd1c3d1f_22">
              <w:r>
                <w:rPr>
                  <w:rStyle w:val="InternetLink"/>
                  <w:rFonts w:ascii="Times New Roman;serif" w:hAnsi="Times New Roman;serif"/>
                  <w:b w:val="false"/>
                  <w:color w:val="000080"/>
                  <w:sz w:val="20"/>
                  <w:u w:val="single"/>
                </w:rPr>
                <w:t xml:space="preserve">, 2025 and </w:t>
              </w:r>
            </w:hyperlink>
            <w:hyperlink w:anchor="i32ec1e0c613e4eb393254967dd1c3d1f_22">
              <w:r>
                <w:rPr>
                  <w:rStyle w:val="InternetLink"/>
                  <w:rFonts w:ascii="Times New Roman;serif" w:hAnsi="Times New Roman;serif"/>
                  <w:b w:val="false"/>
                  <w:color w:val="000080"/>
                  <w:sz w:val="20"/>
                  <w:u w:val="single"/>
                </w:rPr>
                <w:t>June 30</w:t>
              </w:r>
            </w:hyperlink>
            <w:hyperlink w:anchor="i32ec1e0c613e4eb393254967dd1c3d1f_22">
              <w:r>
                <w:rPr>
                  <w:rStyle w:val="InternetLink"/>
                  <w:rFonts w:ascii="Times New Roman;serif" w:hAnsi="Times New Roman;serif"/>
                  <w:b w:val="false"/>
                  <w:color w:val="000080"/>
                  <w:sz w:val="20"/>
                  <w:u w:val="single"/>
                </w:rPr>
                <w:t>, 2024</w:t>
              </w:r>
            </w:hyperlink>
            <w:hyperlink w:anchor="i32ec1e0c613e4eb393254967dd1c3d1f_28">
              <w:r>
                <w:rPr>
                  <w:rStyle w:val="InternetLink"/>
                  <w:rFonts w:ascii="Times New Roman;serif" w:hAnsi="Times New Roman;serif"/>
                  <w:b w:val="false"/>
                  <w:color w:val="000080"/>
                  <w:sz w:val="20"/>
                  <w:u w:val="single"/>
                </w:rPr>
                <w:t xml:space="preserve">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28">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34">
              <w:r>
                <w:rPr>
                  <w:rStyle w:val="InternetLink"/>
                  <w:rFonts w:ascii="Times New Roman;serif" w:hAnsi="Times New Roman;serif"/>
                  <w:b w:val="false"/>
                  <w:color w:val="000080"/>
                  <w:sz w:val="20"/>
                  <w:u w:val="single"/>
                </w:rPr>
                <w:t xml:space="preserve">Condensed Consolidated Statements of Cash Flows for the </w:t>
              </w:r>
            </w:hyperlink>
            <w:hyperlink w:anchor="i32ec1e0c613e4eb393254967dd1c3d1f_34">
              <w:r>
                <w:rPr>
                  <w:rStyle w:val="InternetLink"/>
                  <w:rFonts w:ascii="Times New Roman;serif" w:hAnsi="Times New Roman;serif"/>
                  <w:b w:val="false"/>
                  <w:color w:val="000080"/>
                  <w:sz w:val="20"/>
                  <w:u w:val="single"/>
                </w:rPr>
                <w:t xml:space="preserve">Six </w:t>
              </w:r>
            </w:hyperlink>
            <w:hyperlink w:anchor="i32ec1e0c613e4eb393254967dd1c3d1f_34">
              <w:r>
                <w:rPr>
                  <w:rStyle w:val="InternetLink"/>
                  <w:rFonts w:ascii="Times New Roman;serif" w:hAnsi="Times New Roman;serif"/>
                  <w:b w:val="false"/>
                  <w:color w:val="000080"/>
                  <w:sz w:val="20"/>
                  <w:u w:val="single"/>
                </w:rPr>
                <w:t>Months Ended</w:t>
              </w:r>
            </w:hyperlink>
            <w:hyperlink w:anchor="i32ec1e0c613e4eb393254967dd1c3d1f_22">
              <w:r>
                <w:rPr>
                  <w:rStyle w:val="InternetLink"/>
                  <w:rFonts w:ascii="Times New Roman;serif" w:hAnsi="Times New Roman;serif"/>
                  <w:b w:val="false"/>
                  <w:color w:val="000080"/>
                  <w:sz w:val="20"/>
                  <w:u w:val="single"/>
                </w:rPr>
                <w:t xml:space="preserve"> </w:t>
              </w:r>
            </w:hyperlink>
            <w:hyperlink w:anchor="i32ec1e0c613e4eb393254967dd1c3d1f_22">
              <w:r>
                <w:rPr>
                  <w:rStyle w:val="InternetLink"/>
                  <w:rFonts w:ascii="Times New Roman;serif" w:hAnsi="Times New Roman;serif"/>
                  <w:b w:val="false"/>
                  <w:color w:val="000080"/>
                  <w:sz w:val="20"/>
                  <w:u w:val="single"/>
                </w:rPr>
                <w:t>June 29</w:t>
              </w:r>
            </w:hyperlink>
            <w:hyperlink w:anchor="i32ec1e0c613e4eb393254967dd1c3d1f_22">
              <w:r>
                <w:rPr>
                  <w:rStyle w:val="InternetLink"/>
                  <w:rFonts w:ascii="Times New Roman;serif" w:hAnsi="Times New Roman;serif"/>
                  <w:b w:val="false"/>
                  <w:color w:val="000080"/>
                  <w:sz w:val="20"/>
                  <w:u w:val="single"/>
                </w:rPr>
                <w:t xml:space="preserve">, 2025 and </w:t>
              </w:r>
            </w:hyperlink>
            <w:hyperlink w:anchor="i32ec1e0c613e4eb393254967dd1c3d1f_22">
              <w:r>
                <w:rPr>
                  <w:rStyle w:val="InternetLink"/>
                  <w:rFonts w:ascii="Times New Roman;serif" w:hAnsi="Times New Roman;serif"/>
                  <w:b w:val="false"/>
                  <w:color w:val="000080"/>
                  <w:sz w:val="20"/>
                  <w:u w:val="single"/>
                </w:rPr>
                <w:t>June 30</w:t>
              </w:r>
            </w:hyperlink>
            <w:hyperlink w:anchor="i32ec1e0c613e4eb393254967dd1c3d1f_22">
              <w:r>
                <w:rPr>
                  <w:rStyle w:val="InternetLink"/>
                  <w:rFonts w:ascii="Times New Roman;serif" w:hAnsi="Times New Roman;serif"/>
                  <w:b w:val="false"/>
                  <w:color w:val="000080"/>
                  <w:sz w:val="20"/>
                  <w:u w:val="single"/>
                </w:rPr>
                <w:t>, 2024</w:t>
              </w:r>
            </w:hyperlink>
            <w:r>
              <w:rPr>
                <w:color w:val="000000"/>
              </w:rPr>
              <w:t xml:space="preserve"> </w:t>
            </w:r>
            <w:hyperlink w:anchor="i32ec1e0c613e4eb393254967dd1c3d1f_34">
              <w:r>
                <w:rPr>
                  <w:rStyle w:val="InternetLink"/>
                  <w:rFonts w:ascii="Times New Roman;serif" w:hAnsi="Times New Roman;serif"/>
                  <w:b w:val="false"/>
                  <w:color w:val="0000FF"/>
                  <w:sz w:val="20"/>
                  <w:u w:val="single"/>
                </w:rPr>
                <w:t>(unaudited)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34">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37">
              <w:r>
                <w:rPr>
                  <w:rStyle w:val="InternetLink"/>
                  <w:rFonts w:ascii="Times New Roman;serif" w:hAnsi="Times New Roman;serif"/>
                  <w:b w:val="false"/>
                  <w:color w:val="0000FF"/>
                  <w:sz w:val="20"/>
                  <w:u w:val="single"/>
                </w:rPr>
                <w:t>Notes to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37">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88">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88">
              <w:r>
                <w:rPr>
                  <w:rStyle w:val="InternetLink"/>
                  <w:rFonts w:ascii="Times New Roman;serif" w:hAnsi="Times New Roman;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21">
              <w:r>
                <w:rPr>
                  <w:rStyle w:val="InternetLink"/>
                  <w:rFonts w:ascii="Times New Roman;serif" w:hAnsi="Times New Roman;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21">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21">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24">
              <w:r>
                <w:rPr>
                  <w:rStyle w:val="InternetLink"/>
                  <w:rFonts w:ascii="Times New Roman;serif" w:hAnsi="Times New Roman;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24">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24">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ec1e0c613e4eb393254967dd1c3d1f_127">
              <w:r>
                <w:rPr>
                  <w:rStyle w:val="InternetLink"/>
                  <w:rFonts w:ascii="Times New Roman;serif" w:hAnsi="Times New Roman;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0">
              <w:r>
                <w:rPr>
                  <w:rStyle w:val="InternetLink"/>
                  <w:rFonts w:ascii="Times New Roman;serif" w:hAnsi="Times New Roman;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0">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30">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3">
              <w:r>
                <w:rPr>
                  <w:rStyle w:val="InternetLink"/>
                  <w:rFonts w:ascii="Times New Roman;serif" w:hAnsi="Times New Roman;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3">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33">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6">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6">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36">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9">
              <w:r>
                <w:rPr>
                  <w:rStyle w:val="InternetLink"/>
                  <w:rFonts w:ascii="Times New Roman;serif" w:hAnsi="Times New Roman;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39">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39">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42">
              <w:r>
                <w:rPr>
                  <w:rStyle w:val="InternetLink"/>
                  <w:rFonts w:ascii="Times New Roman;serif" w:hAnsi="Times New Roman;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42">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42">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45">
              <w:r>
                <w:rPr>
                  <w:rStyle w:val="InternetLink"/>
                  <w:rFonts w:ascii="Times New Roman;serif" w:hAnsi="Times New Roman;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45">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45">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51">
              <w:r>
                <w:rPr>
                  <w:rStyle w:val="InternetLink"/>
                  <w:rFonts w:ascii="Times New Roman;serif" w:hAnsi="Times New Roman;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51">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c1e0c613e4eb393254967dd1c3d1f_151">
              <w:r>
                <w:rPr>
                  <w:rStyle w:val="InternetLink"/>
                  <w:rFonts w:ascii="Times New Roman;serif" w:hAnsi="Times New Roman;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pPr>
      <w:r>
        <w:rPr>
          <w:color w:val="000000"/>
        </w:rPr>
        <w:t> </w:t>
      </w:r>
      <w:r>
        <w:rPr>
          <w:rFonts w:ascii="Times New Roman;serif" w:hAnsi="Times New Roman;serif"/>
          <w:b/>
          <w:color w:val="000000"/>
          <w:sz w:val="18"/>
        </w:rPr>
        <w:t>(in millions, except par value and number of shares)</w:t>
      </w:r>
    </w:p>
    <w:tbl>
      <w:tblPr>
        <w:tblW w:w="10205" w:type="dxa"/>
        <w:jc w:val="center"/>
        <w:tblInd w:w="0" w:type="dxa"/>
        <w:tblLayout w:type="fixed"/>
        <w:tblCellMar>
          <w:top w:w="28" w:type="dxa"/>
          <w:left w:w="28" w:type="dxa"/>
          <w:bottom w:w="28" w:type="dxa"/>
          <w:right w:w="28" w:type="dxa"/>
        </w:tblCellMar>
      </w:tblPr>
      <w:tblGrid>
        <w:gridCol w:w="2815"/>
        <w:gridCol w:w="2325"/>
        <w:gridCol w:w="2325"/>
        <w:gridCol w:w="212"/>
        <w:gridCol w:w="749"/>
        <w:gridCol w:w="118"/>
        <w:gridCol w:w="109"/>
        <w:gridCol w:w="109"/>
        <w:gridCol w:w="109"/>
        <w:gridCol w:w="250"/>
        <w:gridCol w:w="884"/>
        <w:gridCol w:w="200"/>
      </w:tblGrid>
      <w:tr>
        <w:trPr/>
        <w:tc>
          <w:tcPr>
            <w:tcW w:w="281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29, 2024</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Inventoried costs,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Liabilities and Stockholders</w:t>
            </w:r>
            <w:r>
              <w:rPr>
                <w:color w:val="000000"/>
              </w:rPr>
              <w:t xml:space="preserve">’ </w:t>
            </w:r>
            <w:r>
              <w:rPr>
                <w:rFonts w:ascii="Times New Roman;serif" w:hAnsi="Times New Roman;serif"/>
                <w:b/>
                <w:color w:val="000000"/>
                <w:sz w:val="18"/>
              </w:rPr>
              <w:t>Equity</w:t>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in excess of costs and earnings on uncompleted contracts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 liabilities, net of current portion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Stockholders</w:t>
            </w:r>
            <w:r>
              <w:rPr>
                <w:color w:val="000000"/>
              </w:rPr>
              <w:t xml:space="preserve">’ </w:t>
            </w:r>
            <w:r>
              <w:rPr>
                <w:rFonts w:ascii="Times New Roman;serif" w:hAnsi="Times New Roman;serif"/>
                <w:b w:val="false"/>
                <w:color w:val="000000"/>
                <w:sz w:val="18"/>
              </w:rPr>
              <w:t>equity:</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5,000,000 shares authorized, 0 shares issued and outstanding at June 29, 2025 and December 29, 2024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195,000,000 shares authorized; 168,555,887 and 151,092,292 shares issued and outstanding at June 29, 2025 and December 29, 2024,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stockholders</w:t>
            </w:r>
            <w:r>
              <w:rPr>
                <w:color w:val="000000"/>
              </w:rPr>
              <w:t xml:space="preserve">’ </w:t>
            </w:r>
            <w:r>
              <w:rPr>
                <w:rFonts w:ascii="Times New Roman;serif" w:hAnsi="Times New Roman;serif"/>
                <w:b w:val="false"/>
                <w:color w:val="000000"/>
                <w:sz w:val="18"/>
              </w:rPr>
              <w:t>equity</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liabilities and stockholders</w:t>
            </w:r>
            <w:r>
              <w:rPr>
                <w:color w:val="000000"/>
              </w:rPr>
              <w:t xml:space="preserve">’ </w:t>
            </w:r>
            <w:r>
              <w:rPr>
                <w:rFonts w:ascii="Times New Roman;serif" w:hAnsi="Times New Roman;serif"/>
                <w:b w:val="false"/>
                <w:color w:val="000000"/>
                <w:sz w:val="18"/>
              </w:rPr>
              <w:t>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p>
      <w:pPr>
        <w:pStyle w:val="TextBody"/>
        <w:bidi w:val="0"/>
        <w:spacing w:lineRule="auto" w:line="288" w:before="0" w:after="0"/>
        <w:jc w:val="center"/>
        <w:rPr/>
      </w:pPr>
      <w:r>
        <w:rPr>
          <w:color w:val="000000"/>
        </w:rPr>
        <w:t> </w:t>
      </w:r>
      <w:r>
        <w:rPr>
          <w:rFonts w:ascii="Times New Roman;serif" w:hAnsi="Times New Roman;serif"/>
          <w:b/>
          <w:color w:val="000000"/>
          <w:sz w:val="16"/>
        </w:rPr>
        <w:t>(Unaudited)</w:t>
      </w:r>
    </w:p>
    <w:tbl>
      <w:tblPr>
        <w:tblW w:w="8976" w:type="dxa"/>
        <w:jc w:val="left"/>
        <w:tblInd w:w="0" w:type="dxa"/>
        <w:tblLayout w:type="fixed"/>
        <w:tblCellMar>
          <w:top w:w="28" w:type="dxa"/>
          <w:left w:w="28" w:type="dxa"/>
          <w:bottom w:w="28" w:type="dxa"/>
          <w:right w:w="28" w:type="dxa"/>
        </w:tblCellMar>
      </w:tblPr>
      <w:tblGrid>
        <w:gridCol w:w="1249"/>
        <w:gridCol w:w="1099"/>
        <w:gridCol w:w="1102"/>
        <w:gridCol w:w="256"/>
        <w:gridCol w:w="727"/>
        <w:gridCol w:w="142"/>
        <w:gridCol w:w="109"/>
        <w:gridCol w:w="109"/>
        <w:gridCol w:w="109"/>
        <w:gridCol w:w="256"/>
        <w:gridCol w:w="727"/>
        <w:gridCol w:w="142"/>
        <w:gridCol w:w="109"/>
        <w:gridCol w:w="109"/>
        <w:gridCol w:w="109"/>
        <w:gridCol w:w="256"/>
        <w:gridCol w:w="727"/>
        <w:gridCol w:w="142"/>
        <w:gridCol w:w="109"/>
        <w:gridCol w:w="109"/>
        <w:gridCol w:w="109"/>
        <w:gridCol w:w="253"/>
        <w:gridCol w:w="718"/>
        <w:gridCol w:w="199"/>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2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8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lineRule="auto" w:line="288" w:before="0" w:after="0"/>
        <w:jc w:val="center"/>
        <w:rPr/>
      </w:pPr>
      <w:r>
        <w:rPr>
          <w:color w:val="000000"/>
        </w:rPr>
        <w:t> </w:t>
      </w:r>
      <w:r>
        <w:rPr>
          <w:rFonts w:ascii="Times New Roman;serif" w:hAnsi="Times New Roman;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09"/>
        <w:gridCol w:w="1795"/>
        <w:gridCol w:w="1745"/>
        <w:gridCol w:w="235"/>
        <w:gridCol w:w="450"/>
        <w:gridCol w:w="130"/>
        <w:gridCol w:w="109"/>
        <w:gridCol w:w="109"/>
        <w:gridCol w:w="109"/>
        <w:gridCol w:w="235"/>
        <w:gridCol w:w="450"/>
        <w:gridCol w:w="130"/>
        <w:gridCol w:w="109"/>
        <w:gridCol w:w="109"/>
        <w:gridCol w:w="109"/>
        <w:gridCol w:w="223"/>
        <w:gridCol w:w="531"/>
        <w:gridCol w:w="124"/>
        <w:gridCol w:w="109"/>
        <w:gridCol w:w="109"/>
        <w:gridCol w:w="109"/>
        <w:gridCol w:w="232"/>
        <w:gridCol w:w="446"/>
        <w:gridCol w:w="189"/>
      </w:tblGrid>
      <w:tr>
        <w:trPr/>
        <w:tc>
          <w:tcPr>
            <w:tcW w:w="230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cash flow hedge (net of taxes of $0.0 million and $0.1 million for the three and six month period ended June 29, 2025 and $0.1 million and $0.5 million for the three and six month period ended June 30, 2024)</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cumulative translation adjustment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584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29, 2025 and June 30, 2024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05"/>
        <w:gridCol w:w="725"/>
        <w:gridCol w:w="171"/>
        <w:gridCol w:w="109"/>
        <w:gridCol w:w="109"/>
        <w:gridCol w:w="109"/>
        <w:gridCol w:w="278"/>
        <w:gridCol w:w="278"/>
        <w:gridCol w:w="196"/>
        <w:gridCol w:w="109"/>
        <w:gridCol w:w="109"/>
        <w:gridCol w:w="109"/>
        <w:gridCol w:w="216"/>
        <w:gridCol w:w="414"/>
        <w:gridCol w:w="121"/>
        <w:gridCol w:w="109"/>
        <w:gridCol w:w="109"/>
        <w:gridCol w:w="109"/>
        <w:gridCol w:w="196"/>
        <w:gridCol w:w="691"/>
        <w:gridCol w:w="109"/>
        <w:gridCol w:w="109"/>
        <w:gridCol w:w="109"/>
        <w:gridCol w:w="109"/>
        <w:gridCol w:w="349"/>
        <w:gridCol w:w="671"/>
        <w:gridCol w:w="196"/>
        <w:gridCol w:w="109"/>
        <w:gridCol w:w="109"/>
        <w:gridCol w:w="109"/>
        <w:gridCol w:w="235"/>
        <w:gridCol w:w="685"/>
        <w:gridCol w:w="131"/>
        <w:gridCol w:w="109"/>
        <w:gridCol w:w="109"/>
        <w:gridCol w:w="109"/>
        <w:gridCol w:w="109"/>
        <w:gridCol w:w="109"/>
        <w:gridCol w:w="109"/>
        <w:gridCol w:w="109"/>
        <w:gridCol w:w="214"/>
        <w:gridCol w:w="757"/>
        <w:gridCol w:w="170"/>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loss,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7"/>
        <w:gridCol w:w="132"/>
        <w:gridCol w:w="132"/>
        <w:gridCol w:w="132"/>
        <w:gridCol w:w="132"/>
        <w:gridCol w:w="132"/>
        <w:gridCol w:w="132"/>
        <w:gridCol w:w="132"/>
        <w:gridCol w:w="132"/>
        <w:gridCol w:w="109"/>
        <w:gridCol w:w="109"/>
        <w:gridCol w:w="109"/>
        <w:gridCol w:w="278"/>
        <w:gridCol w:w="278"/>
        <w:gridCol w:w="196"/>
        <w:gridCol w:w="109"/>
        <w:gridCol w:w="109"/>
        <w:gridCol w:w="109"/>
        <w:gridCol w:w="216"/>
        <w:gridCol w:w="414"/>
        <w:gridCol w:w="121"/>
        <w:gridCol w:w="109"/>
        <w:gridCol w:w="109"/>
        <w:gridCol w:w="109"/>
        <w:gridCol w:w="217"/>
        <w:gridCol w:w="766"/>
        <w:gridCol w:w="120"/>
        <w:gridCol w:w="109"/>
        <w:gridCol w:w="109"/>
        <w:gridCol w:w="109"/>
        <w:gridCol w:w="424"/>
        <w:gridCol w:w="816"/>
        <w:gridCol w:w="238"/>
        <w:gridCol w:w="109"/>
        <w:gridCol w:w="109"/>
        <w:gridCol w:w="109"/>
        <w:gridCol w:w="247"/>
        <w:gridCol w:w="720"/>
        <w:gridCol w:w="137"/>
        <w:gridCol w:w="109"/>
        <w:gridCol w:w="109"/>
        <w:gridCol w:w="109"/>
        <w:gridCol w:w="109"/>
        <w:gridCol w:w="109"/>
        <w:gridCol w:w="109"/>
        <w:gridCol w:w="109"/>
        <w:gridCol w:w="232"/>
        <w:gridCol w:w="823"/>
        <w:gridCol w:w="201"/>
      </w:tblGrid>
      <w:tr>
        <w:trPr/>
        <w:tc>
          <w:tcPr>
            <w:tcW w:w="30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3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36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(659.4)</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equity raise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3"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29, 2025 and June 30, 2024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989" w:type="dxa"/>
        <w:jc w:val="center"/>
        <w:tblInd w:w="0" w:type="dxa"/>
        <w:tblLayout w:type="fixed"/>
        <w:tblCellMar>
          <w:top w:w="28" w:type="dxa"/>
          <w:left w:w="28" w:type="dxa"/>
          <w:bottom w:w="28" w:type="dxa"/>
          <w:right w:w="28" w:type="dxa"/>
        </w:tblCellMar>
      </w:tblPr>
      <w:tblGrid>
        <w:gridCol w:w="686"/>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9"/>
        <w:gridCol w:w="671"/>
        <w:gridCol w:w="196"/>
        <w:gridCol w:w="109"/>
        <w:gridCol w:w="109"/>
        <w:gridCol w:w="109"/>
        <w:gridCol w:w="235"/>
        <w:gridCol w:w="685"/>
        <w:gridCol w:w="131"/>
        <w:gridCol w:w="109"/>
        <w:gridCol w:w="109"/>
        <w:gridCol w:w="109"/>
        <w:gridCol w:w="109"/>
        <w:gridCol w:w="109"/>
        <w:gridCol w:w="109"/>
        <w:gridCol w:w="109"/>
        <w:gridCol w:w="214"/>
        <w:gridCol w:w="757"/>
        <w:gridCol w:w="170"/>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equity raise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Gain on 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loss,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0"/>
        <w:gridCol w:w="141"/>
        <w:gridCol w:w="141"/>
        <w:gridCol w:w="141"/>
        <w:gridCol w:w="141"/>
        <w:gridCol w:w="141"/>
        <w:gridCol w:w="141"/>
        <w:gridCol w:w="141"/>
        <w:gridCol w:w="141"/>
        <w:gridCol w:w="109"/>
        <w:gridCol w:w="109"/>
        <w:gridCol w:w="109"/>
        <w:gridCol w:w="278"/>
        <w:gridCol w:w="278"/>
        <w:gridCol w:w="196"/>
        <w:gridCol w:w="109"/>
        <w:gridCol w:w="109"/>
        <w:gridCol w:w="109"/>
        <w:gridCol w:w="216"/>
        <w:gridCol w:w="414"/>
        <w:gridCol w:w="121"/>
        <w:gridCol w:w="109"/>
        <w:gridCol w:w="109"/>
        <w:gridCol w:w="109"/>
        <w:gridCol w:w="214"/>
        <w:gridCol w:w="755"/>
        <w:gridCol w:w="119"/>
        <w:gridCol w:w="109"/>
        <w:gridCol w:w="109"/>
        <w:gridCol w:w="109"/>
        <w:gridCol w:w="404"/>
        <w:gridCol w:w="808"/>
        <w:gridCol w:w="226"/>
        <w:gridCol w:w="109"/>
        <w:gridCol w:w="109"/>
        <w:gridCol w:w="109"/>
        <w:gridCol w:w="245"/>
        <w:gridCol w:w="715"/>
        <w:gridCol w:w="136"/>
        <w:gridCol w:w="109"/>
        <w:gridCol w:w="109"/>
        <w:gridCol w:w="109"/>
        <w:gridCol w:w="109"/>
        <w:gridCol w:w="109"/>
        <w:gridCol w:w="109"/>
        <w:gridCol w:w="109"/>
        <w:gridCol w:w="229"/>
        <w:gridCol w:w="813"/>
        <w:gridCol w:w="192"/>
      </w:tblGrid>
      <w:tr>
        <w:trPr/>
        <w:tc>
          <w:tcPr>
            <w:tcW w:w="3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4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4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4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equity raise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interest rate swap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income,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7977" w:type="dxa"/>
        <w:jc w:val="left"/>
        <w:tblInd w:w="0" w:type="dxa"/>
        <w:tblLayout w:type="fixed"/>
        <w:tblCellMar>
          <w:top w:w="28" w:type="dxa"/>
          <w:left w:w="28" w:type="dxa"/>
          <w:bottom w:w="28" w:type="dxa"/>
          <w:right w:w="28" w:type="dxa"/>
        </w:tblCellMar>
      </w:tblPr>
      <w:tblGrid>
        <w:gridCol w:w="1942"/>
        <w:gridCol w:w="1703"/>
        <w:gridCol w:w="1710"/>
        <w:gridCol w:w="256"/>
        <w:gridCol w:w="727"/>
        <w:gridCol w:w="142"/>
        <w:gridCol w:w="109"/>
        <w:gridCol w:w="109"/>
        <w:gridCol w:w="109"/>
        <w:gridCol w:w="253"/>
        <w:gridCol w:w="718"/>
        <w:gridCol w:w="199"/>
      </w:tblGrid>
      <w:tr>
        <w:trPr/>
        <w:tc>
          <w:tcPr>
            <w:tcW w:w="1942"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lease right-of-use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acquisitions: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Unbilled receivables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Inventoried costs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Billings in excess of costs and earnings on uncompleted contracts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 and payable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common stock, net of issuance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 under credit facility</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under credit facility and term loan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finance leases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employee taxes withheld from share-based awards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shares issued under equity plans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cash provided </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44" w:type="dxa"/>
        <w:jc w:val="center"/>
        <w:tblInd w:w="0" w:type="dxa"/>
        <w:tblLayout w:type="fixed"/>
        <w:tblCellMar>
          <w:top w:w="28" w:type="dxa"/>
          <w:left w:w="28" w:type="dxa"/>
          <w:bottom w:w="28" w:type="dxa"/>
          <w:right w:w="28" w:type="dxa"/>
        </w:tblCellMar>
      </w:tblPr>
      <w:tblGrid>
        <w:gridCol w:w="1859"/>
        <w:gridCol w:w="1629"/>
        <w:gridCol w:w="1642"/>
        <w:gridCol w:w="196"/>
        <w:gridCol w:w="466"/>
        <w:gridCol w:w="109"/>
        <w:gridCol w:w="109"/>
        <w:gridCol w:w="109"/>
        <w:gridCol w:w="109"/>
        <w:gridCol w:w="196"/>
        <w:gridCol w:w="466"/>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lease obligation incurred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 included in accounts payable and accrued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issuance for purchase of noncontrolling interests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issuance for acquisition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All references to the “Company” and “Kratos” refer to Kratos Defense &amp; Security Solutions, Inc., a Delaware corporation,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color w:val="000000"/>
          <w:sz w:val="20"/>
        </w:rPr>
        <w:t>(a)</w:t>
      </w:r>
      <w:r>
        <w:rPr>
          <w:color w:val="000000"/>
        </w:rPr>
        <w:t>    </w:t>
      </w: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The information as of June 29, 2025 and for the three and six months ended June 29, 2025 and June 30, 2024 is unaudited. The condensed consolidated balance sheet as of December 29, 2024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29, 2024, included in the Company’s Annual Report on Form 10-K filed with the U.S. Securities and Exchange Commission (the “SEC”) on February 26, 2025 (the “Form 10-K”). Interim operating results are not necessarily indicative of operating results expected in subsequent periods or for the year as a whole.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prior year items have been reclassified to be consistent with current year presentation.</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(b)    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100% owned subsidiaries. All inter-company transactions have been eliminated in consolidation. On June 21, 2024, the Company purchased the remaining 9.95% interest in KTT CORE, Inc., a Delaware corporation formerly known as KTT CORE, LLC (“KTT Core”) which previously had been reported as a majority owned subsidiary. KTT Core is now a 100% owned subsidiary. See Note 11 for further information related to the redeemable noncontrolling interest.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(c)    Fiscal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52/53 week fiscal year ending on the last Sunday of the calendar year. The three month periods ended June 29, 2025 and June 30, 2024 consisted of 13-week periods. The six month periods ended June 29, 2025 and June 30, 2024 consisted of 26-week periods. There are 52 calendar weeks in the fiscal years ending on December 28, 2025 and December 29, 2024.</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Use of Estimates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Company’s accounting estimates for the six months ended June 29, 2025 as compared to the accounting estimates described in the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forward exchange contracts to manage foreign currency risks associated with certain transactions, specifically forecasted materials and salaries paid in foreign currencies. The Company also has entered into an interest rate swap contract in order to mitigate the exposure to interest rate movements associated with the Company’s Term Loan A. These derivative instruments are measured at fair value using observable market inputs such as interest rates. Based on these inputs, the derivative instruments are classified within Level 2 of the valuation hierarchy. At June 29, 2025, the derivative instruments were included in other current assets and other long-term liabilities on the Company's condensed consolidated balance sheets. On June 30, 2025, in anticipation of the extinguishment of all outstanding Term Loan A debt under the 2022 Credit Facility, the Company terminated the interest rate swap contract referred to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amounts and the related fair values of the Company’s derivative instruments measured at fair value on a recurring basis at June 29, 2025 are presented in Note 15.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June 29, 2025 and December 29, 2024 due to the short-term nature of these instruments.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     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December 2023, the FASB issued ASU 2023-09</w:t>
      </w:r>
      <w:r>
        <w:rPr>
          <w:rFonts w:ascii="Times New Roman;serif" w:hAnsi="Times New Roman;serif"/>
          <w:b w:val="false"/>
          <w:i/>
          <w:color w:val="000000"/>
          <w:sz w:val="20"/>
        </w:rPr>
        <w:t xml:space="preserve">, Income Taxes (Topic 740): Improvements to Income Tax Disclosures, </w:t>
      </w:r>
      <w:r>
        <w:rPr>
          <w:rFonts w:ascii="Times New Roman;serif" w:hAnsi="Times New Roman;serif"/>
          <w:b w:val="false"/>
          <w:color w:val="000000"/>
          <w:sz w:val="20"/>
        </w:rPr>
        <w:t>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will adopt ASU 2023-09 for the period ending December 28, 2025. The adoption of this standard is not expected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have an impact on the Company’s consolidated financial position,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(Topic 220): Reporting Comprehensive Income – Expense Disaggregation Disclosures,</w:t>
      </w:r>
      <w:r>
        <w:rPr>
          <w:color w:val="000000"/>
        </w:rPr>
        <w:t xml:space="preserve"> </w:t>
      </w:r>
      <w:r>
        <w:rPr>
          <w:rFonts w:ascii="Times New Roman;serif" w:hAnsi="Times New Roman;serif"/>
          <w:b w:val="false"/>
          <w:color w:val="000000"/>
          <w:sz w:val="20"/>
        </w:rPr>
        <w:t>which requires the amounts of purchases of inventory, employee compensation, depreciation, and intangible asset amortization included in each relevant expense caption. It also requires companies to include certain amounts that are already required to be disclosed under GAAP in the same disclosure. Additionally, it requires companies to disclose a qualitative description of the amounts remaining in relevant expense captions that are not separately disaggregated quantitatively, and to disclose the total amount of selling expenses and, in annual reporting periods, an entity’s definition of selling expenses. ASU 2024-03 (as further clarified through ASU No. 2025-01,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will be effective for annual periods beginning after December 15, 2026 and interim periods beginning after December 15, 2027, with early adoption permitted and will be applied on a prospective basis with the option to apply the standard retrospectively. The Company is currently evaluating the impact of the adoption of ASU 2024-03; however, the standard is not expected to have an impact on the Company’s consolidated financial position, results of operations or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 Joint Venture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2025, the Company and RAFAEL Advanced Defense Systems, Ltd. (“RAFAEL”) announced an approximate 50/50 joint venture for the establishment of a U.S.-based merchant supplier of solid rocket motors (“SRMs”) and other energetics. The new joint venture, named Prometheus Energetics (“Prometheus”), is set to be headquartered on an approximately 500-acre site near the U.S. Navy and Army facility in Crane, Indiana. Kratos and RAFAEL (through its U.S. based subsidiary RAFAEL USA) have jointly committed up to $175 million in capital for the establishment of Prometheus and required property, plant, equipment and personnel needed for the new, state-of-the-art energetics manufacturing campus and facilities. After construction of the plant and once RAFAEL’s technology transfer is completed and certified for operations, Prometheus is projected to begin production of SRMs in 2027. To date, the Company has incurred minimal amounts of expense related to the establishment of Prometheus.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Norden Millimeter,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27, 2025, the Company and Kratos Microwave, Inc., a subsidiary of the Company (“Kratos Microwave”), entered into an Asset Purchase Agreement (the “Purchase Agreement”) to acquire certain of the assets (the “Purchased Assets”) of Norden Millimeter, Inc. (“Norden”) and assume certain liabilities (the “Assumed Liabilities”) of Norden. Norden focuses on microwave and millimeter wave products. Pursuant to the Purchase Agreement, on February 4, 2025, the asset acquisition was completed following the satisfaction of all closing conditions and (a) the Company issued 1,095,674 shares of its common stock, with a deemed value of $32.2 million, to Norden in a private placement, (b) the Company agreed to issue up to $6 million worth of additional shares of its common stock to Norden in the future upon release of certain holdback amounts, and (c) Kratos Microwave agreed to assume the Assumed Liabilities, in each case, in exchange for the Purchased Assets. Kratos granted Norden certain registration rights under the Asset Purchase Agreement and registered the 1,095,674 shares with the SEC on February 7, 2025. The Purchased Assets and Assumed Liabilities are included in the KGS segment.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Company has determined that pro forma revenue and earnings information is incomplete for the periods prior to the acquisition and that it is impracticable to present such prior periods until the Company obtains final information regarding such prior period revenues and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Norden assets with Kratos’ related products and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preliminary allocation of the purchase price over the estimated fair values of the Norden assets acquired and liabilities assumed (in millions): </w:t>
      </w:r>
    </w:p>
    <w:p>
      <w:pPr>
        <w:pStyle w:val="TextBody"/>
        <w:bidi w:val="0"/>
        <w:spacing w:before="0" w:after="0"/>
        <w:ind w:left="0" w:right="0" w:firstLine="720"/>
        <w:jc w:val="left"/>
        <w:rPr/>
      </w:pPr>
      <w:r>
        <w:rPr/>
      </w:r>
    </w:p>
    <w:tbl>
      <w:tblPr>
        <w:tblW w:w="4607" w:type="dxa"/>
        <w:jc w:val="left"/>
        <w:tblInd w:w="0" w:type="dxa"/>
        <w:tblLayout w:type="fixed"/>
        <w:tblCellMar>
          <w:top w:w="28" w:type="dxa"/>
          <w:left w:w="28" w:type="dxa"/>
          <w:bottom w:w="28" w:type="dxa"/>
          <w:right w:w="28" w:type="dxa"/>
        </w:tblCellMar>
      </w:tblPr>
      <w:tblGrid>
        <w:gridCol w:w="1232"/>
        <w:gridCol w:w="1084"/>
        <w:gridCol w:w="1088"/>
        <w:gridCol w:w="109"/>
        <w:gridCol w:w="109"/>
        <w:gridCol w:w="109"/>
        <w:gridCol w:w="211"/>
        <w:gridCol w:w="51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Company’s preliminary estimate of fair value, as of February 4, 2025, net liabilities included $9.1 million of current liabilities. The identifiable intangible assets include customer relationships of $2.5 million with a remaining useful life of 7 years, trade names of $2.0 million with a remaining useful life of 7 years, contracts and backlog of $3.0 million with an estimated useful life of 5 years, developed technology of $2.0 million with a remaining useful life of 7 years, and a non-compete agreement valued at $0.5 million with a remaining useful life of 5 years. The goodwill recorded in this transaction is expected to be tax-deductible.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of revenue and operating income of the acquired Norden assets included in the Company’s consolidated statement of operations for the three months ended June 29, 2025 were $5.9 million and $0.4 million, respectively. The amounts of revenue and operating income of the acquired Norden assets included in the Company’s consolidated statement of operations for the six months ended June 29, 2025 were $10.7 million and $2.6 million,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consideration paid for the acquired assets is as follows (in millions):</w:t>
      </w:r>
    </w:p>
    <w:p>
      <w:pPr>
        <w:pStyle w:val="TextBody"/>
        <w:bidi w:val="0"/>
        <w:spacing w:before="0" w:after="0"/>
        <w:jc w:val="left"/>
        <w:rPr/>
      </w:pPr>
      <w:r>
        <w:rPr/>
      </w:r>
    </w:p>
    <w:tbl>
      <w:tblPr>
        <w:tblW w:w="4728" w:type="dxa"/>
        <w:jc w:val="left"/>
        <w:tblInd w:w="0" w:type="dxa"/>
        <w:tblLayout w:type="fixed"/>
        <w:tblCellMar>
          <w:top w:w="28" w:type="dxa"/>
          <w:left w:w="28" w:type="dxa"/>
          <w:bottom w:w="28" w:type="dxa"/>
          <w:right w:w="28" w:type="dxa"/>
        </w:tblCellMar>
      </w:tblPr>
      <w:tblGrid>
        <w:gridCol w:w="1275"/>
        <w:gridCol w:w="1121"/>
        <w:gridCol w:w="1129"/>
        <w:gridCol w:w="109"/>
        <w:gridCol w:w="109"/>
        <w:gridCol w:w="109"/>
        <w:gridCol w:w="211"/>
        <w:gridCol w:w="511"/>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Holdback that may be issued at later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estimated purchase price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Sierra Technical Services, Inc.</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2023, the Company entered into an agreement to acquire all of the outstanding equity securities of aerial target drone designer Sierra Technical Services, Inc. (“STS”) pursuant to which the Company (i) issued 866,026 shares of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Kratos common stock valued at $12.8 million on October 3, 2023, (ii) an additional 42,523 shares of Kratos common stock valued at $1.1 million on October 3, 2024 and (iii) an additional 129,336 shares of Kratos common stock valued at $4.4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May 8, 2025 pursuant to certain holdback and earn-out provisions, in each case, to the former stockholders of STS. The Company recorded net assets of $12.6 million and goodwill of $10.7 million related to the STS acquisition. Significant assets of STS acquired by the Company included accounts receivable of $11.0 million, and identified intangibles (contracts and backlog) of $14.0 million. Significant liabilities of STS assumed by the Company included deferred revenue of $11.4 million. The operating results of the acquisition have been included in the Company’s results of operations from the effective date of the acquisition. The amount of net sales and earnings of STS included in the condensed consolidated statement of operations for the year ended December 31, 2023 are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Recognition</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The Company has adopted the FASB ASU 2014-09,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calculates revenues from remaining performance obligations as the dollar value of the remaining performance obligations on executed contracts. On June 29, 2025, the Company had approximately $1,413.6 million of remaining performance obligations. The Company expects to recognize approximately 36% of the remaining performance obligations as revenue in fiscal year 2025, an additional 37% in fiscal year 2026, and the balance thereafter.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Contract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wages and prices for materials and related support cost allocations), execution by subcontractors, the availability and timing of funding from customers and overhead cost rates, among other variables.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six-month periods ended June 29, 2025, and June 30, 2024. Likewise, total cumulative catch-up adjustments were not material for the three and six-month periods ended June 29, 2025, and June 30,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Contract Assets and Liabilities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contract assets and liabilities are as follows (in millions):</w:t>
      </w:r>
    </w:p>
    <w:tbl>
      <w:tblPr>
        <w:tblW w:w="6067" w:type="dxa"/>
        <w:jc w:val="center"/>
        <w:tblInd w:w="0" w:type="dxa"/>
        <w:tblLayout w:type="fixed"/>
        <w:tblCellMar>
          <w:top w:w="28" w:type="dxa"/>
          <w:left w:w="28" w:type="dxa"/>
          <w:bottom w:w="28" w:type="dxa"/>
          <w:right w:w="28" w:type="dxa"/>
        </w:tblCellMar>
      </w:tblPr>
      <w:tblGrid>
        <w:gridCol w:w="597"/>
        <w:gridCol w:w="525"/>
        <w:gridCol w:w="528"/>
        <w:gridCol w:w="260"/>
        <w:gridCol w:w="760"/>
        <w:gridCol w:w="134"/>
        <w:gridCol w:w="109"/>
        <w:gridCol w:w="109"/>
        <w:gridCol w:w="109"/>
        <w:gridCol w:w="348"/>
        <w:gridCol w:w="1017"/>
        <w:gridCol w:w="180"/>
        <w:gridCol w:w="109"/>
        <w:gridCol w:w="109"/>
        <w:gridCol w:w="109"/>
        <w:gridCol w:w="256"/>
        <w:gridCol w:w="621"/>
        <w:gridCol w:w="187"/>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increased $50.3 million during the six months ended June 29, 2025, primarily due to higher unbilled receivables, net during the six months ended June 29, 2025. There were no significant impairment losses related to any receivables or contract assets arising from the Company’s contracts with customers during the six months ended June 29, 2025. Contract liabilities increased $1.0 million during the six months ended June 29, 2025, primarily due to payments received in excess of revenue recognized on these performance obligations. For the three and six months ended June 29, 2025, the Company recognized revenue of $15.8 million and $52.2 million, respectively, that was previously included in the contract liabilities that existed at December 29, 2024. For the three and six months ended June 30, 2024 the Company recognized revenue of $25.8 million and $69.2 million, respectively, that was previously included in the contract liabilities that existed at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Disaggregation of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series of tables presents the Company’s revenue disaggregated by several categories. For the majority of contracts, revenue is recognized over time as work is performed on the contract.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contract type was as follows (in millions):</w:t>
      </w:r>
    </w:p>
    <w:tbl>
      <w:tblPr>
        <w:tblW w:w="8524" w:type="dxa"/>
        <w:jc w:val="left"/>
        <w:tblInd w:w="0" w:type="dxa"/>
        <w:tblLayout w:type="fixed"/>
        <w:tblCellMar>
          <w:top w:w="28" w:type="dxa"/>
          <w:left w:w="28" w:type="dxa"/>
          <w:bottom w:w="28" w:type="dxa"/>
          <w:right w:w="28" w:type="dxa"/>
        </w:tblCellMar>
      </w:tblPr>
      <w:tblGrid>
        <w:gridCol w:w="1087"/>
        <w:gridCol w:w="953"/>
        <w:gridCol w:w="959"/>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plus fee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Kratos Government Solutions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plus fee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customer was as follows (in millions):</w:t>
      </w:r>
    </w:p>
    <w:tbl>
      <w:tblPr>
        <w:tblW w:w="8674" w:type="dxa"/>
        <w:jc w:val="left"/>
        <w:tblInd w:w="0" w:type="dxa"/>
        <w:tblLayout w:type="fixed"/>
        <w:tblCellMar>
          <w:top w:w="28" w:type="dxa"/>
          <w:left w:w="28" w:type="dxa"/>
          <w:bottom w:w="28" w:type="dxa"/>
          <w:right w:w="28" w:type="dxa"/>
        </w:tblCellMar>
      </w:tblPr>
      <w:tblGrid>
        <w:gridCol w:w="1141"/>
        <w:gridCol w:w="1001"/>
        <w:gridCol w:w="1007"/>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Government </w:t>
            </w:r>
            <w:r>
              <w:rPr>
                <w:rFonts w:ascii="Times New Roman;serif" w:hAnsi="Times New Roman;serif"/>
                <w:b w:val="false"/>
                <w:color w:val="000000"/>
                <w:sz w:val="13"/>
              </w:rPr>
              <w:t>(1)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(2)</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and other customers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Kratos Government Solutions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Government </w:t>
            </w:r>
            <w:r>
              <w:rPr>
                <w:rFonts w:ascii="Times New Roman;serif" w:hAnsi="Times New Roman;serif"/>
                <w:b w:val="false"/>
                <w:color w:val="000000"/>
                <w:sz w:val="13"/>
              </w:rPr>
              <w:t>(1)</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(2)</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and other customers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Sales to the U.S. Government include sales from contracts for which the Company is the prime contractor, as well as those for which the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 is a subcontractor and the ultimate customer is the U.S. Government. Each of the Company’s segments derives substantial revenue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from the U.S. Government. These sales include foreign military sales contracted through the U.S. Government.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International sales include sales from contracts for which the Company is the prime contractor, as well as those for which the Company is 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subcontractor and the ultimate customer is an international customer. These sales include direct sales with governments outside the U.S. and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sales with customers outside the U.S.</w:t>
      </w:r>
    </w:p>
    <w:p>
      <w:pPr>
        <w:pStyle w:val="TextBody"/>
        <w:bidi w:val="0"/>
        <w:spacing w:before="0" w:after="0"/>
        <w:jc w:val="center"/>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was as follows (in millions):</w:t>
      </w:r>
    </w:p>
    <w:tbl>
      <w:tblPr>
        <w:tblW w:w="7939" w:type="dxa"/>
        <w:jc w:val="left"/>
        <w:tblInd w:w="0" w:type="dxa"/>
        <w:tblLayout w:type="fixed"/>
        <w:tblCellMar>
          <w:top w:w="28" w:type="dxa"/>
          <w:left w:w="28" w:type="dxa"/>
          <w:bottom w:w="28" w:type="dxa"/>
          <w:right w:w="28" w:type="dxa"/>
        </w:tblCellMar>
      </w:tblPr>
      <w:tblGrid>
        <w:gridCol w:w="876"/>
        <w:gridCol w:w="767"/>
        <w:gridCol w:w="771"/>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Other North America</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Middle East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                 </w:t>
            </w: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Goodwill and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(a)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carrying amounts of goodwill as of June 29, 2025 and December 29, 2024 by reportable segment are as follows (in millions):</w:t>
      </w:r>
    </w:p>
    <w:tbl>
      <w:tblPr>
        <w:tblW w:w="6041" w:type="dxa"/>
        <w:jc w:val="left"/>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29,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6041" w:type="dxa"/>
        <w:jc w:val="center"/>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29, 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Purchased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for finite-lived and indefinite-lived intangible assets (in millions): </w:t>
      </w:r>
    </w:p>
    <w:tbl>
      <w:tblPr>
        <w:tblW w:w="10205" w:type="dxa"/>
        <w:jc w:val="left"/>
        <w:tblInd w:w="0" w:type="dxa"/>
        <w:tblLayout w:type="fixed"/>
        <w:tblCellMar>
          <w:top w:w="28" w:type="dxa"/>
          <w:left w:w="28" w:type="dxa"/>
          <w:bottom w:w="28" w:type="dxa"/>
          <w:right w:w="28" w:type="dxa"/>
        </w:tblCellMar>
      </w:tblPr>
      <w:tblGrid>
        <w:gridCol w:w="1025"/>
        <w:gridCol w:w="900"/>
        <w:gridCol w:w="903"/>
        <w:gridCol w:w="211"/>
        <w:gridCol w:w="616"/>
        <w:gridCol w:w="109"/>
        <w:gridCol w:w="109"/>
        <w:gridCol w:w="109"/>
        <w:gridCol w:w="109"/>
        <w:gridCol w:w="239"/>
        <w:gridCol w:w="717"/>
        <w:gridCol w:w="125"/>
        <w:gridCol w:w="109"/>
        <w:gridCol w:w="109"/>
        <w:gridCol w:w="109"/>
        <w:gridCol w:w="211"/>
        <w:gridCol w:w="511"/>
        <w:gridCol w:w="109"/>
        <w:gridCol w:w="109"/>
        <w:gridCol w:w="109"/>
        <w:gridCol w:w="109"/>
        <w:gridCol w:w="211"/>
        <w:gridCol w:w="616"/>
        <w:gridCol w:w="109"/>
        <w:gridCol w:w="109"/>
        <w:gridCol w:w="109"/>
        <w:gridCol w:w="109"/>
        <w:gridCol w:w="239"/>
        <w:gridCol w:w="717"/>
        <w:gridCol w:w="125"/>
        <w:gridCol w:w="109"/>
        <w:gridCol w:w="109"/>
        <w:gridCol w:w="109"/>
        <w:gridCol w:w="211"/>
        <w:gridCol w:w="511"/>
        <w:gridCol w:w="155"/>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29, 2024</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Value</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finite-lived intangible 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technical know-how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 amortization expense related to intangible assets subject to amortization was $2.8 million and $2.2 million for the three months ended June 29, 2025 and June 30, 2024, respectively, and $4.9 million and $4.3 million for the six months ended June 29, 2025 and June 30, 2024 respectively.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future amortization expense of acquired intangible assets with finite lives for the remainder of 2025 and the next five fiscal years, and thereafter as of June 29, 2025 is as follows (in millions):</w:t>
      </w:r>
    </w:p>
    <w:tbl>
      <w:tblPr>
        <w:tblW w:w="1822" w:type="dxa"/>
        <w:jc w:val="left"/>
        <w:tblInd w:w="0" w:type="dxa"/>
        <w:tblLayout w:type="fixed"/>
        <w:tblCellMar>
          <w:top w:w="28" w:type="dxa"/>
          <w:left w:w="28" w:type="dxa"/>
          <w:bottom w:w="28" w:type="dxa"/>
          <w:right w:w="28" w:type="dxa"/>
        </w:tblCellMar>
      </w:tblPr>
      <w:tblGrid>
        <w:gridCol w:w="342"/>
        <w:gridCol w:w="300"/>
        <w:gridCol w:w="304"/>
        <w:gridCol w:w="211"/>
        <w:gridCol w:w="51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Inventoried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Inventoried costs, consisted of the following components (in millions):</w:t>
      </w:r>
    </w:p>
    <w:p>
      <w:pPr>
        <w:pStyle w:val="TextBody"/>
        <w:bidi w:val="0"/>
        <w:spacing w:lineRule="auto" w:line="288" w:before="0" w:after="0"/>
        <w:jc w:val="left"/>
        <w:rPr>
          <w:color w:val="000000"/>
        </w:rPr>
      </w:pPr>
      <w:r>
        <w:rPr>
          <w:color w:val="000000"/>
        </w:rPr>
        <w:t> </w:t>
      </w:r>
    </w:p>
    <w:tbl>
      <w:tblPr>
        <w:tblW w:w="5065" w:type="dxa"/>
        <w:jc w:val="left"/>
        <w:tblInd w:w="0" w:type="dxa"/>
        <w:tblLayout w:type="fixed"/>
        <w:tblCellMar>
          <w:top w:w="28" w:type="dxa"/>
          <w:left w:w="28" w:type="dxa"/>
          <w:bottom w:w="28" w:type="dxa"/>
          <w:right w:w="28" w:type="dxa"/>
        </w:tblCellMar>
      </w:tblPr>
      <w:tblGrid>
        <w:gridCol w:w="722"/>
        <w:gridCol w:w="634"/>
        <w:gridCol w:w="638"/>
        <w:gridCol w:w="260"/>
        <w:gridCol w:w="760"/>
        <w:gridCol w:w="134"/>
        <w:gridCol w:w="109"/>
        <w:gridCol w:w="109"/>
        <w:gridCol w:w="109"/>
        <w:gridCol w:w="342"/>
        <w:gridCol w:w="999"/>
        <w:gridCol w:w="24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29, 2024</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inventoried costs</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Note 6. Net Income per Common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calculates net income per share in accordance with FASB ASC Topic 260,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(“Topic 260”)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Under Topic</w:t>
      </w:r>
      <w:r>
        <w:rPr>
          <w:color w:val="000000"/>
        </w:rPr>
        <w:t xml:space="preserve"> </w:t>
      </w:r>
      <w:r>
        <w:rPr>
          <w:rFonts w:ascii="Times New Roman;serif" w:hAnsi="Times New Roman;serif"/>
          <w:b w:val="false"/>
          <w:color w:val="000000"/>
          <w:sz w:val="20"/>
        </w:rPr>
        <w:t>260, basic net income per common share is calculated by dividing net income by the weighted-average number of common shares outstanding during the reporting period. Diluted net income per common share reflects the effects of potentially dilutive securities.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for the three and six months ended June 29, 2025 include the dilutive effect of an aggregate of 1.7 million and 2.0 million shares, respectively, of the Company’s common stock granted to employees under stock-based compensation plans. Diluted net income per share for the three and six months ended June 30, 2024 include the dilutive effect of an aggregate of 1.6 million and 1.1 million shares, respectively, of the Company’s common stock granted to employees under stock-based compensation plans. </w:t>
      </w:r>
    </w:p>
    <w:p>
      <w:pPr>
        <w:pStyle w:val="TextBody"/>
        <w:bidi w:val="0"/>
        <w:spacing w:before="0" w:after="0"/>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Variable lease payments are generally expensed as incurred. Leases with an initial term of 12 months or less are not recorded on the balance sheet, and the expense for these short-term leases is recognized on a straight-line basis over the lease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depreciable life of lease assets and leasehold improvements is limited by the expected lease term, unless there is a transfer of title or purchase option reasonably certain of exercise.</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components of lease expense were as follows (in millions):</w:t>
      </w:r>
    </w:p>
    <w:tbl>
      <w:tblPr>
        <w:tblW w:w="9679" w:type="dxa"/>
        <w:jc w:val="left"/>
        <w:tblInd w:w="0" w:type="dxa"/>
        <w:tblLayout w:type="fixed"/>
        <w:tblCellMar>
          <w:top w:w="28" w:type="dxa"/>
          <w:left w:w="28" w:type="dxa"/>
          <w:bottom w:w="28" w:type="dxa"/>
          <w:right w:w="28" w:type="dxa"/>
        </w:tblCellMar>
      </w:tblPr>
      <w:tblGrid>
        <w:gridCol w:w="1505"/>
        <w:gridCol w:w="1321"/>
        <w:gridCol w:w="1328"/>
        <w:gridCol w:w="327"/>
        <w:gridCol w:w="629"/>
        <w:gridCol w:w="169"/>
        <w:gridCol w:w="109"/>
        <w:gridCol w:w="109"/>
        <w:gridCol w:w="109"/>
        <w:gridCol w:w="327"/>
        <w:gridCol w:w="629"/>
        <w:gridCol w:w="169"/>
        <w:gridCol w:w="109"/>
        <w:gridCol w:w="109"/>
        <w:gridCol w:w="109"/>
        <w:gridCol w:w="285"/>
        <w:gridCol w:w="692"/>
        <w:gridCol w:w="147"/>
        <w:gridCol w:w="109"/>
        <w:gridCol w:w="109"/>
        <w:gridCol w:w="109"/>
        <w:gridCol w:w="282"/>
        <w:gridCol w:w="683"/>
        <w:gridCol w:w="205"/>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 - finance leases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 - finance leases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cost </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leases on the balance sheet were as follows (in millions):</w:t>
      </w:r>
    </w:p>
    <w:tbl>
      <w:tblPr>
        <w:tblW w:w="7555" w:type="dxa"/>
        <w:jc w:val="left"/>
        <w:tblInd w:w="0" w:type="dxa"/>
        <w:tblLayout w:type="fixed"/>
        <w:tblCellMar>
          <w:top w:w="28" w:type="dxa"/>
          <w:left w:w="28" w:type="dxa"/>
          <w:bottom w:w="28" w:type="dxa"/>
          <w:right w:w="28" w:type="dxa"/>
        </w:tblCellMar>
      </w:tblPr>
      <w:tblGrid>
        <w:gridCol w:w="1650"/>
        <w:gridCol w:w="1448"/>
        <w:gridCol w:w="1462"/>
        <w:gridCol w:w="285"/>
        <w:gridCol w:w="692"/>
        <w:gridCol w:w="147"/>
        <w:gridCol w:w="109"/>
        <w:gridCol w:w="109"/>
        <w:gridCol w:w="109"/>
        <w:gridCol w:w="372"/>
        <w:gridCol w:w="901"/>
        <w:gridCol w:w="271"/>
      </w:tblGrid>
      <w:tr>
        <w:trPr/>
        <w:tc>
          <w:tcPr>
            <w:tcW w:w="16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 was as follows (in millions):</w:t>
      </w:r>
    </w:p>
    <w:tbl>
      <w:tblPr>
        <w:tblW w:w="10130" w:type="dxa"/>
        <w:jc w:val="left"/>
        <w:tblInd w:w="0" w:type="dxa"/>
        <w:tblLayout w:type="fixed"/>
        <w:tblCellMar>
          <w:top w:w="28" w:type="dxa"/>
          <w:left w:w="28" w:type="dxa"/>
          <w:bottom w:w="28" w:type="dxa"/>
          <w:right w:w="28" w:type="dxa"/>
        </w:tblCellMar>
      </w:tblPr>
      <w:tblGrid>
        <w:gridCol w:w="1665"/>
        <w:gridCol w:w="1467"/>
        <w:gridCol w:w="1473"/>
        <w:gridCol w:w="327"/>
        <w:gridCol w:w="629"/>
        <w:gridCol w:w="169"/>
        <w:gridCol w:w="109"/>
        <w:gridCol w:w="109"/>
        <w:gridCol w:w="109"/>
        <w:gridCol w:w="327"/>
        <w:gridCol w:w="629"/>
        <w:gridCol w:w="169"/>
        <w:gridCol w:w="109"/>
        <w:gridCol w:w="109"/>
        <w:gridCol w:w="109"/>
        <w:gridCol w:w="327"/>
        <w:gridCol w:w="629"/>
        <w:gridCol w:w="169"/>
        <w:gridCol w:w="109"/>
        <w:gridCol w:w="109"/>
        <w:gridCol w:w="109"/>
        <w:gridCol w:w="320"/>
        <w:gridCol w:w="616"/>
        <w:gridCol w:w="233"/>
      </w:tblGrid>
      <w:tr>
        <w:trPr/>
        <w:tc>
          <w:tcPr>
            <w:tcW w:w="166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cash paid for interest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financing cash flows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operating cash flows (fixed payments)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supplemental noncash information (in millions):</w:t>
      </w:r>
    </w:p>
    <w:tbl>
      <w:tblPr>
        <w:tblW w:w="10205" w:type="dxa"/>
        <w:jc w:val="left"/>
        <w:tblInd w:w="0" w:type="dxa"/>
        <w:tblLayout w:type="fixed"/>
        <w:tblCellMar>
          <w:top w:w="28" w:type="dxa"/>
          <w:left w:w="28" w:type="dxa"/>
          <w:bottom w:w="28" w:type="dxa"/>
          <w:right w:w="28" w:type="dxa"/>
        </w:tblCellMar>
      </w:tblPr>
      <w:tblGrid>
        <w:gridCol w:w="1829"/>
        <w:gridCol w:w="1515"/>
        <w:gridCol w:w="1524"/>
        <w:gridCol w:w="306"/>
        <w:gridCol w:w="589"/>
        <w:gridCol w:w="158"/>
        <w:gridCol w:w="109"/>
        <w:gridCol w:w="109"/>
        <w:gridCol w:w="109"/>
        <w:gridCol w:w="271"/>
        <w:gridCol w:w="659"/>
        <w:gridCol w:w="140"/>
        <w:gridCol w:w="109"/>
        <w:gridCol w:w="109"/>
        <w:gridCol w:w="109"/>
        <w:gridCol w:w="257"/>
        <w:gridCol w:w="494"/>
        <w:gridCol w:w="330"/>
        <w:gridCol w:w="109"/>
        <w:gridCol w:w="109"/>
        <w:gridCol w:w="109"/>
        <w:gridCol w:w="233"/>
        <w:gridCol w:w="564"/>
        <w:gridCol w:w="355"/>
      </w:tblGrid>
      <w:tr>
        <w:trPr/>
        <w:tc>
          <w:tcPr>
            <w:tcW w:w="182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arising from obtaining right-of-use assets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arising from obtaining right-of-use assets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9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3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maturity of lease liabilities is (in millions):</w:t>
      </w:r>
    </w:p>
    <w:tbl>
      <w:tblPr>
        <w:tblW w:w="6537" w:type="dxa"/>
        <w:jc w:val="left"/>
        <w:tblInd w:w="0" w:type="dxa"/>
        <w:tblLayout w:type="fixed"/>
        <w:tblCellMar>
          <w:top w:w="28" w:type="dxa"/>
          <w:left w:w="28" w:type="dxa"/>
          <w:bottom w:w="28" w:type="dxa"/>
          <w:right w:w="28" w:type="dxa"/>
        </w:tblCellMar>
      </w:tblPr>
      <w:tblGrid>
        <w:gridCol w:w="1307"/>
        <w:gridCol w:w="1147"/>
        <w:gridCol w:w="1161"/>
        <w:gridCol w:w="346"/>
        <w:gridCol w:w="839"/>
        <w:gridCol w:w="180"/>
        <w:gridCol w:w="109"/>
        <w:gridCol w:w="109"/>
        <w:gridCol w:w="109"/>
        <w:gridCol w:w="296"/>
        <w:gridCol w:w="718"/>
        <w:gridCol w:w="216"/>
      </w:tblGrid>
      <w:tr>
        <w:trPr/>
        <w:tc>
          <w:tcPr>
            <w:tcW w:w="130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2025 </w:t>
            </w:r>
            <w:r>
              <w:rPr>
                <w:rFonts w:ascii="Times New Roman;serif" w:hAnsi="Times New Roman;serif"/>
                <w:b w:val="false"/>
                <w:color w:val="000000"/>
                <w:sz w:val="13"/>
              </w:rPr>
              <w:t>(1)</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the six months ended June 29, 2025.</w:t>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and the effective income tax rate are as follows:</w:t>
      </w:r>
    </w:p>
    <w:tbl>
      <w:tblPr>
        <w:tblW w:w="9331" w:type="dxa"/>
        <w:jc w:val="left"/>
        <w:tblInd w:w="0" w:type="dxa"/>
        <w:tblLayout w:type="fixed"/>
        <w:tblCellMar>
          <w:top w:w="28" w:type="dxa"/>
          <w:left w:w="28" w:type="dxa"/>
          <w:bottom w:w="28" w:type="dxa"/>
          <w:right w:w="28" w:type="dxa"/>
        </w:tblCellMar>
      </w:tblPr>
      <w:tblGrid>
        <w:gridCol w:w="1381"/>
        <w:gridCol w:w="1209"/>
        <w:gridCol w:w="1219"/>
        <w:gridCol w:w="267"/>
        <w:gridCol w:w="514"/>
        <w:gridCol w:w="343"/>
        <w:gridCol w:w="109"/>
        <w:gridCol w:w="109"/>
        <w:gridCol w:w="109"/>
        <w:gridCol w:w="267"/>
        <w:gridCol w:w="514"/>
        <w:gridCol w:w="343"/>
        <w:gridCol w:w="109"/>
        <w:gridCol w:w="109"/>
        <w:gridCol w:w="109"/>
        <w:gridCol w:w="267"/>
        <w:gridCol w:w="514"/>
        <w:gridCol w:w="343"/>
        <w:gridCol w:w="109"/>
        <w:gridCol w:w="109"/>
        <w:gridCol w:w="109"/>
        <w:gridCol w:w="264"/>
        <w:gridCol w:w="509"/>
        <w:gridCol w:w="396"/>
      </w:tblGrid>
      <w:tr>
        <w:trPr/>
        <w:tc>
          <w:tcPr>
            <w:tcW w:w="138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i/>
                <w:color w:val="000000"/>
                <w:sz w:val="20"/>
              </w:rPr>
              <w:t>$ in millions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state and foreign income tax expense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(ETR) for the three months ended June 29, 2025 decreased to 35.42% from 38.18% in the prior year period principally due to increased tax benefits related to stock based compensation. The provision for income taxes for the three months ended June 29, 2025 and the three months ended June 30, 2024 included a benefit of $0.6 million and $0.1 million, respectively, for stock compensation related items.</w:t>
      </w:r>
    </w:p>
    <w:p>
      <w:pPr>
        <w:pStyle w:val="TextBody"/>
        <w:bidi w:val="0"/>
        <w:spacing w:before="0" w:after="0"/>
        <w:ind w:left="0" w:right="0" w:firstLine="720"/>
        <w:jc w:val="left"/>
        <w:rPr/>
      </w:pPr>
      <w:r>
        <w:rPr/>
      </w:r>
    </w:p>
    <w:p>
      <w:pPr>
        <w:pStyle w:val="TextBody"/>
        <w:bidi w:val="0"/>
        <w:spacing w:lineRule="auto" w:line="288" w:before="0" w:after="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ETR for the six months ended June 29, 2025 decreased to 25.61% from 45.20% in the prior year period principally due to increased tax benefits related to stock based compensation. The provision for income taxes for the six months ended June 29, 2025 and the six months ended June 30, 2024 included a benefit of $2.2 million and $0.6 million, respectively, for stock compensation related items.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calculates its interim income tax provision in accordance with ASC Topic 270, “Interim Reporting,” and ASC Topic 740, “Accounting for Income Taxes.” In 2025, the Company calculated the provision for income taxes during the interim reporting period by applying an estimate of the annual effective tax rate for the full fiscal year to “ordinary” income or loss (pretax income or loss excluding unusual or infrequently occurring discrete items) for the reporting period. Prior to 2025, a discrete effective tax rate method was used since small changes in estimated “ordinary” income would result in significant changes in the estimated annual effective tax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29, 2025, the Company had $25.5 million of unrecognized tax benefits. Included in the balance of unrecognized tax benefits at June 29, 2025 are $21.8 million that, if recognized, would impact the Company’s effective income tax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related to unrecognized tax benefits in its provision for income taxes. For the six months ended June 29, 2025 and June 30, 2024, the Company recorded an expense of $0.1 million in each period. For the six months ended June 29, 2025 and June 30, 2024, there was no material benefit recorded related to the removal of interest and penalties.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Pillar 2 did not have a significant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2025 effective tax rate and we do not currently expect Pillar 2 to have a material impact on our effective tax rate or our consolidated results of operation, financial position, and cash flows going forward.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signed into law the One Big Beautiful Bill Act (the “Reconciliation Bill”). The Reconciliation Bill, among other things, reinstates full deduction of R&amp;D expenditures beginning in 2025. The Company is in the process of evaluating the impact of the Reconciliation Bill Act on its consolidated financial statements, however, the Company does not expect the Reconciliation Bill to have a significant impact on its cash tax liability for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2022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18, 2022, the Company completed the refinancing of its then-outstanding $90 million revolving credit facility and $300 million 6.5% Senior Secured Notes, with a new 5-year $200 million Revolving Credit Facility and 5-year $200 million Term Loan A (collectively, the “2022 Credit Facility”). The Company incurred debt issuance costs of $3.3 million associated with the 2022 Credit Facility. As of June 29, 2025, the Company has made an aggregate of $20.0 million in principal payments on Term Loan A and has no amounts outstanding under the Revolving Credit Facility, with $200.0 million remaining in borrowing capacity, less approximately $10.6 million of letters of credit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June 29,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On June 30, 2025, in anticipation of the extinguishment of Term Loan A, the Company terminated the swap. The Company received a payment of approximately $0.3 million representing the termination value of the swap. Refer to Note 15 for further discussion of the accounting treatment of the swap arrangement.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Term Loan and Revolving Credit Debt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and revolving credit debt and the current period interest rates are as follows (in millions):</w:t>
      </w:r>
    </w:p>
    <w:tbl>
      <w:tblPr>
        <w:tblW w:w="9324" w:type="dxa"/>
        <w:jc w:val="left"/>
        <w:tblInd w:w="0" w:type="dxa"/>
        <w:tblLayout w:type="fixed"/>
        <w:tblCellMar>
          <w:top w:w="28" w:type="dxa"/>
          <w:left w:w="28" w:type="dxa"/>
          <w:bottom w:w="28" w:type="dxa"/>
          <w:right w:w="28" w:type="dxa"/>
        </w:tblCellMar>
      </w:tblPr>
      <w:tblGrid>
        <w:gridCol w:w="2173"/>
        <w:gridCol w:w="1908"/>
        <w:gridCol w:w="1919"/>
        <w:gridCol w:w="109"/>
        <w:gridCol w:w="109"/>
        <w:gridCol w:w="109"/>
        <w:gridCol w:w="402"/>
        <w:gridCol w:w="207"/>
        <w:gridCol w:w="516"/>
        <w:gridCol w:w="109"/>
        <w:gridCol w:w="109"/>
        <w:gridCol w:w="109"/>
        <w:gridCol w:w="511"/>
        <w:gridCol w:w="264"/>
        <w:gridCol w:w="770"/>
      </w:tblGrid>
      <w:tr>
        <w:trPr/>
        <w:tc>
          <w:tcPr>
            <w:tcW w:w="217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long-term unamortized debt issuance costs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unamortized debt issuance costs -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Future long-term debt principal payments at June 29, 2025 were as follows (in millions):</w:t>
      </w:r>
    </w:p>
    <w:p>
      <w:pPr>
        <w:pStyle w:val="TextBody"/>
        <w:bidi w:val="0"/>
        <w:spacing w:before="0" w:after="0"/>
        <w:jc w:val="left"/>
        <w:rPr/>
      </w:pPr>
      <w:r>
        <w:rPr/>
      </w:r>
    </w:p>
    <w:tbl>
      <w:tblPr>
        <w:tblW w:w="1849"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12. The Company incurred a loss on the extinguishment of the debt of $0.5 million related to the write-off of unamortized debt issuance costs. The undrawn $200 million revolving credit facility under the 2022 Credit Facility remains active and available to the Company.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the Company’s unmanned aerial, unmanned ground, unmanned seaborne and command, control and communications system products. The KGS and US reportable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not any significant intersegment sales, cost of sales and profit for the three and six month periods ended June 29, 2025 and June 30,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is the President and Chief Executive Officer. The chief operating decision maker uses segment operating income (loss) predominantly in the annual budget and forecasting process. The chief operating decision maker considers budget-to-actual variances on a quarterly basis when making decisions about the allocation of operating and capital resources to each segment. The chief operating decision maker also uses segment operating income (loss) to assess the performance of each segment by comparing the results of each segment with one another and in determining the compensation of certain employees.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Summary Operating Results</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provide information about the Company’s reportable segments. In these tables total segment operating income (loss) of the reportable business segments is reconciled to the corresponding consolidated amount. “Unallocated amounts” includes costs for merger and acquisition expenses, stock-based compensation expenses, interest expense, net, and other income (expense), net, items not considered part of management’s evaluation of segment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income. See Note 3 (Revenue Recognition) to these condensed consolidated financial statements for segment revenues disaggregated by contract type, customer and geographic region. The summary operating results for the Company’s reportable segments for the three and six month periods ended June 29, 2025 and June 30, 2024, are as follows (in millions): </w:t>
      </w:r>
    </w:p>
    <w:tbl>
      <w:tblPr>
        <w:tblW w:w="9036" w:type="dxa"/>
        <w:jc w:val="left"/>
        <w:tblInd w:w="0" w:type="dxa"/>
        <w:tblLayout w:type="fixed"/>
        <w:tblCellMar>
          <w:top w:w="28" w:type="dxa"/>
          <w:left w:w="28" w:type="dxa"/>
          <w:bottom w:w="28" w:type="dxa"/>
          <w:right w:w="28" w:type="dxa"/>
        </w:tblCellMar>
      </w:tblPr>
      <w:tblGrid>
        <w:gridCol w:w="213"/>
        <w:gridCol w:w="189"/>
        <w:gridCol w:w="189"/>
        <w:gridCol w:w="189"/>
        <w:gridCol w:w="189"/>
        <w:gridCol w:w="189"/>
        <w:gridCol w:w="189"/>
        <w:gridCol w:w="189"/>
        <w:gridCol w:w="189"/>
        <w:gridCol w:w="189"/>
        <w:gridCol w:w="189"/>
        <w:gridCol w:w="189"/>
        <w:gridCol w:w="189"/>
        <w:gridCol w:w="189"/>
        <w:gridCol w:w="189"/>
        <w:gridCol w:w="189"/>
        <w:gridCol w:w="189"/>
        <w:gridCol w:w="189"/>
        <w:gridCol w:w="545"/>
        <w:gridCol w:w="1549"/>
        <w:gridCol w:w="306"/>
        <w:gridCol w:w="109"/>
        <w:gridCol w:w="109"/>
        <w:gridCol w:w="109"/>
        <w:gridCol w:w="473"/>
        <w:gridCol w:w="910"/>
        <w:gridCol w:w="267"/>
        <w:gridCol w:w="109"/>
        <w:gridCol w:w="109"/>
        <w:gridCol w:w="109"/>
        <w:gridCol w:w="196"/>
        <w:gridCol w:w="556"/>
        <w:gridCol w:w="154"/>
      </w:tblGrid>
      <w:tr>
        <w:trPr/>
        <w:tc>
          <w:tcPr>
            <w:tcW w:w="2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29, 2025</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Kratos Government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Unmanned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2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segment operating income (loss)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2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$61.2 million or 17% of total revenue for the three months ended June 29, 2025. Revenues from any one foreign country did not exceed 10% of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9037" w:type="dxa"/>
        <w:jc w:val="left"/>
        <w:tblInd w:w="0" w:type="dxa"/>
        <w:tblLayout w:type="fixed"/>
        <w:tblCellMar>
          <w:top w:w="28" w:type="dxa"/>
          <w:left w:w="28" w:type="dxa"/>
          <w:bottom w:w="28" w:type="dxa"/>
          <w:right w:w="28" w:type="dxa"/>
        </w:tblCellMar>
      </w:tblPr>
      <w:tblGrid>
        <w:gridCol w:w="214"/>
        <w:gridCol w:w="189"/>
        <w:gridCol w:w="189"/>
        <w:gridCol w:w="189"/>
        <w:gridCol w:w="189"/>
        <w:gridCol w:w="189"/>
        <w:gridCol w:w="189"/>
        <w:gridCol w:w="189"/>
        <w:gridCol w:w="189"/>
        <w:gridCol w:w="189"/>
        <w:gridCol w:w="189"/>
        <w:gridCol w:w="189"/>
        <w:gridCol w:w="189"/>
        <w:gridCol w:w="189"/>
        <w:gridCol w:w="189"/>
        <w:gridCol w:w="189"/>
        <w:gridCol w:w="189"/>
        <w:gridCol w:w="189"/>
        <w:gridCol w:w="545"/>
        <w:gridCol w:w="1549"/>
        <w:gridCol w:w="306"/>
        <w:gridCol w:w="109"/>
        <w:gridCol w:w="109"/>
        <w:gridCol w:w="109"/>
        <w:gridCol w:w="473"/>
        <w:gridCol w:w="910"/>
        <w:gridCol w:w="267"/>
        <w:gridCol w:w="109"/>
        <w:gridCol w:w="109"/>
        <w:gridCol w:w="109"/>
        <w:gridCol w:w="196"/>
        <w:gridCol w:w="556"/>
        <w:gridCol w:w="154"/>
      </w:tblGrid>
      <w:tr>
        <w:trPr/>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29, 2025</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Kratos Government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Unmanned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2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2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$122.3 million or 19% of total revenue for the six months ended June 29, 2025. Revenues from any one foreign country did not exceed 10% of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9036" w:type="dxa"/>
        <w:jc w:val="left"/>
        <w:tblInd w:w="0" w:type="dxa"/>
        <w:tblLayout w:type="fixed"/>
        <w:tblCellMar>
          <w:top w:w="28" w:type="dxa"/>
          <w:left w:w="28" w:type="dxa"/>
          <w:bottom w:w="28" w:type="dxa"/>
          <w:right w:w="28" w:type="dxa"/>
        </w:tblCellMar>
      </w:tblPr>
      <w:tblGrid>
        <w:gridCol w:w="213"/>
        <w:gridCol w:w="189"/>
        <w:gridCol w:w="189"/>
        <w:gridCol w:w="189"/>
        <w:gridCol w:w="189"/>
        <w:gridCol w:w="189"/>
        <w:gridCol w:w="189"/>
        <w:gridCol w:w="189"/>
        <w:gridCol w:w="189"/>
        <w:gridCol w:w="189"/>
        <w:gridCol w:w="189"/>
        <w:gridCol w:w="189"/>
        <w:gridCol w:w="189"/>
        <w:gridCol w:w="189"/>
        <w:gridCol w:w="189"/>
        <w:gridCol w:w="189"/>
        <w:gridCol w:w="189"/>
        <w:gridCol w:w="189"/>
        <w:gridCol w:w="545"/>
        <w:gridCol w:w="1549"/>
        <w:gridCol w:w="306"/>
        <w:gridCol w:w="109"/>
        <w:gridCol w:w="109"/>
        <w:gridCol w:w="109"/>
        <w:gridCol w:w="473"/>
        <w:gridCol w:w="910"/>
        <w:gridCol w:w="267"/>
        <w:gridCol w:w="109"/>
        <w:gridCol w:w="109"/>
        <w:gridCol w:w="109"/>
        <w:gridCol w:w="196"/>
        <w:gridCol w:w="556"/>
        <w:gridCol w:w="154"/>
      </w:tblGrid>
      <w:tr>
        <w:trPr/>
        <w:tc>
          <w:tcPr>
            <w:tcW w:w="2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 2024</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Kratos Government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Unmanned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w:t>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2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10" w:type="dxa"/>
            <w:gridSpan w:val="15"/>
            <w:tcBorders/>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2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(expense), net </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$60.0 million or 20% of total revenue for the three months ended June 30, 2024. Revenues from any one foreign country did not exceed 10% of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131" w:type="dxa"/>
        <w:jc w:val="left"/>
        <w:tblInd w:w="0" w:type="dxa"/>
        <w:tblLayout w:type="fixed"/>
        <w:tblCellMar>
          <w:top w:w="28" w:type="dxa"/>
          <w:left w:w="28" w:type="dxa"/>
          <w:bottom w:w="28" w:type="dxa"/>
          <w:right w:w="28" w:type="dxa"/>
        </w:tblCellMar>
      </w:tblPr>
      <w:tblGrid>
        <w:gridCol w:w="214"/>
        <w:gridCol w:w="189"/>
        <w:gridCol w:w="189"/>
        <w:gridCol w:w="189"/>
        <w:gridCol w:w="189"/>
        <w:gridCol w:w="189"/>
        <w:gridCol w:w="189"/>
        <w:gridCol w:w="189"/>
        <w:gridCol w:w="189"/>
        <w:gridCol w:w="189"/>
        <w:gridCol w:w="189"/>
        <w:gridCol w:w="189"/>
        <w:gridCol w:w="189"/>
        <w:gridCol w:w="189"/>
        <w:gridCol w:w="189"/>
        <w:gridCol w:w="189"/>
        <w:gridCol w:w="189"/>
        <w:gridCol w:w="189"/>
        <w:gridCol w:w="545"/>
        <w:gridCol w:w="1549"/>
        <w:gridCol w:w="306"/>
        <w:gridCol w:w="109"/>
        <w:gridCol w:w="109"/>
        <w:gridCol w:w="109"/>
        <w:gridCol w:w="473"/>
        <w:gridCol w:w="910"/>
        <w:gridCol w:w="267"/>
        <w:gridCol w:w="109"/>
        <w:gridCol w:w="109"/>
        <w:gridCol w:w="109"/>
        <w:gridCol w:w="196"/>
        <w:gridCol w:w="541"/>
        <w:gridCol w:w="109"/>
        <w:gridCol w:w="154"/>
      </w:tblGrid>
      <w:tr>
        <w:trPr/>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2024</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Kratos Government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Unmanned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2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304" w:type="dxa"/>
            <w:gridSpan w:val="13"/>
            <w:tcBorders/>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2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$113.2 million or 20% of total revenue for the six months ended June 30, 2024. Revenues from any one foreign country did not exceed 10% of total revenues.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tbl>
      <w:tblPr>
        <w:tblW w:w="8655" w:type="dxa"/>
        <w:jc w:val="left"/>
        <w:tblInd w:w="0" w:type="dxa"/>
        <w:tblLayout w:type="fixed"/>
        <w:tblCellMar>
          <w:top w:w="28" w:type="dxa"/>
          <w:left w:w="28" w:type="dxa"/>
          <w:bottom w:w="28" w:type="dxa"/>
          <w:right w:w="28" w:type="dxa"/>
        </w:tblCellMar>
      </w:tblPr>
      <w:tblGrid>
        <w:gridCol w:w="206"/>
        <w:gridCol w:w="182"/>
        <w:gridCol w:w="182"/>
        <w:gridCol w:w="182"/>
        <w:gridCol w:w="182"/>
        <w:gridCol w:w="182"/>
        <w:gridCol w:w="182"/>
        <w:gridCol w:w="182"/>
        <w:gridCol w:w="182"/>
        <w:gridCol w:w="182"/>
        <w:gridCol w:w="182"/>
        <w:gridCol w:w="182"/>
        <w:gridCol w:w="182"/>
        <w:gridCol w:w="182"/>
        <w:gridCol w:w="182"/>
        <w:gridCol w:w="182"/>
        <w:gridCol w:w="182"/>
        <w:gridCol w:w="182"/>
        <w:gridCol w:w="293"/>
        <w:gridCol w:w="711"/>
        <w:gridCol w:w="150"/>
        <w:gridCol w:w="122"/>
        <w:gridCol w:w="122"/>
        <w:gridCol w:w="122"/>
        <w:gridCol w:w="309"/>
        <w:gridCol w:w="686"/>
        <w:gridCol w:w="159"/>
        <w:gridCol w:w="293"/>
        <w:gridCol w:w="710"/>
        <w:gridCol w:w="151"/>
        <w:gridCol w:w="109"/>
        <w:gridCol w:w="109"/>
        <w:gridCol w:w="109"/>
        <w:gridCol w:w="245"/>
        <w:gridCol w:w="594"/>
        <w:gridCol w:w="361"/>
      </w:tblGrid>
      <w:tr>
        <w:trPr/>
        <w:tc>
          <w:tcPr>
            <w:tcW w:w="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68" w:before="0" w:after="0"/>
              <w:ind w:left="0" w:right="0" w:hanging="720"/>
              <w:jc w:val="left"/>
              <w:rPr>
                <w:rFonts w:ascii="Times New Roman;serif" w:hAnsi="Times New Roman;serif"/>
                <w:b/>
                <w:color w:val="000000"/>
                <w:sz w:val="18"/>
              </w:rPr>
            </w:pPr>
            <w:r>
              <w:rPr>
                <w:rFonts w:ascii="Times New Roman;serif" w:hAnsi="Times New Roman;serif"/>
                <w:b/>
                <w:color w:val="000000"/>
                <w:sz w:val="18"/>
              </w:rPr>
              <w:t>(b) Capital Expenditures (in millions):</w:t>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Government Solutions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Unmanned Systems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 capital expenditures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w:t>
      </w:r>
    </w:p>
    <w:tbl>
      <w:tblPr>
        <w:tblW w:w="9129" w:type="dxa"/>
        <w:jc w:val="left"/>
        <w:tblInd w:w="0" w:type="dxa"/>
        <w:tblLayout w:type="fixed"/>
        <w:tblCellMar>
          <w:top w:w="28" w:type="dxa"/>
          <w:left w:w="28" w:type="dxa"/>
          <w:bottom w:w="28" w:type="dxa"/>
          <w:right w:w="28" w:type="dxa"/>
        </w:tblCellMar>
      </w:tblPr>
      <w:tblGrid>
        <w:gridCol w:w="352"/>
        <w:gridCol w:w="310"/>
        <w:gridCol w:w="310"/>
        <w:gridCol w:w="310"/>
        <w:gridCol w:w="310"/>
        <w:gridCol w:w="310"/>
        <w:gridCol w:w="310"/>
        <w:gridCol w:w="310"/>
        <w:gridCol w:w="310"/>
        <w:gridCol w:w="310"/>
        <w:gridCol w:w="310"/>
        <w:gridCol w:w="310"/>
        <w:gridCol w:w="310"/>
        <w:gridCol w:w="685"/>
        <w:gridCol w:w="159"/>
        <w:gridCol w:w="126"/>
        <w:gridCol w:w="126"/>
        <w:gridCol w:w="126"/>
        <w:gridCol w:w="293"/>
        <w:gridCol w:w="699"/>
        <w:gridCol w:w="162"/>
        <w:gridCol w:w="293"/>
        <w:gridCol w:w="711"/>
        <w:gridCol w:w="151"/>
        <w:gridCol w:w="109"/>
        <w:gridCol w:w="109"/>
        <w:gridCol w:w="109"/>
        <w:gridCol w:w="288"/>
        <w:gridCol w:w="701"/>
        <w:gridCol w:w="210"/>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762" w:type="dxa"/>
            <w:gridSpan w:val="12"/>
            <w:tcBorders/>
            <w:shd w:fill="FFFFFF" w:val="clear"/>
            <w:tcMar>
              <w:top w:w="0" w:type="dxa"/>
              <w:left w:w="0" w:type="dxa"/>
              <w:bottom w:w="0" w:type="dxa"/>
              <w:right w:w="0" w:type="dxa"/>
            </w:tcMar>
            <w:vAlign w:val="center"/>
          </w:tcPr>
          <w:p>
            <w:pPr>
              <w:pStyle w:val="TableContents"/>
              <w:bidi w:val="0"/>
              <w:spacing w:lineRule="auto" w:line="268" w:before="0" w:after="0"/>
              <w:ind w:left="0" w:right="0" w:hanging="720"/>
              <w:jc w:val="left"/>
              <w:rPr>
                <w:rFonts w:ascii="Times New Roman;serif" w:hAnsi="Times New Roman;serif"/>
                <w:b/>
                <w:color w:val="000000"/>
                <w:sz w:val="18"/>
              </w:rPr>
            </w:pPr>
            <w:r>
              <w:rPr>
                <w:rFonts w:ascii="Times New Roman;serif" w:hAnsi="Times New Roman;serif"/>
                <w:b/>
                <w:color w:val="000000"/>
                <w:sz w:val="18"/>
              </w:rPr>
              <w:t>(c) Depreciation and Amortization (in millions):</w:t>
            </w:r>
          </w:p>
        </w:tc>
        <w:tc>
          <w:tcPr>
            <w:tcW w:w="2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8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76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Government Solutions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Unmanned Systems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76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21" w:type="dxa"/>
        <w:jc w:val="left"/>
        <w:tblInd w:w="0" w:type="dxa"/>
        <w:tblLayout w:type="fixed"/>
        <w:tblCellMar>
          <w:top w:w="28" w:type="dxa"/>
          <w:left w:w="28" w:type="dxa"/>
          <w:bottom w:w="28" w:type="dxa"/>
          <w:right w:w="28" w:type="dxa"/>
        </w:tblCellMar>
      </w:tblPr>
      <w:tblGrid>
        <w:gridCol w:w="1250"/>
        <w:gridCol w:w="1095"/>
        <w:gridCol w:w="1104"/>
        <w:gridCol w:w="227"/>
        <w:gridCol w:w="802"/>
        <w:gridCol w:w="126"/>
        <w:gridCol w:w="109"/>
        <w:gridCol w:w="109"/>
        <w:gridCol w:w="109"/>
        <w:gridCol w:w="299"/>
        <w:gridCol w:w="1056"/>
        <w:gridCol w:w="235"/>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color w:val="000000"/>
                <w:sz w:val="18"/>
              </w:rPr>
            </w:pPr>
            <w:r>
              <w:rPr>
                <w:rFonts w:ascii="Times New Roman;serif" w:hAnsi="Times New Roman;serif"/>
                <w:b/>
                <w:color w:val="000000"/>
                <w:sz w:val="18"/>
              </w:rPr>
              <w:t>d) Reportable Segment Assets (in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29, 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Government Solutions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Unmanned Systems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385.7</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 assets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Corporate assets</w:t>
            </w:r>
            <w:r>
              <w:rPr>
                <w:rFonts w:ascii="Times New Roman;serif" w:hAnsi="Times New Roman;serif"/>
                <w:b w:val="false"/>
                <w:color w:val="000000"/>
                <w:sz w:val="12"/>
              </w:rPr>
              <w:t>(1)</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both"/>
        <w:rPr/>
      </w:pPr>
      <w:r>
        <w:rPr>
          <w:rFonts w:ascii="Times New Roman;serif" w:hAnsi="Times New Roman;serif"/>
          <w:b w:val="false"/>
          <w:i/>
          <w:color w:val="000000"/>
          <w:sz w:val="10"/>
        </w:rPr>
        <w:t>(1)</w:t>
      </w:r>
      <w:r>
        <w:rPr>
          <w:rFonts w:ascii="Times New Roman;serif" w:hAnsi="Times New Roman;serif"/>
          <w:b w:val="false"/>
          <w:i/>
          <w:color w:val="000000"/>
          <w:sz w:val="16"/>
        </w:rPr>
        <w:t>Corporate assets primarily include cash and cash equivalents, deferred income tax assets, and property, plant and equipment used in our corporate operations.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Assets of foreign subsidiaries in the KGS segment were $242.6 million and $223.2 million as of June 29, 2025 and December 29, 2024, respectively. Assets from any one foreign country did not exceed 10% of total assets.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Redeemable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had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Interests with a value of $10.7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22, 2024, the Holders notified Kratos of their intent to sell their remaining Minority Interests through the Holders’ exercise of the Put Right. On June 21, 2024, the Company acquired the remaining 9.95% of the issued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shares of capital stock of KTT Core for an aggregate purchase price of approximately $22.5 million, which was comprised of approximately $11.25 million in cash and 583,700 shares of Kratos common stock valued at $11.25 million based on Kratos’ 90 day average trading price ending on day immediately prior to the date of acquisition. Following the closing of the transaction the Company owned 100% of KTT Core.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purchase of the remaining shares of KTT Core, the Company adjusted the carrying value of the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had a corresponding effect on net income per share attributable to Kratos shareholders. For the six month period ended June 30, 2024, the Company recorded an adjustment of $0.5 million to decrease the carrying value of the redeemable noncontrolling interest to the estimated Redemption Amount. As a result of the Company’s acquisition of the remaining 9.95% of the issued and outstanding shares of capital stock of KTT Core on June 21, 2024, the carrying value of the redeemable noncontrolling interest was reduced to zero.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Stockholders Equity -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has used and expects to continue to use the net proceeds of this public equity offering to facilitate its long-term strategy, including potential investment in facilities, expanding manufacturing capacity, anticipated capital expenditures for expansion of current sole source/single award programs and high probability pipeline opportunities, initiate or accelerate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the February 2024 public equity offering to pay down amounts outstanding under its Revolving Credit Facility.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27, 2025, the Company sold 14,935,065 shares of its common stock at a public offering price of $38.50 per share in an underwritten offering. The Company received gross proceeds of approximately $575.0 million. After deducting underwriting fees and other offering expenses, the Company received approximately $555.9 million in net proceeds. The Company has used and expects to continue to use the net proceeds of this public equity offering to (i) fund investments and capital expenditures to scale and successfully execute on large, mission critical National Security priorities related to existing programs, recent program awards and significant high-probability pipeline opportunities; (ii) to finance important customer and program targeted acquisitions; (iii) and for general corporate purposes, including pay-down of debt and to pay fees and expenses in connection with this public equity offering. On July 2, 2025, the Company used a portion of the proceeds of the June 2025 public equity offering to pay off the then-outstanding $177.5 million aggregate principal amount of the Term Loan A debt, plus accrued interest, under the 2022 Credit Facility. Following such repayment of the Term Loan A debt, the $200 million revolving credit facility under the 2022 Credit Facility remains undrawn and available to the Company.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$248.7 million and $195.4 million, or 71% and 65% of total Kratos revenue, for the three months ended June 29, 2025 and June 30, 2024, respectively, and $454.2 million and $386.3 million, or 69% and 67% of total Kratos revenue, for the six months ended June 29, 2025 and June 30, 2024, respectively.</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probable that a liability has been incurred and the amount of the loss can be reasonably estimated, and such amount is deemed material.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pStyle w:val="TextBody"/>
        <w:bidi w:val="0"/>
        <w:spacing w:before="0" w:after="0"/>
        <w:ind w:left="0" w:right="0" w:firstLine="720"/>
        <w:jc w:val="left"/>
        <w:rPr/>
      </w:pPr>
      <w:r>
        <w:rPr/>
      </w:r>
    </w:p>
    <w:p>
      <w:pPr>
        <w:pStyle w:val="TextBody"/>
        <w:bidi w:val="0"/>
        <w:spacing w:lineRule="auto" w:line="417" w:before="0" w:after="160"/>
        <w:ind w:left="0" w:right="0" w:hanging="720"/>
        <w:jc w:val="left"/>
        <w:rPr>
          <w:color w:val="000000"/>
        </w:rPr>
      </w:pPr>
      <w:r>
        <w:rPr>
          <w:color w:val="000000"/>
        </w:rPr>
        <w:t>    </w:t>
      </w:r>
      <w:r>
        <w:rPr>
          <w:rFonts w:ascii="Times New Roman;serif" w:hAnsi="Times New Roman;serif"/>
          <w:b/>
          <w:color w:val="000000"/>
          <w:sz w:val="20"/>
        </w:rPr>
        <w:t>Legal and Regulatory Matters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U.S. Government Cost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Litigation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Derivative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condensed consolidated balance sheets as either assets or liabilities and are measured at fair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Forward Exchange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fair values of the foreign currency exchange contracts are recorded each period in earnings. As of June 29, 2025, the Company did not use hedge accounting for its foreign currency exchange contracts. The notional value of the Company’s foreign currency exchange contracts at June 29, 2025 was $28.6 million. At June 29, 2025, the fair value amounts of the foreign currency exchange contracts were a $2.0 million asset and a $0.1 million liability. The net gain from these forward exchange contracts was $0.1 million and $0.3 million for the three and six months ended June 29, 2025, respectively, and is included in other income (expense). The notional value of the Company’s foreign currency exchange contracts at December 29, 2024, was $24.5 million. At December 29, 2024, the fair value amounts of the foreign currency exchange contracts were a $0.2 million asset and a $0.1 million liability.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Cash Flow Hedge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$0.3 million and $0.6 million for the three and six months ended June 29, 2025, respectively, and is recorded as an offset to interest expense. The net gain reclassed from AOCI from the interest rate swap reflected in earnings was $0.7 million and $1.5 million for the three and six months ended June 30, 2024, respectively, and is recorded as an offset to 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58"/>
        <w:gridCol w:w="1545"/>
        <w:gridCol w:w="1555"/>
        <w:gridCol w:w="109"/>
        <w:gridCol w:w="109"/>
        <w:gridCol w:w="109"/>
        <w:gridCol w:w="257"/>
        <w:gridCol w:w="754"/>
        <w:gridCol w:w="132"/>
        <w:gridCol w:w="109"/>
        <w:gridCol w:w="109"/>
        <w:gridCol w:w="109"/>
        <w:gridCol w:w="247"/>
        <w:gridCol w:w="476"/>
        <w:gridCol w:w="128"/>
        <w:gridCol w:w="109"/>
        <w:gridCol w:w="109"/>
        <w:gridCol w:w="109"/>
        <w:gridCol w:w="257"/>
        <w:gridCol w:w="754"/>
        <w:gridCol w:w="132"/>
        <w:gridCol w:w="109"/>
        <w:gridCol w:w="109"/>
        <w:gridCol w:w="109"/>
        <w:gridCol w:w="245"/>
        <w:gridCol w:w="472"/>
        <w:gridCol w:w="185"/>
      </w:tblGrid>
      <w:tr>
        <w:trPr/>
        <w:tc>
          <w:tcPr>
            <w:tcW w:w="175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 designated as a cash flow hedge,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2025, in anticipation of the extinguishment of all outstanding Term Loan A debt under the 2022 Credit Facility, the Company terminated the interest rate swap contract referred to above. The Company received a payment of approximately $0.3 million representing the termination value of the interest rate swap.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Collaborative Arrangement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June 3, 2025, the Company and GE Aerospace (“GE”) announced a formal teaming agreement to advance the development and production of engines for the next generation of affordable unmanned aerial systems and Collaborative Combat Aircraft-type (CCA-type) aircraft. This teaming agreement supersedes an earlier letter of intent and memorandum of understanding between the Company and GE related to the development, testing and fielding of these engines. Under this arrangement, Kratos and GE share in the risks and rewards of the program through various revenue, cost and profit-sharing payment structures. In accordance with FASB ASC Topic 808, </w:t>
      </w:r>
      <w:r>
        <w:rPr>
          <w:rFonts w:ascii="Times New Roman;serif" w:hAnsi="Times New Roman;serif"/>
          <w:b w:val="false"/>
          <w:i/>
          <w:color w:val="000000"/>
          <w:sz w:val="20"/>
        </w:rPr>
        <w:t>Collaborative Arrangements</w:t>
      </w:r>
      <w:r>
        <w:rPr>
          <w:rFonts w:ascii="Times New Roman;serif" w:hAnsi="Times New Roman;serif"/>
          <w:b w:val="false"/>
          <w:color w:val="000000"/>
          <w:sz w:val="20"/>
        </w:rPr>
        <w:t>, (“Topic 808”), the accounting for the arrangement is within the scope of ASC 606 and revenue and costs are recognized as the promised services are provided. Since the signing of the memorandum of understanding between the Company and GE on July 22, 2024, Kratos has recorded revenues of $25.9 million and cost of sales of $25.9 million through June 29, 2025 related to this arrangement. Approximately $3.8 million and $7.3 million of revenues and cost of sales related to this arrangement have been recorded by Kratos for the three and six months ended June 29,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(this “Quarterly Report”) contains “forward-looking statements” relating to our future financial performance, the market for our services, our opportunities, and our expected future capital expenditures.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29, 2024 filed with the U.S. Securities and Exchange Commission (the “SEC”) on February 26, 2025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All references to “us,” “we,” “our,” the “Company” and “Kratos” refer to Kratos Defense &amp; Security Solutions, Inc., a Delaware corporation,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weapon systems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 Defense, traditional legacy prime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systems integrators and partners. These investments include; unmanned jet powered aircraft such as Kratos Valkyrie ahead of potential contract award; a hypersonic system fabrication and integration facility including for Kratos Zeus standard rocket missiles (SRMs) and Erinyes hypersonic flight systems in Indiana; the purchase of long lead items for 60 Oriole SRM’s for ballistic missile defense related, hypersonic or other expected customer missions; expansion of our small turbojet engine production capacity in Michigan; establishment of a planned small turbofan jet engine production facility in Oklahoma;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and the new turbofan production facility in Oklahoma related to our arrangement with GE Aerospace are not expected to ramp up until 2026.</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Industry Update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2024, the U.S. Presidential and Congressional elections occurred, with Donald Trump being elected President of the United States, and the Republican party controlling both the Senate and the House of Representatives. On March 14, 2025 the Senate voted to pass the “Full-Year Continuing Appropriations and Extensions Act of 2025” (H.R. 1968) to further extend appropriations and avert a government shutdown through the end of fiscal year 2025 on September 30. This CRA largely extends fiscal year 2024 spending levels, including certain limited flexibility to reallocate certain program funds, and, according to the Congressional Budget Office, would allow for $1.6 trillion in discretionary spending in FY 2025, with $893 billion for defense (an approximately $6 billion increase) and $708 billion for non-defense spending (an approximately $13 billion reduction).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President Trump’s fiscal year 2026 budget request was submitted to Congress. The request includes approximately $1 trillion for national security, approximately $962 billion of which is for the Department of Defense (“DoD”), with $113 billion of such DoD funds included in the reconciliation bill described below. The budget request for the DoD reflects an increase of 11.8%, or $101.6 billion, above fiscal year 2025 levels. As of the date of this Quarterly Report, Congress is evaluating the President’s budget request as it drafts authorization and appropriations legislation for fiscal year 2026.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enacted. This reconciliation bill appropriated an additional $156 billion for national defense priorities and is expected to result in increased investment by the DoD in defense modernization projects.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potential challenges presented by the recent elections, Presidential and Congressional changes, the CRA, proposed new tariffs, the current budgetary and deficit funding environment, the Trump Administration’s stated fiscal policies, including the extension and potential expansion of reduced federal tax rates, Israel, Ukraine and Taiwan funding support, continuing heightened levels of inflation, ongoing supply chain disruption, and the challenging appropriations process, among other items, all continue to potentially create significant short and long-term risks to the industry and the Company. Additionally, the Trump Administration has recently executed certain executive orders directly related to significantly changing the current DoD procurement policies and procedures, and the Federal Acquisition Regulations, the potential impact of which such changes, if effected either by executive orders or changes to the relevant law, to the industry, and to Kratos, is unknown at this time.</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continued budget and deficit funding pressures (which are expected), CRAs (which are also expected), future Federal Government debt ceiling issues, or potential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 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Such a dynamic and challenging federal and DoD budgetary environment may negatively impact our customers, business and programs and could have a material adverse effect on our forecasts, estimates, financial position, results of operations and/or cash flows.</w:t>
      </w:r>
    </w:p>
    <w:p>
      <w:pPr>
        <w:pStyle w:val="TextBody"/>
        <w:bidi w:val="0"/>
        <w:spacing w:before="0" w:after="0"/>
        <w:ind w:left="0" w:right="0" w:firstLine="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also continue to be affected by various unfavorable macroeconomic conditions including adverse supply chain disruptions that continue throughout the industry and for us,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Also,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especially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actions by the Federal Reserve to increase interest rates in the past few years have impacted our interest expense on our outstanding debt borrowings and the related cost of executing Kratos’ business. Although the most recent actions by the Federal Reserve decreased rates slightly, the industry and Kratos has been impacted by rates that are higher than prevailing interest rates over the past several years. Each of these challenges are expected to continue for the foreseeable future and are expected to continue to adversely impact the Company’s operations, financial results and financial forecasts.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do believe that our business is well-positioned, including in areas that the Trump Administration, the DoD, national security related and other customers currently indicate are priorities for future defense spending. As noted above, we believe that there is a generational recapitalization of weapon systems occurring with the U.S. and its allies to address peer and near peer threats, including Russia, China, North Korea and Iran, and the Company’s positioning as a proven provider of military grade hardware,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and training systems, address mission critical priority areas of the DoD.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Company currently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 of Results for the Three Months Ended June 29, 2025 to the Three Months Ended June 30,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w:t>
      </w:r>
      <w:r>
        <w:rPr>
          <w:color w:val="000000"/>
        </w:rPr>
        <w:t xml:space="preserve">  </w:t>
      </w:r>
      <w:r>
        <w:rPr>
          <w:rFonts w:ascii="Times New Roman;serif" w:hAnsi="Times New Roman;serif"/>
          <w:b w:val="false"/>
          <w:color w:val="000000"/>
          <w:sz w:val="20"/>
        </w:rPr>
        <w:t>Revenues by reporting segment for the three months ended June 29, 2025 and June 30, 2024 are as follows (dollars in millions):</w:t>
      </w:r>
    </w:p>
    <w:tbl>
      <w:tblPr>
        <w:tblW w:w="8163" w:type="dxa"/>
        <w:jc w:val="left"/>
        <w:tblInd w:w="0" w:type="dxa"/>
        <w:tblLayout w:type="fixed"/>
        <w:tblCellMar>
          <w:top w:w="28" w:type="dxa"/>
          <w:left w:w="28" w:type="dxa"/>
          <w:bottom w:w="28" w:type="dxa"/>
          <w:right w:w="28" w:type="dxa"/>
        </w:tblCellMar>
      </w:tblPr>
      <w:tblGrid>
        <w:gridCol w:w="1087"/>
        <w:gridCol w:w="953"/>
        <w:gridCol w:w="959"/>
        <w:gridCol w:w="253"/>
        <w:gridCol w:w="741"/>
        <w:gridCol w:w="131"/>
        <w:gridCol w:w="109"/>
        <w:gridCol w:w="109"/>
        <w:gridCol w:w="109"/>
        <w:gridCol w:w="253"/>
        <w:gridCol w:w="741"/>
        <w:gridCol w:w="131"/>
        <w:gridCol w:w="109"/>
        <w:gridCol w:w="109"/>
        <w:gridCol w:w="109"/>
        <w:gridCol w:w="211"/>
        <w:gridCol w:w="511"/>
        <w:gridCol w:w="109"/>
        <w:gridCol w:w="109"/>
        <w:gridCol w:w="109"/>
        <w:gridCol w:w="109"/>
        <w:gridCol w:w="291"/>
        <w:gridCol w:w="294"/>
        <w:gridCol w:w="51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Kratos Government Solutions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$51.4 million to $351.5 million for the three months ended June 29, 2025 from $300.1 million for the three months ended June 30, 2024. Revenues in our KGS segment increased $64.0 million primarily due to increased revenues across all business units, with the most notable organic revenue increases in our Defense Rocket Support business driven by the timing of hypersonic missions, as well as growth in our C5ISR, space, satellite and cyber, turbine technologies and microwave products businesses, and the contribution of $5.9 million in revenue from the recent acquisition of certain assets from Norden Millimeter, Inc. Revenues in our US segment were $73.2 million for the three months ended June 29, 2025, down $12.6 million from $85.8 million in the three months ended June 30, 2024, which included revenues of $17.4 million related to an international drone shipment made during the three months ended June 30, 2024, offset partially by increased tactical drone activity.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sales increased $23.0 million to $216.6 million for the three months ended June 29, 2025 from $193.6 million for the three months ended June 30, 2024, primarily as a result of increased production in our KGS segment. As a percentage of total consolidated revenues, product sales were 61.6% for the three months ended June 29, 2025 as compared to 64.5% for the three months ended June 30, 2024. Service revenues increased by $28.4 million to $134.9 million for the three months ended June 29, 2025 from $106.5 million for the three months ended June 30, 2024, primarily related to increased activity in our defense rocket support business in our KGS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Cost of revenues increased $54.8 million to $277.7 million for the three months ended June 29, 2025 from $222.9 million for the three months ended June 30, 2024. The increase in cost of revenues was primarily related to the increased revenues as well the impact of increased labor and material costs, with the most notable increased activity in our Unmanned Systems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Gross Margin</w:t>
      </w:r>
      <w:r>
        <w:rPr>
          <w:rFonts w:ascii="Times New Roman;serif" w:hAnsi="Times New Roman;serif"/>
          <w:b w:val="false"/>
          <w:color w:val="000000"/>
          <w:sz w:val="20"/>
        </w:rPr>
        <w:t>.  Gross margin decreased to 21.0% for the three months ended June 29, 2025 from 25.7% for the three months ended June 30, 2024. Margins on services decreased to 20.5% for the three months ended June 29, 2025 from 27.7% for the three months ended June 30, 2024. Margins on products decreased to 21.3% for the three months ended June 29, 2025 from 24.6% for the three months ended June 30, 2024. Margins in the KGS segment decreased to 22.3% for the three months ended June 29, 2025 from 28.7% for the three months ended June 30, 2024. Margins in the US segment decreased to 15.8% for the three months ended June 29, 2025 from 18.4% for the three months ended June 30, 2024, primarily due to a less favorable mix of products produced and shipped, and from the impact of increased labor and material costs in the three months ended June 29, 2025, which are not recoverable under multi-year fixed priced contracts.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Selling, General and Administrative (“SG&amp;A”) Expenses</w:t>
      </w:r>
      <w:r>
        <w:rPr>
          <w:rFonts w:ascii="Times New Roman;serif" w:hAnsi="Times New Roman;serif"/>
          <w:b w:val="false"/>
          <w:color w:val="000000"/>
          <w:sz w:val="20"/>
        </w:rPr>
        <w:t>.  SG&amp;A expenses increased $5.4 million to $59.9 million for the three months ended June 29, 2025 from $54.5 million for the three months ended June 30, 2024 due primarily to the increased revenue volume and headcount. As a percentage of revenues, SG&amp;A decreased to 17.0% at June 29, 2025 from 18.2% at June 30,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Research and Development (“R&amp;D”) Expenses.</w:t>
      </w:r>
      <w:r>
        <w:rPr>
          <w:color w:val="000000"/>
        </w:rPr>
        <w:t xml:space="preserve">  </w:t>
      </w:r>
      <w:r>
        <w:rPr>
          <w:rFonts w:ascii="Times New Roman;serif" w:hAnsi="Times New Roman;serif"/>
          <w:b w:val="false"/>
          <w:color w:val="000000"/>
          <w:sz w:val="20"/>
        </w:rPr>
        <w:t xml:space="preserve">R&amp;D expenses remained consistent at $10.2 million for the three months ended June 29, 2025 and June 30, 2024. As a percentage of revenues, R&amp;D decreased to 2.9% for the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ended June 29, 2025 from 3.4% for the three months ended June 30, 2024.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Total Other Income (Expense), Net.</w:t>
      </w:r>
      <w:r>
        <w:rPr>
          <w:color w:val="000000"/>
        </w:rPr>
        <w:t xml:space="preserve">  </w:t>
      </w:r>
      <w:r>
        <w:rPr>
          <w:rFonts w:ascii="Times New Roman;serif" w:hAnsi="Times New Roman;serif"/>
          <w:b w:val="false"/>
          <w:color w:val="000000"/>
          <w:sz w:val="20"/>
        </w:rPr>
        <w:t xml:space="preserve">The total other income (expense), net was $0.9 million for the three months ended June 29, 2025 and $0.2 million for the three months ended June 30, 2024. The net change of $0.7 million between the three months ended June 30, 2024 and the three months ended June 29, 2025 is primarily related to a $0.9 million increase in other income due to the receipt of a research and development tax related refund by one of the Company’s international businesses partly offset by the reduction of interest income on cash balances due to changes in interest income rates offset by foreign currency gains for certain international operations that have been hedged.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Provision for Income Taxes.</w:t>
      </w:r>
      <w:r>
        <w:rPr>
          <w:color w:val="000000"/>
        </w:rPr>
        <w:t> </w:t>
      </w:r>
      <w:r>
        <w:rPr>
          <w:rFonts w:ascii="Times New Roman;serif" w:hAnsi="Times New Roman;serif"/>
          <w:b w:val="false"/>
          <w:color w:val="000000"/>
          <w:sz w:val="20"/>
        </w:rPr>
        <w:t>The provision for income taxes was $1.7 million for the three months ended June 29, 2025 and $4.8 million for the three months ended June 30, 2024. The provision for income taxes for the three months ended June 29, 2025 and three months ended June 30, 2024 included a benefit of $0.6 million and $0.1 million, respectively, for stock compensation related items. For the three months ended June 29, 2025, the Company utilized the annual effective tax rate method based on the forecasted information provided. For the three months ended June 30, 2024, the Company utilized the discrete effective tax rate method. The discrete method is applied when it is not possible to reliably estimate the full year effective tax rate due to significant permanent differences in relation to pre-tax book income, resulting in significant variability to the effective tax rate.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Comparison of Results for the Six Months Ended June 29, 2025 to the Six Months Ended June 30,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w:t>
      </w:r>
      <w:r>
        <w:rPr>
          <w:rFonts w:ascii="Times New Roman;serif" w:hAnsi="Times New Roman;serif"/>
          <w:b w:val="false"/>
          <w:color w:val="000000"/>
          <w:sz w:val="20"/>
        </w:rPr>
        <w:t>. Revenues by reporting segment for the six months ended June 29, 2025 and June 30, 2024 are as follows (dollars in millions):</w:t>
      </w:r>
    </w:p>
    <w:tbl>
      <w:tblPr>
        <w:tblW w:w="8210" w:type="dxa"/>
        <w:jc w:val="left"/>
        <w:tblInd w:w="0" w:type="dxa"/>
        <w:tblLayout w:type="fixed"/>
        <w:tblCellMar>
          <w:top w:w="28" w:type="dxa"/>
          <w:left w:w="28" w:type="dxa"/>
          <w:bottom w:w="28" w:type="dxa"/>
          <w:right w:w="28" w:type="dxa"/>
        </w:tblCellMar>
      </w:tblPr>
      <w:tblGrid>
        <w:gridCol w:w="1130"/>
        <w:gridCol w:w="992"/>
        <w:gridCol w:w="998"/>
        <w:gridCol w:w="253"/>
        <w:gridCol w:w="741"/>
        <w:gridCol w:w="131"/>
        <w:gridCol w:w="109"/>
        <w:gridCol w:w="109"/>
        <w:gridCol w:w="109"/>
        <w:gridCol w:w="253"/>
        <w:gridCol w:w="741"/>
        <w:gridCol w:w="131"/>
        <w:gridCol w:w="109"/>
        <w:gridCol w:w="109"/>
        <w:gridCol w:w="109"/>
        <w:gridCol w:w="211"/>
        <w:gridCol w:w="511"/>
        <w:gridCol w:w="109"/>
        <w:gridCol w:w="109"/>
        <w:gridCol w:w="109"/>
        <w:gridCol w:w="109"/>
        <w:gridCol w:w="255"/>
        <w:gridCol w:w="256"/>
        <w:gridCol w:w="517"/>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Kratos Government Solutions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$76.8 million to $654.1 million for the six months ended June 29, 2025 from $577.3 million for the six months ended June 30, 2024. Revenues in our KGS segment increased $85.7 million, due to increased revenues across all business units, with the most notable organic revenue increases in our Defense Rocket Support business driven by the timing of hypersonic missions, as well as growth in our C5ISR, space, satellite and cyber, turbine technologies and microwave products businesses, and the contribution of $10.7 million in revenue from the recent acquisition of certain assets from Norden Millimeter, Inc. Revenues in our US segment were $136.3 million for the six months ended June 29, 2025, down $8.9 million from $145.2 million for the six months ended June 30, 2024, which included revenues of $17.7 million related to an international drone shipment made during the six months ended June 30, 2024, offset partially by increased tactical drone activity.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sales increased $52.5 million to $416.8 million for the six months ended June 29, 2025 from $364.3 million for the six months ended June 30, 2024, primarily as a result of increased production activity. As a percentage of total revenue, product sales were 63.7% for the six months ended June 29, 2025 as compared to 63.1% for the six months ended June 30, 2024. Service revenues increased by $24.3 million to $237.3 million for the six months ended June 29, 2025 from $213.0 million for the six months ended June 30, 2024. The increase was primarily related to increased activity in our defense rocket support businesses in our KGS segment.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Cost of Revenues</w:t>
      </w:r>
      <w:r>
        <w:rPr>
          <w:rFonts w:ascii="Times New Roman;serif" w:hAnsi="Times New Roman;serif"/>
          <w:b w:val="false"/>
          <w:color w:val="000000"/>
          <w:sz w:val="20"/>
        </w:rPr>
        <w:t>. Cost of revenues increased $77.6 million to $506.7 million for the six months ended June 29, 2025 from $429.1 million for the six months ended June 30, 2024. The increase in cost of revenues was primarily a result of the increase in revenues discussed above as well as the impact of increased labor and material costs.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Gross Margin. </w:t>
      </w:r>
      <w:r>
        <w:rPr>
          <w:rFonts w:ascii="Times New Roman;serif" w:hAnsi="Times New Roman;serif"/>
          <w:b w:val="false"/>
          <w:color w:val="000000"/>
          <w:sz w:val="20"/>
        </w:rPr>
        <w:t>Gross margin decreased to 22.5% for the six months ended June 29, 2025 from 25.7% for the six months ended June 30, 2024. Gross margin on services decreased to 22.9% for the six months ended June 29, 2025 from 26.7% for the six months ended June 30, 2024. Gross margin on product sales decreased to 22.3% for the six months ended June 29, 2025 from 25.1% for the six months ended June 30, 2024. Gross margin in the KGS segment decreased to 24.3% for the six months ended June 29, 2025 from 28.0% for the six months ended June 30, 2024 primarily due to a less favorable mix of revenues. Gross margin in the US segment decreased to 15.8% for the six months ended June 29, 2025 from 18.9% for the six months ended June 30, 2024 due to the less favorable mix of revenues, the change in volume and from the impact of increased labor and material costs in the six months ended June 29, 2025, which are not recoverable under multi-year fixed priced contracts.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Selling, General and Administrative (“SG&amp;A”) Expenses</w:t>
      </w:r>
      <w:r>
        <w:rPr>
          <w:rFonts w:ascii="Times New Roman;serif" w:hAnsi="Times New Roman;serif"/>
          <w:b w:val="false"/>
          <w:color w:val="000000"/>
          <w:sz w:val="20"/>
        </w:rPr>
        <w:t xml:space="preserve">. SG&amp;A expenses increased $8.0 million from $108.9 million for the six months ended June 30, 2024 to $116.9 million for the six months ended June 29, 2025 due primarily to the increased revenue volume and headcount, partially offset by the impact of our cost reduction actions we have taken. As a percentage of revenues, SG&amp;A decreased to 17.9% at June 29, 2025, from 18.9% at June 30,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Research and Development (“R&amp;D”) Expenses</w:t>
      </w:r>
      <w:r>
        <w:rPr>
          <w:rFonts w:ascii="Times New Roman;serif" w:hAnsi="Times New Roman;serif"/>
          <w:b w:val="false"/>
          <w:color w:val="000000"/>
          <w:sz w:val="20"/>
        </w:rPr>
        <w:t>. R&amp;D expenses were $20.2 million for the six months ended June 29, 2025 and $19.8 million for the six months ended June 30, 2024. Such increase was primarily due to increased development efforts in our space and satellite communications, microwave products businesses, defense rocket systems and turbine technologies businesses partially offset by decreases in our unmanned system business. As a percentage of revenues, R&amp;D expenses decreased to 3.1% for the six months ended June 29, 2025 from 3.4% for the six months ended June 30, 2024.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Total Other Income (Expense), Net</w:t>
      </w:r>
      <w:r>
        <w:rPr>
          <w:rFonts w:ascii="Times New Roman;serif" w:hAnsi="Times New Roman;serif"/>
          <w:b w:val="false"/>
          <w:color w:val="000000"/>
          <w:sz w:val="20"/>
        </w:rPr>
        <w:t>. Total other income (expense), net decreased to $0.3 million for the six months ended June 29, 2025 from $2.8 million for the six months ended June 30, 2024. The decrease in total other income (expense), net of $2.5 million was primarily related to an increase in other income of $0.9 million due to the receipt of a research and development tax related refund received by one of the Company’s international businesses and a decrease in interest expense of $1.3 million, as a result of the reduction of debt and the positive impact during this period from the interest rate hedge on the Company’s Term Loan A we entered into during the second quarter of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xml:space="preserve">. The provision for income taxes was $2.6 million for the six months ended June 29, 2025 and $7.5 million for the six months ended June 30, 2024. For the six months ended June 29, 2025, the Company utilized the annual effective tax rate method based on the forecasted information provided. For the six months ended June 30, 2024, the Company utilized the discrete effective tax rate method. The discrete method is applied when it is not possible to reliably estimate the full year effective tax rate due to significant permanent differences in relation to pre-tax book income, resulting in significant variability to the estimated effective tax rate.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29, 2025, we had approximately $1,413.6 million of total backlog, of which $1,125.0 million was funded. We expect to recognize approximately 36% of the remaining total backlog as revenue in fiscal year 2025, an additional 37% in fiscal year 2026 and the balance thereafter. Our comparable total backlog balance as of June 30, 2024, was approximately $1,302.7 million, of which $1,070.6 million was funded. Backlog as of June 29, 2025 as compared to June 30, 2024 has increased primarily as a result of contract awards in our Microwave Products, Space, Satellite and Training, and Unmanned Systems businesses.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been executed unless they are considered a material right of the base agreement/contract. For indefinite delivery or indefinite quantity contracts, only awarded or funded task orders are included for backlog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29, 2025, we had cash and cash equivalents of $783.6 million compared with cash and cash equivalents of $329.3 million as of December 29, 2024, which includes $23.3 million and $40.2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long-term debt decreased from $185.0 million at December 29, 2024 to $180.0 million at June 29, 2025, reflecting the $5.0 million in aggregate principal payments we made on the Term Loan A during the six months ended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29, 2025. On February 18, 2022, we completed the refinancing of our outstanding $90 million revolving credit facility and $300 million of Senior Secured Notes, with a new 5-year $200 million Revolving Credit Facility and 5-year $200 million Term Loan A. As of June 29, 2025, Kratos has made an aggregate of $20.0 million of principal payments on Term Loan A, and has no amounts outstanding under the new Revolving Credit Facility, with $200.0 million remaining in borrowing capacity, less approximately $10.6 million for outstanding letters of credit (as more fully described in Note 9 of the accompanying unaudited condensed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 2025, we extinguished all outstanding Term Loan A debt under the 2022 Credit Facility. The then outstanding Term Loan A aggregate principal balance of $177.5 million, plus accrued interest, was paid in full utilizing a portion of the proceeds we received from the June 27, 2025 public equity offering that generated proceeds of $555.9 million, which is described further in Note 12 to the accompanying unaudited condensed consolidated financial statements. The undrawn $200 million revolving credit facility referred to above remains active and available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prepayments required for long lead items necessary for production, fund internal investments of engineering and software development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production for work in progress and increased inventory levels and prepayments for long-lead materials related to production and revenue growth. These financing requirements have increased and have recently negatively impacted our operating cash flows due to actions we have taken to advance inventory purchases in an attempt to mitigate supply chain disruptions and to bolster our inventory levels. For the six months ended June 29, 2025, approximately $27.3 million of operating cash flow use was related to increases in prepaid expenses and other assets which also include certain vendor prepayments and deposits related to the procurement of long-lead materials and inventory and certain investments we are making for unmanned systems initiatives. Cash from continuing operations is primarily derived from our customer contracts in progress and associated changes in working capital components. Our days sales outstanding (“DSO”) have decreased from 104 days as of December 29, 2024 to 103 days at June 29, 2025, primarily reflecting the timing of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our net cash provided by (used in) operating activities, investing activities, and financing activities from our condensed consolidated statements of cash flows is as follows (in millions):</w:t>
      </w:r>
    </w:p>
    <w:tbl>
      <w:tblPr>
        <w:tblW w:w="6447" w:type="dxa"/>
        <w:jc w:val="center"/>
        <w:tblInd w:w="0" w:type="dxa"/>
        <w:tblLayout w:type="fixed"/>
        <w:tblCellMar>
          <w:top w:w="28" w:type="dxa"/>
          <w:left w:w="28" w:type="dxa"/>
          <w:bottom w:w="28" w:type="dxa"/>
          <w:right w:w="28" w:type="dxa"/>
        </w:tblCellMar>
      </w:tblPr>
      <w:tblGrid>
        <w:gridCol w:w="1386"/>
        <w:gridCol w:w="1216"/>
        <w:gridCol w:w="1223"/>
        <w:gridCol w:w="262"/>
        <w:gridCol w:w="728"/>
        <w:gridCol w:w="135"/>
        <w:gridCol w:w="109"/>
        <w:gridCol w:w="109"/>
        <w:gridCol w:w="109"/>
        <w:gridCol w:w="292"/>
        <w:gridCol w:w="665"/>
        <w:gridCol w:w="213"/>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$40.9 million for the six months ended June 29, 2025. Net cash used in operating activities for the six months ended June 29, 2025 was primarily a result of net income of $7.4 million and changes in net working capital accounts of $94.1 million partially offset by noncash charges of $45.8 million which includes stock compensation, depreciation and amortization. Net cash provided by operating activities was $2.0 million for the six months ended June 30, 2024. Net cash provided by operating activities from continuing operations for the six months ended June 30, 2024 was primarily a result of the net gain of $9.2 million and changes in net working capital accounts of $53.1 million partially offset by noncash charges of $41.9 million which includes stock compensation, depreciation and amortization.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$43.1 million for the six months ended June 29, 2025 and is comprised of $43.1 million in capital expenditures. During the six months ended June 29, 2025, capital expenditures of approximately $15.5 million were incurred in our US business, primarily related to our unmanned tactical initiative. We expect our capital expenditures for fiscal year 2025 to continue to be significant for investments we are making, specifically in our US business totaling approximately $35 to $40 million, including approximately $25 to $30 million for capital aerial targets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Net cash used in investing activities was $40.8 million for the six months ended June 30, 2024 was primarily comprised of $29.3 million in capital expenditures and $11.3 million in cash paid for the remaining minority interests in KTT Core (along with a corresponding issuance of 583,700 shares of Kratos common stock valued at $11.3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$536.3 million for the six months ended June 29, 2025, which included employee stock purchase plan receipts of $4.6 million and net proceeds from the issuance of common stock of approximately $555.9 million (see Note 12 to the accompanying unaudited condensed consolidated financial statements). These proceeds were partially offset by $5.0 million of principal payments on our Term Loan A, payroll withholding taxes paid from 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traded for taxes of $18.3 million and payments made on financing lease obligations of $0.9 million. Net cash provided by financing activities was $279.0 million for the six months ended June 30, 2024, which included employee stock purchase plan receipts of $3.6 million and net proceeds from the issuance of common stock of approximately $330.7 million. These proceeds were partially offset by $2.5 million of principal payments on our Term Loan A and a $45.0 million payment (partially offset by a $10.0 million draw) on our Revolving Credit Facility, payroll withholding taxes paid from vested restricted stock traded for taxes of $17.1 million and payments made on financing lease obligations of $0.7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2022 Credit Facility</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    </w:t>
      </w:r>
      <w:r>
        <w:rPr>
          <w:rFonts w:ascii="Times New Roman;serif" w:hAnsi="Times New Roman;serif"/>
          <w:b w:val="false"/>
          <w:color w:val="000000"/>
          <w:sz w:val="20"/>
        </w:rPr>
        <w:t xml:space="preserve">On February 18, 2022, we completed the refinancing of its then-outstanding $90 million revolving credit facility and $300 million Senior Secured Notes, with a new 5-year $200 million Revolving Credit Facility and 5-year $200 million Term Loan A. We incurred debt issuance costs of $3.3 million associated with the 2022 Credit Facility. As of June 29, 2025, we have made an aggregate of $20.0 million of principal payments on Term Loan A. As of June 29, 2025, there were no amounts outstanding under the Revolving Credit Facility, with $200.0 million remaining in borrowing capacity, less approximately $10.6 million for outstanding letters of credit.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Revolving Credit Facility and the Term Loan A may take the form of base rate loans or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We were in compliance with the covenants contained in the Credit Agreement as of June 29,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 2025, we extinguished all outstanding Term Loan A debt under the 2022 Credit Facility. The then outstanding Term Loan A aggregate principal balance of $177.5 million, plus accrued interest, was paid in full utilizing a portion of the proceeds we received from the June 27, 2025 public equity offering, which is described further in Note 12 to the accompanying unaudited condensed consolidated financial statements. We incurred a loss on the extinguishment of the debt of $0.5 million related to the write-off of unamortized debt issuance costs. The undrawn $200 million revolving credit facility under the 2022 Credit Facility remains active and available to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28, 2023, we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was set to terminate on May 1,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30, 2025, in anticipation of the extinguishment of all outstanding Term Loan A debt under the 2022 Credit Facility, we terminated the swap.</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Liquidity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on hand, together with funds available under the undrawn $200 million revolving credit facility under the 2022 Credit Facility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Principles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Policies or Estimates” as compared to the significant accounting policies described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Since December 29, 2024,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r>
        <w:rPr>
          <w:color w:val="000000"/>
        </w:rPr>
        <w:t xml:space="preserve"> </w:t>
      </w:r>
      <w:r>
        <w:rPr>
          <w:rFonts w:ascii="Times New Roman;serif" w:hAnsi="Times New Roman;serif"/>
          <w:b w:val="false"/>
          <w:color w:val="000000"/>
          <w:sz w:val="20"/>
        </w:rPr>
        <w:t>for the fiscal year ended December 31, 2024 that we filed with the SEC on February 26,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Conclusions Regarding the Effectiveness of Disclosure Controls and Procedures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foregoing, our Principal Executive Officer and Principal Financial Officer concluded that our disclosure controls and procedures were effective at the reasonable assurance level as of June 29, 2025.</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of the Exchange Act) during the three months ended June 29, 2025 that have materially affected, or are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14 of the Notes to condensed consolidated financial statements contained within this Quarterly Report for a discussion of our legal proceedings.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us and our common stock, we urge you to carefully consider the risks and other information in this Quarterly Report on Form 10-Q, as well as the risk factors disclosed in Item 1A. to Part I of our Annual Reports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4, 2025, pursuant to an Asset Purchase Agreement among the Company, Kratos Microwave, Inc., and Norden Millimeter, Inc. (“Norden”), the Company issued 1,095,674 shares of its common stock, with a deemed value of $32.2 million, to Norden. The shares were issued as part of the consideration for the Company’s acquisition of certain assets of Norden. The shares were issued in reliance upon the exemption from the registration requirements of the Securities Act provided by Section 4(a)(2) of the Securities Act as sales by an issuer not involving any public offering.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Rule 10b5-1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June 29, 2025,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2ec1e0c613e4eb393254967dd1c3d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9"/>
        <w:gridCol w:w="360"/>
        <w:gridCol w:w="365"/>
        <w:gridCol w:w="766"/>
        <w:gridCol w:w="515"/>
        <w:gridCol w:w="522"/>
        <w:gridCol w:w="269"/>
        <w:gridCol w:w="269"/>
        <w:gridCol w:w="273"/>
        <w:gridCol w:w="369"/>
        <w:gridCol w:w="369"/>
        <w:gridCol w:w="370"/>
        <w:gridCol w:w="374"/>
        <w:gridCol w:w="374"/>
        <w:gridCol w:w="375"/>
        <w:gridCol w:w="618"/>
        <w:gridCol w:w="618"/>
        <w:gridCol w:w="620"/>
        <w:gridCol w:w="398"/>
        <w:gridCol w:w="339"/>
        <w:gridCol w:w="339"/>
        <w:gridCol w:w="339"/>
        <w:gridCol w:w="339"/>
        <w:gridCol w:w="496"/>
      </w:tblGrid>
      <w:tr>
        <w:trPr/>
        <w:tc>
          <w:tcPr>
            <w:tcW w:w="52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80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8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10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Date</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1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Rule 10b5-1 Trading Arrangement? (Y/N)</w:t>
            </w:r>
            <w:r>
              <w:rPr>
                <w:rFonts w:ascii="Times New Roman;serif" w:hAnsi="Times New Roman;serif"/>
                <w:b/>
                <w:color w:val="000000"/>
                <w:sz w:val="13"/>
              </w:rPr>
              <w:t>(1)</w:t>
            </w:r>
          </w:p>
        </w:tc>
        <w:tc>
          <w:tcPr>
            <w:tcW w:w="2250" w:type="dxa"/>
            <w:gridSpan w:val="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Subject to Trading Arrangement</w:t>
            </w:r>
          </w:p>
        </w:tc>
      </w:tr>
      <w:tr>
        <w:trPr/>
        <w:tc>
          <w:tcPr>
            <w:tcW w:w="1254"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1803"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Unmanned Systems</w:t>
            </w:r>
          </w:p>
        </w:tc>
        <w:tc>
          <w:tcPr>
            <w:tcW w:w="811"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108"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5/12/2025</w:t>
            </w:r>
          </w:p>
        </w:tc>
        <w:tc>
          <w:tcPr>
            <w:tcW w:w="1123"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8/31/2026</w:t>
            </w:r>
          </w:p>
        </w:tc>
        <w:tc>
          <w:tcPr>
            <w:tcW w:w="1856"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w:t>
            </w:r>
          </w:p>
        </w:tc>
        <w:tc>
          <w:tcPr>
            <w:tcW w:w="1076"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w:t>
            </w:r>
          </w:p>
        </w:tc>
        <w:tc>
          <w:tcPr>
            <w:tcW w:w="1174"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54"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803"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811"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108"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123"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856"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076"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17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r>
      <w:tr>
        <w:trPr/>
        <w:tc>
          <w:tcPr>
            <w:tcW w:w="1254"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1803"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811"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108"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5/20/2025</w:t>
            </w:r>
          </w:p>
        </w:tc>
        <w:tc>
          <w:tcPr>
            <w:tcW w:w="1123"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8/31/2026</w:t>
            </w:r>
          </w:p>
        </w:tc>
        <w:tc>
          <w:tcPr>
            <w:tcW w:w="1856"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w:t>
            </w:r>
          </w:p>
        </w:tc>
        <w:tc>
          <w:tcPr>
            <w:tcW w:w="1076"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17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54"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803"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81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1108"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123"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856"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07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117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r>
      <w:tr>
        <w:trPr/>
        <w:tc>
          <w:tcPr>
            <w:tcW w:w="1254"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Mills</w:t>
            </w:r>
          </w:p>
        </w:tc>
        <w:tc>
          <w:tcPr>
            <w:tcW w:w="1803"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C5ISR Systems</w:t>
            </w:r>
          </w:p>
        </w:tc>
        <w:tc>
          <w:tcPr>
            <w:tcW w:w="811"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108"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6/03/2025</w:t>
            </w:r>
          </w:p>
        </w:tc>
        <w:tc>
          <w:tcPr>
            <w:tcW w:w="1123"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8/31/2026</w:t>
            </w:r>
          </w:p>
        </w:tc>
        <w:tc>
          <w:tcPr>
            <w:tcW w:w="1856"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w:t>
            </w:r>
          </w:p>
        </w:tc>
        <w:tc>
          <w:tcPr>
            <w:tcW w:w="1076"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50,758</w:t>
            </w:r>
          </w:p>
        </w:tc>
        <w:tc>
          <w:tcPr>
            <w:tcW w:w="1174"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54"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803"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811"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108"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123"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856"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076"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17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r>
      <w:tr>
        <w:trPr/>
        <w:tc>
          <w:tcPr>
            <w:tcW w:w="1254"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Maria Cervantes De Burgreen</w:t>
            </w:r>
          </w:p>
        </w:tc>
        <w:tc>
          <w:tcPr>
            <w:tcW w:w="1803"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&amp; Corporate Controller</w:t>
            </w:r>
          </w:p>
        </w:tc>
        <w:tc>
          <w:tcPr>
            <w:tcW w:w="811"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108"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6/16/2025</w:t>
            </w:r>
          </w:p>
        </w:tc>
        <w:tc>
          <w:tcPr>
            <w:tcW w:w="1123"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10/16/2026</w:t>
            </w:r>
          </w:p>
        </w:tc>
        <w:tc>
          <w:tcPr>
            <w:tcW w:w="1856"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w:t>
            </w:r>
          </w:p>
        </w:tc>
        <w:tc>
          <w:tcPr>
            <w:tcW w:w="1076"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17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54"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803"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81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1108"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123"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856"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07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117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r>
      <w:tr>
        <w:trPr/>
        <w:tc>
          <w:tcPr>
            <w:tcW w:w="1254"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Carter</w:t>
            </w:r>
          </w:p>
        </w:tc>
        <w:tc>
          <w:tcPr>
            <w:tcW w:w="1803"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Defense and Rocket Support Services</w:t>
            </w:r>
          </w:p>
        </w:tc>
        <w:tc>
          <w:tcPr>
            <w:tcW w:w="811"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108"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6/13/2025</w:t>
            </w:r>
          </w:p>
        </w:tc>
        <w:tc>
          <w:tcPr>
            <w:tcW w:w="1123"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9/01/2026</w:t>
            </w:r>
          </w:p>
        </w:tc>
        <w:tc>
          <w:tcPr>
            <w:tcW w:w="1856"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w:t>
            </w:r>
          </w:p>
        </w:tc>
        <w:tc>
          <w:tcPr>
            <w:tcW w:w="1076"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63,000</w:t>
            </w:r>
          </w:p>
        </w:tc>
        <w:tc>
          <w:tcPr>
            <w:tcW w:w="1174"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54"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803"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811"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108"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123"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856"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076"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17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r>
      <w:tr>
        <w:trPr/>
        <w:tc>
          <w:tcPr>
            <w:tcW w:w="1254"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Stacy Rock</w:t>
            </w:r>
          </w:p>
        </w:tc>
        <w:tc>
          <w:tcPr>
            <w:tcW w:w="1803"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Kratos Turbine Technologies</w:t>
            </w:r>
          </w:p>
        </w:tc>
        <w:tc>
          <w:tcPr>
            <w:tcW w:w="811"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108"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6/16/2025</w:t>
            </w:r>
          </w:p>
        </w:tc>
        <w:tc>
          <w:tcPr>
            <w:tcW w:w="1123"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10/01/2026</w:t>
            </w:r>
          </w:p>
        </w:tc>
        <w:tc>
          <w:tcPr>
            <w:tcW w:w="1856"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w:t>
            </w:r>
          </w:p>
        </w:tc>
        <w:tc>
          <w:tcPr>
            <w:tcW w:w="1076" w:type="dxa"/>
            <w:gridSpan w:val="3"/>
            <w:vMerge w:val="restart"/>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77,521</w:t>
            </w:r>
          </w:p>
        </w:tc>
        <w:tc>
          <w:tcPr>
            <w:tcW w:w="117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54"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bidi w:val="0"/>
              <w:jc w:val="left"/>
              <w:rPr/>
            </w:pPr>
            <w:r>
              <w:rPr/>
            </w:r>
          </w:p>
        </w:tc>
        <w:tc>
          <w:tcPr>
            <w:tcW w:w="1803"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bidi w:val="0"/>
              <w:jc w:val="left"/>
              <w:rPr/>
            </w:pPr>
            <w:r>
              <w:rPr/>
            </w:r>
          </w:p>
        </w:tc>
        <w:tc>
          <w:tcPr>
            <w:tcW w:w="811" w:type="dxa"/>
            <w:gridSpan w:val="3"/>
            <w:vMerge w:val="continue"/>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Normal"/>
              <w:bidi w:val="0"/>
              <w:jc w:val="left"/>
              <w:rPr/>
            </w:pPr>
            <w:r>
              <w:rPr/>
            </w:r>
          </w:p>
        </w:tc>
        <w:tc>
          <w:tcPr>
            <w:tcW w:w="1108"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bidi w:val="0"/>
              <w:jc w:val="left"/>
              <w:rPr/>
            </w:pPr>
            <w:r>
              <w:rPr/>
            </w:r>
          </w:p>
        </w:tc>
        <w:tc>
          <w:tcPr>
            <w:tcW w:w="1123"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bidi w:val="0"/>
              <w:jc w:val="left"/>
              <w:rPr/>
            </w:pPr>
            <w:r>
              <w:rPr/>
            </w:r>
          </w:p>
        </w:tc>
        <w:tc>
          <w:tcPr>
            <w:tcW w:w="1856"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Normal"/>
              <w:bidi w:val="0"/>
              <w:jc w:val="left"/>
              <w:rPr/>
            </w:pPr>
            <w:r>
              <w:rPr/>
            </w:r>
          </w:p>
        </w:tc>
        <w:tc>
          <w:tcPr>
            <w:tcW w:w="1076" w:type="dxa"/>
            <w:gridSpan w:val="3"/>
            <w:vMerge w:val="continue"/>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Normal"/>
              <w:bidi w:val="0"/>
              <w:jc w:val="left"/>
              <w:rPr/>
            </w:pPr>
            <w:r>
              <w:rPr/>
            </w:r>
          </w:p>
        </w:tc>
        <w:tc>
          <w:tcPr>
            <w:tcW w:w="1174"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r>
    </w:tbl>
    <w:p>
      <w:pPr>
        <w:pStyle w:val="TextBody"/>
        <w:bidi w:val="0"/>
        <w:spacing w:lineRule="auto" w:line="256" w:before="0" w:after="0"/>
        <w:jc w:val="left"/>
        <w:rPr/>
      </w:pPr>
      <w:r>
        <w:rPr>
          <w:rFonts w:ascii="Times New Roman;serif" w:hAnsi="Times New Roman;serif"/>
          <w:b w:val="false"/>
          <w:color w:val="000000"/>
          <w:sz w:val="13"/>
        </w:rPr>
        <w:t>(1)</w:t>
      </w:r>
      <w:r>
        <w:rPr>
          <w:rFonts w:ascii="Times New Roman;serif" w:hAnsi="Times New Roman;serif"/>
          <w:b w:val="false"/>
          <w:color w:val="000000"/>
          <w:sz w:val="18"/>
        </w:rPr>
        <w:t>Denotes whether the trading arrangement is intended to satisfy the affirmative defense of Rule 10b5-1(c).</w:t>
      </w:r>
    </w:p>
    <w:p>
      <w:pPr>
        <w:pStyle w:val="TextBody"/>
        <w:bidi w:val="0"/>
        <w:spacing w:lineRule="auto" w:line="256" w:before="0" w:after="0"/>
        <w:jc w:val="left"/>
        <w:rPr/>
      </w:pPr>
      <w:r>
        <w:rPr>
          <w:rFonts w:ascii="Times New Roman;serif" w:hAnsi="Times New Roman;serif"/>
          <w:b w:val="false"/>
          <w:color w:val="000000"/>
          <w:sz w:val="13"/>
        </w:rPr>
        <w:t>(2)</w:t>
      </w:r>
      <w:r>
        <w:rPr>
          <w:rFonts w:ascii="Times New Roman;serif" w:hAnsi="Times New Roman;serif"/>
          <w:b w:val="false"/>
          <w:color w:val="000000"/>
          <w:sz w:val="18"/>
        </w:rPr>
        <w:t>This number represents the maximum number of shares of our common stock that may be sold pursuant to the trading arrangement. The number of shares actually sold will depend on the satisfaction of certain conditions set forth in the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2ec1e0c613e4eb393254967dd1c3d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
        <w:gridCol w:w="238"/>
        <w:gridCol w:w="239"/>
        <w:gridCol w:w="109"/>
        <w:gridCol w:w="109"/>
        <w:gridCol w:w="109"/>
        <w:gridCol w:w="1598"/>
        <w:gridCol w:w="1598"/>
        <w:gridCol w:w="1609"/>
        <w:gridCol w:w="109"/>
        <w:gridCol w:w="109"/>
        <w:gridCol w:w="109"/>
        <w:gridCol w:w="170"/>
        <w:gridCol w:w="170"/>
        <w:gridCol w:w="171"/>
        <w:gridCol w:w="109"/>
        <w:gridCol w:w="109"/>
        <w:gridCol w:w="109"/>
        <w:gridCol w:w="333"/>
        <w:gridCol w:w="333"/>
        <w:gridCol w:w="334"/>
        <w:gridCol w:w="109"/>
        <w:gridCol w:w="109"/>
        <w:gridCol w:w="109"/>
        <w:gridCol w:w="210"/>
        <w:gridCol w:w="210"/>
        <w:gridCol w:w="211"/>
        <w:gridCol w:w="109"/>
        <w:gridCol w:w="109"/>
        <w:gridCol w:w="109"/>
        <w:gridCol w:w="255"/>
        <w:gridCol w:w="255"/>
        <w:gridCol w:w="367"/>
      </w:tblGrid>
      <w:tr>
        <w:trPr/>
        <w:tc>
          <w:tcPr>
            <w:tcW w:w="2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br/>
              <w:t>Period End</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Furnished</w:t>
              <w:br/>
              <w:t>Herewith</w:t>
            </w:r>
          </w:p>
        </w:tc>
      </w:tr>
      <w:tr>
        <w:trPr/>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Bylaws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05/24/2024</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629ex-311.htm">
              <w:r>
                <w:rPr>
                  <w:rStyle w:val="InternetLink"/>
                  <w:rFonts w:ascii="Times New Roman;serif" w:hAnsi="Times New Roman;serif"/>
                  <w:b w:val="false"/>
                  <w:color w:val="0000FF"/>
                  <w:sz w:val="20"/>
                  <w:u w:val="single"/>
                </w:rPr>
                <w:t>Certification of Chief Executive Officer pursuant to Section 302 of the Sarbanes 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629ex-312.htm">
              <w:r>
                <w:rPr>
                  <w:rStyle w:val="InternetLink"/>
                  <w:rFonts w:ascii="Times New Roman;serif" w:hAnsi="Times New Roman;serif"/>
                  <w:b w:val="false"/>
                  <w:color w:val="0000FF"/>
                  <w:sz w:val="20"/>
                  <w:u w:val="single"/>
                </w:rPr>
                <w:t xml:space="preserve">Certification of Chief Financial Officer pursuant to Section 302 of the Sarbanes 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629ex-321.htm">
              <w:r>
                <w:rPr>
                  <w:rStyle w:val="InternetLink"/>
                  <w:rFonts w:ascii="Times New Roman;serif" w:hAnsi="Times New Roman;serif"/>
                  <w:b w:val="false"/>
                  <w:color w:val="0000FF"/>
                  <w:sz w:val="20"/>
                  <w:u w:val="single"/>
                </w:rPr>
                <w:t>Certification pursuant to 18 U.S.C. Section 1350, as adopted pursuant to Section 906 of the Sarbanes-Oxley Act of 2002 for Eric M. DeMarco.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50629ex-322.htm">
              <w:r>
                <w:rPr>
                  <w:rStyle w:val="InternetLink"/>
                  <w:rFonts w:ascii="Times New Roman;serif" w:hAnsi="Times New Roman;serif"/>
                  <w:b w:val="false"/>
                  <w:color w:val="0000FF"/>
                  <w:sz w:val="20"/>
                  <w:u w:val="single"/>
                </w:rPr>
                <w:t>Certification pursuant to 18 U.S.C. Section 1350, as adopted pursuant to Section 906 of the Sarbanes-Oxley Act of 2002 for Deanna Lund.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6">
              <w:r>
                <w:rPr>
                  <w:rStyle w:val="InternetLink"/>
                  <w:rFonts w:ascii="Times New Roman;serif" w:hAnsi="Times New Roman;serif"/>
                  <w:b w:val="false"/>
                  <w:color w:val="0000FF"/>
                  <w:sz w:val="20"/>
                  <w:u w:val="single"/>
                </w:rPr>
                <w:t>Inline XBRL Instance Document-the instance document does not appear in the Interactive Data File because its XBRL tags are embedded within the Inline XBRL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6">
              <w:r>
                <w:rPr>
                  <w:rStyle w:val="InternetLink"/>
                  <w:rFonts w:ascii="Times New Roman;serif" w:hAnsi="Times New Roman;serif"/>
                  <w:b w:val="false"/>
                  <w:color w:val="0000FF"/>
                  <w:sz w:val="20"/>
                  <w:u w:val="single"/>
                </w:rPr>
                <w:t>Inline XBRL Taxonomy Extension Schema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6">
              <w:r>
                <w:rPr>
                  <w:rStyle w:val="InternetLink"/>
                  <w:rFonts w:ascii="Times New Roman;serif" w:hAnsi="Times New Roman;serif"/>
                  <w:b w:val="false"/>
                  <w:color w:val="0000FF"/>
                  <w:sz w:val="20"/>
                  <w:u w:val="single"/>
                </w:rPr>
                <w:t>Inline XBRL Taxonomy Extension Calculation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6">
              <w:r>
                <w:rPr>
                  <w:rStyle w:val="InternetLink"/>
                  <w:rFonts w:ascii="Times New Roman;serif" w:hAnsi="Times New Roman;serif"/>
                  <w:b w:val="false"/>
                  <w:color w:val="0000FF"/>
                  <w:sz w:val="20"/>
                  <w:u w:val="single"/>
                </w:rPr>
                <w:t>Inline XBRL Taxonomy Extension Definition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6">
              <w:r>
                <w:rPr>
                  <w:rStyle w:val="InternetLink"/>
                  <w:rFonts w:ascii="Times New Roman;serif" w:hAnsi="Times New Roman;serif"/>
                  <w:b w:val="false"/>
                  <w:color w:val="0000FF"/>
                  <w:sz w:val="20"/>
                  <w:u w:val="single"/>
                </w:rPr>
                <w:t>Inline XBRL Taxonomy Extension Label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c1e0c613e4eb393254967dd1c3d1f_16">
              <w:r>
                <w:rPr>
                  <w:rStyle w:val="InternetLink"/>
                  <w:rFonts w:ascii="Times New Roman;serif" w:hAnsi="Times New Roman;serif"/>
                  <w:b w:val="false"/>
                  <w:color w:val="0000FF"/>
                  <w:sz w:val="20"/>
                  <w:u w:val="single"/>
                </w:rPr>
                <w:t>Inline XBRL Taxonomy Extension Presentation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Certain confidential information contained in this Exhibit (indicated by asterisks) has been omitted because it is both (i) not material and (ii) the type of information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2ec1e0c613e4eb393254967dd1c3d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2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708"/>
        <w:gridCol w:w="708"/>
        <w:gridCol w:w="708"/>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DEFENSE &amp; SECURITY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Eric M. DeMarco,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Kratos Defense &amp; Security Solutions, Inc.;</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7, 2025 </w:t>
      </w:r>
    </w:p>
    <w:p>
      <w:pPr>
        <w:pStyle w:val="TextBody"/>
        <w:bidi w:val="0"/>
        <w:spacing w:lineRule="auto" w:line="288" w:before="0" w:after="0"/>
        <w:jc w:val="left"/>
        <w:rPr>
          <w:color w:val="000000"/>
        </w:rPr>
      </w:pPr>
      <w:r>
        <w:rPr>
          <w:color w:val="000000"/>
        </w:rPr>
        <w:t> </w:t>
      </w:r>
    </w:p>
    <w:tbl>
      <w:tblPr>
        <w:tblW w:w="4691" w:type="dxa"/>
        <w:jc w:val="center"/>
        <w:tblInd w:w="0" w:type="dxa"/>
        <w:tblLayout w:type="fixed"/>
        <w:tblCellMar>
          <w:top w:w="28" w:type="dxa"/>
          <w:left w:w="28" w:type="dxa"/>
          <w:bottom w:w="28" w:type="dxa"/>
          <w:right w:w="28" w:type="dxa"/>
        </w:tblCellMar>
      </w:tblPr>
      <w:tblGrid>
        <w:gridCol w:w="1565"/>
        <w:gridCol w:w="1375"/>
        <w:gridCol w:w="137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Deanna H. Lund,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Kratos Defense &amp; Security Solutions, Inc.;</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7, 2025 </w:t>
      </w:r>
    </w:p>
    <w:p>
      <w:pPr>
        <w:pStyle w:val="TextBody"/>
        <w:bidi w:val="0"/>
        <w:spacing w:lineRule="auto" w:line="288" w:before="0" w:after="0"/>
        <w:jc w:val="left"/>
        <w:rPr>
          <w:color w:val="000000"/>
        </w:rPr>
      </w:pPr>
      <w:r>
        <w:rPr>
          <w:color w:val="000000"/>
        </w:rPr>
        <w:t> </w:t>
      </w:r>
    </w:p>
    <w:tbl>
      <w:tblPr>
        <w:tblW w:w="5427" w:type="dxa"/>
        <w:jc w:val="center"/>
        <w:tblInd w:w="0" w:type="dxa"/>
        <w:tblLayout w:type="fixed"/>
        <w:tblCellMar>
          <w:top w:w="28" w:type="dxa"/>
          <w:left w:w="28" w:type="dxa"/>
          <w:bottom w:w="28" w:type="dxa"/>
          <w:right w:w="28" w:type="dxa"/>
        </w:tblCellMar>
      </w:tblPr>
      <w:tblGrid>
        <w:gridCol w:w="1832"/>
        <w:gridCol w:w="1609"/>
        <w:gridCol w:w="1614"/>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June 29, 2025 (the “Report”), I, Eric M. DeMarco,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2877" w:type="dxa"/>
        <w:jc w:val="center"/>
        <w:tblInd w:w="0" w:type="dxa"/>
        <w:tblLayout w:type="fixed"/>
        <w:tblCellMar>
          <w:top w:w="28" w:type="dxa"/>
          <w:left w:w="28" w:type="dxa"/>
          <w:bottom w:w="28" w:type="dxa"/>
          <w:right w:w="28" w:type="dxa"/>
        </w:tblCellMar>
      </w:tblPr>
      <w:tblGrid>
        <w:gridCol w:w="907"/>
        <w:gridCol w:w="798"/>
        <w:gridCol w:w="800"/>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June 29, 2025 (the “Report”), I, Deanna H. Lund,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1826"/>
        <w:gridCol w:w="1610"/>
        <w:gridCol w:w="1618"/>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9258/000106925817000009/ktos20161225ex-31.htm" TargetMode="External"/><Relationship Id="rId3" Type="http://schemas.openxmlformats.org/officeDocument/2006/relationships/hyperlink" Target="https://www.sec.gov/Archives/edgar/data/1069258/000106925824000042/exhibit31-thirdamendedandr.htm" TargetMode="External"/><Relationship Id="rId4" Type="http://schemas.openxmlformats.org/officeDocument/2006/relationships/hyperlink" Target="https://www.sec.gov/Archives/edgar/data/1069258/000106925817000009/kratoscommonformofcertif.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22966</Words>
  <Characters>125120</Characters>
  <CharactersWithSpaces>147027</CharactersWithSpaces>
  <Paragraphs>2757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