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59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Lund Deanna H</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KRATOS DEFENSE &amp; SECURITY</w:t>
              </w:r>
            </w:hyperlink>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84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80" w:type="dxa"/>
            <w:vAlign w:val="bottom"/>
            <w:gridSpan w:val="7"/>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KTOS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8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80" w:type="dxa"/>
            <w:vAlign w:val="bottom"/>
            <w:gridSpan w:val="7"/>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6"/>
                <w:szCs w:val="6"/>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EVP &amp; CFO</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10680 TREENA STREET, SUITE 600</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07/01/2026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gridSpan w:val="2"/>
          </w:tcPr>
          <w:p>
            <w:pPr>
              <w:spacing w:after="0"/>
              <w:rPr>
                <w:sz w:val="12"/>
                <w:szCs w:val="12"/>
                <w:color w:val="auto"/>
              </w:rPr>
            </w:pPr>
          </w:p>
        </w:tc>
        <w:tc>
          <w:tcPr>
            <w:tcW w:w="460" w:type="dxa"/>
            <w:vAlign w:val="bottom"/>
            <w:tcBorders>
              <w:bottom w:val="single" w:sz="8" w:color="2C2C2C"/>
            </w:tcBorders>
            <w:gridSpan w:val="3"/>
          </w:tcPr>
          <w:p>
            <w:pPr>
              <w:spacing w:after="0"/>
              <w:rPr>
                <w:sz w:val="12"/>
                <w:szCs w:val="12"/>
                <w:color w:val="auto"/>
              </w:rPr>
            </w:pPr>
          </w:p>
        </w:tc>
        <w:tc>
          <w:tcPr>
            <w:tcW w:w="1420" w:type="dxa"/>
            <w:vAlign w:val="bottom"/>
            <w:tcBorders>
              <w:bottom w:val="single" w:sz="8" w:color="2C2C2C"/>
            </w:tcBorders>
            <w:gridSpan w:val="3"/>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38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9"/>
            <w:vMerge w:val="continue"/>
          </w:tcPr>
          <w:p>
            <w:pPr>
              <w:spacing w:after="0"/>
              <w:rPr>
                <w:sz w:val="10"/>
                <w:szCs w:val="10"/>
                <w:color w:val="auto"/>
              </w:rPr>
            </w:pPr>
          </w:p>
        </w:tc>
        <w:tc>
          <w:tcPr>
            <w:tcW w:w="360" w:type="dxa"/>
            <w:vAlign w:val="bottom"/>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gridSpan w:val="2"/>
            <w:vMerge w:val="restart"/>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gridSpan w:val="3"/>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1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07/01/2026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500</w:t>
            </w:r>
            <w:r>
              <w:rPr>
                <w:rFonts w:ascii="Times New Roman" w:cs="Times New Roman" w:eastAsia="Times New Roman" w:hAnsi="Times New Roman"/>
                <w:sz w:val="11"/>
                <w:szCs w:val="11"/>
                <w:color w:val="008000"/>
                <w:w w:val="81"/>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50.886</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289,905</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07/01/2026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ind w:right="11"/>
              <w:spacing w:after="0"/>
              <w:rPr>
                <w:sz w:val="20"/>
                <w:szCs w:val="20"/>
                <w:color w:val="auto"/>
              </w:rPr>
            </w:pPr>
            <w:r>
              <w:rPr>
                <w:rFonts w:ascii="Times New Roman" w:cs="Times New Roman" w:eastAsia="Times New Roman" w:hAnsi="Times New Roman"/>
                <w:sz w:val="17"/>
                <w:szCs w:val="17"/>
                <w:color w:val="0000FF"/>
                <w:w w:val="93"/>
              </w:rPr>
              <w:t>1,200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52.395</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288,705</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07/01/2026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ind w:right="11"/>
              <w:spacing w:after="0"/>
              <w:rPr>
                <w:sz w:val="20"/>
                <w:szCs w:val="20"/>
                <w:color w:val="auto"/>
              </w:rPr>
            </w:pPr>
            <w:r>
              <w:rPr>
                <w:rFonts w:ascii="Times New Roman" w:cs="Times New Roman" w:eastAsia="Times New Roman" w:hAnsi="Times New Roman"/>
                <w:sz w:val="17"/>
                <w:szCs w:val="17"/>
                <w:color w:val="0000FF"/>
                <w:w w:val="93"/>
              </w:rPr>
              <w:t>2,600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53.1789</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286,105</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07/01/2026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700</w:t>
            </w:r>
            <w:r>
              <w:rPr>
                <w:rFonts w:ascii="Times New Roman" w:cs="Times New Roman" w:eastAsia="Times New Roman" w:hAnsi="Times New Roman"/>
                <w:sz w:val="22"/>
                <w:szCs w:val="22"/>
                <w:color w:val="008000"/>
                <w:w w:val="89"/>
                <w:vertAlign w:val="superscript"/>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53.84</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285,405</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10b5-1 trading plan adopted by the reporting person on May 20,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$50.54 to $51.20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$51.77 to $52.75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$52.78 to $53.69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$53.79 to $53.90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16,626 shares purchased through Issuer's Employee Stock Purchase Plan and approximately 20,479 shares held through Issuer's 401(k) Plan.</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Deanna H. Lund, by Eva Yee,  </w:t>
      </w:r>
      <w:r>
        <w:rPr>
          <w:rFonts w:ascii="Times New Roman" w:cs="Times New Roman" w:eastAsia="Times New Roman" w:hAnsi="Times New Roman"/>
          <w:sz w:val="34"/>
          <w:szCs w:val="34"/>
          <w:color w:val="0000FF"/>
          <w:vertAlign w:val="subscript"/>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4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45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94718" TargetMode="External"/><Relationship Id="rId14" Type="http://schemas.openxmlformats.org/officeDocument/2006/relationships/hyperlink" Target="http://www.sec.gov/cgi-bin/browse-edgar?action=getcompany&amp;CIK=0001069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2026-07-02T17:32:53Z</dcterms:created>
  <dcterms:modified xsi:type="dcterms:W3CDTF">2026-07-02T17:32:53Z</dcterms:modified>
</cp:coreProperties>
</file>