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Lund Deanna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10680 TREENA STREET, SUITE 600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KRATOS DEFENSE &amp; SECURITY SOLUTIONS, INC.</w:t>
              </w:r>
            </w:hyperlink>
            <w:r>
              <w:rPr/>
              <w:t xml:space="preserve"> [ </w:t>
            </w:r>
            <w:r>
              <w:rPr>
                <w:rFonts w:ascii="Times;serif" w:hAnsi="Times;serif"/>
                <w:color w:val="0000FF"/>
                <w:sz w:val="24"/>
                <w:shd w:fill="FFFFFF" w:val="clear"/>
              </w:rPr>
              <w:t>KTOS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75"/>
        <w:gridCol w:w="914"/>
        <w:gridCol w:w="784"/>
        <w:gridCol w:w="607"/>
        <w:gridCol w:w="345"/>
        <w:gridCol w:w="876"/>
        <w:gridCol w:w="438"/>
        <w:gridCol w:w="984"/>
        <w:gridCol w:w="1175"/>
        <w:gridCol w:w="983"/>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9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4,100</w:t>
            </w:r>
            <w:r>
              <w:rPr>
                <w:rFonts w:ascii="Times;serif" w:hAnsi="Times;serif"/>
                <w:color w:val="008000"/>
                <w:position w:val="7"/>
                <w:sz w:val="16"/>
                <w:sz w:val="20"/>
                <w:shd w:fill="FFFFFF" w:val="clear"/>
              </w:rPr>
              <w:t>(1)</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48.56</w:t>
            </w:r>
            <w:r>
              <w:rPr>
                <w:rFonts w:ascii="Times;serif" w:hAnsi="Times;serif"/>
                <w:color w:val="008000"/>
                <w:position w:val="7"/>
                <w:sz w:val="16"/>
                <w:sz w:val="20"/>
                <w:shd w:fill="FFFFFF" w:val="clear"/>
              </w:rPr>
              <w:t>(2)</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276,411</w:t>
            </w:r>
            <w:r>
              <w:rPr>
                <w:rFonts w:ascii="Times;serif" w:hAnsi="Times;serif"/>
                <w:color w:val="008000"/>
                <w:position w:val="7"/>
                <w:sz w:val="16"/>
                <w:sz w:val="20"/>
                <w:shd w:fill="FFFFFF" w:val="clear"/>
              </w:rPr>
              <w:t>(4)</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2,900</w:t>
            </w:r>
            <w:r>
              <w:rPr>
                <w:rFonts w:ascii="Times;serif" w:hAnsi="Times;serif"/>
                <w:color w:val="008000"/>
                <w:position w:val="7"/>
                <w:sz w:val="16"/>
                <w:sz w:val="20"/>
                <w:shd w:fill="FFFFFF" w:val="clear"/>
              </w:rPr>
              <w:t>(1)</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49.0959</w:t>
            </w:r>
            <w:r>
              <w:rPr>
                <w:rFonts w:ascii="Times;serif" w:hAnsi="Times;serif"/>
                <w:color w:val="008000"/>
                <w:position w:val="7"/>
                <w:sz w:val="16"/>
                <w:sz w:val="20"/>
                <w:shd w:fill="FFFFFF" w:val="clear"/>
              </w:rPr>
              <w:t>(3)</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273,511</w:t>
            </w:r>
            <w:r>
              <w:rPr>
                <w:rFonts w:ascii="Times;serif" w:hAnsi="Times;serif"/>
                <w:color w:val="008000"/>
                <w:position w:val="7"/>
                <w:sz w:val="16"/>
                <w:sz w:val="20"/>
                <w:shd w:fill="FFFFFF" w:val="clear"/>
              </w:rPr>
              <w:t>(4)</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10b5-1 trading plan adopted by the reporting person on June 13,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$47.86 to $48.84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$48.89 to $49.37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16,626 shares purchased through Issuer's Employee Stock Purchase Plan and approximately 20,585 shares held through Issuer's 401(k)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Deanna H. Lund, by Eva Yee,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094718" TargetMode="External"/><Relationship Id="rId5" Type="http://schemas.openxmlformats.org/officeDocument/2006/relationships/hyperlink" Target="http://www.sec.gov/cgi-bin/browse-edgar?action=getcompany&amp;CIK=00010692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770</Words>
  <Characters>4132</Characters>
  <CharactersWithSpaces>4824</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