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primary_doc.xml.htm"/>
      <w:bookmarkStart w:id="1" w:name="ksprimary_doc"/>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Carrai Phillip 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10680 TREENA STREET, SUITE 600</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DIEGO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92131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KRATOS DEFENSE &amp; SECURITY SOLUTIONS, INC.</w:t>
              </w:r>
            </w:hyperlink>
            <w:r>
              <w:rPr/>
              <w:t xml:space="preserve"> [ </w:t>
            </w:r>
            <w:r>
              <w:rPr>
                <w:rFonts w:ascii="Times;serif" w:hAnsi="Times;serif"/>
                <w:color w:val="0000FF"/>
                <w:sz w:val="24"/>
                <w:shd w:fill="FFFFFF" w:val="clear"/>
              </w:rPr>
              <w:t>KTOS</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President, STC Division</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07/15/2026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75"/>
        <w:gridCol w:w="914"/>
        <w:gridCol w:w="784"/>
        <w:gridCol w:w="607"/>
        <w:gridCol w:w="345"/>
        <w:gridCol w:w="876"/>
        <w:gridCol w:w="438"/>
        <w:gridCol w:w="984"/>
        <w:gridCol w:w="1175"/>
        <w:gridCol w:w="983"/>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7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98"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7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7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7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07/15/2026</w:t>
            </w:r>
          </w:p>
        </w:tc>
        <w:tc>
          <w:tcPr>
            <w:tcW w:w="7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7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3,900</w:t>
            </w:r>
            <w:r>
              <w:rPr>
                <w:rFonts w:ascii="Times;serif" w:hAnsi="Times;serif"/>
                <w:color w:val="008000"/>
                <w:position w:val="7"/>
                <w:sz w:val="16"/>
                <w:sz w:val="20"/>
                <w:shd w:fill="FFFFFF" w:val="clear"/>
              </w:rPr>
              <w:t>(1)</w:t>
            </w:r>
            <w:r>
              <w:rPr/>
              <w:t xml:space="preserve"> </w:t>
            </w:r>
          </w:p>
        </w:tc>
        <w:tc>
          <w:tcPr>
            <w:tcW w:w="4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49.7869</w:t>
            </w:r>
            <w:r>
              <w:rPr>
                <w:rFonts w:ascii="Times;serif" w:hAnsi="Times;serif"/>
                <w:color w:val="008000"/>
                <w:position w:val="7"/>
                <w:sz w:val="16"/>
                <w:sz w:val="20"/>
                <w:shd w:fill="FFFFFF" w:val="clear"/>
              </w:rPr>
              <w:t>(2)</w:t>
            </w:r>
            <w:r>
              <w:rPr/>
              <w:t xml:space="preserve"> </w:t>
            </w:r>
          </w:p>
        </w:tc>
        <w:tc>
          <w:tcPr>
            <w:tcW w:w="117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211,224</w:t>
            </w:r>
            <w:r>
              <w:rPr>
                <w:rFonts w:ascii="Times;serif" w:hAnsi="Times;serif"/>
                <w:color w:val="008000"/>
                <w:position w:val="7"/>
                <w:sz w:val="16"/>
                <w:sz w:val="20"/>
                <w:shd w:fill="FFFFFF" w:val="clear"/>
              </w:rPr>
              <w:t>(6)</w:t>
            </w:r>
            <w:r>
              <w:rPr/>
              <w:t xml:space="preserve"> </w:t>
            </w:r>
          </w:p>
        </w:tc>
        <w:tc>
          <w:tcPr>
            <w:tcW w:w="98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7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07/15/2026</w:t>
            </w:r>
          </w:p>
        </w:tc>
        <w:tc>
          <w:tcPr>
            <w:tcW w:w="7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7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700</w:t>
            </w:r>
            <w:r>
              <w:rPr>
                <w:rFonts w:ascii="Times;serif" w:hAnsi="Times;serif"/>
                <w:color w:val="008000"/>
                <w:position w:val="7"/>
                <w:sz w:val="16"/>
                <w:sz w:val="20"/>
                <w:shd w:fill="FFFFFF" w:val="clear"/>
              </w:rPr>
              <w:t>(1)</w:t>
            </w:r>
            <w:r>
              <w:rPr/>
              <w:t xml:space="preserve"> </w:t>
            </w:r>
          </w:p>
        </w:tc>
        <w:tc>
          <w:tcPr>
            <w:tcW w:w="4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50.7775</w:t>
            </w:r>
            <w:r>
              <w:rPr>
                <w:rFonts w:ascii="Times;serif" w:hAnsi="Times;serif"/>
                <w:color w:val="008000"/>
                <w:position w:val="7"/>
                <w:sz w:val="16"/>
                <w:sz w:val="20"/>
                <w:shd w:fill="FFFFFF" w:val="clear"/>
              </w:rPr>
              <w:t>(3)</w:t>
            </w:r>
            <w:r>
              <w:rPr/>
              <w:t xml:space="preserve"> </w:t>
            </w:r>
          </w:p>
        </w:tc>
        <w:tc>
          <w:tcPr>
            <w:tcW w:w="117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210,524</w:t>
            </w:r>
            <w:r>
              <w:rPr>
                <w:rFonts w:ascii="Times;serif" w:hAnsi="Times;serif"/>
                <w:color w:val="008000"/>
                <w:position w:val="7"/>
                <w:sz w:val="16"/>
                <w:sz w:val="20"/>
                <w:shd w:fill="FFFFFF" w:val="clear"/>
              </w:rPr>
              <w:t>(6)</w:t>
            </w:r>
            <w:r>
              <w:rPr/>
              <w:t xml:space="preserve"> </w:t>
            </w:r>
          </w:p>
        </w:tc>
        <w:tc>
          <w:tcPr>
            <w:tcW w:w="98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7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07/15/2026</w:t>
            </w:r>
          </w:p>
        </w:tc>
        <w:tc>
          <w:tcPr>
            <w:tcW w:w="7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7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1,400</w:t>
            </w:r>
            <w:r>
              <w:rPr>
                <w:rFonts w:ascii="Times;serif" w:hAnsi="Times;serif"/>
                <w:color w:val="008000"/>
                <w:position w:val="7"/>
                <w:sz w:val="16"/>
                <w:sz w:val="20"/>
                <w:shd w:fill="FFFFFF" w:val="clear"/>
              </w:rPr>
              <w:t>(1)</w:t>
            </w:r>
            <w:r>
              <w:rPr/>
              <w:t xml:space="preserve"> </w:t>
            </w:r>
          </w:p>
        </w:tc>
        <w:tc>
          <w:tcPr>
            <w:tcW w:w="4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52.0497</w:t>
            </w:r>
            <w:r>
              <w:rPr>
                <w:rFonts w:ascii="Times;serif" w:hAnsi="Times;serif"/>
                <w:color w:val="008000"/>
                <w:position w:val="7"/>
                <w:sz w:val="16"/>
                <w:sz w:val="20"/>
                <w:shd w:fill="FFFFFF" w:val="clear"/>
              </w:rPr>
              <w:t>(4)</w:t>
            </w:r>
            <w:r>
              <w:rPr/>
              <w:t xml:space="preserve"> </w:t>
            </w:r>
          </w:p>
        </w:tc>
        <w:tc>
          <w:tcPr>
            <w:tcW w:w="117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209,124</w:t>
            </w:r>
            <w:r>
              <w:rPr>
                <w:rFonts w:ascii="Times;serif" w:hAnsi="Times;serif"/>
                <w:color w:val="008000"/>
                <w:position w:val="7"/>
                <w:sz w:val="16"/>
                <w:sz w:val="20"/>
                <w:shd w:fill="FFFFFF" w:val="clear"/>
              </w:rPr>
              <w:t>(6)</w:t>
            </w:r>
            <w:r>
              <w:rPr/>
              <w:t xml:space="preserve"> </w:t>
            </w:r>
          </w:p>
        </w:tc>
        <w:tc>
          <w:tcPr>
            <w:tcW w:w="98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7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07/15/2026</w:t>
            </w:r>
          </w:p>
        </w:tc>
        <w:tc>
          <w:tcPr>
            <w:tcW w:w="7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7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400</w:t>
            </w:r>
            <w:r>
              <w:rPr>
                <w:rFonts w:ascii="Times;serif" w:hAnsi="Times;serif"/>
                <w:color w:val="008000"/>
                <w:position w:val="7"/>
                <w:sz w:val="16"/>
                <w:sz w:val="20"/>
                <w:shd w:fill="FFFFFF" w:val="clear"/>
              </w:rPr>
              <w:t>(1)</w:t>
            </w:r>
            <w:r>
              <w:rPr/>
              <w:t xml:space="preserve"> </w:t>
            </w:r>
          </w:p>
        </w:tc>
        <w:tc>
          <w:tcPr>
            <w:tcW w:w="4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52.8437</w:t>
            </w:r>
            <w:r>
              <w:rPr>
                <w:rFonts w:ascii="Times;serif" w:hAnsi="Times;serif"/>
                <w:color w:val="008000"/>
                <w:position w:val="7"/>
                <w:sz w:val="16"/>
                <w:sz w:val="20"/>
                <w:shd w:fill="FFFFFF" w:val="clear"/>
              </w:rPr>
              <w:t>(5)</w:t>
            </w:r>
            <w:r>
              <w:rPr/>
              <w:t xml:space="preserve"> </w:t>
            </w:r>
          </w:p>
        </w:tc>
        <w:tc>
          <w:tcPr>
            <w:tcW w:w="117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208,724</w:t>
            </w:r>
            <w:r>
              <w:rPr>
                <w:rFonts w:ascii="Times;serif" w:hAnsi="Times;serif"/>
                <w:color w:val="008000"/>
                <w:position w:val="7"/>
                <w:sz w:val="16"/>
                <w:sz w:val="20"/>
                <w:shd w:fill="FFFFFF" w:val="clear"/>
              </w:rPr>
              <w:t>(6)</w:t>
            </w:r>
            <w:r>
              <w:rPr/>
              <w:t xml:space="preserve"> </w:t>
            </w:r>
          </w:p>
        </w:tc>
        <w:tc>
          <w:tcPr>
            <w:tcW w:w="98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7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07/15/2026</w:t>
            </w:r>
          </w:p>
        </w:tc>
        <w:tc>
          <w:tcPr>
            <w:tcW w:w="7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7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100</w:t>
            </w:r>
            <w:r>
              <w:rPr>
                <w:rFonts w:ascii="Times;serif" w:hAnsi="Times;serif"/>
                <w:color w:val="008000"/>
                <w:position w:val="7"/>
                <w:sz w:val="16"/>
                <w:sz w:val="20"/>
                <w:shd w:fill="FFFFFF" w:val="clear"/>
              </w:rPr>
              <w:t>(1)</w:t>
            </w:r>
            <w:r>
              <w:rPr/>
              <w:t xml:space="preserve"> </w:t>
            </w:r>
          </w:p>
        </w:tc>
        <w:tc>
          <w:tcPr>
            <w:tcW w:w="4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53.85</w:t>
            </w:r>
            <w:r>
              <w:rPr/>
              <w:t xml:space="preserve"> </w:t>
            </w:r>
          </w:p>
        </w:tc>
        <w:tc>
          <w:tcPr>
            <w:tcW w:w="117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208,624</w:t>
            </w:r>
            <w:r>
              <w:rPr>
                <w:rFonts w:ascii="Times;serif" w:hAnsi="Times;serif"/>
                <w:color w:val="008000"/>
                <w:position w:val="7"/>
                <w:sz w:val="16"/>
                <w:sz w:val="20"/>
                <w:shd w:fill="FFFFFF" w:val="clear"/>
              </w:rPr>
              <w:t>(6)</w:t>
            </w:r>
            <w:r>
              <w:rPr/>
              <w:t xml:space="preserve"> </w:t>
            </w:r>
          </w:p>
        </w:tc>
        <w:tc>
          <w:tcPr>
            <w:tcW w:w="98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7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7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46,644</w:t>
            </w:r>
          </w:p>
        </w:tc>
        <w:tc>
          <w:tcPr>
            <w:tcW w:w="98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trust</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This transaction was effected pursuant to a 10b5-1 trading plan adopted by the reporting person on August 26,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These shares were sold in multiple transactions at prices ranging from $49.23 to $50.20 inclusive. The reporting person undertakes to provide to Issuer, any security holder of Issuer, or the staff of the Securities and Exchange Commission, upon request, full information regarding the number of shares sold at each separate price within the ranges set forth in this footnote to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in Column 4 is a weighted average price. These shares were sold in multiple transactions at prices ranging from $50.44 to $51.03 inclusive. The reporting person undertakes to provide to Issuer, any security holder of Issuer, or the staff of the Securities and Exchange Commission, upon request, full information regarding the number of shares sold at each separate price within the ranges set forth in this footnote to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price reported in Column 4 is a weighted average price. These shares were sold in multiple transactions at prices ranging from $51.59 to $52.31 inclusive. The reporting person undertakes to provide to Issuer, any security holder of Issuer, or the staff of the Securities and Exchange Commission, upon request, full information regarding the number of shares sold at each separate price within the ranges set forth in this footnote to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price reported in Column 4 is a weighted average price. These shares were sold in multiple transactions at prices ranging from $52.59 to $53.52 inclusive. The reporting person undertakes to provide to Issuer, any security holder of Issuer, or the staff of the Securities and Exchange Commission, upon request, full information regarding the number of shares sold at each separate price within the ranges set forth in this footnote to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Includes 1,232 shares purchased through Issuer's Employee Stock Purchase Plan and approximately 4,577 shares held through Issuer's 401(k) Plan.</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Phillip D. Carrai, by Eva Yee,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07/17/2026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509409" TargetMode="External"/><Relationship Id="rId5" Type="http://schemas.openxmlformats.org/officeDocument/2006/relationships/hyperlink" Target="http://www.sec.gov/cgi-bin/browse-edgar?action=getcompany&amp;CIK=000106925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950</Words>
  <Characters>5065</Characters>
  <CharactersWithSpaces>5928</CharactersWithSpaces>
  <Paragraphs>136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