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2120" w:right="1960" w:hanging="539"/>
        <w:spacing w:after="0" w:line="243" w:lineRule="auto"/>
        <w:tabs>
          <w:tab w:leader="none" w:pos="21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 FOR THE QUARTERLY PERIOD ENDED JUNE 30, 2006</w:t>
      </w:r>
    </w:p>
    <w:p>
      <w:pPr>
        <w:spacing w:after="0" w:line="177" w:lineRule="exact"/>
        <w:rPr>
          <w:sz w:val="24"/>
          <w:szCs w:val="24"/>
          <w:color w:val="auto"/>
        </w:rPr>
      </w:pPr>
    </w:p>
    <w:p>
      <w:pPr>
        <w:ind w:left="2120" w:right="2260" w:hanging="539"/>
        <w:spacing w:after="0" w:line="256" w:lineRule="auto"/>
        <w:tabs>
          <w:tab w:leader="none" w:pos="21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154940</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WIRELESS FACILITIES,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60" w:type="dxa"/>
        <w:tblCellMar>
          <w:top w:w="0" w:type="dxa"/>
          <w:left w:w="0" w:type="dxa"/>
          <w:bottom w:w="0" w:type="dxa"/>
          <w:right w:w="0" w:type="dxa"/>
        </w:tblCellMar>
      </w:tblPr>
      <w:tr>
        <w:trPr>
          <w:trHeight w:val="220"/>
        </w:trPr>
        <w:tc>
          <w:tcPr>
            <w:tcW w:w="266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Delaware</w:t>
            </w:r>
          </w:p>
        </w:tc>
        <w:tc>
          <w:tcPr>
            <w:tcW w:w="184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13-3818604</w:t>
            </w:r>
          </w:p>
        </w:tc>
      </w:tr>
      <w:tr>
        <w:trPr>
          <w:trHeight w:val="216"/>
        </w:trPr>
        <w:tc>
          <w:tcPr>
            <w:tcW w:w="2660" w:type="dxa"/>
            <w:vAlign w:val="bottom"/>
          </w:tcPr>
          <w:p>
            <w:pPr>
              <w:jc w:val="center"/>
              <w:ind w:right="410"/>
              <w:spacing w:after="0"/>
              <w:rPr>
                <w:sz w:val="20"/>
                <w:szCs w:val="20"/>
                <w:color w:val="auto"/>
              </w:rPr>
            </w:pPr>
            <w:r>
              <w:rPr>
                <w:rFonts w:ascii="Arial" w:cs="Arial" w:eastAsia="Arial" w:hAnsi="Arial"/>
                <w:sz w:val="18"/>
                <w:szCs w:val="18"/>
                <w:color w:val="auto"/>
                <w:w w:val="92"/>
              </w:rPr>
              <w:t>(State or other jurisdiction of</w:t>
            </w:r>
          </w:p>
        </w:tc>
        <w:tc>
          <w:tcPr>
            <w:tcW w:w="1840" w:type="dxa"/>
            <w:vAlign w:val="bottom"/>
          </w:tcPr>
          <w:p>
            <w:pPr>
              <w:jc w:val="center"/>
              <w:ind w:left="390"/>
              <w:spacing w:after="0"/>
              <w:rPr>
                <w:sz w:val="20"/>
                <w:szCs w:val="20"/>
                <w:color w:val="auto"/>
              </w:rPr>
            </w:pPr>
            <w:r>
              <w:rPr>
                <w:rFonts w:ascii="Arial" w:cs="Arial" w:eastAsia="Arial" w:hAnsi="Arial"/>
                <w:sz w:val="18"/>
                <w:szCs w:val="18"/>
                <w:color w:val="auto"/>
                <w:w w:val="93"/>
              </w:rPr>
              <w:t>(I.R.S. Employer</w:t>
            </w:r>
          </w:p>
        </w:tc>
      </w:tr>
      <w:tr>
        <w:trPr>
          <w:trHeight w:val="230"/>
        </w:trPr>
        <w:tc>
          <w:tcPr>
            <w:tcW w:w="2660" w:type="dxa"/>
            <w:vAlign w:val="bottom"/>
          </w:tcPr>
          <w:p>
            <w:pPr>
              <w:jc w:val="center"/>
              <w:ind w:right="410"/>
              <w:spacing w:after="0"/>
              <w:rPr>
                <w:sz w:val="20"/>
                <w:szCs w:val="20"/>
                <w:color w:val="auto"/>
              </w:rPr>
            </w:pPr>
            <w:r>
              <w:rPr>
                <w:rFonts w:ascii="Arial" w:cs="Arial" w:eastAsia="Arial" w:hAnsi="Arial"/>
                <w:sz w:val="18"/>
                <w:szCs w:val="18"/>
                <w:color w:val="auto"/>
                <w:w w:val="92"/>
              </w:rPr>
              <w:t>incorporation or organization)</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bl>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4810 Eastgate Mall</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228-2000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134620</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3" w:lineRule="exact"/>
        <w:rPr>
          <w:sz w:val="24"/>
          <w:szCs w:val="24"/>
          <w:color w:val="auto"/>
        </w:rPr>
      </w:pPr>
    </w:p>
    <w:p>
      <w:pPr>
        <w:ind w:firstLine="3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w:t>
      </w:r>
    </w:p>
    <w:p>
      <w:pPr>
        <w:spacing w:after="0" w:line="46" w:lineRule="exact"/>
        <w:rPr>
          <w:sz w:val="24"/>
          <w:szCs w:val="24"/>
          <w:color w:val="auto"/>
        </w:rPr>
      </w:pPr>
    </w:p>
    <w:p>
      <w:pPr>
        <w:spacing w:after="0"/>
        <w:tabs>
          <w:tab w:leader="none" w:pos="3520" w:val="left"/>
          <w:tab w:leader="none" w:pos="5340" w:val="left"/>
        </w:tabs>
        <w:rPr>
          <w:sz w:val="20"/>
          <w:szCs w:val="20"/>
          <w:color w:val="auto"/>
        </w:rPr>
      </w:pPr>
      <w:r>
        <w:rPr>
          <w:rFonts w:ascii="Arial" w:cs="Arial" w:eastAsia="Arial" w:hAnsi="Arial"/>
          <w:sz w:val="18"/>
          <w:szCs w:val="18"/>
          <w:color w:val="auto"/>
        </w:rPr>
        <w:t>Exchange Act):  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6"/>
          <w:szCs w:val="16"/>
          <w:color w:val="auto"/>
        </w:rPr>
        <w:t>Non-Accelerated Filer o</w:t>
      </w:r>
    </w:p>
    <w:p>
      <w:pPr>
        <w:spacing w:after="0" w:line="19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1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August 4, 2006, 73,881,260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20" w:type="dxa"/>
            <w:vAlign w:val="bottom"/>
            <w:gridSpan w:val="8"/>
          </w:tcPr>
          <w:p>
            <w:pPr>
              <w:jc w:val="center"/>
              <w:ind w:left="630"/>
              <w:spacing w:after="0"/>
              <w:rPr>
                <w:sz w:val="20"/>
                <w:szCs w:val="20"/>
                <w:color w:val="auto"/>
              </w:rPr>
            </w:pPr>
            <w:r>
              <w:rPr>
                <w:rFonts w:ascii="Arial" w:cs="Arial" w:eastAsia="Arial" w:hAnsi="Arial"/>
                <w:sz w:val="18"/>
                <w:szCs w:val="18"/>
                <w:b w:val="1"/>
                <w:bCs w:val="1"/>
                <w:color w:val="auto"/>
              </w:rPr>
              <w:t>WIRELESS FACILITIES, INC.</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80" w:type="dxa"/>
            <w:vAlign w:val="bottom"/>
            <w:gridSpan w:val="7"/>
          </w:tcPr>
          <w:p>
            <w:pPr>
              <w:jc w:val="center"/>
              <w:ind w:right="1640"/>
              <w:spacing w:after="0"/>
              <w:rPr>
                <w:sz w:val="20"/>
                <w:szCs w:val="20"/>
                <w:color w:val="auto"/>
              </w:rPr>
            </w:pPr>
            <w:r>
              <w:rPr>
                <w:rFonts w:ascii="Arial" w:cs="Arial" w:eastAsia="Arial" w:hAnsi="Arial"/>
                <w:sz w:val="18"/>
                <w:szCs w:val="18"/>
                <w:b w:val="1"/>
                <w:bCs w:val="1"/>
                <w:color w:val="auto"/>
                <w:w w:val="99"/>
              </w:rPr>
              <w:t>FORM 10-Q</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gridSpan w:val="9"/>
          </w:tcPr>
          <w:p>
            <w:pPr>
              <w:jc w:val="center"/>
              <w:ind w:left="210"/>
              <w:spacing w:after="0"/>
              <w:rPr>
                <w:sz w:val="20"/>
                <w:szCs w:val="20"/>
                <w:color w:val="auto"/>
              </w:rPr>
            </w:pPr>
            <w:r>
              <w:rPr>
                <w:rFonts w:ascii="Arial" w:cs="Arial" w:eastAsia="Arial" w:hAnsi="Arial"/>
                <w:sz w:val="18"/>
                <w:szCs w:val="18"/>
                <w:b w:val="1"/>
                <w:bCs w:val="1"/>
                <w:color w:val="auto"/>
                <w:w w:val="98"/>
              </w:rPr>
              <w:t>FOR THE QUARTERLY PERIOD ENDED JUNE 30, 2006</w:t>
            </w: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6"/>
          </w:tcPr>
          <w:p>
            <w:pPr>
              <w:jc w:val="center"/>
              <w:ind w:right="1800"/>
              <w:spacing w:after="0"/>
              <w:rPr>
                <w:sz w:val="20"/>
                <w:szCs w:val="20"/>
                <w:color w:val="auto"/>
              </w:rPr>
            </w:pPr>
            <w:r>
              <w:rPr>
                <w:rFonts w:ascii="Arial" w:cs="Arial" w:eastAsia="Arial" w:hAnsi="Arial"/>
                <w:sz w:val="18"/>
                <w:szCs w:val="18"/>
                <w:b w:val="1"/>
                <w:bCs w:val="1"/>
                <w:color w:val="auto"/>
              </w:rPr>
              <w:t>INDEX</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20" w:type="dxa"/>
            <w:vAlign w:val="bottom"/>
            <w:gridSpan w:val="8"/>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120" w:type="dxa"/>
            <w:vAlign w:val="bottom"/>
            <w:gridSpan w:val="8"/>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42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060" w:type="dxa"/>
            <w:vAlign w:val="bottom"/>
            <w:tcBorders>
              <w:top w:val="single" w:sz="8" w:color="0000EE"/>
            </w:tcBorders>
            <w:gridSpan w:val="3"/>
          </w:tcPr>
          <w:p>
            <w:pPr>
              <w:spacing w:after="0"/>
              <w:rPr>
                <w:sz w:val="24"/>
                <w:szCs w:val="24"/>
                <w:color w:val="auto"/>
              </w:rPr>
            </w:pPr>
          </w:p>
        </w:tc>
        <w:tc>
          <w:tcPr>
            <w:tcW w:w="2060" w:type="dxa"/>
            <w:vAlign w:val="bottom"/>
            <w:gridSpan w:val="5"/>
          </w:tcPr>
          <w:p>
            <w:pPr>
              <w:spacing w:after="0"/>
              <w:rPr>
                <w:sz w:val="24"/>
                <w:szCs w:val="24"/>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 at December 31, 2005 and June 30, 2006 (unaudited)</w:t>
              </w:r>
            </w:hyperlink>
          </w:p>
        </w:tc>
        <w:tc>
          <w:tcPr>
            <w:tcW w:w="840" w:type="dxa"/>
            <w:vAlign w:val="bottom"/>
            <w:gridSpan w:val="4"/>
          </w:tcPr>
          <w:p>
            <w:pPr>
              <w:spacing w:after="0"/>
              <w:rPr>
                <w:sz w:val="24"/>
                <w:szCs w:val="24"/>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5"/>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for the Six Months Ended June 30, 2005 and 2006</w:t>
              </w:r>
            </w:hyperlink>
          </w:p>
        </w:tc>
        <w:tc>
          <w:tcPr>
            <w:tcW w:w="3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20" w:type="dxa"/>
            <w:vAlign w:val="bottom"/>
            <w:gridSpan w:val="1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4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Cash Flows for the Six Months Ended June 30, 2005 and 2006</w:t>
              </w:r>
            </w:hyperlink>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20" w:type="dxa"/>
            <w:vAlign w:val="bottom"/>
            <w:gridSpan w:val="1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4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 (unaudited)</w:t>
              </w:r>
            </w:hyperlink>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420" w:type="dxa"/>
            <w:vAlign w:val="bottom"/>
          </w:tcPr>
          <w:p>
            <w:pPr>
              <w:spacing w:after="0"/>
              <w:rPr>
                <w:sz w:val="24"/>
                <w:szCs w:val="24"/>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520" w:type="dxa"/>
            <w:vAlign w:val="bottom"/>
            <w:gridSpan w:val="3"/>
          </w:tcPr>
          <w:p>
            <w:pPr>
              <w:spacing w:after="0"/>
              <w:rPr>
                <w:sz w:val="24"/>
                <w:szCs w:val="24"/>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45"/>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420" w:type="dxa"/>
            <w:vAlign w:val="bottom"/>
          </w:tcPr>
          <w:p>
            <w:pPr>
              <w:spacing w:after="0"/>
              <w:rPr>
                <w:sz w:val="24"/>
                <w:szCs w:val="24"/>
                <w:color w:val="auto"/>
              </w:rPr>
            </w:pP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2620" w:type="dxa"/>
            <w:vAlign w:val="bottom"/>
            <w:gridSpan w:val="6"/>
          </w:tcPr>
          <w:p>
            <w:pPr>
              <w:spacing w:after="0"/>
              <w:rPr>
                <w:sz w:val="24"/>
                <w:szCs w:val="24"/>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360"/>
          </w:cols>
          <w:pgMar w:left="240" w:top="530" w:right="2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300" w:type="dxa"/>
            <w:vAlign w:val="bottom"/>
          </w:tcPr>
          <w:p>
            <w:pPr>
              <w:spacing w:after="0"/>
              <w:rPr>
                <w:sz w:val="17"/>
                <w:szCs w:val="17"/>
                <w:color w:val="auto"/>
              </w:rPr>
            </w:pPr>
          </w:p>
        </w:tc>
        <w:tc>
          <w:tcPr>
            <w:tcW w:w="6960" w:type="dxa"/>
            <w:vAlign w:val="bottom"/>
            <w:gridSpan w:val="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460" w:type="dxa"/>
            <w:vAlign w:val="bottom"/>
            <w:gridSpan w:val="2"/>
          </w:tcPr>
          <w:p>
            <w:pPr>
              <w:jc w:val="right"/>
              <w:ind w:right="108"/>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5620" w:type="dxa"/>
            <w:vAlign w:val="bottom"/>
            <w:gridSpan w:val="5"/>
          </w:tcPr>
          <w:p>
            <w:pPr>
              <w:spacing w:after="0"/>
              <w:rPr>
                <w:sz w:val="24"/>
                <w:szCs w:val="24"/>
                <w:color w:val="auto"/>
              </w:rPr>
            </w:pPr>
          </w:p>
        </w:tc>
        <w:tc>
          <w:tcPr>
            <w:tcW w:w="460" w:type="dxa"/>
            <w:vAlign w:val="bottom"/>
            <w:gridSpan w:val="2"/>
          </w:tcPr>
          <w:p>
            <w:pPr>
              <w:jc w:val="right"/>
              <w:ind w:right="108"/>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40" w:type="dxa"/>
            <w:vAlign w:val="bottom"/>
            <w:gridSpan w:val="2"/>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1A.</w:t>
              </w:r>
            </w:hyperlink>
          </w:p>
        </w:tc>
        <w:tc>
          <w:tcPr>
            <w:tcW w:w="300" w:type="dxa"/>
            <w:vAlign w:val="bottom"/>
          </w:tcPr>
          <w:p>
            <w:pPr>
              <w:spacing w:after="0"/>
              <w:rPr>
                <w:sz w:val="24"/>
                <w:szCs w:val="24"/>
                <w:color w:val="auto"/>
              </w:rPr>
            </w:pPr>
          </w:p>
        </w:tc>
        <w:tc>
          <w:tcPr>
            <w:tcW w:w="696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46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60" w:type="dxa"/>
            <w:vAlign w:val="bottom"/>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Submission of Matters to a Vote of Security Holders</w:t>
              </w:r>
            </w:hyperlink>
          </w:p>
        </w:tc>
        <w:tc>
          <w:tcPr>
            <w:tcW w:w="460" w:type="dxa"/>
            <w:vAlign w:val="bottom"/>
            <w:gridSpan w:val="2"/>
          </w:tcPr>
          <w:p>
            <w:pPr>
              <w:jc w:val="right"/>
              <w:ind w:right="108"/>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Exhibits</w:t>
              </w:r>
            </w:hyperlink>
          </w:p>
        </w:tc>
        <w:tc>
          <w:tcPr>
            <w:tcW w:w="3160" w:type="dxa"/>
            <w:vAlign w:val="bottom"/>
            <w:tcBorders>
              <w:top w:val="single" w:sz="8" w:color="0000EE"/>
            </w:tcBorders>
            <w:gridSpan w:val="5"/>
          </w:tcPr>
          <w:p>
            <w:pPr>
              <w:spacing w:after="0"/>
              <w:rPr>
                <w:sz w:val="24"/>
                <w:szCs w:val="24"/>
                <w:color w:val="auto"/>
              </w:rPr>
            </w:pPr>
          </w:p>
        </w:tc>
        <w:tc>
          <w:tcPr>
            <w:tcW w:w="3200" w:type="dxa"/>
            <w:vAlign w:val="bottom"/>
            <w:gridSpan w:val="2"/>
          </w:tcPr>
          <w:p>
            <w:pPr>
              <w:spacing w:after="0"/>
              <w:rPr>
                <w:sz w:val="24"/>
                <w:szCs w:val="24"/>
                <w:color w:val="auto"/>
              </w:rPr>
            </w:pPr>
          </w:p>
        </w:tc>
        <w:tc>
          <w:tcPr>
            <w:tcW w:w="460" w:type="dxa"/>
            <w:vAlign w:val="bottom"/>
            <w:gridSpan w:val="2"/>
          </w:tcPr>
          <w:p>
            <w:pPr>
              <w:jc w:val="right"/>
              <w:ind w:right="108"/>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gridSpan w:val="9"/>
          </w:tcPr>
          <w:p>
            <w:pPr>
              <w:jc w:val="center"/>
              <w:ind w:left="279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21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40" w:type="dxa"/>
            <w:vAlign w:val="bottom"/>
            <w:gridSpan w:val="3"/>
          </w:tcPr>
          <w:p>
            <w:pPr>
              <w:jc w:val="center"/>
              <w:ind w:left="475"/>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60" w:type="dxa"/>
            <w:vAlign w:val="bottom"/>
            <w:gridSpan w:val="9"/>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40" w:type="dxa"/>
            <w:vAlign w:val="bottom"/>
            <w:gridSpan w:val="3"/>
          </w:tcPr>
          <w:p>
            <w:pPr>
              <w:jc w:val="center"/>
              <w:ind w:left="495"/>
              <w:spacing w:after="0"/>
              <w:rPr>
                <w:sz w:val="20"/>
                <w:szCs w:val="20"/>
                <w:color w:val="auto"/>
              </w:rPr>
            </w:pPr>
            <w:r>
              <w:rPr>
                <w:rFonts w:ascii="Arial" w:cs="Arial" w:eastAsia="Arial" w:hAnsi="Arial"/>
                <w:sz w:val="18"/>
                <w:szCs w:val="18"/>
                <w:b w:val="1"/>
                <w:bCs w:val="1"/>
                <w:color w:val="auto"/>
              </w:rPr>
              <w:t>WIRELESS FACILITIES, INC.</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40" w:type="dxa"/>
            <w:vAlign w:val="bottom"/>
            <w:gridSpan w:val="3"/>
          </w:tcPr>
          <w:p>
            <w:pPr>
              <w:jc w:val="center"/>
              <w:ind w:left="495"/>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40" w:type="dxa"/>
            <w:vAlign w:val="bottom"/>
            <w:gridSpan w:val="3"/>
          </w:tcPr>
          <w:p>
            <w:pPr>
              <w:jc w:val="center"/>
              <w:ind w:left="495"/>
              <w:spacing w:after="0"/>
              <w:rPr>
                <w:sz w:val="20"/>
                <w:szCs w:val="20"/>
                <w:color w:val="auto"/>
              </w:rPr>
            </w:pPr>
            <w:r>
              <w:rPr>
                <w:rFonts w:ascii="Arial" w:cs="Arial" w:eastAsia="Arial" w:hAnsi="Arial"/>
                <w:sz w:val="18"/>
                <w:szCs w:val="18"/>
                <w:b w:val="1"/>
                <w:bCs w:val="1"/>
                <w:color w:val="auto"/>
                <w:w w:val="89"/>
              </w:rPr>
              <w:t>(in millions, except par value and number of shares)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2220" w:type="dxa"/>
            <w:vAlign w:val="bottom"/>
            <w:gridSpan w:val="7"/>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Borders>
              <w:right w:val="single" w:sz="8" w:color="CCEEFF"/>
            </w:tcBorders>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940" w:type="dxa"/>
            <w:vAlign w:val="bottom"/>
            <w:tcBorders>
              <w:top w:val="single" w:sz="8" w:color="CCEEFF"/>
            </w:tcBorders>
            <w:gridSpan w:val="3"/>
            <w:shd w:val="clear" w:color="auto" w:fill="CCEEFF"/>
          </w:tcPr>
          <w:p>
            <w:pPr>
              <w:jc w:val="center"/>
              <w:ind w:right="1480"/>
              <w:spacing w:after="0" w:line="155"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109.6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104.4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Note receivable</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Employee loans and advances, net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Current assets of discontinued operations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60" w:type="dxa"/>
            <w:vAlign w:val="bottom"/>
            <w:gridSpan w:val="6"/>
          </w:tcPr>
          <w:p>
            <w:pPr>
              <w:ind w:left="20"/>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85"/>
              </w:rPr>
              <w:t>176.5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96"/>
              </w:rPr>
              <w:t>141.2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right w:val="single" w:sz="8" w:color="CCEEFF"/>
            </w:tcBorders>
          </w:tcPr>
          <w:p>
            <w:pPr>
              <w:spacing w:after="0"/>
              <w:rPr>
                <w:sz w:val="19"/>
                <w:szCs w:val="19"/>
                <w:color w:val="auto"/>
              </w:rPr>
            </w:pPr>
          </w:p>
        </w:tc>
        <w:tc>
          <w:tcPr>
            <w:tcW w:w="63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119.9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119.9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spacing w:after="0"/>
              <w:rPr>
                <w:sz w:val="20"/>
                <w:szCs w:val="20"/>
                <w:color w:val="auto"/>
              </w:rPr>
            </w:pPr>
            <w:r>
              <w:rPr>
                <w:rFonts w:ascii="Arial" w:cs="Arial" w:eastAsia="Arial" w:hAnsi="Arial"/>
                <w:sz w:val="14"/>
                <w:szCs w:val="14"/>
                <w:color w:val="auto"/>
              </w:rPr>
              <w:t>Deferred tax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Non current assets of discontinued operations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060" w:type="dxa"/>
            <w:vAlign w:val="bottom"/>
            <w:tcBorders>
              <w:bottom w:val="single" w:sz="8" w:color="CCEEFF"/>
            </w:tcBorders>
            <w:gridSpan w:val="6"/>
          </w:tcPr>
          <w:p>
            <w:pPr>
              <w:ind w:left="20"/>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336.3</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gridSpan w:val="2"/>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299.1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Borders>
              <w:right w:val="single" w:sz="8" w:color="CCEEFF"/>
            </w:tcBorders>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CCEEFF"/>
            </w:tcBorders>
            <w:gridSpan w:val="3"/>
            <w:shd w:val="clear" w:color="auto" w:fill="CCEEFF"/>
          </w:tcPr>
          <w:p>
            <w:pPr>
              <w:jc w:val="center"/>
              <w:ind w:right="1480"/>
              <w:spacing w:after="0"/>
              <w:rPr>
                <w:sz w:val="20"/>
                <w:szCs w:val="20"/>
                <w:color w:val="auto"/>
              </w:rPr>
            </w:pPr>
            <w:r>
              <w:rPr>
                <w:rFonts w:ascii="Arial" w:cs="Arial" w:eastAsia="Arial" w:hAnsi="Arial"/>
                <w:sz w:val="14"/>
                <w:szCs w:val="14"/>
                <w:b w:val="1"/>
                <w:bCs w:val="1"/>
                <w:color w:val="auto"/>
                <w:w w:val="93"/>
              </w:rPr>
              <w:t>Liabilities and 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18.0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Accounts payable—related party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Line of credit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Billings in excess of costs on completed contracts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Deferred tax liabilities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Tax contingencies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Accrual for contingent acquisition consideration</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Accrual for unused office space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Capital lease obligations and other short-term debt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Current liabilities of discontinued operations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60" w:type="dxa"/>
            <w:vAlign w:val="bottom"/>
            <w:gridSpan w:val="6"/>
          </w:tcPr>
          <w:p>
            <w:pPr>
              <w:ind w:left="20"/>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85"/>
              </w:rPr>
              <w:t>102.8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right w:val="single" w:sz="8" w:color="CCEEFF"/>
            </w:tcBorders>
          </w:tcPr>
          <w:p>
            <w:pPr>
              <w:spacing w:after="0"/>
              <w:rPr>
                <w:sz w:val="19"/>
                <w:szCs w:val="19"/>
                <w:color w:val="auto"/>
              </w:rPr>
            </w:pPr>
          </w:p>
        </w:tc>
        <w:tc>
          <w:tcPr>
            <w:tcW w:w="63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Capital lease obligations and debt, net of current portion</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spacing w:after="0"/>
              <w:rPr>
                <w:sz w:val="20"/>
                <w:szCs w:val="20"/>
                <w:color w:val="auto"/>
              </w:rPr>
            </w:pPr>
            <w:r>
              <w:rPr>
                <w:rFonts w:ascii="Arial" w:cs="Arial" w:eastAsia="Arial" w:hAnsi="Arial"/>
                <w:sz w:val="14"/>
                <w:szCs w:val="14"/>
                <w:color w:val="auto"/>
              </w:rPr>
              <w:t>Accrual for unused office space, net of current portion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tcBorders>
              <w:bottom w:val="single" w:sz="8" w:color="CCEEFF"/>
            </w:tcBorders>
            <w:gridSpan w:val="7"/>
          </w:tcPr>
          <w:p>
            <w:pPr>
              <w:spacing w:after="0"/>
              <w:rPr>
                <w:sz w:val="20"/>
                <w:szCs w:val="20"/>
                <w:color w:val="auto"/>
              </w:rPr>
            </w:pPr>
            <w:r>
              <w:rPr>
                <w:rFonts w:ascii="Arial" w:cs="Arial" w:eastAsia="Arial" w:hAnsi="Arial"/>
                <w:sz w:val="14"/>
                <w:szCs w:val="14"/>
                <w:color w:val="auto"/>
              </w:rPr>
              <w:t>Other long term liabilities of discontinued operations</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Borders>
              <w:right w:val="single" w:sz="8" w:color="CCEEFF"/>
            </w:tcBorders>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060" w:type="dxa"/>
            <w:vAlign w:val="bottom"/>
            <w:tcBorders>
              <w:bottom w:val="single" w:sz="8" w:color="CCEEFF"/>
            </w:tcBorders>
            <w:gridSpan w:val="6"/>
            <w:shd w:val="clear" w:color="auto" w:fill="CCEEFF"/>
          </w:tcPr>
          <w:p>
            <w:pPr>
              <w:ind w:left="20"/>
              <w:spacing w:after="0" w:line="155" w:lineRule="exact"/>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5"/>
              </w:rPr>
              <w:t>106.0</w:t>
            </w:r>
          </w:p>
        </w:tc>
        <w:tc>
          <w:tcPr>
            <w:tcW w:w="2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60" w:type="dxa"/>
            <w:vAlign w:val="bottom"/>
            <w:gridSpan w:val="8"/>
            <w:vMerge w:val="restart"/>
          </w:tcPr>
          <w:p>
            <w:pPr>
              <w:ind w:left="560"/>
              <w:spacing w:after="0"/>
              <w:rPr>
                <w:sz w:val="20"/>
                <w:szCs w:val="20"/>
                <w:color w:val="auto"/>
              </w:rPr>
            </w:pPr>
            <w:r>
              <w:rPr>
                <w:rFonts w:ascii="Arial" w:cs="Arial" w:eastAsia="Arial" w:hAnsi="Arial"/>
                <w:sz w:val="14"/>
                <w:szCs w:val="14"/>
                <w:color w:val="auto"/>
              </w:rPr>
              <w:t>Commitments and contingencies (Notes 7 and 11)</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960" w:type="dxa"/>
            <w:vAlign w:val="bottom"/>
            <w:gridSpan w:val="8"/>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right w:val="single" w:sz="8" w:color="CCEEFF"/>
            </w:tcBorders>
          </w:tcPr>
          <w:p>
            <w:pPr>
              <w:spacing w:after="0"/>
              <w:rPr>
                <w:sz w:val="18"/>
                <w:szCs w:val="18"/>
                <w:color w:val="auto"/>
              </w:rPr>
            </w:pPr>
          </w:p>
        </w:tc>
        <w:tc>
          <w:tcPr>
            <w:tcW w:w="63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360" w:type="dxa"/>
            <w:vAlign w:val="bottom"/>
            <w:gridSpan w:val="7"/>
          </w:tcPr>
          <w:p>
            <w:pPr>
              <w:ind w:left="140"/>
              <w:spacing w:after="0" w:line="143" w:lineRule="exact"/>
              <w:rPr>
                <w:sz w:val="20"/>
                <w:szCs w:val="20"/>
                <w:color w:val="auto"/>
              </w:rPr>
            </w:pPr>
            <w:r>
              <w:rPr>
                <w:rFonts w:ascii="Arial" w:cs="Arial" w:eastAsia="Arial" w:hAnsi="Arial"/>
                <w:sz w:val="14"/>
                <w:szCs w:val="14"/>
                <w:color w:val="auto"/>
              </w:rPr>
              <w:t>Preferred stock, 5,000,000 shares authorized, Series B Convertible Preferred Stock, $.001 par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60" w:type="dxa"/>
            <w:vAlign w:val="bottom"/>
            <w:gridSpan w:val="6"/>
          </w:tcPr>
          <w:p>
            <w:pPr>
              <w:ind w:left="20"/>
              <w:spacing w:after="0"/>
              <w:rPr>
                <w:sz w:val="20"/>
                <w:szCs w:val="20"/>
                <w:color w:val="auto"/>
              </w:rPr>
            </w:pPr>
            <w:r>
              <w:rPr>
                <w:rFonts w:ascii="Arial" w:cs="Arial" w:eastAsia="Arial" w:hAnsi="Arial"/>
                <w:sz w:val="14"/>
                <w:szCs w:val="14"/>
                <w:color w:val="auto"/>
                <w:w w:val="96"/>
              </w:rPr>
              <w:t>value; 25,483 and 10,000 shares outstanding at December 31, 2005 and June 30, 2006, respectively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60" w:type="dxa"/>
            <w:vAlign w:val="bottom"/>
            <w:gridSpan w:val="6"/>
          </w:tcPr>
          <w:p>
            <w:pPr>
              <w:ind w:left="20"/>
              <w:spacing w:after="0"/>
              <w:rPr>
                <w:sz w:val="20"/>
                <w:szCs w:val="20"/>
                <w:color w:val="auto"/>
              </w:rPr>
            </w:pPr>
            <w:r>
              <w:rPr>
                <w:rFonts w:ascii="Arial" w:cs="Arial" w:eastAsia="Arial" w:hAnsi="Arial"/>
                <w:sz w:val="14"/>
                <w:szCs w:val="14"/>
                <w:color w:val="auto"/>
              </w:rPr>
              <w:t>(liquidation preference $12.7 and $5.0, respectively)</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4"/>
          </w:tcPr>
          <w:p>
            <w:pPr>
              <w:jc w:val="right"/>
              <w:ind w:right="1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Borders>
              <w:right w:val="single" w:sz="8" w:color="CCEEFF"/>
            </w:tcBorders>
          </w:tcPr>
          <w:p>
            <w:pPr>
              <w:spacing w:after="0"/>
              <w:rPr>
                <w:sz w:val="12"/>
                <w:szCs w:val="12"/>
                <w:color w:val="auto"/>
              </w:rPr>
            </w:pPr>
          </w:p>
        </w:tc>
        <w:tc>
          <w:tcPr>
            <w:tcW w:w="6360" w:type="dxa"/>
            <w:vAlign w:val="bottom"/>
            <w:gridSpan w:val="7"/>
            <w:shd w:val="clear" w:color="auto" w:fill="CCEEFF"/>
          </w:tcPr>
          <w:p>
            <w:pPr>
              <w:ind w:left="140"/>
              <w:spacing w:after="0" w:line="143" w:lineRule="exact"/>
              <w:rPr>
                <w:sz w:val="20"/>
                <w:szCs w:val="20"/>
                <w:color w:val="auto"/>
              </w:rPr>
            </w:pPr>
            <w:r>
              <w:rPr>
                <w:rFonts w:ascii="Arial" w:cs="Arial" w:eastAsia="Arial" w:hAnsi="Arial"/>
                <w:sz w:val="14"/>
                <w:szCs w:val="14"/>
                <w:color w:val="auto"/>
                <w:w w:val="92"/>
              </w:rPr>
              <w:t>Common Stock, $.001 par value, 195,000,000 shares authorized; 72,188,449 and 73,881,260 shares issued</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Borders>
              <w:right w:val="single" w:sz="8" w:color="CCEEFF"/>
            </w:tcBorders>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60" w:type="dxa"/>
            <w:vAlign w:val="bottom"/>
            <w:gridSpan w:val="6"/>
            <w:shd w:val="clear" w:color="auto" w:fill="CCEEFF"/>
          </w:tcPr>
          <w:p>
            <w:pPr>
              <w:ind w:left="20"/>
              <w:spacing w:after="0"/>
              <w:rPr>
                <w:sz w:val="20"/>
                <w:szCs w:val="20"/>
                <w:color w:val="auto"/>
              </w:rPr>
            </w:pPr>
            <w:r>
              <w:rPr>
                <w:rFonts w:ascii="Arial" w:cs="Arial" w:eastAsia="Arial" w:hAnsi="Arial"/>
                <w:sz w:val="14"/>
                <w:szCs w:val="14"/>
                <w:color w:val="auto"/>
              </w:rPr>
              <w:t>and outstanding at December 31, 2005 and June 30, 2006, respectively</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324.9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327.1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right w:val="single" w:sz="8" w:color="CCEEFF"/>
            </w:tcBorders>
          </w:tcPr>
          <w:p>
            <w:pPr>
              <w:spacing w:after="0"/>
              <w:rPr>
                <w:sz w:val="14"/>
                <w:szCs w:val="14"/>
                <w:color w:val="auto"/>
              </w:rPr>
            </w:pPr>
          </w:p>
        </w:tc>
        <w:tc>
          <w:tcPr>
            <w:tcW w:w="63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8"/>
              </w:rPr>
              <w:t>(91.7)</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CEEFF"/>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gridSpan w:val="7"/>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Borders>
              <w:right w:val="single" w:sz="8" w:color="CCEEFF"/>
            </w:tcBorders>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060" w:type="dxa"/>
            <w:vAlign w:val="bottom"/>
            <w:tcBorders>
              <w:top w:val="single" w:sz="8" w:color="CCEEFF"/>
            </w:tcBorders>
            <w:gridSpan w:val="6"/>
            <w:shd w:val="clear" w:color="auto" w:fill="CCEEFF"/>
          </w:tcPr>
          <w:p>
            <w:pPr>
              <w:ind w:left="20"/>
              <w:spacing w:after="0" w:line="155" w:lineRule="exact"/>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5"/>
              </w:rPr>
              <w:t>230.3</w:t>
            </w: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232.3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60" w:type="dxa"/>
            <w:vAlign w:val="bottom"/>
            <w:gridSpan w:val="6"/>
          </w:tcPr>
          <w:p>
            <w:pPr>
              <w:ind w:left="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85"/>
              </w:rPr>
              <w:t>336.3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96"/>
              </w:rPr>
              <w:t>299.1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-7110730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-7110730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257"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WIRELESS FACILITIES, INC.</w:t>
      </w:r>
    </w:p>
    <w:p>
      <w:pPr>
        <w:sectPr>
          <w:pgSz w:w="11900" w:h="16838" w:orient="portrait"/>
          <w:cols w:equalWidth="0" w:num="1">
            <w:col w:w="11460"/>
          </w:cols>
          <w:pgMar w:left="240" w:top="257" w:right="199"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8"/>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95.3</w:t>
            </w:r>
          </w:p>
        </w:tc>
        <w:tc>
          <w:tcPr>
            <w:tcW w:w="10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73.4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21.9</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Pr>
          <w:p>
            <w:pPr>
              <w:spacing w:after="0" w:line="196"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Foreign currency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Impairment of investment in unconsolidated affiliate and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net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5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96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0.03</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(0.01)</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(0.01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0.03</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(0.01)</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(0.01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73.9</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74.8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millions)</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Six months ended</w:t>
            </w:r>
          </w:p>
        </w:tc>
      </w:tr>
      <w:tr>
        <w:trPr>
          <w:trHeight w:val="162"/>
        </w:trPr>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r>
      <w:tr>
        <w:trPr>
          <w:trHeight w:val="129"/>
        </w:trPr>
        <w:tc>
          <w:tcPr>
            <w:tcW w:w="68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2005</w:t>
            </w:r>
          </w:p>
        </w:tc>
        <w:tc>
          <w:tcPr>
            <w:tcW w:w="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r>
      <w:tr>
        <w:trPr>
          <w:trHeight w:val="183"/>
        </w:trPr>
        <w:tc>
          <w:tcPr>
            <w:tcW w:w="6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960" w:type="dxa"/>
            <w:vAlign w:val="bottom"/>
            <w:gridSpan w:val="2"/>
          </w:tcPr>
          <w:p>
            <w:pPr>
              <w:ind w:left="180"/>
              <w:spacing w:after="0"/>
              <w:rPr>
                <w:sz w:val="20"/>
                <w:szCs w:val="20"/>
                <w:color w:val="auto"/>
              </w:rPr>
            </w:pPr>
            <w:r>
              <w:rPr>
                <w:rFonts w:ascii="Arial" w:cs="Arial" w:eastAsia="Arial" w:hAnsi="Arial"/>
                <w:sz w:val="16"/>
                <w:szCs w:val="16"/>
                <w:color w:val="auto"/>
              </w:rPr>
              <w:t>Net income (loss) from continuing operations</w:t>
            </w:r>
          </w:p>
        </w:tc>
        <w:tc>
          <w:tcPr>
            <w:tcW w:w="480" w:type="dxa"/>
            <w:vAlign w:val="bottom"/>
          </w:tcPr>
          <w:p>
            <w:pPr>
              <w:jc w:val="right"/>
              <w:spacing w:after="0"/>
              <w:rPr>
                <w:sz w:val="20"/>
                <w:szCs w:val="20"/>
                <w:color w:val="auto"/>
              </w:rPr>
            </w:pPr>
            <w:r>
              <w:rPr>
                <w:rFonts w:ascii="Arial" w:cs="Arial" w:eastAsia="Arial" w:hAnsi="Arial"/>
                <w:sz w:val="16"/>
                <w:szCs w:val="16"/>
                <w:color w:val="auto"/>
              </w:rPr>
              <w:t>$  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 (1.4)</w:t>
            </w: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Net loss on disposition of fixed assets</w:t>
            </w: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Changes in assets and liabilities, net of acquisitions: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ind w:left="540"/>
              <w:spacing w:after="0"/>
              <w:rPr>
                <w:sz w:val="20"/>
                <w:szCs w:val="20"/>
                <w:color w:val="auto"/>
              </w:rPr>
            </w:pPr>
            <w:r>
              <w:rPr>
                <w:rFonts w:ascii="Arial" w:cs="Arial" w:eastAsia="Arial" w:hAnsi="Arial"/>
                <w:sz w:val="16"/>
                <w:szCs w:val="16"/>
                <w:color w:val="auto"/>
              </w:rPr>
              <w:t>Prepaid expenses</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Other assets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ind w:left="540"/>
              <w:spacing w:after="0"/>
              <w:rPr>
                <w:sz w:val="20"/>
                <w:szCs w:val="20"/>
                <w:color w:val="auto"/>
              </w:rPr>
            </w:pPr>
            <w:r>
              <w:rPr>
                <w:rFonts w:ascii="Arial" w:cs="Arial" w:eastAsia="Arial" w:hAnsi="Arial"/>
                <w:sz w:val="16"/>
                <w:szCs w:val="16"/>
                <w:color w:val="auto"/>
              </w:rPr>
              <w:t>Accounts payable</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Accrued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ind w:left="540"/>
              <w:spacing w:after="0"/>
              <w:rPr>
                <w:sz w:val="20"/>
                <w:szCs w:val="20"/>
                <w:color w:val="auto"/>
              </w:rPr>
            </w:pPr>
            <w:r>
              <w:rPr>
                <w:rFonts w:ascii="Arial" w:cs="Arial" w:eastAsia="Arial" w:hAnsi="Arial"/>
                <w:sz w:val="16"/>
                <w:szCs w:val="16"/>
                <w:color w:val="auto"/>
              </w:rPr>
              <w:t>Accrued compensation</w:t>
            </w:r>
          </w:p>
        </w:tc>
        <w:tc>
          <w:tcPr>
            <w:tcW w:w="4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Tax contingencies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ind w:left="540"/>
              <w:spacing w:after="0"/>
              <w:rPr>
                <w:sz w:val="20"/>
                <w:szCs w:val="20"/>
                <w:color w:val="auto"/>
              </w:rPr>
            </w:pPr>
            <w:r>
              <w:rPr>
                <w:rFonts w:ascii="Arial" w:cs="Arial" w:eastAsia="Arial" w:hAnsi="Arial"/>
                <w:sz w:val="16"/>
                <w:szCs w:val="16"/>
                <w:color w:val="auto"/>
              </w:rPr>
              <w:t>Accrued contingent acquisition consideration</w:t>
            </w:r>
          </w:p>
        </w:tc>
        <w:tc>
          <w:tcPr>
            <w:tcW w:w="7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Billings in excess of costs on completed contracts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ind w:left="540"/>
              <w:spacing w:after="0"/>
              <w:rPr>
                <w:sz w:val="20"/>
                <w:szCs w:val="20"/>
                <w:color w:val="auto"/>
              </w:rPr>
            </w:pPr>
            <w:r>
              <w:rPr>
                <w:rFonts w:ascii="Arial" w:cs="Arial" w:eastAsia="Arial" w:hAnsi="Arial"/>
                <w:sz w:val="16"/>
                <w:szCs w:val="16"/>
                <w:color w:val="auto"/>
              </w:rPr>
              <w:t>Accrual for unused office space</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r>
      <w:tr>
        <w:trPr>
          <w:trHeight w:val="203"/>
        </w:trPr>
        <w:tc>
          <w:tcPr>
            <w:tcW w:w="6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Income tax payable</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6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Other liabilities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spacing w:after="0"/>
              <w:rPr>
                <w:sz w:val="17"/>
                <w:szCs w:val="17"/>
                <w:color w:val="auto"/>
              </w:rPr>
            </w:pPr>
          </w:p>
        </w:tc>
      </w:tr>
      <w:tr>
        <w:trPr>
          <w:trHeight w:val="196"/>
        </w:trPr>
        <w:tc>
          <w:tcPr>
            <w:tcW w:w="6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 continuing operations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r>
      <w:tr>
        <w:trPr>
          <w:trHeight w:val="247"/>
        </w:trPr>
        <w:tc>
          <w:tcPr>
            <w:tcW w:w="6960" w:type="dxa"/>
            <w:vAlign w:val="bottom"/>
            <w:gridSpan w:val="2"/>
          </w:tcPr>
          <w:p>
            <w:pPr>
              <w:spacing w:after="0"/>
              <w:rPr>
                <w:sz w:val="20"/>
                <w:szCs w:val="20"/>
                <w:color w:val="auto"/>
              </w:rPr>
            </w:pPr>
            <w:r>
              <w:rPr>
                <w:rFonts w:ascii="Arial" w:cs="Arial" w:eastAsia="Arial" w:hAnsi="Arial"/>
                <w:sz w:val="16"/>
                <w:szCs w:val="16"/>
                <w:color w:val="auto"/>
              </w:rPr>
              <w:t>Investing activities:</w:t>
            </w: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6"/>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Sale/maturity of short-term investments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06"/>
        </w:trPr>
        <w:tc>
          <w:tcPr>
            <w:tcW w:w="6960" w:type="dxa"/>
            <w:vAlign w:val="bottom"/>
            <w:gridSpan w:val="2"/>
          </w:tcPr>
          <w:p>
            <w:pPr>
              <w:ind w:left="180"/>
              <w:spacing w:after="0"/>
              <w:rPr>
                <w:sz w:val="20"/>
                <w:szCs w:val="20"/>
                <w:color w:val="auto"/>
              </w:rPr>
            </w:pPr>
            <w:r>
              <w:rPr>
                <w:rFonts w:ascii="Arial" w:cs="Arial" w:eastAsia="Arial" w:hAnsi="Arial"/>
                <w:sz w:val="16"/>
                <w:szCs w:val="16"/>
                <w:color w:val="auto"/>
              </w:rPr>
              <w:t>Cash paid for contingent acquisition consideration</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r>
    </w:tbl>
    <w:p>
      <w:pPr>
        <w:sectPr>
          <w:pgSz w:w="11900" w:h="16838" w:orient="portrait"/>
          <w:cols w:equalWidth="0" w:num="1">
            <w:col w:w="9019"/>
          </w:cols>
          <w:pgMar w:left="1440" w:top="121" w:right="1440" w:bottom="0" w:gutter="0" w:footer="0" w:header="0"/>
        </w:sectPr>
      </w:pPr>
    </w:p>
    <w:bookmarkStart w:id="3" w:name="page4"/>
    <w:bookmarkEnd w:id="3"/>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203"/>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disposition of discontinued operations</w:t>
            </w: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(33.4)</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8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(0.1)</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6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(3.5)</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4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vMerge w:val="continue"/>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47"/>
        </w:trPr>
        <w:tc>
          <w:tcPr>
            <w:tcW w:w="6960" w:type="dxa"/>
            <w:vAlign w:val="bottom"/>
          </w:tcPr>
          <w:p>
            <w:pPr>
              <w:spacing w:after="0"/>
              <w:rPr>
                <w:sz w:val="20"/>
                <w:szCs w:val="20"/>
                <w:color w:val="auto"/>
              </w:rPr>
            </w:pPr>
            <w:r>
              <w:rPr>
                <w:rFonts w:ascii="Arial" w:cs="Arial" w:eastAsia="Arial" w:hAnsi="Arial"/>
                <w:sz w:val="16"/>
                <w:szCs w:val="16"/>
                <w:color w:val="auto"/>
              </w:rPr>
              <w:t>Financing activities:</w:t>
            </w:r>
          </w:p>
        </w:tc>
        <w:tc>
          <w:tcPr>
            <w:tcW w:w="48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18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 under line of credit</w:t>
            </w: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180"/>
              <w:spacing w:after="0"/>
              <w:rPr>
                <w:sz w:val="20"/>
                <w:szCs w:val="20"/>
                <w:color w:val="auto"/>
              </w:rPr>
            </w:pPr>
            <w:r>
              <w:rPr>
                <w:rFonts w:ascii="Arial" w:cs="Arial" w:eastAsia="Arial" w:hAnsi="Arial"/>
                <w:sz w:val="16"/>
                <w:szCs w:val="16"/>
                <w:color w:val="auto"/>
              </w:rPr>
              <w:t>Repayment under line of credit</w:t>
            </w:r>
          </w:p>
        </w:tc>
        <w:tc>
          <w:tcPr>
            <w:tcW w:w="8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capital lease obligations</w:t>
            </w:r>
          </w:p>
        </w:tc>
        <w:tc>
          <w:tcPr>
            <w:tcW w:w="8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Cash flows of discontinued operations (Revised see Note 1(l))</w:t>
            </w:r>
          </w:p>
        </w:tc>
        <w:tc>
          <w:tcPr>
            <w:tcW w:w="48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180"/>
              <w:spacing w:after="0"/>
              <w:rPr>
                <w:sz w:val="20"/>
                <w:szCs w:val="20"/>
                <w:color w:val="auto"/>
              </w:rPr>
            </w:pPr>
            <w:r>
              <w:rPr>
                <w:rFonts w:ascii="Arial" w:cs="Arial" w:eastAsia="Arial" w:hAnsi="Arial"/>
                <w:sz w:val="16"/>
                <w:szCs w:val="16"/>
                <w:color w:val="auto"/>
              </w:rPr>
              <w:t>Operating cash flows</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(8.3)</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Investing cash flows</w:t>
            </w:r>
          </w:p>
        </w:tc>
        <w:tc>
          <w:tcPr>
            <w:tcW w:w="8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(0.4)</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540"/>
              <w:spacing w:after="0"/>
              <w:rPr>
                <w:sz w:val="20"/>
                <w:szCs w:val="20"/>
                <w:color w:val="auto"/>
              </w:rPr>
            </w:pPr>
            <w:r>
              <w:rPr>
                <w:rFonts w:ascii="Arial" w:cs="Arial" w:eastAsia="Arial" w:hAnsi="Arial"/>
                <w:sz w:val="16"/>
                <w:szCs w:val="16"/>
                <w:color w:val="auto"/>
              </w:rPr>
              <w:t>Net cash flows of discontinued operations</w:t>
            </w: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vMerge w:val="continue"/>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(8.7)</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4"/>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 of exchange rate on cash and cash equivalents</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80" w:type="dxa"/>
            <w:vAlign w:val="bottom"/>
            <w:tcBorders>
              <w:top w:val="single" w:sz="8" w:color="CCEEFF"/>
              <w:right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96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(35.9)</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3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$ 16.1</w:t>
            </w:r>
          </w:p>
        </w:tc>
        <w:tc>
          <w:tcPr>
            <w:tcW w:w="3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0"/>
              </w:rPr>
              <w:t>$ 11.6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Description of Business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Wireless Facilities, Inc. (“WFI”) was initially incorporated in the state of New York on December 19, 1994, commenced operations in March 1995 and was reincorporated in Delaware in 1998. WFI conducts business in three segments: Wireless Network Services, Government Network Services and Enterprise Network Services. WFI is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(which is operated through WFI’s wholly-owned subsidiary, WFI Government Services, Inc.), and enterprise customers through its Enterprise Network Services division (“ENS”).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w:t>
      </w:r>
    </w:p>
    <w:p>
      <w:pPr>
        <w:spacing w:after="0" w:line="117" w:lineRule="exact"/>
        <w:rPr>
          <w:sz w:val="20"/>
          <w:szCs w:val="20"/>
          <w:color w:val="auto"/>
        </w:rPr>
      </w:pPr>
    </w:p>
    <w:p>
      <w:pPr>
        <w:ind w:right="320" w:firstLine="360"/>
        <w:spacing w:after="0" w:line="284" w:lineRule="auto"/>
        <w:rPr>
          <w:sz w:val="20"/>
          <w:szCs w:val="20"/>
          <w:color w:val="auto"/>
        </w:rPr>
      </w:pPr>
      <w:r>
        <w:rPr>
          <w:rFonts w:ascii="Arial" w:cs="Arial" w:eastAsia="Arial" w:hAnsi="Arial"/>
          <w:sz w:val="16"/>
          <w:szCs w:val="16"/>
          <w:color w:val="auto"/>
        </w:rPr>
        <w:t>The information as of June 30, 2006, and for the three months and six months ended June 30, 2005 and 2006 is unaudited. In the opinion of management, these unaudited consolidated financial statements include all adjustments, consisting of normal recurring adjustments, necessary for a fair presentation of our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These unaudited consolidated financial statements should be read in conjunction with the consolidated financial statements and the related notes included in WFI’s annual consolidated financial statements for the year ended December 31, 2005, filed on</w:t>
      </w:r>
    </w:p>
    <w:p>
      <w:pPr>
        <w:spacing w:after="0" w:line="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Form 10-K on April 3, 2006 with the United States Securities and Exchange Commission. Interim operating results are not necessarily indicative of operating results expected in subsequent periods or for the year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consolidated financial statements include the accounts of WFI and its wholly-owned and majority-owned subsidiaries. WFI and its subsidiaries are collectively referred to herein as the “Company.”</w:t>
      </w:r>
    </w:p>
    <w:p>
      <w:pPr>
        <w:spacing w:after="0" w:line="6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2003, the Company acquired three privately-held companies as part of its Enterprise Network Solutions segment (now Enterprise Network Services) which provides voice, data, security, system design, deployment, integration and monitoring for enterprise networks. In 2004, the Company acquired two privately-held companies as part of its Government Network Services segment which provides systems engineering, systems integration and the outsourcing of technical services such as operational test and evaluation and program management. In 2005, the Company acquired one privately-held company as part of its Government Network Services segment which provides services including network engineering, network infrastructure support, information assurance, application development, and managed services, including network maintenance and monitoring, to government agencies. See Note 6 for additional details regarding these acquisitions.</w:t>
      </w:r>
    </w:p>
    <w:p>
      <w:pPr>
        <w:spacing w:after="0" w:line="8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All inter-company transactions have been eliminated in consolidation. Investments in unconsolidated affiliates are accounted for using the cost method and equity method. The cost method is used for companies in which the Company owns less than 20% and for which the Company has no significant influence.</w:t>
      </w:r>
    </w:p>
    <w:p>
      <w:pPr>
        <w:sectPr>
          <w:pgSz w:w="11900" w:h="16838" w:orient="portrait"/>
          <w:cols w:equalWidth="0" w:num="1">
            <w:col w:w="11420"/>
          </w:cols>
          <w:pgMar w:left="240" w:top="153" w:right="239" w:bottom="408"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53" w:right="239" w:bottom="408"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i w:val="1"/>
          <w:iCs w:val="1"/>
          <w:color w:val="auto"/>
        </w:rPr>
        <w:t>(d) Fiscal Calendar</w:t>
      </w:r>
    </w:p>
    <w:p>
      <w:pPr>
        <w:spacing w:after="0" w:line="117"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The Company operates and reports using a 52-53 week fiscal year ending the last Friday in December. As a result, a fifty-third week is added every five or six years. Our 52 week fiscal year consists of four equal quarters of 13 weeks each, and our 53 week fiscal year consists of three 13 week quarters and one 14 week quarter. The financial results for our 53 week fiscal years and our 14 week fiscal quarters will not be exactly comparable to our 52 week fiscal years and our 13 week fiscal quarters. However, the 2005 and 2006 quarters presented in this report on Form 10-Q have the same number of weeks. For presentation purposes, all fiscal periods presented or discussed in this report have been presented as ending on the last day of the nearest calendar month. For example, our second quarter in 2005 ended on July 1, 2005, but we present our quarter as ending on June 30, 2005.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Cash and Cash Equivalents and Short-Term Investments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cash equivalents consist of highly liquid investments with original maturities of three months or less when purchased by the Company.</w:t>
      </w:r>
    </w:p>
    <w:p>
      <w:pPr>
        <w:spacing w:after="0" w:line="14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the event the Company has investments, it evaluates such investments in accordance with the provisions of Statement of Financial Accounting Standards (SFAS) No. 115, “Accounting for Certain Investments in Debt and Equity Securities.” Based on the Company’s intent, investment policies and ability to liquidate debt securities maturing after one year during the one-year operating cycle, the Company classifies such short-term investment securities within current assets. Available-for-sale securities are carried at fair value, with unrealized gains and losses reported as a separate component of Stockholders’ Equity under the caption “Accumulated Other Comprehensive Income or Loss.” The amortized cost basis of debt securities is periodically adjusted for amortization of premiums and accretion of discounts to maturity. Such amortization is included as a component of interest income (expense). The amortized cost basis of securities sold is based on the specific identification method and all such realized gains and losses are recorded as a component within other income (expense), net. Interest and dividends on securities classified as available-for-sale are included in interest income. The cash and cash equivalents at June 30, 2006 were as follows (in millions):</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June 30, 2006</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02"/>
        </w:trPr>
        <w:tc>
          <w:tcPr>
            <w:tcW w:w="5600" w:type="dxa"/>
            <w:vAlign w:val="bottom"/>
          </w:tcPr>
          <w:p>
            <w:pPr>
              <w:spacing w:after="0"/>
              <w:rPr>
                <w:sz w:val="8"/>
                <w:szCs w:val="8"/>
                <w:color w:val="auto"/>
              </w:rPr>
            </w:pPr>
          </w:p>
        </w:tc>
        <w:tc>
          <w:tcPr>
            <w:tcW w:w="1240" w:type="dxa"/>
            <w:vAlign w:val="bottom"/>
            <w:gridSpan w:val="5"/>
          </w:tcPr>
          <w:p>
            <w:pPr>
              <w:jc w:val="center"/>
              <w:ind w:right="220"/>
              <w:spacing w:after="0" w:line="102" w:lineRule="exact"/>
              <w:rPr>
                <w:sz w:val="20"/>
                <w:szCs w:val="20"/>
                <w:color w:val="auto"/>
              </w:rPr>
            </w:pPr>
            <w:r>
              <w:rPr>
                <w:rFonts w:ascii="Arial" w:cs="Arial" w:eastAsia="Arial" w:hAnsi="Arial"/>
                <w:sz w:val="11"/>
                <w:szCs w:val="11"/>
                <w:b w:val="1"/>
                <w:bCs w:val="1"/>
                <w:color w:val="auto"/>
              </w:rPr>
              <w:t>Amortized Cost</w:t>
            </w:r>
          </w:p>
        </w:tc>
        <w:tc>
          <w:tcPr>
            <w:tcW w:w="780" w:type="dxa"/>
            <w:vAlign w:val="bottom"/>
            <w:gridSpan w:val="4"/>
          </w:tcPr>
          <w:p>
            <w:pPr>
              <w:jc w:val="center"/>
              <w:ind w:right="60"/>
              <w:spacing w:after="0" w:line="102" w:lineRule="exact"/>
              <w:rPr>
                <w:sz w:val="20"/>
                <w:szCs w:val="20"/>
                <w:color w:val="auto"/>
              </w:rPr>
            </w:pPr>
            <w:r>
              <w:rPr>
                <w:rFonts w:ascii="Arial" w:cs="Arial" w:eastAsia="Arial" w:hAnsi="Arial"/>
                <w:sz w:val="11"/>
                <w:szCs w:val="11"/>
                <w:b w:val="1"/>
                <w:bCs w:val="1"/>
                <w:color w:val="auto"/>
              </w:rPr>
              <w:t>Fair Value</w:t>
            </w:r>
          </w:p>
        </w:tc>
        <w:tc>
          <w:tcPr>
            <w:tcW w:w="60" w:type="dxa"/>
            <w:vAlign w:val="bottom"/>
          </w:tcPr>
          <w:p>
            <w:pPr>
              <w:spacing w:after="0"/>
              <w:rPr>
                <w:sz w:val="8"/>
                <w:szCs w:val="8"/>
                <w:color w:val="auto"/>
              </w:rPr>
            </w:pPr>
          </w:p>
        </w:tc>
      </w:tr>
      <w:tr>
        <w:trPr>
          <w:trHeight w:val="162"/>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4"/>
                <w:szCs w:val="14"/>
                <w:color w:val="auto"/>
              </w:rPr>
            </w:pPr>
          </w:p>
        </w:tc>
        <w:tc>
          <w:tcPr>
            <w:tcW w:w="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Basis</w:t>
            </w:r>
          </w:p>
        </w:tc>
      </w:tr>
      <w:tr>
        <w:trPr>
          <w:trHeight w:val="264"/>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and cash equivalents:</w:t>
            </w:r>
          </w:p>
        </w:tc>
        <w:tc>
          <w:tcPr>
            <w:tcW w:w="3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Cash</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5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11.6</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11.6</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11.6</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11.6</w:t>
            </w: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There were no net unrealized gains on short-term investments included as a component of stockholders’ equity at June 30, 2006. There were also no realized gains or losses recorded for the three and six months ended June 30,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Inventory</w:t>
      </w:r>
    </w:p>
    <w:p>
      <w:pPr>
        <w:spacing w:after="0" w:line="11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Inventories are stated at the lower of cost or market and are included in other current assets in the accompanying balance sheets. Cost typically includes materials. The Company regularly reviews inventory quantities on hand, future purchase commitments with its suppliers, and the estimated utility of its inventory. If the Company review indicates a reduction in utility below carrying value, it reduces its inventory to a new cost basis. As of June 30, 2006 and December 31, 2005, the Company had $1.8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and $1.1 million, respectively, of inventories which were reflected in Other Current Assets on the Consolidated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Revenue Recognition</w:t>
      </w:r>
    </w:p>
    <w:p>
      <w:pPr>
        <w:spacing w:after="0" w:line="117"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The Company provides services to customers under three primary types of contracts: fixed-price; time and materials; and cost reimbursables. The Company realizes a significant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In certain instances in which it is impractical to estimate the final outcome of the project margin, but it is certain that the Company will not incur a loss on the project, the Company may record revenue equal to cost incurred, at a zero profit margin. Once the estimate of the final outcome of the project margin is determined, the Company will record revenue using the percentage-of-completion method of accounting based on the ratio of total costs incurred to date compared to the estimated total costs to complete the project. The full amount of an estimated loss associated with a contract is accrued and charged to operations in the period it is determined that it is probable a loss will be realized from the performance of the contract.</w:t>
      </w:r>
    </w:p>
    <w:p>
      <w:pPr>
        <w:spacing w:after="0" w:line="80" w:lineRule="exact"/>
        <w:rPr>
          <w:sz w:val="20"/>
          <w:szCs w:val="20"/>
          <w:color w:val="auto"/>
        </w:rPr>
      </w:pPr>
    </w:p>
    <w:p>
      <w:pPr>
        <w:ind w:right="620" w:firstLine="360"/>
        <w:spacing w:after="0" w:line="264" w:lineRule="auto"/>
        <w:rPr>
          <w:sz w:val="20"/>
          <w:szCs w:val="20"/>
          <w:color w:val="auto"/>
        </w:rPr>
      </w:pPr>
      <w:r>
        <w:rPr>
          <w:rFonts w:ascii="Arial" w:cs="Arial" w:eastAsia="Arial" w:hAnsi="Arial"/>
          <w:sz w:val="18"/>
          <w:szCs w:val="18"/>
          <w:color w:val="auto"/>
        </w:rPr>
        <w:t>Significant management judgments and estimates, including the estimated costs to complete projects, which determine the project’s percent of completion and profit margin must be made and used in connection with the revenue recognized in any accounting period. In the future, the Company may realize actual results that differ from current estimates.</w:t>
      </w:r>
    </w:p>
    <w:p>
      <w:pPr>
        <w:spacing w:after="0" w:line="7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In the Company’s wireless network services business, the estimated contract value and costs are impacted by the estimated number and mix of site types that we may be assigned. If, in any period, we significantly increase or decrease our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for the quarter and six months ended June 30, 2006 and year ended December 31, 2005.</w:t>
      </w:r>
    </w:p>
    <w:p>
      <w:pPr>
        <w:sectPr>
          <w:pgSz w:w="11900" w:h="16838" w:orient="portrait"/>
          <w:cols w:equalWidth="0" w:num="1">
            <w:col w:w="11420"/>
          </w:cols>
          <w:pgMar w:left="240" w:top="125" w:right="239" w:bottom="0" w:gutter="0" w:footer="0" w:header="0"/>
        </w:sectPr>
      </w:pPr>
    </w:p>
    <w:bookmarkStart w:id="5" w:name="page6"/>
    <w:bookmarkEnd w:id="5"/>
    <w:p>
      <w:pPr>
        <w:ind w:right="20" w:firstLine="360"/>
        <w:spacing w:after="0" w:line="276" w:lineRule="auto"/>
        <w:rPr>
          <w:sz w:val="20"/>
          <w:szCs w:val="20"/>
          <w:color w:val="auto"/>
        </w:rPr>
      </w:pPr>
      <w:r>
        <w:rPr>
          <w:rFonts w:ascii="Arial" w:cs="Arial" w:eastAsia="Arial" w:hAnsi="Arial"/>
          <w:sz w:val="17"/>
          <w:szCs w:val="17"/>
          <w:color w:val="auto"/>
        </w:rPr>
        <w:t>Many of the Company’s contracts are master service agreements under which the Company is contracted to provide services to deploy a pre-determined and specific number of sites in specific geographic markets. These agreements are typically segmented into multiple projects to account for revenue under the guidelines of SOP 81-1. These contractual arrangements with the Company’s customers typically include milestone billings. The milestone billing clauses relate specifically to the timing of customer billings and payment schedules, and are independent of the Company’s right to payment and the timing of when revenue is recognized. Under the terms of substantially all of the Company’s contracts, if a</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compensate the Company for additional or excess costs incurred, whereby any scope reductions (i.e., reduction in original number of sites awarded) or other modifications are subject to reimbursement of costs incurred to date with a reasonable profit margin based on the contract value and completed work at that time. The inherent aforementioned risks associated with the presence of potential “partial milestone billings” or “reductions in scope” are reflected in the Company’s ongoing periodic assessment of the “total contract value” and the associated revenue recognized. Total net unbilled accounts receivable at December 31, 2005 and June 30, 2006 were $51.0 million and $51.9 million, respectively. The Company periodically performs work under authorizations to proceed or work orders from its customers for which a formal purchase order may not be received until after the work has commenced. As of June 30, 2006, approximately $8.6 million of the Company’s unbilled accounts receivable balance were under unapproved change orders or claims. The Company expects that substantially all of the unbilled balances as of December 31, 2005 and June 30, 2006 will be billed within one year as billing and performance milestones are achieved.</w:t>
      </w:r>
    </w:p>
    <w:p>
      <w:pPr>
        <w:spacing w:after="0" w:line="72" w:lineRule="exact"/>
        <w:rPr>
          <w:sz w:val="20"/>
          <w:szCs w:val="20"/>
          <w:color w:val="auto"/>
        </w:rPr>
      </w:pPr>
    </w:p>
    <w:p>
      <w:pPr>
        <w:ind w:right="220" w:firstLine="360"/>
        <w:spacing w:after="0" w:line="302" w:lineRule="auto"/>
        <w:rPr>
          <w:sz w:val="20"/>
          <w:szCs w:val="20"/>
          <w:color w:val="auto"/>
        </w:rPr>
      </w:pPr>
      <w:r>
        <w:rPr>
          <w:rFonts w:ascii="Arial" w:cs="Arial" w:eastAsia="Arial" w:hAnsi="Arial"/>
          <w:sz w:val="16"/>
          <w:szCs w:val="16"/>
          <w:color w:val="auto"/>
        </w:rPr>
        <w:t>Revenue from certain time and materials and fixed-price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46"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Company’s government network services business with the U.S. government and prime contractors to the U.S. government is generally performed under cost reimbursable plus fixed fee, fixed-price or time and material contracts. Cost reimbursable contracts for the government provide for reimbursement of costs plus the payment of a fee. The Company records the fee as costs are incurred. Under fixed-price contracts, the Company agrees to perform certain work for a fixed price. 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59"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39" w:lineRule="exact"/>
        <w:rPr>
          <w:sz w:val="20"/>
          <w:szCs w:val="20"/>
          <w:color w:val="auto"/>
        </w:rPr>
      </w:pPr>
    </w:p>
    <w:p>
      <w:pPr>
        <w:ind w:left="720" w:hanging="35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0" w:hanging="35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460" w:firstLine="360"/>
        <w:spacing w:after="0" w:line="302"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33" w:lineRule="exact"/>
        <w:rPr>
          <w:sz w:val="20"/>
          <w:szCs w:val="20"/>
          <w:color w:val="auto"/>
        </w:rPr>
      </w:pPr>
    </w:p>
    <w:p>
      <w:pPr>
        <w:ind w:right="200" w:firstLine="360"/>
        <w:spacing w:after="0" w:line="312" w:lineRule="auto"/>
        <w:rPr>
          <w:sz w:val="20"/>
          <w:szCs w:val="20"/>
          <w:color w:val="auto"/>
        </w:rPr>
      </w:pPr>
      <w:r>
        <w:rPr>
          <w:rFonts w:ascii="Arial" w:cs="Arial" w:eastAsia="Arial" w:hAnsi="Arial"/>
          <w:sz w:val="16"/>
          <w:szCs w:val="16"/>
          <w:color w:val="auto"/>
        </w:rPr>
        <w:t>The Company maintains a valuation allowance on the portion of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In assessing the realizability of deferred tax assets, management considers, on a periodic basis, whether it is more likely than not that some portion or all of the deferred tax assets will not be realized. For U.S. purposes, the Company is in a cumulative book tax profit position as of June 30, 2006 and consideration is given to future taxable income, including the reversal of temporary differences, in evaluating the recoverability of its U.S. deferred tax assets and the corresponding valuation allowance related to the assets. Unlike the Company’s U.S. tax position, its foreign operations are in a cumulative book loss position. Pursuant to the provisions of SFAS No. 109, “Accounting for Income Taxes,” limited consideration is given to the Company’s future foreign income in determining the recoverability of its foreign deferred tax assets and the related valuation allowance. Accordingly, management believes the current valuation allowance on deferred tax assets is sufficient and properly stated at June 30, 2006.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Comprehensive Income (Loss)</w:t>
      </w:r>
    </w:p>
    <w:p>
      <w:pPr>
        <w:spacing w:after="0" w:line="104"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Comprehensive income (loss) consists of net income and other gains and losses affecting shareholders’ investment that, under accounting principles generally accepted in the United States of America are excluded from net income.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comprehensive income (loss) are as follows:</w:t>
      </w:r>
    </w:p>
    <w:p>
      <w:pPr>
        <w:sectPr>
          <w:pgSz w:w="11900" w:h="16838" w:orient="portrait"/>
          <w:cols w:equalWidth="0" w:num="1">
            <w:col w:w="11400"/>
          </w:cols>
          <w:pgMar w:left="240" w:top="125" w:right="259" w:bottom="0" w:gutter="0" w:footer="0" w:header="0"/>
        </w:sectPr>
      </w:pPr>
    </w:p>
    <w:bookmarkStart w:id="6" w:name="page7"/>
    <w:bookmarkEnd w:id="6"/>
    <w:tbl>
      <w:tblPr>
        <w:tblLayout w:type="fixed"/>
        <w:tblInd w:w="18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For the Three</w:t>
            </w:r>
          </w:p>
        </w:tc>
        <w:tc>
          <w:tcPr>
            <w:tcW w:w="80" w:type="dxa"/>
            <w:vAlign w:val="bottom"/>
          </w:tcPr>
          <w:p>
            <w:pPr>
              <w:spacing w:after="0"/>
              <w:rPr>
                <w:sz w:val="14"/>
                <w:szCs w:val="14"/>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For the Six</w:t>
            </w:r>
          </w:p>
        </w:tc>
      </w:tr>
      <w:tr>
        <w:trPr>
          <w:trHeight w:val="135"/>
        </w:trPr>
        <w:tc>
          <w:tcPr>
            <w:tcW w:w="4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Months Ended</w:t>
            </w:r>
          </w:p>
        </w:tc>
        <w:tc>
          <w:tcPr>
            <w:tcW w:w="80" w:type="dxa"/>
            <w:vAlign w:val="bottom"/>
          </w:tcPr>
          <w:p>
            <w:pPr>
              <w:spacing w:after="0"/>
              <w:rPr>
                <w:sz w:val="11"/>
                <w:szCs w:val="11"/>
                <w:color w:val="auto"/>
              </w:rPr>
            </w:pPr>
          </w:p>
        </w:tc>
        <w:tc>
          <w:tcPr>
            <w:tcW w:w="1140" w:type="dxa"/>
            <w:vAlign w:val="bottom"/>
            <w:gridSpan w:val="4"/>
          </w:tcPr>
          <w:p>
            <w:pPr>
              <w:jc w:val="right"/>
              <w:ind w:right="200"/>
              <w:spacing w:after="0" w:line="135" w:lineRule="exact"/>
              <w:rPr>
                <w:sz w:val="20"/>
                <w:szCs w:val="20"/>
                <w:color w:val="auto"/>
              </w:rPr>
            </w:pPr>
            <w:r>
              <w:rPr>
                <w:rFonts w:ascii="Arial" w:cs="Arial" w:eastAsia="Arial" w:hAnsi="Arial"/>
                <w:sz w:val="14"/>
                <w:szCs w:val="14"/>
                <w:b w:val="1"/>
                <w:bCs w:val="1"/>
                <w:color w:val="auto"/>
                <w:w w:val="95"/>
              </w:rPr>
              <w:t>Months Ended</w:t>
            </w:r>
          </w:p>
        </w:tc>
      </w:tr>
      <w:tr>
        <w:trPr>
          <w:trHeight w:val="162"/>
        </w:trPr>
        <w:tc>
          <w:tcPr>
            <w:tcW w:w="4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June 30</w:t>
            </w:r>
          </w:p>
        </w:tc>
        <w:tc>
          <w:tcPr>
            <w:tcW w:w="80" w:type="dxa"/>
            <w:vAlign w:val="bottom"/>
          </w:tcPr>
          <w:p>
            <w:pPr>
              <w:spacing w:after="0"/>
              <w:rPr>
                <w:sz w:val="14"/>
                <w:szCs w:val="14"/>
                <w:color w:val="auto"/>
              </w:rPr>
            </w:pPr>
          </w:p>
        </w:tc>
        <w:tc>
          <w:tcPr>
            <w:tcW w:w="11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June 30</w:t>
            </w:r>
          </w:p>
        </w:tc>
      </w:tr>
      <w:tr>
        <w:trPr>
          <w:trHeight w:val="129"/>
        </w:trPr>
        <w:tc>
          <w:tcPr>
            <w:tcW w:w="492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2005</w:t>
            </w:r>
          </w:p>
        </w:tc>
        <w:tc>
          <w:tcPr>
            <w:tcW w:w="22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CCEEFF"/>
            </w:tcBorders>
          </w:tcPr>
          <w:p>
            <w:pPr>
              <w:spacing w:after="0"/>
              <w:rPr>
                <w:sz w:val="11"/>
                <w:szCs w:val="11"/>
                <w:color w:val="auto"/>
              </w:rPr>
            </w:pPr>
          </w:p>
        </w:tc>
      </w:tr>
      <w:tr>
        <w:trPr>
          <w:trHeight w:val="27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$ 6.9</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w:t>
            </w:r>
          </w:p>
        </w:tc>
      </w:tr>
      <w:tr>
        <w:trPr>
          <w:trHeight w:val="202"/>
        </w:trPr>
        <w:tc>
          <w:tcPr>
            <w:tcW w:w="4920" w:type="dxa"/>
            <w:vAlign w:val="bottom"/>
          </w:tcPr>
          <w:p>
            <w:pPr>
              <w:ind w:left="180"/>
              <w:spacing w:after="0" w:line="201" w:lineRule="exact"/>
              <w:rPr>
                <w:sz w:val="20"/>
                <w:szCs w:val="20"/>
                <w:color w:val="auto"/>
              </w:rPr>
            </w:pPr>
            <w:r>
              <w:rPr>
                <w:rFonts w:ascii="Arial" w:cs="Arial" w:eastAsia="Arial" w:hAnsi="Arial"/>
                <w:sz w:val="18"/>
                <w:szCs w:val="18"/>
                <w:color w:val="auto"/>
                <w:w w:val="97"/>
              </w:rPr>
              <w:t>Change in net unrealized gains/(losses) on available-for-sale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securities, net of tax and reclassification adjustments</w:t>
            </w:r>
          </w:p>
        </w:tc>
        <w:tc>
          <w:tcPr>
            <w:tcW w:w="4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10"/>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8"/>
                <w:szCs w:val="18"/>
                <w:color w:val="auto"/>
              </w:rPr>
            </w:pPr>
          </w:p>
        </w:tc>
      </w:tr>
      <w:tr>
        <w:trPr>
          <w:trHeight w:val="291"/>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 (loss)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$ 6.9</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(0.2)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components of accumulated other comprehensive income (loss):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0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2"/>
        </w:trPr>
        <w:tc>
          <w:tcPr>
            <w:tcW w:w="5240" w:type="dxa"/>
            <w:vAlign w:val="bottom"/>
            <w:tcBorders>
              <w:bottom w:val="single" w:sz="8" w:color="CCEEFF"/>
            </w:tcBorders>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2005</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7"/>
              </w:rPr>
              <w:t>Unrealized gains (losses) on available for-sale-securities, net of tax</w:t>
            </w:r>
          </w:p>
        </w:tc>
        <w:tc>
          <w:tcPr>
            <w:tcW w:w="3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Cumulative foreign currency translation adjustment</w:t>
            </w: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9</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600" w:type="dxa"/>
            <w:vAlign w:val="bottom"/>
            <w:vMerge w:val="restart"/>
          </w:tcPr>
          <w:p>
            <w:pPr>
              <w:jc w:val="right"/>
              <w:ind w:right="29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2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 Stock-based Compensation</w:t>
      </w:r>
    </w:p>
    <w:p>
      <w:pPr>
        <w:spacing w:after="0" w:line="144"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Effective January 1, 2006, the Company adopted the provisions of Statement of Financial Accounting Standards No. 123R (“SFAS 123R”), “Share-Based Payments,” which requires the measurement and recognition of compensation expense for all share-based payment awards to employees and directors based on estimated fair values. SFAS 123R supersedes the Company’s previous accounting methodology using the intrinsic value method under Accounting Principles Board Opinion APB No. 25, “Accounting for Stock Issued to Employees.” Under the intrinsic value method, no share-based compensation expense related to stock option awards granted to employees had been recognized in the Company’s Consolidated Statements of Operations, as all stock option awards granted under the plans had an exercise price equal to or greater than the market value of the common stock on the date of grant. The Company has no awards with market or performance conditions.</w:t>
      </w:r>
    </w:p>
    <w:p>
      <w:pPr>
        <w:spacing w:after="0" w:line="95" w:lineRule="exact"/>
        <w:rPr>
          <w:sz w:val="20"/>
          <w:szCs w:val="20"/>
          <w:color w:val="auto"/>
        </w:rPr>
      </w:pPr>
    </w:p>
    <w:p>
      <w:pPr>
        <w:ind w:right="200" w:firstLine="360"/>
        <w:spacing w:after="0" w:line="291" w:lineRule="auto"/>
        <w:rPr>
          <w:sz w:val="20"/>
          <w:szCs w:val="20"/>
          <w:color w:val="auto"/>
        </w:rPr>
      </w:pPr>
      <w:r>
        <w:rPr>
          <w:rFonts w:ascii="Arial" w:cs="Arial" w:eastAsia="Arial" w:hAnsi="Arial"/>
          <w:sz w:val="16"/>
          <w:szCs w:val="16"/>
          <w:color w:val="auto"/>
        </w:rPr>
        <w:t>The Company adopted SFAS 123R using the modified prospective transition method. Under this transition method, compensation expense recognized during the six months ended June 30, 2006 included: (a) compensation expense for all share-based awards granted prior to, but not yet vested, as of December 31, 2005, based on the grant date fair value estimated in accordance with the original provisions of SFAS 123, and (b) compensation expense for all share-based awards granted subsequent to December 31, 2005, based on the grant date fair value estimated in accordance with the provisions of SFAS 123R. In accordance with the modified prospective transition method, the Company’s consolidated financial statements for prior periods have not been restated to reflect the impact of SFAS 123R. The Company adopted SFAS 123R as of January 1, 2006 and had $0.8 million and $1.7 million related to non-vested equity awards that was expensed during the three and six months ended June 30, 2006, respectively.</w:t>
      </w:r>
    </w:p>
    <w:p>
      <w:pPr>
        <w:spacing w:after="0" w:line="73" w:lineRule="exact"/>
        <w:rPr>
          <w:sz w:val="20"/>
          <w:szCs w:val="20"/>
          <w:color w:val="auto"/>
        </w:rPr>
      </w:pPr>
    </w:p>
    <w:p>
      <w:pPr>
        <w:ind w:right="160" w:firstLine="360"/>
        <w:spacing w:after="0" w:line="308" w:lineRule="auto"/>
        <w:rPr>
          <w:sz w:val="20"/>
          <w:szCs w:val="20"/>
          <w:color w:val="auto"/>
        </w:rPr>
      </w:pPr>
      <w:r>
        <w:rPr>
          <w:rFonts w:ascii="Arial" w:cs="Arial" w:eastAsia="Arial" w:hAnsi="Arial"/>
          <w:sz w:val="17"/>
          <w:szCs w:val="17"/>
          <w:color w:val="auto"/>
        </w:rPr>
        <w:t>The Company had the following three stock option plans under which shares were available for grant at June 30, 2006: the 1999 Equity Incentive Plan (the “1999 Plan”), the 2000 Non-Statutory Stock Option Plan (the “2000 Plan”) and the 2005 Equity Incentive Plan (the “2005 Plan”).</w:t>
      </w:r>
    </w:p>
    <w:p>
      <w:pPr>
        <w:spacing w:after="0" w:line="66"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1999 Plan permits the granting of incentive stock options or non-statutory stock options which are exercisable for up to ten years after the grant date. The 2000 Plan permits the granting of non-statutory stock options, which are exercisable for a period following the date of grant as determined by the Board of Directors (generally ten years). The 2005 Plan permits the granting of incentive stock options, non-statutory stock options and other types of grants or awards, which are exercisable for up to ten years after the grant date. All stock options granted under these plans are granted at the fair market value on the date of grant and historically options have been granted with vesting over a 4 year period. A cumulative total of 15.9 million, 6.5 million and 3.5 million of common stock have been authorized for issuance under the 1999 Plan, 2000 Plan and 2005 Plan, respectively.</w:t>
      </w:r>
    </w:p>
    <w:p>
      <w:pPr>
        <w:spacing w:after="0" w:line="70"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In 2005, the Company accelerated options to avoid recognition of future compensation expense that the Company would have otherwise recognized in its Consolidated Statement of Operations with respect to these options upon the adoption of SFAS 123R. The future expense that was eliminated as a result of the acceleration of vesting of these options was approximately $18.4 million. At the end of December 2005, vesting was accelerated for all options which had an exercise price per share equal to or greater than $6.50. In addition, in December 2005, the Company repriced options to eliminate future expense for those options with an exercise price per share greater than 120% of the closing market price of the Company’s common stock on December 29, 2005.</w:t>
      </w:r>
    </w:p>
    <w:p>
      <w:pPr>
        <w:spacing w:after="0" w:line="64"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The Company records compensation expense for employee stock options based on the estimated fair value of the options on the date of grant using the Black-Scholes option-pricing model and the weighted average assumptions (annualized percentages) included in the following table. Awards with graded vesting are recognized using the straight-line method. The weighted-average estimated fair value of employee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during the three and six months ended June 30, 2006 was $2.05 and $2.52 per share, respectively.</w:t>
      </w:r>
    </w:p>
    <w:p>
      <w:pPr>
        <w:spacing w:after="0" w:line="214"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9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3120" w:type="dxa"/>
            <w:vAlign w:val="bottom"/>
          </w:tcPr>
          <w:p>
            <w:pPr>
              <w:spacing w:after="0"/>
              <w:rPr>
                <w:sz w:val="14"/>
                <w:szCs w:val="14"/>
                <w:color w:val="auto"/>
              </w:rPr>
            </w:pPr>
          </w:p>
        </w:tc>
        <w:tc>
          <w:tcPr>
            <w:tcW w:w="19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9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r>
      <w:tr>
        <w:trPr>
          <w:trHeight w:val="129"/>
        </w:trPr>
        <w:tc>
          <w:tcPr>
            <w:tcW w:w="31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1"/>
                <w:szCs w:val="11"/>
                <w:color w:val="auto"/>
              </w:rPr>
            </w:pPr>
          </w:p>
        </w:tc>
      </w:tr>
      <w:tr>
        <w:trPr>
          <w:trHeight w:val="196"/>
        </w:trPr>
        <w:tc>
          <w:tcPr>
            <w:tcW w:w="3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life:(1)</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12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 years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4.1 years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 years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3.7 years</w:t>
            </w:r>
          </w:p>
        </w:tc>
      </w:tr>
      <w:tr>
        <w:trPr>
          <w:trHeight w:val="216"/>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 months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 months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Risk-free interest rate(2)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Forfeiture rate(4)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1420"/>
          </w:cols>
          <w:pgMar w:left="240" w:top="87" w:right="239" w:bottom="0" w:gutter="0" w:footer="0" w:header="0"/>
        </w:sectPr>
      </w:pPr>
    </w:p>
    <w:bookmarkStart w:id="7" w:name="page8"/>
    <w:bookmarkEnd w:id="7"/>
    <w:p>
      <w:pPr>
        <w:ind w:left="360" w:right="160" w:hanging="257"/>
        <w:spacing w:after="0" w:line="342" w:lineRule="auto"/>
        <w:tabs>
          <w:tab w:leader="none" w:pos="34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life of stock options granted under the Plans is based upon historical exercise patterns which the Company believes are representative of future behavior. The expected life of shares under the Purchase Plan represents the amount of time remaining in the offering period.</w:t>
      </w:r>
    </w:p>
    <w:p>
      <w:pPr>
        <w:spacing w:after="0" w:line="15" w:lineRule="exact"/>
        <w:rPr>
          <w:rFonts w:ascii="Arial" w:cs="Arial" w:eastAsia="Arial" w:hAnsi="Arial"/>
          <w:sz w:val="16"/>
          <w:szCs w:val="16"/>
          <w:color w:val="auto"/>
        </w:rPr>
      </w:pPr>
    </w:p>
    <w:p>
      <w:pPr>
        <w:ind w:left="360" w:hanging="257"/>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risk-free interest rate is based on U.S. Treasury yields in effect at the time of grant with a term equal to the expected term of the options.</w:t>
      </w:r>
    </w:p>
    <w:p>
      <w:pPr>
        <w:spacing w:after="0" w:line="128" w:lineRule="exact"/>
        <w:rPr>
          <w:rFonts w:ascii="Arial" w:cs="Arial" w:eastAsia="Arial" w:hAnsi="Arial"/>
          <w:sz w:val="17"/>
          <w:szCs w:val="17"/>
          <w:color w:val="auto"/>
        </w:rPr>
      </w:pPr>
    </w:p>
    <w:p>
      <w:pPr>
        <w:ind w:left="360" w:right="240" w:hanging="257"/>
        <w:spacing w:after="0" w:line="277"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estimates the implied volatility of its common stock at the date of grant based on an equally weighted average of trailing volatility and market based implied volatility for the computation.</w:t>
      </w:r>
    </w:p>
    <w:p>
      <w:pPr>
        <w:spacing w:after="0" w:line="62" w:lineRule="exact"/>
        <w:rPr>
          <w:rFonts w:ascii="Arial" w:cs="Arial" w:eastAsia="Arial" w:hAnsi="Arial"/>
          <w:sz w:val="18"/>
          <w:szCs w:val="18"/>
          <w:color w:val="auto"/>
        </w:rPr>
      </w:pPr>
    </w:p>
    <w:p>
      <w:pPr>
        <w:ind w:left="360" w:right="120" w:hanging="257"/>
        <w:spacing w:after="0" w:line="277"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 Previously, under APB25, the Company recognized forfeitures as they were incurred.</w:t>
      </w:r>
    </w:p>
    <w:p>
      <w:pPr>
        <w:spacing w:after="0" w:line="62" w:lineRule="exact"/>
        <w:rPr>
          <w:rFonts w:ascii="Arial" w:cs="Arial" w:eastAsia="Arial" w:hAnsi="Arial"/>
          <w:sz w:val="18"/>
          <w:szCs w:val="18"/>
          <w:color w:val="auto"/>
        </w:rPr>
      </w:pPr>
    </w:p>
    <w:p>
      <w:pPr>
        <w:ind w:left="360" w:hanging="257"/>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117"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 following table shows the amounts recognized in the financial statements for the three and six months ended June 30, 2006 for share-based compensation related to employees (in millions, except per share data). In addition, for the six months ended June 30, 2006, there was no incremental tax benefit from stock options exercised in the period.</w:t>
      </w:r>
    </w:p>
    <w:p>
      <w:pPr>
        <w:spacing w:after="0" w:line="143"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Three months</w:t>
            </w:r>
          </w:p>
        </w:tc>
        <w:tc>
          <w:tcPr>
            <w:tcW w:w="8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4"/>
          </w:tcPr>
          <w:p>
            <w:pPr>
              <w:jc w:val="center"/>
              <w:ind w:right="420"/>
              <w:spacing w:after="0" w:line="135"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1"/>
                <w:szCs w:val="11"/>
                <w:color w:val="auto"/>
              </w:rPr>
            </w:pPr>
          </w:p>
        </w:tc>
        <w:tc>
          <w:tcPr>
            <w:tcW w:w="72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72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2"/>
        </w:trPr>
        <w:tc>
          <w:tcPr>
            <w:tcW w:w="4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6"/>
              </w:rPr>
              <w:t>Total cost of employee share-based compensation Included in</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 before income tax</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Amount of income tax recognized in earnings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charged against income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color w:val="auto"/>
                <w:w w:val="87"/>
              </w:rPr>
              <w:t>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Impact on net income per common share:</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(0.01)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(0.01)</w:t>
            </w:r>
          </w:p>
        </w:tc>
        <w:tc>
          <w:tcPr>
            <w:tcW w:w="22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4960" w:type="dxa"/>
            <w:vAlign w:val="bottom"/>
          </w:tcPr>
          <w:p>
            <w:pPr>
              <w:ind w:left="33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A summary of the status of the Company’s stock option plan as of June 30, 2006 and of changes in options outstanding under the plan during the six months ended June 30, 2006 is as follows:</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Average</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9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160" w:type="dxa"/>
            <w:vAlign w:val="bottom"/>
            <w:gridSpan w:val="4"/>
            <w:vMerge w:val="continue"/>
          </w:tcPr>
          <w:p>
            <w:pPr>
              <w:spacing w:after="0"/>
              <w:rPr>
                <w:sz w:val="11"/>
                <w:szCs w:val="11"/>
                <w:color w:val="auto"/>
              </w:rPr>
            </w:pP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Remaining</w:t>
            </w:r>
          </w:p>
        </w:tc>
        <w:tc>
          <w:tcPr>
            <w:tcW w:w="10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1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10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220" w:type="dxa"/>
            <w:vAlign w:val="bottom"/>
          </w:tcPr>
          <w:p>
            <w:pPr>
              <w:spacing w:after="0"/>
              <w:rPr>
                <w:sz w:val="11"/>
                <w:szCs w:val="11"/>
                <w:color w:val="auto"/>
              </w:rPr>
            </w:pPr>
          </w:p>
        </w:tc>
        <w:tc>
          <w:tcPr>
            <w:tcW w:w="82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3"/>
              </w:rPr>
              <w:t>Term</w:t>
            </w:r>
          </w:p>
        </w:tc>
        <w:tc>
          <w:tcPr>
            <w:tcW w:w="108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(000’s)</w:t>
            </w: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per Share</w:t>
            </w:r>
          </w:p>
        </w:tc>
        <w:tc>
          <w:tcPr>
            <w:tcW w:w="10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(000’s)</w:t>
            </w:r>
          </w:p>
        </w:tc>
        <w:tc>
          <w:tcPr>
            <w:tcW w:w="0" w:type="dxa"/>
            <w:vAlign w:val="bottom"/>
          </w:tcPr>
          <w:p>
            <w:pPr>
              <w:spacing w:after="0"/>
              <w:rPr>
                <w:sz w:val="1"/>
                <w:szCs w:val="1"/>
                <w:color w:val="auto"/>
              </w:rPr>
            </w:pPr>
          </w:p>
        </w:tc>
      </w:tr>
      <w:tr>
        <w:trPr>
          <w:trHeight w:val="277"/>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2005</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12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$ 6.17</w:t>
            </w:r>
          </w:p>
        </w:tc>
        <w:tc>
          <w:tcPr>
            <w:tcW w:w="26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Options forfeited or expired</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(1,379)</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$ 6.10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7.14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$ 125.6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Options vested and exercisable at June 30, 2006</w:t>
            </w: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80" w:type="dxa"/>
            <w:vAlign w:val="bottom"/>
            <w:vMerge w:val="continue"/>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$ 6.19</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center"/>
              <w:ind w:left="165"/>
              <w:spacing w:after="0"/>
              <w:rPr>
                <w:sz w:val="20"/>
                <w:szCs w:val="20"/>
                <w:color w:val="auto"/>
              </w:rPr>
            </w:pPr>
            <w:r>
              <w:rPr>
                <w:rFonts w:ascii="Arial" w:cs="Arial" w:eastAsia="Arial" w:hAnsi="Arial"/>
                <w:sz w:val="18"/>
                <w:szCs w:val="18"/>
                <w:color w:val="auto"/>
                <w:w w:val="85"/>
              </w:rPr>
              <w:t>6.60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$ 125.6</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As of June 30, 2006, there was $8.2 million of unamortized compensation cost related to non-vested stock option awards, which is expected to be recognized over a remaining weighted-average vesting period of 2.8 years.</w:t>
      </w:r>
    </w:p>
    <w:p>
      <w:pPr>
        <w:spacing w:after="0" w:line="62"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For purposes of pro forma disclosures under SFAS 123 for the three and six months ended June 30, 2005, the estimated fair value of share-based awards was assumed to be amortized to expense over the vesting period of the award. There is no pro forma presentation for the three and six months ended June 30, 2006 as the Company adopted SFAS 123R as of January 1, 2006, as discussed above. The pro forma effects of recognizing estimated compensation expense under the fair value method on net income and earnings per common share were as follows (in millions, except per share data):</w:t>
      </w:r>
    </w:p>
    <w:p>
      <w:pPr>
        <w:spacing w:after="0" w:line="11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Three months</w:t>
            </w:r>
          </w:p>
        </w:tc>
        <w:tc>
          <w:tcPr>
            <w:tcW w:w="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4"/>
          </w:tcPr>
          <w:p>
            <w:pPr>
              <w:jc w:val="center"/>
              <w:ind w:right="460"/>
              <w:spacing w:after="0" w:line="135"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1"/>
                <w:szCs w:val="11"/>
                <w:color w:val="auto"/>
              </w:rPr>
            </w:pPr>
          </w:p>
        </w:tc>
        <w:tc>
          <w:tcPr>
            <w:tcW w:w="6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12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June 30,</w:t>
            </w:r>
          </w:p>
        </w:tc>
        <w:tc>
          <w:tcPr>
            <w:tcW w:w="820" w:type="dxa"/>
            <w:vAlign w:val="bottom"/>
            <w:gridSpan w:val="5"/>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62"/>
        </w:trPr>
        <w:tc>
          <w:tcPr>
            <w:tcW w:w="64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3"/>
          </w:tcPr>
          <w:p>
            <w:pPr>
              <w:jc w:val="center"/>
              <w:ind w:left="57"/>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w w:val="97"/>
              </w:rPr>
              <w:t>Deduct: Total stock-based employee compensation expense determined under fair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value based method for all awards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Basic—as reported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Basic—pro forma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Diluted—as reported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Diluted—pro forma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Basic—as reported and pro forma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73.9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73.8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Diluted—as reported and pro forma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75.4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Use of Estimates</w:t>
      </w:r>
    </w:p>
    <w:p>
      <w:pPr>
        <w:spacing w:after="0" w:line="117"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w:t>
      </w:r>
    </w:p>
    <w:p>
      <w:pPr>
        <w:sectPr>
          <w:pgSz w:w="11900" w:h="16838" w:orient="portrait"/>
          <w:cols w:equalWidth="0" w:num="1">
            <w:col w:w="11340"/>
          </w:cols>
          <w:pgMar w:left="240" w:top="125" w:right="319" w:bottom="0" w:gutter="0" w:footer="0" w:header="0"/>
        </w:sectPr>
      </w:pPr>
    </w:p>
    <w:bookmarkStart w:id="8" w:name="page9"/>
    <w:bookmarkEnd w:id="8"/>
    <w:p>
      <w:pPr>
        <w:ind w:right="420"/>
        <w:spacing w:after="0" w:line="264" w:lineRule="auto"/>
        <w:rPr>
          <w:sz w:val="20"/>
          <w:szCs w:val="20"/>
          <w:color w:val="auto"/>
        </w:rPr>
      </w:pPr>
      <w:r>
        <w:rPr>
          <w:rFonts w:ascii="Arial" w:cs="Arial" w:eastAsia="Arial" w:hAnsi="Arial"/>
          <w:sz w:val="18"/>
          <w:szCs w:val="18"/>
          <w:color w:val="auto"/>
        </w:rPr>
        <w:t>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Reclassifications</w:t>
      </w:r>
    </w:p>
    <w:p>
      <w:pPr>
        <w:spacing w:after="0" w:line="117"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The accompanying statements of cash flows separately reflect the operating and investing portions of the cash flows attributable to the Company’s discontinued operations for each of the periods presented. These amounts were reported on a combined basis as a single amount in prior statements of cash flows. In addition, the balance sheets and statements of operations have been reclassified to present the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November 2005, the FASB issued Staff Position (“FSP”) FAS123R-3, “Transition Election to Accounting for the Tax Effects of Share-Based Payment Awards.” This FSP requires an entity to follow either the transition guidance for the additional-paid-in-capital pool as prescribed in SFAS No. 123R, “Share-Based Payment,” or the alternative transition method as described in the FSP. An entity that adopts SFAS No. 123R using the modified prospective application may make a one-time election to adopt the transition method described in this FSP. An entity may take up to one year from the later of its initial adoption of SFAS No. 123R or the effective date of this FSP to evaluate its available transition alternatives and make its one-time election. This FSP became effective in November 2005. We continue to evaluate the impact that the adoption of this FSP could have on our financial statements.</w:t>
      </w:r>
    </w:p>
    <w:p>
      <w:pPr>
        <w:spacing w:after="0" w:line="5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November 2005, the FASB issued FSP FAS115-1/124-1, “The Meaning of Other-Than-Temporary Impairment and Its Application to Certain Investments,” which 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FASB Statements No. 115, “Accounting for Certain Investments in Debt and Equity Securities,” and No. 124, “Accounting for Certain Investments Held by Not-for-Profit Organizations,” and APB Opinion No. 18, “The Equity Method of Accounting for Investments in Common Stock.” We adopted this FSP during the three months ended March 31, 2006 and it did not have a material impact on our financial statements.</w:t>
      </w:r>
    </w:p>
    <w:p>
      <w:pPr>
        <w:spacing w:after="0" w:line="5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February 2006, the FASB issued FASB Statement No. 155, “Accounting for Certain Hybrid Financial Instruments.” This Statement amends FASB Statements No. 133, “Accounting for Derivative Instruments and Hedging Activities,” and No. 140, “Accounting for Transfers and Servicing of Financial Assets and Extinguishments of Liabilities.” This statement resolves issues addressed in Statement No. 133 Implementation Issue No. D1, “Application of Statement 133 to Beneficial Interests in Securitized Financial Assets.” This statement: (a) permits fair value remeasurement for any hybrid financial instrument that contains an embedded derivative that otherwise would require bifurcation, (b) clarifies which interest-only strips and principal-only strips are not subject to the requirements of Statement No. 133, (c) establishes a requirement to evaluate interests in securitized financial assets to identify interests that are freestanding derivatives or that are hybrid financial instruments that contain an embedded derivative requiring bifurcation, (d) clarifies that concentrations of credit risk in the form of subordination are not embedded derivatives, (e) amends Statement 140 to eliminate the prohibition on a qualifying special purpose entity from holding a derivative financial instrument that pertains to a beneficial interest other than another derivative financial instrument. This statement is effective for all financial</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instruments acquired or issued after the beginning of an entity’s first fiscal year that begins after September 15, 2006. We do not expect this statement to have a material impact on the Company.</w:t>
      </w:r>
    </w:p>
    <w:p>
      <w:pPr>
        <w:spacing w:after="0" w:line="62" w:lineRule="exact"/>
        <w:rPr>
          <w:sz w:val="20"/>
          <w:szCs w:val="20"/>
          <w:color w:val="auto"/>
        </w:rPr>
      </w:pPr>
    </w:p>
    <w:p>
      <w:pPr>
        <w:jc w:val="both"/>
        <w:ind w:right="240" w:firstLine="360"/>
        <w:spacing w:after="0" w:line="257" w:lineRule="auto"/>
        <w:rPr>
          <w:sz w:val="20"/>
          <w:szCs w:val="20"/>
          <w:color w:val="auto"/>
        </w:rPr>
      </w:pPr>
      <w:r>
        <w:rPr>
          <w:rFonts w:ascii="Arial" w:cs="Arial" w:eastAsia="Arial" w:hAnsi="Arial"/>
          <w:sz w:val="18"/>
          <w:szCs w:val="18"/>
          <w:color w:val="auto"/>
        </w:rPr>
        <w:t>In March 2006, the FASB issued FASB Statement No. 156, “Accounting for Servicing of Financial Assets.” Statement 156 amends FASB Statement No. 140, “Accounting for Transfers and Servicing of Financial Assets and Extinguishments of Liabilities,” and requires all separately recognized servicing assets and servicing liabilities to be initially measured at fair value, if practicable, and permits an entity to subsequently measure those servicing assets and servicing liabilities at fair value. This statement is effective for fiscal years beginning after September 15, 2006. We do not expect this statement to have a material impact on the Company.</w:t>
      </w:r>
    </w:p>
    <w:p>
      <w:pPr>
        <w:spacing w:after="0" w:line="8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July 2006, the FASB issued FASB Interpretation No. 48 (FIN 48) “Accounting for Uncertainty in Income Taxes” which prescribes a recognition threshold and measurement process for recording in the financial statements uncertain tax positions taken or expected to be taken in a tax return. Additionally, FIN 48 provides guidance on the derecognition, classification, accounting in interim periods and disclosure requirements for uncertain tax positions. The accounting provisions of FIN 48 will be effective for the Company beginning December 30, 2006. The Company is in the process of determining the effect, if any, the adoption of FIN 48 will have on its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Common Share</w:t>
      </w:r>
    </w:p>
    <w:p>
      <w:pPr>
        <w:spacing w:after="0" w:line="121"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The Company calculates net income (loss) per share in accordance with the provisions of SFAS No. 128, “Earnings Per Share”. Under SFAS No. 128, basic net income (loss) per common share is calculated by dividing net income (loss) by the weighted-average number of common shares outstanding during the reporting period. The Company adopted EITF No. 03-6 “Participating Securities and the Two-Class Method Under FASB Statement No. 128” on January 1, 2005. In accordance with EITF No. 03-6, the Company determined that its Series B Convertible Preferred Stock were participating securities and therefore were required to be included in the weighted average basic shares if dilutive. Diluted net income (loss) per common share reflects the effects of potentially dilutive securities. Weighted average shares used to compute basic and diluted net income (loss) per share are presented below (in millions):</w:t>
      </w:r>
    </w:p>
    <w:p>
      <w:pPr>
        <w:spacing w:after="0" w:line="126" w:lineRule="exact"/>
        <w:rPr>
          <w:sz w:val="20"/>
          <w:szCs w:val="20"/>
          <w:color w:val="auto"/>
        </w:rPr>
      </w:pPr>
    </w:p>
    <w:tbl>
      <w:tblPr>
        <w:tblLayout w:type="fixed"/>
        <w:tblInd w:w="6940" w:type="dxa"/>
        <w:tblCellMar>
          <w:top w:w="0" w:type="dxa"/>
          <w:left w:w="0" w:type="dxa"/>
          <w:bottom w:w="0" w:type="dxa"/>
          <w:right w:w="0" w:type="dxa"/>
        </w:tblCellMar>
      </w:tblPr>
      <w:tr>
        <w:trPr>
          <w:trHeight w:val="161"/>
        </w:trPr>
        <w:tc>
          <w:tcPr>
            <w:tcW w:w="13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For the Three</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Six</w:t>
            </w:r>
          </w:p>
        </w:tc>
      </w:tr>
      <w:tr>
        <w:trPr>
          <w:trHeight w:val="135"/>
        </w:trPr>
        <w:tc>
          <w:tcPr>
            <w:tcW w:w="13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Months Ended</w:t>
            </w:r>
          </w:p>
        </w:tc>
        <w:tc>
          <w:tcPr>
            <w:tcW w:w="1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Months Ended</w:t>
            </w:r>
          </w:p>
        </w:tc>
      </w:tr>
      <w:tr>
        <w:trPr>
          <w:trHeight w:val="162"/>
        </w:trPr>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June 30</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June 30</w:t>
            </w:r>
          </w:p>
        </w:tc>
      </w:tr>
      <w:tr>
        <w:trPr>
          <w:trHeight w:val="129"/>
        </w:trPr>
        <w:tc>
          <w:tcPr>
            <w:tcW w:w="440" w:type="dxa"/>
            <w:vAlign w:val="bottom"/>
            <w:tcBorders>
              <w:top w:val="single" w:sz="8" w:color="auto"/>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2006</w:t>
            </w:r>
          </w:p>
        </w:tc>
      </w:tr>
    </w:tbl>
    <w:p>
      <w:pPr>
        <w:sectPr>
          <w:pgSz w:w="11900" w:h="16838" w:orient="portrait"/>
          <w:cols w:equalWidth="0" w:num="1">
            <w:col w:w="11400"/>
          </w:cols>
          <w:pgMar w:left="240" w:top="125" w:right="259" w:bottom="0" w:gutter="0" w:footer="0" w:header="0"/>
        </w:sectPr>
      </w:pPr>
    </w:p>
    <w:bookmarkStart w:id="9" w:name="page10"/>
    <w:bookmarkEnd w:id="9"/>
    <w:p>
      <w:pPr>
        <w:spacing w:after="0" w:line="1" w:lineRule="exact"/>
        <w:rPr>
          <w:sz w:val="20"/>
          <w:szCs w:val="20"/>
          <w:color w:val="auto"/>
        </w:rPr>
      </w:pPr>
    </w:p>
    <w:tbl>
      <w:tblPr>
        <w:tblLayout w:type="fixed"/>
        <w:tblInd w:w="1860" w:type="dxa"/>
        <w:tblCellMar>
          <w:top w:w="0" w:type="dxa"/>
          <w:left w:w="0" w:type="dxa"/>
          <w:bottom w:w="0" w:type="dxa"/>
          <w:right w:w="0" w:type="dxa"/>
        </w:tblCellMar>
      </w:tblPr>
      <w:tr>
        <w:trPr>
          <w:trHeight w:val="20"/>
        </w:trPr>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840" w:type="dxa"/>
            <w:vAlign w:val="bottom"/>
          </w:tcPr>
          <w:p>
            <w:pPr>
              <w:spacing w:after="0"/>
              <w:rPr>
                <w:sz w:val="20"/>
                <w:szCs w:val="20"/>
                <w:color w:val="auto"/>
              </w:rPr>
            </w:pPr>
            <w:r>
              <w:rPr>
                <w:rFonts w:ascii="Arial" w:cs="Arial" w:eastAsia="Arial" w:hAnsi="Arial"/>
                <w:sz w:val="18"/>
                <w:szCs w:val="18"/>
                <w:color w:val="auto"/>
              </w:rPr>
              <w:t>Shares used in basic per share amounts: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840" w:type="dxa"/>
            <w:vAlign w:val="bottom"/>
          </w:tcPr>
          <w:p>
            <w:pPr>
              <w:spacing w:after="0"/>
              <w:rPr>
                <w:sz w:val="20"/>
                <w:szCs w:val="20"/>
                <w:color w:val="auto"/>
              </w:rPr>
            </w:pPr>
            <w:r>
              <w:rPr>
                <w:rFonts w:ascii="Arial" w:cs="Arial" w:eastAsia="Arial" w:hAnsi="Arial"/>
                <w:sz w:val="18"/>
                <w:szCs w:val="18"/>
                <w:color w:val="auto"/>
              </w:rPr>
              <w:t>Shares used in diluted per share amounts: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Dilutive weighted average shares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74.8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75.4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0.04</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(0.01)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(0.02)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0.04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(0.01)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(0.02)</w:t>
            </w: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Anti-dilutive weighted shares from stock options excluded from</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840" w:type="dxa"/>
            <w:vAlign w:val="bottom"/>
          </w:tcPr>
          <w:p>
            <w:pPr>
              <w:spacing w:after="0"/>
              <w:rPr>
                <w:sz w:val="20"/>
                <w:szCs w:val="20"/>
                <w:color w:val="auto"/>
              </w:rPr>
            </w:pPr>
            <w:r>
              <w:rPr>
                <w:rFonts w:ascii="Arial" w:cs="Arial" w:eastAsia="Arial" w:hAnsi="Arial"/>
                <w:sz w:val="18"/>
                <w:szCs w:val="18"/>
                <w:color w:val="auto"/>
              </w:rPr>
              <w:t>Average per share market value of common stock</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5.74</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outstanding stock option price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4840" w:type="dxa"/>
            <w:vAlign w:val="bottom"/>
          </w:tcPr>
          <w:p>
            <w:pPr>
              <w:ind w:left="37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Discontinued Operations—Scandinavia</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During the second quarter of 2004, the Company made the decision to sell or otherwise divest its Network Management business in Scandinavia, which had previously been reported in its Wireless Network Services segment. WFI determined that this entity met the criteria to classify it as held for sale. Accordingly, WFI has reflected this operation as discontinued in accordance with SFAS No. 144, “Accounting for the Impairment or Disposal of Long-Lived Assets.” After actively marketing to sell this business for one quarter, the Company made the decision to wind-down this operation in the third quarter of 2004.</w:t>
      </w:r>
    </w:p>
    <w:p>
      <w:pPr>
        <w:spacing w:after="0" w:line="80"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As of December 31, 2005 and June 30, 2006, there were zero assets of discontinued operations and $0.1 million and $0.05 million of liabilities of discontinued operations for December 31, 2005 and June 30, 2006,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Discontinued Operations—Latin American Operations</w:t>
      </w:r>
    </w:p>
    <w:p>
      <w:pPr>
        <w:spacing w:after="0" w:line="117"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In December 2005, the Company’s Board of Directors made the decision to exit the Company’s Mexican operations and certain of its other deployment businesses in South America. Prior to this decision, these operations had been reported in its Wireless Network Services segment. The Company determined that these operations meet the criteria to be classified as held for sale. Accordingly, WFI has reflected these operations as discontinued in accordance with SFAS No. 144, “Accounting for the Impairment or Disposal of Long-Lived Assets.” The South American operations were substantially shut down as of the end of December 2005.</w:t>
      </w:r>
    </w:p>
    <w:p>
      <w:pPr>
        <w:spacing w:after="0" w:line="80"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On February 17, 2006, the Company entered into an Equity Purchase Agreement to sell all of the stock of its wholly owned subsidiaries (i) WFI de Mexico, S. de R.L. de C.V., (ii) WFI de Mexico, Servicios de Adminstracion, S. de R.L. de C.V., (iii) WFI de Mexico, Servicios de Ingenieria, S. de R.L. de C.V., (iv) WFI Services de Mexico S.A. de C.V., (v) WFI Asesoria en Adminstracion, S.C; and (vi) WFI Asesoria en Telecomunicaciones, S.C. (the “Mexico Operations”) to Sakoki LLC. The transaction closed on March 10, 2006. Refer to Note 10 Related Party Transactions for further discussion of the purchaser, Sakoki, LLC.</w:t>
      </w:r>
    </w:p>
    <w:p>
      <w:pPr>
        <w:spacing w:after="0" w:line="80"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Equity Purchase Agreement provides that the Company will receive total approximate cash consideration of $18.0 million, subject to adjustment for the closing net asset calculation, with $1.5 million payable in cash on signing of the equity Purchase Agreement and $16.5 payable by means of a secured promissory note payable in installments through December 31, 2006, subject to adjustments. The note is secured by pledges of assets and a personal guaranty. The total consideration approximates the net book value of operations, including $13.2 million of contingent liabilities.</w:t>
      </w:r>
    </w:p>
    <w:p>
      <w:pPr>
        <w:spacing w:after="0" w:line="63"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The first scheduled note payment of $3.3 million was received from the buyer on May 19, 2006. The remaining note receivable balance of $14.6 million which includes accrued interest through June 30, 2006 is reflected on the Company’s Consolidated Balance Sheet as of June 30, 2006.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29, 2006, and for the installments due on November 17, 2006 and December 31, 2006 by December 29, 2006. The installments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will continue to accrue interest at the rate of 7.5% per annum. Failure to make the payments on such later dates will result in a restoration of the original terms of the note.</w:t>
      </w:r>
    </w:p>
    <w:p>
      <w:pPr>
        <w:spacing w:after="0" w:line="62"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impact of the divestiture has been reflected in the consolidated balance sheets as of June 30, 2006. There was no gain or loss realized on the sale since the business was sold at its net carrying value.</w:t>
      </w:r>
    </w:p>
    <w:p>
      <w:pPr>
        <w:spacing w:after="0" w:line="62"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For the quarter ended June 30, 2006, these operations had revenues of $0.0 million and a net loss of $0.2 million. The loss from discontinued operations for the quarter ended June 30, 2006 of $0.2 million is primarily related to final close out expenses. For the six months ended June 30, 2006, these operations had revenues of $5.9 million and net income of $0.0 million.</w:t>
      </w:r>
    </w:p>
    <w:p>
      <w:pPr>
        <w:spacing w:after="0" w:line="73"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components of the current and non-current assets and liabilities for the Latin American operations are included in the accompanying balance sheet as discontinued operations as of (in millions):</w:t>
      </w:r>
    </w:p>
    <w:p>
      <w:pPr>
        <w:sectPr>
          <w:pgSz w:w="11900" w:h="16838" w:orient="portrait"/>
          <w:cols w:equalWidth="0" w:num="1">
            <w:col w:w="11420"/>
          </w:cols>
          <w:pgMar w:left="240" w:top="140" w:right="239" w:bottom="0" w:gutter="0" w:footer="0" w:header="0"/>
        </w:sectPr>
      </w:pPr>
    </w:p>
    <w:p>
      <w:pPr>
        <w:spacing w:after="0" w:line="132" w:lineRule="exact"/>
        <w:rPr>
          <w:sz w:val="20"/>
          <w:szCs w:val="20"/>
          <w:color w:val="auto"/>
        </w:rPr>
      </w:pPr>
    </w:p>
    <w:tbl>
      <w:tblPr>
        <w:tblLayout w:type="fixed"/>
        <w:tblInd w:w="7780" w:type="dxa"/>
        <w:tblCellMar>
          <w:top w:w="0" w:type="dxa"/>
          <w:left w:w="0" w:type="dxa"/>
          <w:bottom w:w="0" w:type="dxa"/>
          <w:right w:w="0" w:type="dxa"/>
        </w:tblCellMar>
      </w:tblPr>
      <w:tr>
        <w:trPr>
          <w:trHeight w:val="161"/>
        </w:trPr>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r>
      <w:tr>
        <w:trPr>
          <w:trHeight w:val="162"/>
        </w:trPr>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2006</w:t>
            </w:r>
          </w:p>
        </w:tc>
      </w:tr>
    </w:tbl>
    <w:p>
      <w:pPr>
        <w:sectPr>
          <w:pgSz w:w="11900" w:h="16838" w:orient="portrait"/>
          <w:cols w:equalWidth="0" w:num="1">
            <w:col w:w="11420"/>
          </w:cols>
          <w:pgMar w:left="240" w:top="140" w:right="239" w:bottom="0" w:gutter="0" w:footer="0" w:header="0"/>
          <w:type w:val="continuous"/>
        </w:sectPr>
      </w:pPr>
    </w:p>
    <w:bookmarkStart w:id="10" w:name="page11"/>
    <w:bookmarkEnd w:id="10"/>
    <w:p>
      <w:pPr>
        <w:spacing w:after="0" w:line="1"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77"/>
        </w:trPr>
        <w:tc>
          <w:tcPr>
            <w:tcW w:w="59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 of discontinued operations</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77"/>
        </w:trPr>
        <w:tc>
          <w:tcPr>
            <w:tcW w:w="20" w:type="dxa"/>
            <w:vAlign w:val="bottom"/>
          </w:tcPr>
          <w:p>
            <w:pPr>
              <w:spacing w:after="0"/>
              <w:rPr>
                <w:sz w:val="24"/>
                <w:szCs w:val="2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 contingencies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Billings in excess of cost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(0.9</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77"/>
        </w:trPr>
        <w:tc>
          <w:tcPr>
            <w:tcW w:w="5920" w:type="dxa"/>
            <w:vAlign w:val="bottom"/>
            <w:gridSpan w:val="2"/>
          </w:tcPr>
          <w:p>
            <w:pPr>
              <w:spacing w:after="0"/>
              <w:rPr>
                <w:sz w:val="20"/>
                <w:szCs w:val="20"/>
                <w:color w:val="auto"/>
              </w:rPr>
            </w:pPr>
            <w:r>
              <w:rPr>
                <w:rFonts w:ascii="Arial" w:cs="Arial" w:eastAsia="Arial" w:hAnsi="Arial"/>
                <w:sz w:val="18"/>
                <w:szCs w:val="18"/>
                <w:color w:val="auto"/>
              </w:rPr>
              <w:t>Non-current liabilities of discontinued operations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4"/>
                <w:szCs w:val="24"/>
                <w:color w:val="auto"/>
              </w:rPr>
            </w:pPr>
          </w:p>
        </w:tc>
      </w:tr>
    </w:tbl>
    <w:p>
      <w:pPr>
        <w:spacing w:after="0" w:line="256"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restricted cash of $0.6 million, is a result of a 2005 regulation in Argentina that requires a percentage of each loan advanced by the Company to the Argentinean Subsidiary be held in a one-year fixed account at zero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Unconsolidated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Tactical Survey Group, Inc. (“TSG”)</w:t>
      </w:r>
    </w:p>
    <w:p>
      <w:pPr>
        <w:spacing w:after="0" w:line="11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On February 23, 2004, the Company paid $1.0 million in cash to acquire an 11% interest in Tactical Survey Group, Inc. (TSG), a privately-held company that provides expertise in developing, deploying and integrating tactical survey systems for use in government and commercial applications. Pursuant to the provisions of APB Opinion No. 18, “The Equity Method of Accounting for Investments in Common Stock”, this investment is accounted for under the equity method of accounting due to the presence of significant influence deemed to exist based on the significant number of contracts that the Company has entered into with TSG and the presence of a WFI employee on TSG’s board of directors. The equity in earnings from this investment is classified within Other income (expense) in the Company’s consolidated statements of operations. As of June 30, 2006, the Company has recorded zero equity earnings related to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investment. The balance of the Company’s investment in TSG at December 31, 2005 and June 30, 2006 totaled $1.2 million and has been classified on the consolidated balance sheet under the caption “Investments in unconsolidated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CommVerge Solutions, Inc.</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The Company has an investment in CommVerge Solutions, Inc., a privately-held wireless network planning and deployment company. The balance of the Company’s investment in CommVerge Solutions, Inc. at December 31, 2005 and June 30, 2006 totals $0.9 million and has been classified on the consolidated balance sheet under the caption “Investments in unconsolidated affiliates.” One of the Company’s directors is also a director of CommVerge Solutions,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following table summarizes the changes in the carrying amounts of goodwill and other indefinite and finite-life intangible assets for the six months ended June 30, 2006, are as follows (in millions):</w:t>
      </w:r>
    </w:p>
    <w:p>
      <w:pPr>
        <w:spacing w:after="0" w:line="132"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Wireless</w:t>
            </w:r>
          </w:p>
        </w:tc>
        <w:tc>
          <w:tcPr>
            <w:tcW w:w="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Enterprise</w:t>
            </w: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Government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Network</w:t>
            </w:r>
          </w:p>
        </w:tc>
        <w:tc>
          <w:tcPr>
            <w:tcW w:w="90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Network</w:t>
            </w:r>
          </w:p>
        </w:tc>
        <w:tc>
          <w:tcPr>
            <w:tcW w:w="106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Network</w:t>
            </w:r>
          </w:p>
        </w:tc>
        <w:tc>
          <w:tcPr>
            <w:tcW w:w="20" w:type="dxa"/>
            <w:vAlign w:val="bottom"/>
          </w:tcPr>
          <w:p>
            <w:pPr>
              <w:spacing w:after="0"/>
              <w:rPr>
                <w:sz w:val="11"/>
                <w:szCs w:val="11"/>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Services</w:t>
            </w:r>
          </w:p>
        </w:tc>
        <w:tc>
          <w:tcPr>
            <w:tcW w:w="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Services</w:t>
            </w: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$ 25.5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$ 76.1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$ 119.9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Accrual for contingent consideration</w:t>
            </w:r>
          </w:p>
        </w:tc>
        <w:tc>
          <w:tcPr>
            <w:tcW w:w="6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420" w:type="dxa"/>
            <w:vAlign w:val="bottom"/>
          </w:tcPr>
          <w:p>
            <w:pPr>
              <w:spacing w:after="0"/>
              <w:rPr>
                <w:sz w:val="20"/>
                <w:szCs w:val="20"/>
                <w:color w:val="auto"/>
              </w:rPr>
            </w:pPr>
            <w:r>
              <w:rPr>
                <w:rFonts w:ascii="Arial" w:cs="Arial" w:eastAsia="Arial" w:hAnsi="Arial"/>
                <w:sz w:val="18"/>
                <w:szCs w:val="18"/>
                <w:color w:val="auto"/>
              </w:rPr>
              <w:t>Balance as of June 30, 2006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intangibles, net</w:t>
            </w:r>
          </w:p>
        </w:tc>
        <w:tc>
          <w:tcPr>
            <w:tcW w:w="6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6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6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2006</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420" w:type="dxa"/>
            <w:vAlign w:val="bottom"/>
          </w:tcPr>
          <w:p>
            <w:pPr>
              <w:spacing w:after="0"/>
              <w:rPr>
                <w:sz w:val="20"/>
                <w:szCs w:val="20"/>
                <w:color w:val="auto"/>
              </w:rPr>
            </w:pPr>
            <w:r>
              <w:rPr>
                <w:rFonts w:ascii="Arial" w:cs="Arial" w:eastAsia="Arial" w:hAnsi="Arial"/>
                <w:sz w:val="18"/>
                <w:szCs w:val="18"/>
                <w:b w:val="1"/>
                <w:bCs w:val="1"/>
                <w:color w:val="auto"/>
              </w:rPr>
              <w:t>Total goodwill and other intangibles, net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$ 25.5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$ 19.3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$ 81.6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$ 126.4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Contingent Acquisition Consideration</w:t>
      </w:r>
    </w:p>
    <w:p>
      <w:pPr>
        <w:spacing w:after="0" w:line="12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hence, the additional consideration becomes payable. A summary of the contingent acquisition consideration as of December 31, 2005 and June 30, 2006 is summarized in the following table.</w:t>
      </w:r>
    </w:p>
    <w:p>
      <w:pPr>
        <w:sectPr>
          <w:pgSz w:w="11900" w:h="16838" w:orient="portrait"/>
          <w:cols w:equalWidth="0" w:num="1">
            <w:col w:w="11420"/>
          </w:cols>
          <w:pgMar w:left="240" w:top="120" w:right="239" w:bottom="0" w:gutter="0" w:footer="0" w:header="0"/>
        </w:sectPr>
      </w:pPr>
    </w:p>
    <w:bookmarkStart w:id="11" w:name="page12"/>
    <w:bookmarkEnd w:id="11"/>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Contingent Acquisition Consideration</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gridSpan w:val="5"/>
          </w:tcPr>
          <w:p>
            <w:pPr>
              <w:ind w:left="20"/>
              <w:spacing w:after="0"/>
              <w:rPr>
                <w:sz w:val="20"/>
                <w:szCs w:val="20"/>
                <w:color w:val="auto"/>
              </w:rPr>
            </w:pPr>
            <w:r>
              <w:rPr>
                <w:rFonts w:ascii="Arial" w:cs="Arial" w:eastAsia="Arial" w:hAnsi="Arial"/>
                <w:sz w:val="14"/>
                <w:szCs w:val="14"/>
                <w:b w:val="1"/>
                <w:bCs w:val="1"/>
                <w:color w:val="auto"/>
              </w:rPr>
              <w:t>Suntech</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Enco</w:t>
            </w: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DSI</w:t>
            </w: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19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300" w:type="dxa"/>
            <w:vAlign w:val="bottom"/>
          </w:tcPr>
          <w:p>
            <w:pPr>
              <w:ind w:left="180"/>
              <w:spacing w:after="0"/>
              <w:rPr>
                <w:sz w:val="20"/>
                <w:szCs w:val="20"/>
                <w:color w:val="auto"/>
              </w:rPr>
            </w:pPr>
            <w:r>
              <w:rPr>
                <w:rFonts w:ascii="Arial" w:cs="Arial" w:eastAsia="Arial" w:hAnsi="Arial"/>
                <w:sz w:val="18"/>
                <w:szCs w:val="18"/>
                <w:color w:val="auto"/>
              </w:rPr>
              <w:t>Accrual for contingent consideration</w:t>
            </w:r>
          </w:p>
        </w:tc>
        <w:tc>
          <w:tcPr>
            <w:tcW w:w="244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020" w:type="dxa"/>
            <w:vAlign w:val="bottom"/>
            <w:gridSpan w:val="2"/>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0"/>
                <w:szCs w:val="20"/>
                <w:color w:val="auto"/>
              </w:rPr>
            </w:pPr>
            <w:r>
              <w:rPr>
                <w:rFonts w:ascii="Arial" w:cs="Arial" w:eastAsia="Arial" w:hAnsi="Arial"/>
                <w:sz w:val="18"/>
                <w:szCs w:val="18"/>
                <w:color w:val="auto"/>
              </w:rPr>
              <w:t>Balance as of June 30, 2006</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4"/>
                <w:szCs w:val="2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4"/>
                <w:szCs w:val="2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900" w:type="dxa"/>
            <w:vAlign w:val="bottom"/>
            <w:vMerge w:val="restart"/>
          </w:tcPr>
          <w:p>
            <w:pPr>
              <w:jc w:val="right"/>
              <w:ind w:right="11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3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Network Services</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During the three and six months ended June 30, 2006, approximately $0.9 million and $7.7 million, respectively, was paid to certain shareholders of the companies acquired in ENS. As of June 30, 2006, all earn-out performance periods have ended and there was no additional contingent consideration earned related to the ENS shareholders. The remaining balance of $0.1 million as of June 30, 2006 is expected to be paid to the ENS shareholders in the third quarter of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Systems, Incorporated</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connection with the Company’s acquisition of Defense Systems, Incorporated (“DSI”) in August 2004, additional consideration of up to $3.2 million can be earned by the former major stockholders of DSI over an 18 month period, based upon performance milestones related to certain specified contracts. As of June 30, 2006, approximately $2.8 million additional consideration had been earned and paid related to the contract milestones achieved by DSI. As of June 30, 2006, the performance period had ended and no further contingent consideration is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Credit Agreement</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On March 16, 2005, the Company entered into a credit agreement with KeyBank National Association (“KeyBank”) to provide a $15.0 million senior credit facility. KeyBank is designated as the sole arranger and sole book manager. The facility has a 3-year term and can be expanded to a $60.0 million credit facility. The Company intends to use the facility for general corporate purposes and to fund future acquisitions. As of June 30, 2006, $8.0 million had been drawn to pay the contingent acquisition consideration payments due in the first two quarters of 2006. Interest on amounts outstanding under the credit facility accrues at the applicable margin over LIBOR or KeyBank’s Prime Rate as determined by the credit agreement.</w:t>
      </w:r>
    </w:p>
    <w:p>
      <w:pPr>
        <w:spacing w:after="0" w:line="64"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The terms of the credit agreement require the Company to provide certain customary covenants for a credit agreement, including certain financial covenants. These financial covenants are computed as defined by the terms of the agreement. These financial covenants include a maximum senior leverage ratio of 1.5 to 1.0, a maximum total leverage ratio of 3.0 to 1.0, a minimum liquidity ratio of 1.35 to 1.0, and a minimum fixed charge coverage ratio of 1.25 to 1.0. As of June 30, 2006, the Company was in compliance with all covenants under this agreement.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Company organized its business along service lines to include three reportable segments: Wireless Network Services, Enterprise Network Services and Government Network Services. Revenues and operating income generated by the Company’s reporting segments for the three and six months ended June 30, 2005 and 2006 are as follows (in millions).</w:t>
      </w:r>
    </w:p>
    <w:p>
      <w:pPr>
        <w:spacing w:after="0" w:line="1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60" w:type="dxa"/>
            <w:vAlign w:val="bottom"/>
            <w:gridSpan w:val="1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3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1"/>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13"/>
          </w:tcPr>
          <w:p>
            <w:pPr>
              <w:ind w:left="2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462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ind w:right="64"/>
              <w:spacing w:after="0" w:line="129" w:lineRule="exact"/>
              <w:rPr>
                <w:sz w:val="20"/>
                <w:szCs w:val="20"/>
                <w:color w:val="auto"/>
              </w:rPr>
            </w:pPr>
            <w:r>
              <w:rPr>
                <w:rFonts w:ascii="Arial" w:cs="Arial" w:eastAsia="Arial" w:hAnsi="Arial"/>
                <w:sz w:val="14"/>
                <w:szCs w:val="14"/>
                <w:b w:val="1"/>
                <w:bCs w:val="1"/>
                <w:color w:val="auto"/>
                <w:w w:val="96"/>
              </w:rPr>
              <w:t>2005</w:t>
            </w:r>
          </w:p>
        </w:tc>
        <w:tc>
          <w:tcPr>
            <w:tcW w:w="1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Borders>
              <w:bottom w:val="single" w:sz="8" w:color="CCEE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Wireless Network Services</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w w:val="95"/>
              </w:rPr>
              <w:t>$ 57.6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9"/>
              </w:rPr>
              <w:t>$ 52.0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3"/>
              </w:rPr>
              <w:t>$ 111.3</w:t>
            </w: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$ 103.0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Network Services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Government Network Services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3"/>
              </w:rPr>
              <w:t>$ 95.3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$ 86.2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$ 186.0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$ 170.1</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46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Wireless Network Services</w:t>
            </w: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Enterprise Network Services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5"/>
          </w:tcPr>
          <w:p>
            <w:pPr>
              <w:jc w:val="right"/>
              <w:ind w:right="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Network Services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Total operating income (loss)</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  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Revenues derived by geographic region are as follows (in millions):</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1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14"/>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4"/>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11"/>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4"/>
          </w:tcPr>
          <w:p>
            <w:pPr>
              <w:jc w:val="right"/>
              <w:ind w:right="28"/>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U.S.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5"/>
              </w:rPr>
              <w:t>$ 83.6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6"/>
          </w:tcPr>
          <w:p>
            <w:pPr>
              <w:jc w:val="right"/>
              <w:ind w:right="20"/>
              <w:spacing w:after="0"/>
              <w:rPr>
                <w:sz w:val="20"/>
                <w:szCs w:val="20"/>
                <w:color w:val="auto"/>
              </w:rPr>
            </w:pPr>
            <w:r>
              <w:rPr>
                <w:rFonts w:ascii="Arial" w:cs="Arial" w:eastAsia="Arial" w:hAnsi="Arial"/>
                <w:sz w:val="18"/>
                <w:szCs w:val="18"/>
                <w:color w:val="auto"/>
              </w:rPr>
              <w:t>$ 79.6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$ 164.8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$ 155.9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EMEA</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6"/>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$ 95.3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3"/>
              </w:rPr>
              <w:t>$ 86.2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$ 186.0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$ 170.1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The Company had sales to one customer, which comprised $27.1 million (31.4%) and $53.2 million (31.3%) of the Company’s total revenues for the three and six months ended June 30, 2006, respectively. The Company had sales to one customer, which comprised $23.5 million (24.7%) and $45.1 million</w:t>
      </w:r>
    </w:p>
    <w:p>
      <w:pPr>
        <w:sectPr>
          <w:pgSz w:w="11900" w:h="16962" w:orient="portrait"/>
          <w:cols w:equalWidth="0" w:num="1">
            <w:col w:w="11400"/>
          </w:cols>
          <w:pgMar w:left="240" w:top="121" w:right="259" w:bottom="0" w:gutter="0" w:footer="0" w:header="0"/>
        </w:sectPr>
      </w:pPr>
    </w:p>
    <w:bookmarkStart w:id="12" w:name="page13"/>
    <w:bookmarkEnd w:id="12"/>
    <w:p>
      <w:pPr>
        <w:ind w:right="480"/>
        <w:spacing w:after="0" w:line="277" w:lineRule="auto"/>
        <w:rPr>
          <w:sz w:val="20"/>
          <w:szCs w:val="20"/>
          <w:color w:val="auto"/>
        </w:rPr>
      </w:pPr>
      <w:r>
        <w:rPr>
          <w:rFonts w:ascii="Arial" w:cs="Arial" w:eastAsia="Arial" w:hAnsi="Arial"/>
          <w:sz w:val="18"/>
          <w:szCs w:val="18"/>
          <w:color w:val="auto"/>
        </w:rPr>
        <w:t>(24.2%) of the Company’s total revenues for the three and six months ended June 30, 2005, respectively. Revenues for this customer are recorded in the wireless network services operating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On May 30, 2002, the Company issued an aggregate of 90,000 shares of Series B Convertible Preferred Stock, at an aggregate purchase price of $45.0 million, in a private placement to entities affiliated with one of the directors of the Company (40,000 shares), to a brother of the Chairman and Chief Executive Officer of the Company (10,000 shares) and to an unrelated third-party investor (40,000 shares). The Company received $44.9 million of net proceeds. Each share of Series B Convertible Preferred Stock is initially convertible into 100 shares of Common Stock for a conversion price of $5.00 per share, which was the fair market value of the common stock at the closing, at the option of the holder at any time, subject to certain provisions in the Series B Preferred Stock Purchase Agreement. The Series B Preferred Stock Purchase Agreement had a lock-up provision, which has expired prior to March 5, 2004, on which date 40,000 shares of Series B Convertible Preferred Stock were converted into 4,000,000 shares of the Company’s Common Stock. On April 5, 2006, 15,483 shares of Series B Convertible Preferred Stock were converted into 1,548,300 shares of the Company’s Common Stock.</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Through June 30, 2006, the Company has received notices from the holders to convert an aggregate number of 80,000 shares of Series B Convertible Preferred Stock into an aggregate 8,000,000 shares of the Company’s Common Stock. On December 31, 2005 and June 30, 2006, the total liquidated preference equaled $12.7 million and $5.0 million, respectively.</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In 2003, in connection with the Company’s acquisition of a company in its Enterprise Network Services business, the Company assumed certain facility lease obligations relating to facilities that were owned by the previous shareholders. The lease expense, which approximates $0.1 million and $0.1 million for the six months ended June 30, 2005 and 2006, respectively, is reflected in the statement of operations.</w:t>
      </w:r>
    </w:p>
    <w:p>
      <w:pPr>
        <w:spacing w:after="0" w:line="73"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 connection with the Company’s acquisition of TLA in January 2005, the Company assumed certain facility lease obligations relating to facilities by the previous shareholders. The lease expense, which approximates $0.3 million and $0.4 million for the six months ended June 30, 2005 and 2006, respectively, is reflected in the statement of operations.</w:t>
      </w:r>
    </w:p>
    <w:p>
      <w:pPr>
        <w:spacing w:after="0" w:line="73"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On February 17, 2006, the Company entered into a definitive agreement to divest all of its operations in Mexico for total approximate cash consideration of $18.0 million subject to adjustments for the closing net asset calculations, with $1.5 million payable in cash on signing of the Equity Purchase Agreement and $16.5 million by means of a secured promissory note payable in installments through December 2006, 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Massih Tayebi owns or controls approximately 11% of the total voting power of the Company’s capital stock. He is also the brother of Masood Tayebi, the Company’s current Chairman of the Board of Directors. Masood Tayebi has no personal financial interest in the transaction and will have no role with the entity that has purchased the Mexico Operations. The transaction was approved by the disinterested members of the Company’s Board of Directors after consideration of other expressions of interest and a valuation analysis by an independent audit firm.</w:t>
      </w:r>
    </w:p>
    <w:p>
      <w:pPr>
        <w:spacing w:after="0" w:line="59"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The first scheduled note payment of $3.3 million was received from the buyer on May 19, 2006. The remaining note receivable balance of $14.6 million which includes accrued interest through June 30, 2006 is reflected on the Company’s Consolidated Balance Sheet as of June 30, 2006.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29, 2006, and for the installments due on November 17, 2006 and December 31, 2006 to be made no later than December 29, 2006. The installments will continue to accrue interest at the rate of 7.5% per annum. Failure to make the payments on such later dates will result in a restoration of the original terms of the note.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Beginning in July 2001, the Company and certain of its former officers and directors (the “Individuals”) were named as defendants in a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action shareholder complaints filed in the U.S. District Court for the Southern District of New York, now consolidated into a single amended complaint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captioned In re Buy.com, Inc. Initial Public Offering Securities Litigation, Case No. 01-CV-6323. In the amended complaint, filed in April 2002, the plaintiffs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allege that the Company, the Individuals, and the underwriters of the Company’s initial public offering (“IPO”) violated section 11 of the Securities Act of</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6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8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w:t>
      </w:r>
    </w:p>
    <w:p>
      <w:pPr>
        <w:sectPr>
          <w:pgSz w:w="11900" w:h="16838" w:orient="portrait"/>
          <w:cols w:equalWidth="0" w:num="1">
            <w:col w:w="11420"/>
          </w:cols>
          <w:pgMar w:left="240" w:top="125" w:right="239" w:bottom="0" w:gutter="0" w:footer="0" w:header="0"/>
        </w:sectPr>
      </w:pPr>
    </w:p>
    <w:bookmarkStart w:id="13" w:name="page14"/>
    <w:bookmarkEnd w:id="13"/>
    <w:p>
      <w:pPr>
        <w:ind w:right="220"/>
        <w:spacing w:after="0" w:line="272" w:lineRule="auto"/>
        <w:rPr>
          <w:sz w:val="20"/>
          <w:szCs w:val="20"/>
          <w:color w:val="auto"/>
        </w:rPr>
      </w:pPr>
      <w:r>
        <w:rPr>
          <w:rFonts w:ascii="Arial" w:cs="Arial" w:eastAsia="Arial" w:hAnsi="Arial"/>
          <w:sz w:val="17"/>
          <w:szCs w:val="17"/>
          <w:color w:val="auto"/>
        </w:rPr>
        <w:t>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In addition, the Court approved the form of Notice to be sent to members of the settlement classes, which was published and mailed beginning November 15, 2005. On February 24, 2006, the Court dismissed litigation filed against certain underwriters in connection with the claims to be assigned to the plaintiffs under the settlement. The Court held a Final Settlement Fairness Hearing on the settlement on April 24, 2006. The final ruling is expected mid-2006. The Company does not expect the settlement to have a material impact on its operations or cash flow. In addition, the settlement is still subject to statutory notice requirements as well as final judicial approval.</w:t>
      </w:r>
    </w:p>
    <w:p>
      <w:pPr>
        <w:spacing w:after="0" w:line="70"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 xml:space="preserve">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Arial" w:cs="Arial" w:eastAsia="Arial" w:hAnsi="Arial"/>
          <w:sz w:val="17"/>
          <w:szCs w:val="17"/>
          <w:i w:val="1"/>
          <w:iCs w:val="1"/>
          <w:color w:val="auto"/>
        </w:rPr>
        <w:t>In re Wireless Facilities, Inc.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Litigation, </w:t>
      </w:r>
      <w:r>
        <w:rPr>
          <w:rFonts w:ascii="Arial" w:cs="Arial" w:eastAsia="Arial" w:hAnsi="Arial"/>
          <w:sz w:val="17"/>
          <w:szCs w:val="17"/>
          <w:color w:val="auto"/>
        </w:rPr>
        <w:t>Master File No. 04CV1589-JAH. The plaintiffs filed their consolidated complaint in January 2005 and did not name the Company a</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Plaintiffs’ opposition was filed on July 12, 2006, and Defendants’ reply was filed on August 2, 2006. The hearing on the motion to dismiss is currently scheduled to take place on August 24, 2006.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58" w:lineRule="exact"/>
        <w:rPr>
          <w:sz w:val="20"/>
          <w:szCs w:val="20"/>
          <w:color w:val="auto"/>
        </w:rPr>
      </w:pPr>
    </w:p>
    <w:p>
      <w:pPr>
        <w:ind w:right="60" w:firstLine="360"/>
        <w:spacing w:after="0" w:line="267" w:lineRule="auto"/>
        <w:rPr>
          <w:sz w:val="20"/>
          <w:szCs w:val="20"/>
          <w:color w:val="auto"/>
        </w:rPr>
      </w:pPr>
      <w:r>
        <w:rPr>
          <w:rFonts w:ascii="Arial" w:cs="Arial" w:eastAsia="Arial" w:hAnsi="Arial"/>
          <w:sz w:val="17"/>
          <w:szCs w:val="17"/>
          <w:color w:val="auto"/>
        </w:rPr>
        <w:t xml:space="preserve">Two derivative lawsuits have been filed in the United States District Court for the Southern District of California against certain of the Company’s current and former officers and directors: </w:t>
      </w:r>
      <w:r>
        <w:rPr>
          <w:rFonts w:ascii="Arial" w:cs="Arial" w:eastAsia="Arial" w:hAnsi="Arial"/>
          <w:sz w:val="17"/>
          <w:szCs w:val="17"/>
          <w:i w:val="1"/>
          <w:iCs w:val="1"/>
          <w:color w:val="auto"/>
        </w:rPr>
        <w:t>Pedicini v. Wireless Facilities, Inc.,</w:t>
      </w:r>
      <w:r>
        <w:rPr>
          <w:rFonts w:ascii="Arial" w:cs="Arial" w:eastAsia="Arial" w:hAnsi="Arial"/>
          <w:sz w:val="17"/>
          <w:szCs w:val="17"/>
          <w:color w:val="auto"/>
        </w:rPr>
        <w:t xml:space="preserve"> Case No. 04CV1663; and </w:t>
      </w:r>
      <w:r>
        <w:rPr>
          <w:rFonts w:ascii="Arial" w:cs="Arial" w:eastAsia="Arial" w:hAnsi="Arial"/>
          <w:sz w:val="17"/>
          <w:szCs w:val="17"/>
          <w:i w:val="1"/>
          <w:iCs w:val="1"/>
          <w:color w:val="auto"/>
        </w:rPr>
        <w:t>Roth v. Wireless Facilities, Inc.,</w:t>
      </w:r>
      <w:r>
        <w:rPr>
          <w:rFonts w:ascii="Arial" w:cs="Arial" w:eastAsia="Arial" w:hAnsi="Arial"/>
          <w:sz w:val="17"/>
          <w:szCs w:val="17"/>
          <w:color w:val="auto"/>
        </w:rPr>
        <w:t xml:space="preserve"> Case No. 04CV1810. These actions have been consolidated into a single action in </w:t>
      </w:r>
      <w:r>
        <w:rPr>
          <w:rFonts w:ascii="Arial" w:cs="Arial" w:eastAsia="Arial" w:hAnsi="Arial"/>
          <w:sz w:val="17"/>
          <w:szCs w:val="17"/>
          <w:i w:val="1"/>
          <w:iCs w:val="1"/>
          <w:color w:val="auto"/>
        </w:rPr>
        <w:t>In re Wireless Facilities, Inc. Derivative Litigation</w:t>
      </w:r>
      <w:r>
        <w:rPr>
          <w:rFonts w:ascii="Arial" w:cs="Arial" w:eastAsia="Arial" w:hAnsi="Arial"/>
          <w:sz w:val="17"/>
          <w:szCs w:val="17"/>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have been withdrawn without prejudice. The parties have agreed that Defendants may refile their motions to dismiss, and to stay this action, after limited discovery is completed regarding the motion to dismiss the action against certain individual defendants based on lack of personal jurisdiction. This discovery was completed on June 14, 2006. Defendants’ motion to dismiss the complaint against the non-California resident defendants was filed on July 14, 2006. Plaintiff’s opposition is due to be filed by August 14, 2006, with Defendant’s reply due by September 5, 2006. The hearing on the motion to dismiss for lack of personal jurisdiction is currently scheduled to take place on October 5, 2006. After the court rules on this jurisdictional motion, the parties will stipulate to a briefing schedule for the remaining motions to dismiss or to stay the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83"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 xml:space="preserve">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and </w:t>
      </w:r>
      <w:r>
        <w:rPr>
          <w:rFonts w:ascii="Arial" w:cs="Arial" w:eastAsia="Arial" w:hAnsi="Arial"/>
          <w:sz w:val="17"/>
          <w:szCs w:val="17"/>
          <w:i w:val="1"/>
          <w:iCs w:val="1"/>
          <w:color w:val="auto"/>
        </w:rPr>
        <w:t>In re Wireless Facilities, Inc.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 Litigation, </w:t>
      </w:r>
      <w:r>
        <w:rPr>
          <w:rFonts w:ascii="Arial" w:cs="Arial" w:eastAsia="Arial" w:hAnsi="Arial"/>
          <w:sz w:val="17"/>
          <w:szCs w:val="17"/>
          <w:color w:val="auto"/>
        </w:rPr>
        <w:t>California Superior Court, San Diego County, Lead Case No. GIC 834253. The plaintiffs filed a Consolidated Shareholder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on October 14, 2004. This action has been stayed pending a decision in federal court on a motion to dismiss the federal derivative lawsuits and there will be a hearing in October 2006 to evaluate the status of this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79"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On January 19, 2005, the Company and a selling shareholder in a Company subsidiary in the ENS division initiated an arbitration proceeding regarding the termination of employment of that individual from ENS. The amount in controversy was approximately $1.8 million. On April 20, 2005, the arbitrator, upon motion by the selling shareholder, permitted the arbitration proceeding to expand to allow the selling shareholder to seek early payment of the sums</w:t>
      </w:r>
    </w:p>
    <w:p>
      <w:pPr>
        <w:sectPr>
          <w:pgSz w:w="11900" w:h="16838" w:orient="portrait"/>
          <w:cols w:equalWidth="0" w:num="1">
            <w:col w:w="11420"/>
          </w:cols>
          <w:pgMar w:left="240" w:top="125" w:right="239" w:bottom="0" w:gutter="0" w:footer="0" w:header="0"/>
        </w:sectPr>
      </w:pPr>
    </w:p>
    <w:bookmarkStart w:id="14" w:name="page15"/>
    <w:bookmarkEnd w:id="14"/>
    <w:p>
      <w:pPr>
        <w:ind w:right="100"/>
        <w:spacing w:after="0" w:line="257" w:lineRule="auto"/>
        <w:rPr>
          <w:sz w:val="20"/>
          <w:szCs w:val="20"/>
          <w:color w:val="auto"/>
        </w:rPr>
      </w:pPr>
      <w:r>
        <w:rPr>
          <w:rFonts w:ascii="Arial" w:cs="Arial" w:eastAsia="Arial" w:hAnsi="Arial"/>
          <w:sz w:val="18"/>
          <w:szCs w:val="18"/>
          <w:color w:val="auto"/>
        </w:rPr>
        <w:t>which may be due under the selling shareholder’s earn-out agreement. In this arbitration proceeding, the selling shareholder was claiming he was entitled to approximately $5.0 million. The arbitration occurred in April 2006 and a decision was handed down on May 8, 2006, resulting in an award to the selling shareholder of $0.9 million, including contingent consideration, arbitration costs and attorney’s fees. The Company accrued approximately $0.9 million as of March 31, 2006 and, pursuant to the terms of the arbitration award, has paid the amount due during the second quarter of 2006. See Note 7 for discussion regarding contingent acquisition consideration.</w:t>
      </w:r>
    </w:p>
    <w:p>
      <w:pPr>
        <w:spacing w:after="0" w:line="80"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do Brazil, to which he had been assigned for a period of time. He sought to be designated an employee of WFI do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is challenging the basis for the award on several theories. The Company has accrued approximately $0.3 million as of June 30, 2006 related to this matter. The Company intends to pursue the appeal of this award and is unable to determine the ultimate outcome of this matter.</w:t>
      </w:r>
    </w:p>
    <w:p>
      <w:pPr>
        <w:spacing w:after="0" w:line="59"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jc w:val="both"/>
        <w:ind w:right="160" w:firstLine="360"/>
        <w:spacing w:after="0" w:line="279" w:lineRule="auto"/>
        <w:rPr>
          <w:sz w:val="20"/>
          <w:szCs w:val="20"/>
          <w:color w:val="auto"/>
        </w:rPr>
      </w:pPr>
      <w:r>
        <w:rPr>
          <w:rFonts w:ascii="Arial" w:cs="Arial" w:eastAsia="Arial" w:hAnsi="Arial"/>
          <w:sz w:val="17"/>
          <w:szCs w:val="17"/>
          <w:color w:val="auto"/>
        </w:rPr>
        <w:t>On August 8, 2006 the Company entered into a definitive agreement to acquire Huntsville, Alabama based Madison Research Technology Corporation (“MRC”) as part of the Company’s Government Network Solutions business.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w:t>
      </w:r>
    </w:p>
    <w:p>
      <w:pPr>
        <w:spacing w:after="0" w:line="63"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The purchase price is approximately $69 million, subject to certain post-closing adjustments. The Company has received a letter of intent from KeyBank National Association (“KeyBank”) to provide a new $85 million credit facility which will replace the existing credit facility of $15 million. The Company expects to utilize cash on hand and cash provided under the new $85 million credit facility to fund this acquisition. The transaction is subject to customary closing conditions, including expiration of waiting periods under applicable antitrust regulations, and is expected to close by the end of the third quarter.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0" w:firstLine="360"/>
        <w:spacing w:after="0" w:line="253" w:lineRule="auto"/>
        <w:rPr>
          <w:sz w:val="20"/>
          <w:szCs w:val="20"/>
          <w:color w:val="auto"/>
        </w:rPr>
      </w:pPr>
      <w:r>
        <w:rPr>
          <w:rFonts w:ascii="Arial" w:cs="Arial" w:eastAsia="Arial" w:hAnsi="Arial"/>
          <w:sz w:val="18"/>
          <w:szCs w:val="18"/>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U.S. Department of Defense, which could cause delays or cancellations of key government contracts; slowdowns in telecommunications infrastructure spending in the United States and globally, which could delay network deployment and reduce demand for our services; the timing, rescheduling or cancellation of significant customer contracts and agreements, or consolidation by or the loss of key customers; failure to successfully consummate acquisitions or integrate acquired operations; the rate of adoption of telecom outsourcing by network carriers and equipment suppliers; the rate of growth of adoption of WLAN and wireless security systems by enterprises; and competition in the marketplace which could reduce revenues and profit margins.</w:t>
      </w:r>
    </w:p>
    <w:p>
      <w:pPr>
        <w:spacing w:after="0" w:line="8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79" w:lineRule="exact"/>
        <w:rPr>
          <w:sz w:val="20"/>
          <w:szCs w:val="20"/>
          <w:color w:val="auto"/>
        </w:rPr>
      </w:pPr>
    </w:p>
    <w:p>
      <w:pPr>
        <w:ind w:right="220" w:firstLine="360"/>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for the year ended December 31, 2005 and other reports and filings made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We are an independent provider of outsourced communications and security systems engineering and integration services for the wireless communications industry through our Wireless Network Services division (“WNS”), the U.S. government through our Government Network Services division (“GNS”), and enterprise customers through our Enterprise Network Services division (“ENS”). The principal services we provide include, but are not limited to, the design, deployment, integration, and the overall management of communications, information technology, and security networks. Our work for the wireless communications industry primarily involves radio frequency engineering, site development, project management and the installation of radio equipment networks. We also provide network management services, which involve day-to-day optimization and maintenance of wireless networks. Our work for the federal government primarily involves systems engineering, systems integration, and the outsourcing of technical services such as operational test and evaluation and program management. Our work for enterprise customers primarily involves the design, deployment and integration of security and other in-building systems including access control and intrusion detection and is focused on opportunities to integrate wireless technology into enterprise networks, especially physical and electronic security systems and voice and data networks.</w:t>
      </w:r>
    </w:p>
    <w:p>
      <w:pPr>
        <w:spacing w:after="0" w:line="70"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In December 2005, our Board of Directors made the decision to exit our Mexican operations and certain of our other deployment businesses in South America. Prior to this decision, these operations had been reported in our Wireless Network Services segment. We determined that these operations meet the criteria to be classified s held for sale. Accordingly, we have reflected these operations as discontinued in</w:t>
      </w:r>
    </w:p>
    <w:p>
      <w:pPr>
        <w:sectPr>
          <w:pgSz w:w="11900" w:h="16838" w:orient="portrait"/>
          <w:cols w:equalWidth="0" w:num="1">
            <w:col w:w="11420"/>
          </w:cols>
          <w:pgMar w:left="240" w:top="125" w:right="239" w:bottom="13"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accordance with SFAS No. 144, “Accounting for the Impairment of Disposal of Long-Lived Assets.” Our South American deployment operations were substantially shut down as of the end of 2005. Accordingly, all results for these operations for all periods presented have been reflected as discontinued operations. All operating results discussed in results of operations relate to our continuing operations.</w:t>
      </w:r>
    </w:p>
    <w:p>
      <w:pPr>
        <w:spacing w:after="0" w:line="7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On February 17, 2006, we entered into a definitive agreement to divest all of our operations in Mexico for total approximate cash consideration of $18.0 million, which approximates the net book value of the operations, including $13.2 million of liabilities associated with a loss contingency. The transaction closed on March 10, 2006. The transaction was structured as a sale of our subsidiaries in Mexico, and the purchase price consisted of $1.5 million in cash paid on February 17, 2006, plus a secured promissory note payable in installments through December 31, 2006. The note is secured by pledges of assets and a personal guaranty.</w:t>
      </w:r>
    </w:p>
    <w:p>
      <w:pPr>
        <w:spacing w:after="0" w:line="80"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The first scheduled note payment of $3.3 million was received from the buyer on May 19, 2006. The remaining note receivable balance of $14.6 million which includes accrued interest through June 30, 2006 is reflected on the Company’s Consolidated Balance Sheet as of June 30, 2006.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29, 2006, and for the installments due on November 17, 2006 and December 31, 2006 to be made no later than December 29, 2006. The installments will continue to accrue interest at the rate of 7.5% per annum. Failure to make the payments on such later dates will result in a restoration of the original terms of the note.</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purchaser, Sakoki LLC, is a newly-formed entity controlled by Massih Tayebi. Although Massih Tayebi has no current role with us, he was one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co-founders and served as our Chief Executive Officer from inception in 1994 through September 2000, and as a director from inception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2002. In addition, Massih Tayebi owns or controls approximately 11% of the total voting power of our capital stock. He is also the brother of Masood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Tayebi, our Chairman of the Board of Directors. Masood Tayebi has no personal financial interest in the transaction and will have no role with the entity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purchasing the Mexico operations.</w:t>
      </w:r>
    </w:p>
    <w:p>
      <w:pPr>
        <w:spacing w:after="0" w:line="103"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Wireless Network Services contracts are primarily fixed-price contracts whereby revenue is recognized using the percentage-of-completion method of accounting under the provisions of Statement of Position (SOP) 81-1, “Accounting for Performance of Construction Type and Certain Production Type Contracts.” For contracts offered on a time and material basis, we recognize revenues as services are performed. We typically charge a fixed monthly fee for ongoing radio frequency optimization and network operations and maintenance services. With respect to these services, we recognize revenue as services are performed. Our Government Network Services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w:t>
      </w:r>
    </w:p>
    <w:p>
      <w:pPr>
        <w:spacing w:after="0" w:line="5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Cost of revenues includes direct compensation, living, travel and benefit expenses for project-related personnel, payments to third-party sub-contractors, project-related incentive compensation based upon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successful achievement of certain project performance goals, allocation of corporate overhead costs of expendable computer software and equipment, and other direct project-related expenses. Direct compensation and benefits are computed based on standard costs and actual hours billed. We review and adjust these standard costs periodically to ensure they are comparable to actual costs.</w:t>
      </w:r>
    </w:p>
    <w:p>
      <w:pPr>
        <w:spacing w:after="0" w:line="73"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5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these factors do not indicate collection is reasonably assured, revenue is deferred until it become reasonably assured, which is generally upon receipt of cash.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 Total retainages included in accounts receivable were $1.2 million at June 30, 2006.</w:t>
      </w:r>
    </w:p>
    <w:p>
      <w:pPr>
        <w:spacing w:after="0" w:line="74"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financial condition and operating performance:</w:t>
      </w:r>
    </w:p>
    <w:p>
      <w:pPr>
        <w:spacing w:after="0" w:line="62" w:lineRule="exact"/>
        <w:rPr>
          <w:sz w:val="20"/>
          <w:szCs w:val="20"/>
          <w:color w:val="auto"/>
        </w:rPr>
      </w:pPr>
    </w:p>
    <w:p>
      <w:pPr>
        <w:ind w:left="540" w:right="100" w:hanging="172"/>
        <w:spacing w:after="0" w:line="255"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there remain opportunities for us to grow our Wireless Network Services business in Land Mobile Radio (LMR), IP Fixed and Core Networks and in-building networks. We also see opportunities in spectrum clearing and frequency realignment activities related to the Federal Communication Commission’s recent action on the reallocation of licenses in the 800 megahertz frequencies. We believe that we may continue to experience pressure on our operating margins in our Wireless Network Services legacy Radio Frequency (RF) engineering business as a result of aggressive pricing by our competitors. Within the WNS business, we are continuing our efforts to reduce the amount of high risk, turn key, firm fixed price contracting that we do in higher risk markets by being extremely selective with these projects, while focusing on lower risk market areas and modular work.</w:t>
      </w:r>
    </w:p>
    <w:p>
      <w:pPr>
        <w:sectPr>
          <w:pgSz w:w="11900" w:h="16838" w:orient="portrait"/>
          <w:cols w:equalWidth="0" w:num="1">
            <w:col w:w="11420"/>
          </w:cols>
          <w:pgMar w:left="240" w:top="125" w:right="239" w:bottom="50" w:gutter="0" w:footer="0" w:header="0"/>
        </w:sectPr>
      </w:pPr>
    </w:p>
    <w:bookmarkStart w:id="16" w:name="page17"/>
    <w:bookmarkEnd w:id="16"/>
    <w:p>
      <w:pPr>
        <w:spacing w:after="0" w:line="83" w:lineRule="exact"/>
        <w:rPr>
          <w:sz w:val="20"/>
          <w:szCs w:val="20"/>
          <w:color w:val="auto"/>
        </w:rPr>
      </w:pPr>
    </w:p>
    <w:p>
      <w:pPr>
        <w:ind w:left="540" w:hanging="172"/>
        <w:spacing w:after="0" w:line="255"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our Government Network Services segment will build and expand our customer relationships within the U.S. Departments of Defense and Homeland Security by taking advantage of the significant opportunities for companies with substantial expertise in wireless technology. We believe we will experience continued growth in revenues and operating income from this new operating segment. On August 8, 2006, we entered into a definitive agreement to acquire Huntsville, Alabama-based Madison Research Corporation (“MRC”) as part of our GNS business.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400" w:hanging="17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also believe that despite project delays and set backs in the first quarter and second quarter that our Enterprise Network Services segment will grow. We continue to be optimistic about the opportunity to integrate wireless technology into municipality and enterprise networks, especially physical and electronic security systems, and voice and data networks.</w:t>
      </w:r>
    </w:p>
    <w:p>
      <w:pPr>
        <w:spacing w:after="0" w:line="73" w:lineRule="exact"/>
        <w:rPr>
          <w:rFonts w:ascii="Arial" w:cs="Arial" w:eastAsia="Arial" w:hAnsi="Arial"/>
          <w:sz w:val="18"/>
          <w:szCs w:val="18"/>
          <w:color w:val="auto"/>
        </w:rPr>
      </w:pPr>
    </w:p>
    <w:p>
      <w:pPr>
        <w:ind w:left="540" w:hanging="172"/>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June 30, 2006, we have estimated our annual effective tax rate to be 29% for the year ending December 31, 2006. The rate differs from the federal and state statutory rates primarily because of nondeductible permanent tax items, tax reserves, and a reduction to our valuation allowance for originating deductible differences. The provision recorded for the quarter of 306% is greater than our estimated annual effective tax rate because of discrete tax expense items relating to tax reserves and no tax benefit for losses in our international operations which were partially offset by the realization of a tax benefit due to the decrease in our valuation allowance. To the extent our projections may change, which may impact our judgement regarding the realizability of our deferred tax assets and required valuation allowance, our annual effective tax rate for 2006 could change in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121"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and litigation and contingent acquisition consideration. We explain these accounting policies in the notes to the unaudited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59"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derive a significant percentage of our revenue from long-term contracts and account for these contracts under the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Statement of Position 81-1, “Accounting for Performance of Construction-Type and Certain Production-Type Contracts”. Revenue on time and materials contracts is recognized as services are rendered at contracted labor rates plus material and other direct costs incurred. The portion of our revenue derived from fixed-price contracts accounted for approximately 62.4% and 63.7% of our revenues for the three and six months ended June 30, 2006, respectively. Revenue on fixed-price contracts is recognized using the 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Once the final estimate of the outcome of the project margin is determined, we will record revenue using the percentage-of-completion method of accounting based on the ratio of total costs incurred to date compared to the estimated total costs to complete the project. Significant management judgments and estimates, including but not limited to the estimated costs to complete projects, must be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cancellation, schedule delay, or modification of a fixed-price contract which is accounted for using the percentage-of-completion method</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w:t>
      </w:r>
    </w:p>
    <w:p>
      <w:pPr>
        <w:spacing w:after="0" w:line="53"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In addition, many of our contracts include milestone billings. If a contract is terminated or if the scope of a contract changes prior to a milestone billing, the amount of revenue we recognize may change, based upon the specific termination clauses of the contract, which would affect our revenue and gross margin in the period in which the contract is terminated or the scope is changed.</w:t>
      </w:r>
    </w:p>
    <w:p>
      <w:pPr>
        <w:spacing w:after="0" w:line="73"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During the reporting periods contained herein, we did experience revenue and margin adjustments of certain projects based on the aforementioned factors.</w:t>
      </w:r>
    </w:p>
    <w:p>
      <w:pPr>
        <w:spacing w:after="0" w:line="62"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potential inability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future payments on amounts due to us. Management determines the adequacy of this allowance by periodically evaluating the</w:t>
      </w:r>
    </w:p>
    <w:p>
      <w:pPr>
        <w:sectPr>
          <w:pgSz w:w="11900" w:h="16921" w:orient="portrait"/>
          <w:cols w:equalWidth="0" w:num="1">
            <w:col w:w="11400"/>
          </w:cols>
          <w:pgMar w:left="240" w:top="125" w:right="259" w:bottom="0" w:gutter="0" w:footer="0" w:header="0"/>
        </w:sectPr>
      </w:pPr>
    </w:p>
    <w:bookmarkStart w:id="17" w:name="page18"/>
    <w:bookmarkEnd w:id="17"/>
    <w:p>
      <w:pPr>
        <w:ind w:right="40"/>
        <w:spacing w:after="0" w:line="272" w:lineRule="auto"/>
        <w:rPr>
          <w:sz w:val="20"/>
          <w:szCs w:val="20"/>
          <w:color w:val="auto"/>
        </w:rPr>
      </w:pPr>
      <w:r>
        <w:rPr>
          <w:rFonts w:ascii="Arial" w:cs="Arial" w:eastAsia="Arial" w:hAnsi="Arial"/>
          <w:sz w:val="17"/>
          <w:szCs w:val="17"/>
          <w:color w:val="auto"/>
        </w:rPr>
        <w:t>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70"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i w:val="1"/>
          <w:iCs w:val="1"/>
          <w:color w:val="auto"/>
        </w:rPr>
        <w:t xml:space="preserve">Valuation of long-lived assets including intangible assets and goodwill. </w:t>
      </w:r>
      <w:r>
        <w:rPr>
          <w:rFonts w:ascii="Arial" w:cs="Arial" w:eastAsia="Arial" w:hAnsi="Arial"/>
          <w:sz w:val="17"/>
          <w:szCs w:val="17"/>
          <w:color w:val="auto"/>
        </w:rPr>
        <w:t>We recorded goodwill and finite-life intangible assets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and previously completed acquisitions. Management assesses the impairment of identifiable finite-life intangibles, long-lived assets and related goodwill whenever events or changes in circumstances indicate that the carrying value may not be recoverable, but at a minimum on an annual basis. Factors we consider relevant which could trigger an accelerated impairment review include, but are not limited to, the following:</w:t>
      </w:r>
    </w:p>
    <w:p>
      <w:pPr>
        <w:spacing w:after="0" w:line="63"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When we determine that the carrying value of intangibles, long-lived assets and related goodwill may not be recoverable based upon the existence of one or more of the above indicators of impairment, we measure any impairment based substantially on a projected discounted future cash flow method using a discount rate determined by our management to be commensurate with the risk inherent in our current business model combined with other readily available and other relevant information. Net intangible assets, long-lived assets (including investments in unconsolidated affiliates), and goodwill was $144.0 million as of June 30, 2006.</w:t>
      </w:r>
    </w:p>
    <w:p>
      <w:pPr>
        <w:spacing w:after="0" w:line="8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In accordance with Statement of Financial Accounting Standards (SFAS) No. 142, we do not amortize goodwill and indefinite lived intangible assets. In lieu of amortization, we are required to perform, at a minimum, an annual impairment review unless specific evidence identified as a triggering event would warrant an accelerated review of our goodwill and intangible assets with indefinite lives. The first step of the goodwill impairment test requires the Company to determine and compare the fair value of its defined reporting units to their carrying values as of the evaluation date. The fair value for each reporting unit is determined using an undiscounted cash flow valuation analysis. The carrying values of each reporting unit are determined by specifically identifying and allocating the assets and liabilities of the Company to each reporting unit based on headcount, relative revenues or costs, or other methods as deemed appropriate by management. If the estimated fair values exceed the carrying values for each reporting unit, there is no indication of impairment. Consequently, the second step of the impairment test will not be required.</w:t>
      </w:r>
    </w:p>
    <w:p>
      <w:pPr>
        <w:spacing w:after="0" w:line="71"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Since the last annual impairment test as of December 31, 2005, there has been no indication of a triggering event that would warrant an accelerated review of our goodwill and intangible assets with indefinite lives.</w:t>
      </w:r>
    </w:p>
    <w:p>
      <w:pPr>
        <w:spacing w:after="0" w:line="62"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i w:val="1"/>
          <w:iCs w:val="1"/>
          <w:color w:val="auto"/>
        </w:rPr>
        <w:t xml:space="preserve">Accounting for income taxes and tax contingencies. </w:t>
      </w:r>
      <w:r>
        <w:rPr>
          <w:rFonts w:ascii="Arial" w:cs="Arial" w:eastAsia="Arial" w:hAnsi="Arial"/>
          <w:sz w:val="17"/>
          <w:szCs w:val="17"/>
          <w:color w:val="auto"/>
        </w:rPr>
        <w:t>As part of the process of preparing our consolidated financial statements we are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timing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probable, a valuation allowance is established to mitigate such risk resulting in an additional related provision for income taxes during the period. If we are required to further increase the valuation allowance in the future, it could have an adverse impact on our results of operations.</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Significant management judgment is required in determining our provision for income taxes, our deferred tax assets and liabilities, tax contingencies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 We have a valuation allowance at June 30, 2006, due to management’s overall assessment of risks and uncertainties related to our future ability to realize and, hence, utilize certain deferred tax assets, primarily consisting of net operating losses, carryforward temporary differences and future tax deductions resulting from certain types of stock option exercises, before they expire. The assessed adequacy of valuation allowance is based on our current estimates of adjusted taxable income by each tax jurisdiction in which we operate and the period over which our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deferred tax assets will be recoverable. In the event that actual results differ from these estimates or we adversely adjust these estimates in future periods, our financial position and results of operations could be materially impacted. Management believes the valuation allowance recorded at June 30, 2006 is properly stated.</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2006 effective tax rate for annual and interim reporting periods could be impacted if certain tax items that are reserved for at June 30, 2006 are resolved at an amount which differs from our estimate. Finally, during 2006, if we are impacted by a change in the valuation allowance as of June 30, 2006 resulting from a change in judgment regarding the realizability of deferred tax assets beyond December 31, 2006, such effect will be recognized in the interim period in which the change occurs.</w:t>
      </w:r>
    </w:p>
    <w:p>
      <w:pPr>
        <w:spacing w:after="0" w:line="79"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i w:val="1"/>
          <w:iCs w:val="1"/>
          <w:color w:val="auto"/>
        </w:rPr>
        <w:t xml:space="preserve">Accrual for partial self-insurance. </w:t>
      </w:r>
      <w:r>
        <w:rPr>
          <w:rFonts w:ascii="Arial" w:cs="Arial" w:eastAsia="Arial" w:hAnsi="Arial"/>
          <w:sz w:val="16"/>
          <w:szCs w:val="16"/>
          <w:color w:val="auto"/>
        </w:rPr>
        <w:t>We maintain an accrual for our health and workers compensation partial self-insurance, which is a component of</w:t>
      </w:r>
      <w:r>
        <w:rPr>
          <w:rFonts w:ascii="Arial" w:cs="Arial" w:eastAsia="Arial" w:hAnsi="Arial"/>
          <w:sz w:val="16"/>
          <w:szCs w:val="16"/>
          <w:i w:val="1"/>
          <w:iCs w:val="1"/>
          <w:color w:val="auto"/>
        </w:rPr>
        <w:t xml:space="preserve"> </w:t>
      </w:r>
      <w:r>
        <w:rPr>
          <w:rFonts w:ascii="Arial" w:cs="Arial" w:eastAsia="Arial" w:hAnsi="Arial"/>
          <w:sz w:val="16"/>
          <w:szCs w:val="16"/>
          <w:color w:val="auto"/>
        </w:rPr>
        <w:t>total 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w:t>
      </w:r>
    </w:p>
    <w:p>
      <w:pPr>
        <w:sectPr>
          <w:pgSz w:w="11900" w:h="16838" w:orient="portrait"/>
          <w:cols w:equalWidth="0" w:num="1">
            <w:col w:w="11400"/>
          </w:cols>
          <w:pgMar w:left="240" w:top="125" w:right="259" w:bottom="0" w:gutter="0" w:footer="0" w:header="0"/>
        </w:sectPr>
      </w:pPr>
    </w:p>
    <w:bookmarkStart w:id="18" w:name="page19"/>
    <w:bookmarkEnd w:id="18"/>
    <w:p>
      <w:pPr>
        <w:spacing w:after="0" w:line="6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As of June 30, 2006, the accrual for our partial self-insurance programs approximated $2.3 million. We also carry stop-loss insurance that provides coverage limiting our total exposure related to each medical and workers compensation claim incurred, as defined in the applicable insurance policies. The medical and workers compensation limits per claim are $150,000 and $250,000, respectively.</w:t>
      </w:r>
    </w:p>
    <w:p>
      <w:pPr>
        <w:spacing w:after="0" w:line="8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i w:val="1"/>
          <w:iCs w:val="1"/>
          <w:color w:val="auto"/>
        </w:rPr>
        <w:t xml:space="preserve">Contingencies and litigation. </w:t>
      </w:r>
      <w:r>
        <w:rPr>
          <w:rFonts w:ascii="Arial" w:cs="Arial" w:eastAsia="Arial" w:hAnsi="Arial"/>
          <w:sz w:val="17"/>
          <w:szCs w:val="17"/>
          <w:color w:val="auto"/>
        </w:rPr>
        <w:t>We are currently involved in certain legal proceedings. We estimate a range of liability related to pending litigation where</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No. 5, “Accounting for Contingencies.” As additional information becomes available, we assess the potential liability related to our pending litigation and revise our estimates. Revisions in our estimates of potential liability could materially impact our results of operations. See Part II, Item 1 “Legal Proceedings” for additional information.</w:t>
      </w:r>
    </w:p>
    <w:p>
      <w:pPr>
        <w:spacing w:after="0" w:line="70" w:lineRule="exact"/>
        <w:rPr>
          <w:sz w:val="20"/>
          <w:szCs w:val="20"/>
          <w:color w:val="auto"/>
        </w:rPr>
      </w:pPr>
    </w:p>
    <w:p>
      <w:pPr>
        <w:ind w:right="260" w:firstLine="360"/>
        <w:spacing w:after="0" w:line="293" w:lineRule="auto"/>
        <w:rPr>
          <w:sz w:val="20"/>
          <w:szCs w:val="20"/>
          <w:color w:val="auto"/>
        </w:rPr>
      </w:pPr>
      <w:r>
        <w:rPr>
          <w:rFonts w:ascii="Arial" w:cs="Arial" w:eastAsia="Arial" w:hAnsi="Arial"/>
          <w:sz w:val="16"/>
          <w:szCs w:val="16"/>
          <w:i w:val="1"/>
          <w:iCs w:val="1"/>
          <w:color w:val="auto"/>
        </w:rPr>
        <w:t xml:space="preserve">Share-Based Payments. </w:t>
      </w:r>
      <w:r>
        <w:rPr>
          <w:rFonts w:ascii="Arial" w:cs="Arial" w:eastAsia="Arial" w:hAnsi="Arial"/>
          <w:sz w:val="16"/>
          <w:szCs w:val="16"/>
          <w:color w:val="auto"/>
        </w:rPr>
        <w:t>Beginning in fiscal year 2006, we account for share-based compensation arrangements in accordance with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Financial Accounting Standards No. 123R (“SFAS 123R”) “Share-Based Payments,” which requires the measurement and recognition of compensation expense for all share-based payment awards to employees and directors based on estimated fair values. Prior to adoption of SFAS 123R, we accounted for share-based compensation using the intrinsic value-based method in accordance with Accounting Principles Board (APB) Opinion No. 25, “Accounting for Stock Issued to Employees.” Under the intrinsic method, no share-based compensation expense related to stock option awards granted to employees had been recognized in our Consolidated Statement of Operations. We adopted SFAS 123R using the modified prospective transition method.</w:t>
      </w:r>
    </w:p>
    <w:p>
      <w:pPr>
        <w:spacing w:after="0" w:line="57"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The valuation provisions of SFAS 123R apply to new awards and to awards that are outstanding on the effective date and subsequently modified or cancelled. Under the modified prospective application, which we used, prior periods are not revised for comparative purposes. We use the Black-Scholes option valuation model to estimate the fair value of our stock options at the grant date. The Black-Scholes option valuation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Option pricing models require the input of highly subjective assumptions including the expected stock price volatility,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 If actual results are not consistent with our assumptions and judgments used in estimating the key assumptions, we may be required to increase or decrease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30, 2005 to the Three Months Ended June 30, 2006</w:t>
      </w:r>
    </w:p>
    <w:p>
      <w:pPr>
        <w:spacing w:after="0" w:line="117"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decreased $9.1 million from $95.3 million for the three months ended June 30, 2005 to $86.2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2006. The $9.1 million decrease was attributable to a decrease in domestic revenues of $4.0 million and a decrease in international revenues of $5.1 million.</w:t>
      </w:r>
    </w:p>
    <w:p>
      <w:pPr>
        <w:spacing w:after="0" w:line="73"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Our domestic revenue decline is primarily attributed to our Enterprise Network Services segment, primarily as a result of customer delays and the impact of personnel turnover and other related activities that occurred immediately following the completion of the earn-out period in two of the acquired entities in the first quarter of 2006. The customer delays as well as the rebuilding of the management teams did not return to normalcy until later in the second quarter of 2006, resulting in reduced revenues and operating margins for both the first and second quarters for the Enterprise Network Services segment. Aggregate international revenues decreased by $5.1 million from the prior year period, which represented the primary decline in the Wireless Network Services segment, primarily due to the completion of a significant project in EMEA in 2005, as well as due to the impact of increased pricing pressures in the same international market resulting in reduced revenues of $3.5 million in EMEA, and decreased revenues in our Brazilian operation of $1.6 million resulting from the wind-down of our deployment business in that region.</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three months ended June 30, 2005 and 2006 are as follows (in millions):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880" w:type="dxa"/>
            <w:vAlign w:val="bottom"/>
            <w:gridSpan w:val="5"/>
          </w:tcPr>
          <w:p>
            <w:pPr>
              <w:ind w:left="20"/>
              <w:spacing w:after="0"/>
              <w:rPr>
                <w:sz w:val="20"/>
                <w:szCs w:val="20"/>
                <w:color w:val="auto"/>
              </w:rPr>
            </w:pPr>
            <w:r>
              <w:rPr>
                <w:rFonts w:ascii="Arial" w:cs="Arial" w:eastAsia="Arial" w:hAnsi="Arial"/>
                <w:sz w:val="14"/>
                <w:szCs w:val="14"/>
                <w:b w:val="1"/>
                <w:bCs w:val="1"/>
                <w:color w:val="auto"/>
              </w:rPr>
              <w:t>$ change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$ 57.6</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$ 52.0</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(5.6)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9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$ 95.3</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$ 86.2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generated by geographic segment for the quarters ended June 30, 2005 and 2006 are as follows (in millions):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rPr>
              <w:t>$ change</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$ 83.6</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$ 79.6</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(4.0)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EMEA</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Total revenues</w:t>
            </w:r>
          </w:p>
        </w:tc>
        <w:tc>
          <w:tcPr>
            <w:tcW w:w="17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$ 95.3</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$ 86.2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vMerge w:val="restart"/>
          </w:tcPr>
          <w:p>
            <w:pPr>
              <w:jc w:val="right"/>
              <w:ind w:right="314"/>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2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20" w:firstLine="360"/>
        <w:spacing w:after="0" w:line="312"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significant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w:t>
      </w:r>
    </w:p>
    <w:p>
      <w:pPr>
        <w:sectPr>
          <w:pgSz w:w="11900" w:h="16898" w:orient="portrait"/>
          <w:cols w:equalWidth="0" w:num="1">
            <w:col w:w="11400"/>
          </w:cols>
          <w:pgMar w:left="240" w:top="125" w:right="259" w:bottom="0" w:gutter="0" w:footer="0" w:header="0"/>
        </w:sectPr>
      </w:pPr>
    </w:p>
    <w:bookmarkStart w:id="19" w:name="page20"/>
    <w:bookmarkEnd w:id="19"/>
    <w:p>
      <w:pPr>
        <w:ind w:right="100"/>
        <w:spacing w:after="0" w:line="279" w:lineRule="auto"/>
        <w:rPr>
          <w:sz w:val="20"/>
          <w:szCs w:val="20"/>
          <w:color w:val="auto"/>
        </w:rPr>
      </w:pPr>
      <w:r>
        <w:rPr>
          <w:rFonts w:ascii="Arial" w:cs="Arial" w:eastAsia="Arial" w:hAnsi="Arial"/>
          <w:sz w:val="17"/>
          <w:szCs w:val="17"/>
          <w:color w:val="auto"/>
        </w:rPr>
        <w:t>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63"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from $73.4 million for the three months ended June 30, 2005 to $70.6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2006 primarily as a result of the reduction in revenues. The decrease in cost of revenues includes an increase of $0.3 million of stock-based compensation in the second quarter of 2006 as a result of the adoption of SFAS 123R. There was no stock-based compensation expense recorded in 2005. Gross margin during the three months ended June 30, 2006 decreased from 23.0% in the second quarter of 2005 to 18.1%. The decrease in gross margin primarily resulted from the impact of competitive pricing pressures that we are experiencing in our legacy Radio Frequency engineering business in the U.S. and our EMEA business, as well as the impact of a large national deployment program which we are recording a zero profit margin since we have not yet received the requisite purchase orders from our customer to record the anticipated profit margin on the project.</w:t>
      </w:r>
    </w:p>
    <w:p>
      <w:pPr>
        <w:spacing w:after="0" w:line="70"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decreased from $17.6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2005 to $15.5 million in the three months ended June 30, 2006. Included in the second quarter 2006 SG&amp;A is $0.5 million stock-based compensation expense resulting from our adoption of SFAS No. 123R. There was no stock-based compensation expense recorded in 2005. Included in the second quarter of 2005 SG&amp;A is approximately $1.0 million of professional fees primarily related to our 2005 annual audit and compliance with Sarbanes Oxley. The remaining reduction year over year is a result of cost reduction measures we have taken in 2006.</w:t>
      </w:r>
    </w:p>
    <w:p>
      <w:pPr>
        <w:spacing w:after="0" w:line="64" w:lineRule="exact"/>
        <w:rPr>
          <w:sz w:val="20"/>
          <w:szCs w:val="20"/>
          <w:color w:val="auto"/>
        </w:rPr>
      </w:pPr>
    </w:p>
    <w:p>
      <w:pPr>
        <w:jc w:val="both"/>
        <w:ind w:right="200" w:firstLine="360"/>
        <w:spacing w:after="0" w:line="31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For the three months ended June 30, 2005, net other expense was $0.3 million as compared to net other income of $0.1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June 30, 2006. The income for in the three months ended June 30, 2006 was primarily attributable to the interest income on the Note Receivable relating to the sale of our Mexican subsidiary offset by interest expense for the borrowings on the Line of Credit.</w:t>
      </w:r>
    </w:p>
    <w:p>
      <w:pPr>
        <w:spacing w:after="0" w:line="39"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i w:val="1"/>
          <w:iCs w:val="1"/>
          <w:color w:val="auto"/>
        </w:rPr>
        <w:t xml:space="preserve">Provision(Benefit) for Income Taxes. </w:t>
      </w:r>
      <w:r>
        <w:rPr>
          <w:rFonts w:ascii="Arial" w:cs="Arial" w:eastAsia="Arial" w:hAnsi="Arial"/>
          <w:sz w:val="18"/>
          <w:szCs w:val="18"/>
          <w:color w:val="auto"/>
        </w:rPr>
        <w:t>Our effective income tax rate for the three months ended June 30, 2005 was 38% compared to a provision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306% for the three months ended June 30, 2006. The effective tax provision rate for the three months ended June 30, 2006 is greater than federal and state statutory rates primarily due to nondeductible permanent tax items and no tax benefit for losses in our international operations which were partially offset by the realization of a tax benefit due to the decrease in our valuation allowance.</w:t>
      </w:r>
    </w:p>
    <w:p>
      <w:pPr>
        <w:spacing w:after="0" w:line="79"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Income (loss) from discontinued operations decreased from income of $0.8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2005 to a loss of $0.2 million for the three months ended June 30, 2006. The decrease of $1.0 million resulted from the wind-down of operations in the Latin American operations at the end of 2005 and the sale of the Mexico operation effective on February 17, 2006.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Six Months Ended June 30, 2005 to the Six Months Ended June 30, 2006</w:t>
      </w:r>
    </w:p>
    <w:p>
      <w:pPr>
        <w:spacing w:after="0" w:line="117" w:lineRule="exact"/>
        <w:rPr>
          <w:sz w:val="20"/>
          <w:szCs w:val="20"/>
          <w:color w:val="auto"/>
        </w:rPr>
      </w:pPr>
    </w:p>
    <w:p>
      <w:pPr>
        <w:ind w:right="160" w:firstLine="360"/>
        <w:spacing w:after="0" w:line="297"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decreased 8.5% from $186.0 million for the six months ended June 30, 2005 to $170.1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2006. The $15.9 million decrease was attributable to reduced domestic revenues of $8.9 million and a decrease in international revenues of $7.0 million primarily attributable to a reduction in revenue in EMEA as a result of the completion of a large contract in 2005 and due to continued competitive pricing pressures. Total revenue decreased for the six months ended June 30, 2006 compared to the six months ended June 30, 2005 by $8.3 million in our Wireless Network Services segment, by $7.3 million in our Enterprise Network Services segment and by $0.3 million in our Government Network Services segment.</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six months ended June 30, 2005 and 2006 are as follows (in millions):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7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$ 111.3</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$ 103.0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7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$ 186.0</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$ 170.1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generated by geographic segment for the six months ended June 30, 2005 and 2006 are as follows (in millions):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$ 164.8</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$ 155.9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EMEA</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8"/>
                <w:szCs w:val="18"/>
                <w:color w:val="auto"/>
              </w:rPr>
              <w:t>Total revenues</w:t>
            </w:r>
          </w:p>
        </w:tc>
        <w:tc>
          <w:tcPr>
            <w:tcW w:w="1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$ 186.0</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$ 170.1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80" w:type="dxa"/>
            <w:vAlign w:val="bottom"/>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significant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59"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2% from $143.4 million for the six months ended June 30, 2005 to $140.3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2006 primarily due to the corresponding aforementioned decrease in total revenues. Gross margin decreased from 22.9% of total revenues for the six months ended June 30, 2005 to 17.5% for the same period in 2006. The decrease in gross margin primarily resulted from the impact of competitive pricing pressures that we are experiencing in our legacy Radio Frequency engineering business in the U.S. and our EMEA business, as well as the impact of a large national deployment program which we are recording at a zero profit margin since we have not yet</w:t>
      </w:r>
    </w:p>
    <w:p>
      <w:pPr>
        <w:sectPr>
          <w:pgSz w:w="11900" w:h="16838" w:orient="portrait"/>
          <w:cols w:equalWidth="0" w:num="1">
            <w:col w:w="11420"/>
          </w:cols>
          <w:pgMar w:left="240" w:top="125" w:right="239" w:bottom="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0" w:gutter="0" w:footer="0" w:header="0"/>
          <w:type w:val="continuous"/>
        </w:sectPr>
      </w:pPr>
    </w:p>
    <w:bookmarkStart w:id="20" w:name="page21"/>
    <w:bookmarkEnd w:id="20"/>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t>received the requisite purchase orders from our customer to record the anticipated project full profit margin, and due to project cost overruns and execution issues that we encountered in the first quarter of 2006. In addition, included in cost of revenues for the six months ended June 30, 2006 is approximately $0.7 million of stock compensation expense resulting from our adoption of SFAS No. 123R in January 2006.</w:t>
      </w:r>
    </w:p>
    <w:p>
      <w:pPr>
        <w:spacing w:after="0" w:line="73" w:lineRule="exact"/>
        <w:rPr>
          <w:sz w:val="20"/>
          <w:szCs w:val="20"/>
          <w:color w:val="auto"/>
        </w:rPr>
      </w:pPr>
    </w:p>
    <w:p>
      <w:pPr>
        <w:ind w:right="140" w:firstLine="360"/>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8.2% from $34.0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2005 to $31.2 million for the six months ended June 30, 2006. The decrease in dollars incurred is a result of cost reduction measures that we have taken in 2006, as well as a reduction in professional fees related to first year compliance with the Sarbanes Oxley Act, offset partially by an increase of $1.0 million of stock compensation expense as a result of our adoption of SFAS 123R. As a percentage of revenues, selling, general and administrative expenses costs remained flat at 18.3% in the first six months of 2005 compared to the same period in 2006. Excluding the stock compensation expense in 2006, SG&amp;A as a percentage of revenues decreased from 18.3% to 17.8% in the first six months of 2006 compared to 2005.</w:t>
      </w:r>
    </w:p>
    <w:p>
      <w:pPr>
        <w:spacing w:after="0" w:line="57"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For the six months ended June 30, 2005, net other expense was $0.2 million compared to net other income of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2006.</w:t>
      </w:r>
    </w:p>
    <w:p>
      <w:pPr>
        <w:spacing w:after="0" w:line="6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effective income tax rate for the six months ended June 30, 2005 was a 38% provision rate compared to a 15%</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rate for the six months ended June 30, 2006. The effective tax benefit rate for the six months ended June 30, 2006 is less than federal and state statutory rates primarily due to nondeductible permanent tax items and no tax benefit for losses in our international operations which were partially offset by the realization of tax benefit due to the decrease in our valuation allowance.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Our sources of liquidity include cash and cash equivalents and short-term investments, cash from operations and other external sources of funds. As of June 30, 2006, we had cash and cash equivalents totaling $11.6 million.</w:t>
      </w:r>
    </w:p>
    <w:p>
      <w:pPr>
        <w:spacing w:after="0" w:line="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operating cash flow is used to finance trade accounts receivable, fund capital expenditures and make strategic acquisitions. Financing trade accounts receivable is necessary because, on average, the customers and payers for our services do not pay us as quickly as we pay our vendors and employees for their goods and services. Capital expenditures consist primarily of investment in field equipment, computer hardware and software and improvement of our physical properties in order to maintain suitable conditions to conduct our business.</w:t>
      </w:r>
    </w:p>
    <w:p>
      <w:pPr>
        <w:spacing w:after="0" w:line="79"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Cash from continuing operations is primarily derived from our customer contracts in progress and associated changes in working capital components. Cash provided by continuing operations was $16.3 million for the six months ended June 30, 2005 whereas cash used in operations was $1.4 million for the six months ended June 30, 2006. The change between periods is primarily due to the increase in the days to collect our trade receivables. The days sales outstanding increased from 91 days at June 30, 2005 to 110 days at June 30, 2006. The increase in days sales outstanding is a result of the timing of achieving production milestones on our large fixed-price deployment projects, for which we have not met the contractual milestones and are therefore unable to invoice our customers. We did achieve certain of these milestones in the second quarter of 2006, resulting in a reduction of days sales outstanding of 116 at March 31, 2006 to 110 days at June 30, 2006.</w:t>
      </w:r>
    </w:p>
    <w:p>
      <w:pPr>
        <w:spacing w:after="0" w:line="70"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Cash used in investing activities from continuing operations was $44.9 million and $7.7 million for the six months ended June 30, 2005 and 2006, respectively. During the six months ended June 30, 2006, investing activities represented capital expenditures of $3.8 million, cash paid of $8.3 million for contingent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consideration related to prior acquisitions, offset by cash received on the sale of discontinued operations of $4.4 million. During the six months ended June 30, 2005, investing activities represented cash paid of $33.4 million, net of cash received for the acquisition of TLA, capital expenditures of $3.5 million; cash paid of $15.5 million for contingent consideration related to prior acquisitions, $0.1 million increase in restricted cash and cash received on the sale of short term investments of $7.6 million. See Note 6 to our unaudited consolidated financial statements for further discussion of our acquisitions.</w:t>
      </w:r>
    </w:p>
    <w:p>
      <w:pPr>
        <w:spacing w:after="0" w:line="46"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Cash provided by financing activities was $8.4 million for the six months ended June 30, 2006. The positive cash flow from financing for this period consisted primarily of proceeds from the issuance of common stock totaling $0.5 million associated with exercises of employee stock options and borrowings on the line of credit totaling $8.0 million offset partially by repayment of capital lease obligations of $0.1 million. Cash provided by financing activities was $1.3 million for the six months ended June 30, 2005. The positive cash flow from financing activities for this period consisted primarily of proceeds from the issuance of common stock totaling $2.1 million associated with exercises of employee stock options and purchases under our Employee Stock Purchase Plan, offset partially by the repayment of capital lease obligations of $0.8 million.</w:t>
      </w:r>
    </w:p>
    <w:p>
      <w:pPr>
        <w:spacing w:after="0" w:line="70" w:lineRule="exact"/>
        <w:rPr>
          <w:sz w:val="20"/>
          <w:szCs w:val="20"/>
          <w:color w:val="auto"/>
        </w:rPr>
      </w:pPr>
    </w:p>
    <w:p>
      <w:pPr>
        <w:ind w:right="200" w:firstLine="360"/>
        <w:spacing w:after="0" w:line="342" w:lineRule="auto"/>
        <w:rPr>
          <w:sz w:val="20"/>
          <w:szCs w:val="20"/>
          <w:color w:val="auto"/>
        </w:rPr>
      </w:pPr>
      <w:r>
        <w:rPr>
          <w:rFonts w:ascii="Arial" w:cs="Arial" w:eastAsia="Arial" w:hAnsi="Arial"/>
          <w:sz w:val="16"/>
          <w:szCs w:val="16"/>
          <w:color w:val="auto"/>
        </w:rPr>
        <w:t>Cash used in discontinued operations was $1.0 million for the six months ended June 30, 2006. Cash used in discontinued operations was $8.7 million for the six months ended June 30, 2005 and included cash used in operations of $8.3 million and cash used in investing activities of $0.4 million.</w:t>
      </w:r>
    </w:p>
    <w:p>
      <w:pPr>
        <w:spacing w:after="0" w:line="16"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We believe that our cash and cash equivalent balances, our expected cash flows from operations, our expected collections on the sale of our Mexican subsidiary and our credit facility will be sufficient to satisfy cash requirements for at least the next twelve months.</w:t>
      </w:r>
    </w:p>
    <w:p>
      <w:pPr>
        <w:spacing w:after="0" w:line="6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As discussed in Part II, Item 1A, “Risk Factors” section of this Quarterly Report on Form 10-Q, our quarterly and annual operating results have fluctuated in the past and may vary in the future due to a variety of factors, many of which are external to our control. If the conditions in the wireless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thus limiting our available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On March 16, 2005, we entered into a credit agreement with KeyBank National Association (“KeyBank”) to provide a $15.0 million senior credit facility. KeyBank is designated as the sole arranger and sole book manager. The facility has a three-year term and can be expanded to a $60.0 million facility. The Company intends to use the facility for general corporate purposes and to fund acquisitions. As part of our acquisition strategy, we may choose to expand our new credit facility up to $60 million to fund future acquisitions. As of June 30, 2006, we had drawn $8.0 million on the facility and had a cash balance of $11.6 million. As of August 4, 2006, we had drawn $11.0 million and had a cash balance of approximately $6.0 million. The amounts drawn on the credit facility primarily relate to amounts paid to satisfy the Company’s final earn-out consideration on its ENS acquisitions.</w:t>
      </w:r>
    </w:p>
    <w:p>
      <w:pPr>
        <w:sectPr>
          <w:pgSz w:w="11900" w:h="16838" w:orient="portrait"/>
          <w:cols w:equalWidth="0" w:num="1">
            <w:col w:w="11400"/>
          </w:cols>
          <w:pgMar w:left="240" w:top="868" w:right="259" w:bottom="0" w:gutter="0" w:footer="0" w:header="0"/>
        </w:sectPr>
      </w:pPr>
    </w:p>
    <w:bookmarkStart w:id="21" w:name="page22"/>
    <w:bookmarkEnd w:id="21"/>
    <w:p>
      <w:pPr>
        <w:spacing w:after="0" w:line="83" w:lineRule="exact"/>
        <w:rPr>
          <w:sz w:val="20"/>
          <w:szCs w:val="20"/>
          <w:color w:val="auto"/>
        </w:rPr>
      </w:pPr>
    </w:p>
    <w:p>
      <w:pPr>
        <w:ind w:right="320" w:firstLine="360"/>
        <w:spacing w:after="0" w:line="276" w:lineRule="auto"/>
        <w:rPr>
          <w:sz w:val="20"/>
          <w:szCs w:val="20"/>
          <w:color w:val="auto"/>
        </w:rPr>
      </w:pPr>
      <w:r>
        <w:rPr>
          <w:rFonts w:ascii="Arial" w:cs="Arial" w:eastAsia="Arial" w:hAnsi="Arial"/>
          <w:sz w:val="17"/>
          <w:szCs w:val="17"/>
          <w:color w:val="auto"/>
        </w:rPr>
        <w:t>On August 8, 2006 the Company entered into a definitive agreement to acquire Madison Research Technology Corporation (MRC), a privately-held technical solutions and services company focused on advanced telecommunications programs, software and IT solutions, product solutions and space programs. The purchase price is approximately $69 million, subject to certain closing adjustments. The Company has received a letter of intent from KeyBank National Association (“KeyBank”) to provide a new $85 million credit facility which will replace the existing credit facility of $15 million. The Company expects to utilize cash on hand and cash provided under the new $85 million credit facility to fund this acquisition.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Other than our normal recurring trade payables, expense accruals, and operating and capital leases which are currently expected to be funded through existing working capital and future cash flows from operations, we have no other material commitments. Aside from these recurring operating expenses, future capital expenditures and overall expansion including potential future acquisitions, our future capital needs will depend upon many factors, including the timing of payments under existing contracts and technology requirements within the wireless telecommunications industry. Other future cash requirements may include the payment of certain tax contingencies and potential future acquisitions. We continue to evaluate and use new technology including electronic equipment and software in our business operations. Additional capital expenditure may be required as deemed necessary, in order to stay competitive and effectively service our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detailed information regarding related party transactions, see Note 10 to our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In November 2005, the FASB issued Staff Position (“FSP”) FAS123R-3, “Transition Election to Accounting for the Tax Effects of Share-Based Payment Awards.” This FSP requires an entity to follow either the transition guidance for the additional-paid-in-capital pool as prescribed in SFAS No. 123R, “Share-Based Payment,” or the alternative transition method as described in the FSP. An entity that adopts SFAS No. 123R using the modified prospective application may make a one-time election to adopt the transition method described in this FSP. An entity may take up to one year from the later of its initial adoption of SFAS No. 123R or the effective date of this FSP to evaluate its available transition alternatives and make its one-time election. This FSP became effective in November 2005. We continue to evaluate the impact that the adoption of this FSP could have on our financial statements.</w:t>
      </w:r>
    </w:p>
    <w:p>
      <w:pPr>
        <w:spacing w:after="0" w:line="57"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In February 2006, the FASB issued FASB Statement No. 155, “Accounting for Certain Hybrid Financial Instruments.” This Statement amends FASB Statements No. 133, “Accounting for Derivative Instruments and Hedging Activities,” and No. 140, “Accounting for Transfers and Servicing of Financial Assets and Extinguishments of Liabilities.” This statement resolves issues addressed in Statement No. 133 Implementation Issue No. D1, “Application of Statement 133 to Beneficial Interests in Securitized Financial Assets.” This statement: (a) permits fair value remeasurement for any hybrid financial instrument that contains an embedded derivative that otherwise would require bifurcation, (b) clarifies which interest-only strips and principal-only strips are not subject to the requirements of Statement No. 133, (c) establishes a requirement to evaluate interests in securitized financial assets to identify interests that are freestanding derivatives or that are hybrid financial instruments that contain an embedded derivative requiring bifurcation, (d) clarifies that concentrations of credit risk in the form of subordination are not embedded derivatives, (e) amends Statement 140 to eliminate the prohibition on a qualifying special purpose entity from holding a derivative financial instrument that pertains to a beneficial interest other than another derivative financial instrument. This statement is effective for all financial instruments acquired or issued after the beginning of an entity’s first fiscal year that begins after September 15, 2006. We do not expect this statement to have a material impact on the Company.</w:t>
      </w:r>
    </w:p>
    <w:p>
      <w:pPr>
        <w:spacing w:after="0" w:line="75" w:lineRule="exact"/>
        <w:rPr>
          <w:sz w:val="20"/>
          <w:szCs w:val="20"/>
          <w:color w:val="auto"/>
        </w:rPr>
      </w:pPr>
    </w:p>
    <w:p>
      <w:pPr>
        <w:jc w:val="both"/>
        <w:ind w:right="260" w:firstLine="360"/>
        <w:spacing w:after="0" w:line="257" w:lineRule="auto"/>
        <w:rPr>
          <w:sz w:val="20"/>
          <w:szCs w:val="20"/>
          <w:color w:val="auto"/>
        </w:rPr>
      </w:pPr>
      <w:r>
        <w:rPr>
          <w:rFonts w:ascii="Arial" w:cs="Arial" w:eastAsia="Arial" w:hAnsi="Arial"/>
          <w:sz w:val="18"/>
          <w:szCs w:val="18"/>
          <w:color w:val="auto"/>
        </w:rPr>
        <w:t>In March 2006, the FASB issued FASB Statement No. 156, “Accounting for Servicing of Financial Assets.” Statement 156 amends FASB Statement No. 140, “Accounting for Transfers and Servicing of Financial Assets and Extinguishments of Liabilities,” and requires all separately recognized servicing assets and servicing liabilities to be initially measured at fair value, if practicable, and permits an entity to subsequently measure those servicing assets and servicing liabilities at fair value. This statement is effective for fiscal years beginning after September 15, 2006. We do not expect this statement to have a material impact on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July 2006, the FASB issued FASB Interpretation No. 48 (FIN 48) “Accounting for Uncertainty in Income Taxes” which prescribes a recognition threshold and measurement process for recording in the financial statements uncertain tax positions taken or expected to be taken in a tax return. Additionally, FIN 48 provides guidance on the derecognition, classification, accounting in interim periods and disclosure requirements for uncertain tax positions. The accounting provisions of FIN 48 will be effective for the Company beginning December 30, 2006. The Company is in the process of determining the effect, if any, the adoption of FIN 48 will have on its financial statements.</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We are exposed to foreign currency risks due to both transactions and translations between functional and reporting currencies primarily in our Brazilian and European foreign subsidiaries. We are exposed to the impact of foreign currency fluctuations due to the operations of and net monetary asset and liability positions in our Brazil and European foreign subsidiaries. Significant monetary assets and liabilities expected to be realized in the foreseeable future include trade receivables, trade payables and certain intercompany payables that are not denominated in their local functional currencies. As of June 30, 2006, our Brazilian and European subsidiaries were in average net liability positions (i.e., monetary liabilities were greater than monetary assets subject to foreign currency risk) of approximately $16.8 million and $10.8 million, respectively. The potential foreign currency translation losses from a hypothetical 10% adverse change in the exchange rates from the net liability positions at June 30, 2006 were approximately $1.7 million and $1.1 million for the Brazil and European subsidiaries, respectively. In the event that the functional currency of our operations in China does not continue to be based on the U.S. dollar, we may be exposed to foreign currency fluctuations due to the activities of our corporate resource center in China.</w:t>
      </w:r>
    </w:p>
    <w:p>
      <w:pPr>
        <w:spacing w:after="0" w:line="5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In addition, we estimate that an immediate 10% change in foreign exchange rates would impact reported net income by approximately $0.1 million for the quarter ended June 30, 2006. This was estimated using a 10% deterioration factor to the average monthly exchange rates applied to net income or loss for each of the related subsidiaries in the respective period.</w:t>
      </w:r>
    </w:p>
    <w:p>
      <w:pPr>
        <w:spacing w:after="0" w:line="73"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Due to the difficulty in determining and obtaining predictable cash flow forecasts in our foreign operations based on the overall challenging economic environment and associated contract structures, we do not currently utilize any derivative financial instruments to hedge foreign currency risks.</w:t>
      </w:r>
    </w:p>
    <w:p>
      <w:pPr>
        <w:sectPr>
          <w:pgSz w:w="11900" w:h="16921" w:orient="portrait"/>
          <w:cols w:equalWidth="0" w:num="1">
            <w:col w:w="11420"/>
          </w:cols>
          <w:pgMar w:left="240" w:top="125" w:right="239" w:bottom="0" w:gutter="0" w:footer="0" w:header="0"/>
        </w:sectPr>
      </w:pPr>
    </w:p>
    <w:bookmarkStart w:id="22" w:name="page23"/>
    <w:bookmarkEnd w:id="22"/>
    <w:p>
      <w:pPr>
        <w:spacing w:after="0" w:line="24"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Cash and cash equivalents as of June 30, 2006 were $11.6 million and are primarily invested in money market interest bearing accounts. A hypothetical 10% adverse change in the average interest rate on our money market cash investments and short-term investments would have had an immaterial effect on net income for the three and six months ended June 30, 2006. We currently do not utilize any derivative financial instruments to hedge interest rate risks.</w:t>
      </w:r>
    </w:p>
    <w:p>
      <w:pPr>
        <w:spacing w:after="0" w:line="14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pursuant to the Exchange Act is recorded, processed, summarized and reported within the time periods specified in the Security and Exchange Commission’s rules and forms, and that such information is accumulated and communicated to our management, including our Principal Executive Officer and Principal Financial Officer, as appropriate to allow timely decisions regarding required disclosure. Under the supervision of, and with the participation of, our management, including our Principal Executive Officer and Principal Financial Officer, we conducted an evaluation of our disclosure controls and procedures, as such term is defined under Rule 13a-15(e) promulgated under the Exchange 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As previously disclosed in Item 9A of our Annual Report on Form 10-K for the fiscal year ended December 31, 2005, we determined that, as of December 31, 2005, there were two material weaknesses affecting our internal control over financial reporting and, as a result of those weaknesses, the Company’s disclosure controls and procedures were not effective as of that date. As described below, we are still in the process of remediating one of the two material weaknesses. Consequently, based on the evaluation described above, our Principal Executive Officer and Principal Financial Officer have concluded that, as of June 30, 2006, the Company’s disclosure controls and procedures were not effective.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company continues to address and correct the material weakness that existed at December 31, 2005 related to our ability to retain and recruit sufficient finance and accounting personnel to support compliance with all of our financial reporting requirements. We are actively recruiting to fill open positions and are in the process of reorganizing the Corporate accounting and finance group to improve the distribution of responsibilities. We have succeeded in permanently filling the Corporate Controller position during the quarter ended March 31, 2006 and are actively recruiting additional personnel. Management is committed to remediating this weakness as expeditiously as possible and will continue to devote significant time and resources to the remediation effort.</w:t>
      </w:r>
    </w:p>
    <w:p>
      <w:pPr>
        <w:spacing w:after="0" w:line="85"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During the quarter ended June 30, 2006, the Company decided to outsource a significant portion of its tax function to third party experts. The Company has established review procedures designed to ensure the accuracy and completeness of financial information provided to third party experts who compute tax amounts and to ensure the accuracy of tax amounts recorded in the financial statements.</w:t>
      </w:r>
    </w:p>
    <w:p>
      <w:pPr>
        <w:spacing w:after="0" w:line="73"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Except as described above, there were no changes in our internal control over financial reporting (as defined in Rules 13a-15(f) and 15d-15(f) of the Exchange Act) during the fiscal quarter ended June 30, 2006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Beginning in July 2001, the Company and certain of its former officers and directors (the “Individuals”) were named as defendants in a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action shareholder complaints filed in the U.S. District Court for the Southern District of New York, now consolidated into a single amended complaint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captioned In re Buy.com, Inc. Initial Public Offering Securities Litigation, Case No. 01-CV-6323. In the amended complaint, filed in April 2002, the plaintiffs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allege that the Company, the Individuals, and the underwriters of the Company’s initial public offering (“IPO”) violated Section 11 of the Securities Act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1933 and Section 10(b) of the Exchange Act of 1934 based on allegations that the Company’s registration statement and prospectus failed to disclose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facts regarding the compensation to be received by, and the stock allocation practices of, the IPO underwriters. The complaint also contains claims against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Individuals for control person liability under Securities Act Section 15 and Exchange Act Section 20. The plaintiffs sought unspecified monetary damages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relief. Similar complaints were filed in the same Court against hundreds of other public companies (“Issuers”) and the underwriters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conducted IPOs of the Issuers’ common stock in the late 1990s or in the year 2000 (the “IPO Cases”).</w:t>
      </w:r>
    </w:p>
    <w:p>
      <w:pPr>
        <w:spacing w:after="0" w:line="10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and Exchange Act Section 11 claims against the Company and the Securities and Exchange Act Section 10(b) claims against the Company.</w:t>
      </w:r>
    </w:p>
    <w:p>
      <w:pPr>
        <w:spacing w:after="0" w:line="80"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In addition, the Court approved the form of Notice to be sent to members of the settlement classes, which was published and mailed beginning November 15, 2005. On February 24, 2006, the Court dismissed litigation filed against certain underwriters in connection with the claims to be assigned to the plaintiffs under the settlement. The Court held a Final Settlement Fairness Hearing on the settlement on April 24, 2006. The final ruling is expected in mid-2006. The Company does not expect the settlement to have a material impact on its operations or cash flow. In addition, the settlement is still subject to statutory notice requirements as well as final judicial approval.</w:t>
      </w:r>
    </w:p>
    <w:p>
      <w:pPr>
        <w:sectPr>
          <w:pgSz w:w="11900" w:h="16862" w:orient="portrait"/>
          <w:cols w:equalWidth="0" w:num="1">
            <w:col w:w="11420"/>
          </w:cols>
          <w:pgMar w:left="240" w:top="125" w:right="239" w:bottom="0" w:gutter="0" w:footer="0" w:header="0"/>
        </w:sectPr>
      </w:pPr>
    </w:p>
    <w:bookmarkStart w:id="23" w:name="page24"/>
    <w:bookmarkEnd w:id="23"/>
    <w:p>
      <w:pPr>
        <w:ind w:right="140" w:firstLine="360"/>
        <w:spacing w:after="0" w:line="255" w:lineRule="auto"/>
        <w:rPr>
          <w:sz w:val="20"/>
          <w:szCs w:val="20"/>
          <w:color w:val="auto"/>
        </w:rPr>
      </w:pPr>
      <w:r>
        <w:rPr>
          <w:rFonts w:ascii="Arial" w:cs="Arial" w:eastAsia="Arial" w:hAnsi="Arial"/>
          <w:sz w:val="18"/>
          <w:szCs w:val="18"/>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of 1934, and the plaintiffs seek unspecified damages. These actions have been consolidated into a single action in In re Wireless Facilities, Inc. Securities Litigation, Master File No. 04CV1589-JAH. The plaintiffs filed their consolidated complaint in January 2005 and did not name the Company a 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the plaintiffs were granted the right to amend their complaint within 45 days and subsequently filed their Third Amended Consolidated Class Action Complaint on April 24, 2006. Defendants filed a motion to dismiss this complaint on June 8, 2006. Plaintiffs’ opposition was filed on July 12, 2006, and Defendants’ reply was filed on August 2, 2006. The hearing on the motion to dismiss is currently scheduled to take place on August 24, 2006.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64" w:lineRule="exact"/>
        <w:rPr>
          <w:sz w:val="20"/>
          <w:szCs w:val="20"/>
          <w:color w:val="auto"/>
        </w:rPr>
      </w:pPr>
    </w:p>
    <w:p>
      <w:pPr>
        <w:ind w:right="40" w:firstLine="360"/>
        <w:spacing w:after="0" w:line="267" w:lineRule="auto"/>
        <w:rPr>
          <w:sz w:val="20"/>
          <w:szCs w:val="20"/>
          <w:color w:val="auto"/>
        </w:rPr>
      </w:pPr>
      <w:r>
        <w:rPr>
          <w:rFonts w:ascii="Arial" w:cs="Arial" w:eastAsia="Arial" w:hAnsi="Arial"/>
          <w:sz w:val="17"/>
          <w:szCs w:val="17"/>
          <w:color w:val="auto"/>
        </w:rPr>
        <w:t>Two derivative lawsuits have been filed in the United States District Court for the Southern District of California against certain of the Company’s current and former officers and directors: Pedicini v. Wireless Facilities, Inc., Case No. 04CV1663; and Roth v. Wireless Facilities, Inc., Case No. 04CV1810. These actions have been consolidated into a single action in In re Wireless Facilities, Inc. Derivative Litigation,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have been withdrawn without prejudice. The parties have agreed that Defendants may refile their motions to dismiss, and to stay this action, after limited discovery is completed regarding the motion to dismiss the action against certain individual defendants based on lack of personal jurisdiction. This discovery was completed on June 14, 2006. Defendants’ motion to dismiss the complaint against the non-California resident defendants was filed on July 14, 2006. Plaintiff’s opposition is due to be filed by August 14, 2006, with Defendant’s reply due by September 5, 2006. The hearing on the motion to dismiss for lack of personal jurisdiction is currently scheduled to take place on October 5, 2006. After the court rules on this jurisdictional motion, the parties will stipulate to a briefing schedule for the remaining motions to dismiss or to stay the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8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In August and September 2004, two virtually identical derivative lawsuits were filed in California Superior Court for San Diego County against certain of the Company’s current and former officers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in In re Wireless Facilities, Inc. Derivative Litigation, California Superior Court, San Diego County, Lead Case No. GIC 834253. The plaintiffs filed a Consolidated Shareholder Derivative Complaint on October 14, 2004. This action has been stayed pending a decision in federal court on a motion to dismiss the federal derivative lawsuits and there will be a hearing in October 2006 to evaluate the status of this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70"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On January 19, 2005, the Company and a selling shareholder in a Company subsidiary in the ENS division initiated an arbitration proceeding regarding the termination of employment of that individual from ENS. The amount in controversy was approximately $1.8 million.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the selling shareholder is claiming he is entitled to approximately $5.0 million. The arbitration occurred in April 2006 and a decision was handed down on May 8, 2006, resulting in an award to the selling shareholder of $0.9 million, including contingent consideration, arbitration costs and attorney’s fees. The Company accrued approximately $0.9 million as of March 31, 2006 and, pursuant to the terms of the arbitration award, has paid the amount due during the second quarter of 2006. See Note 7 for discussion regarding contingent acquisition consideration.</w:t>
      </w:r>
    </w:p>
    <w:p>
      <w:pPr>
        <w:spacing w:after="0" w:line="7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do Brazil, to which he had been assigned for a period of time. He sought to be designated an employee of WFI do Brazil and entitled to severance and related compensation pursuant</w:t>
      </w:r>
    </w:p>
    <w:p>
      <w:pPr>
        <w:sectPr>
          <w:pgSz w:w="11900" w:h="16838" w:orient="portrait"/>
          <w:cols w:equalWidth="0" w:num="1">
            <w:col w:w="11420"/>
          </w:cols>
          <w:pgMar w:left="240" w:top="125" w:right="239" w:bottom="0" w:gutter="0" w:footer="0" w:header="0"/>
        </w:sectPr>
      </w:pPr>
    </w:p>
    <w:bookmarkStart w:id="24" w:name="page25"/>
    <w:bookmarkEnd w:id="24"/>
    <w:p>
      <w:pPr>
        <w:ind w:right="80"/>
        <w:spacing w:after="0" w:line="276" w:lineRule="auto"/>
        <w:rPr>
          <w:sz w:val="20"/>
          <w:szCs w:val="20"/>
          <w:color w:val="auto"/>
        </w:rPr>
      </w:pPr>
      <w:r>
        <w:rPr>
          <w:rFonts w:ascii="Arial" w:cs="Arial" w:eastAsia="Arial" w:hAnsi="Arial"/>
          <w:sz w:val="17"/>
          <w:szCs w:val="17"/>
          <w:color w:val="auto"/>
        </w:rPr>
        <w:t>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is challenging the basis for the award on several theories. The Company has accrued approximately $0.3 million as of June 30, 2006 related to this matter. The Company intends to pursue the appeal of this award and is unable to determine the ultimate outcome of this matter.</w:t>
      </w:r>
    </w:p>
    <w:p>
      <w:pPr>
        <w:spacing w:after="0" w:line="64"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and all other information contained herein as well as the information included in our Annual Report on Form 10-K, for the year ended December 31, 2005, and other reports and filings made with the Securities and Exchange Commission in evaluating our business and prospects. Risks and uncertainties, in addition to those we describe below, that are not presently known to us or that we currently believe are immaterial may also impair our business operations. If any of the following risks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occur, our business and financial results could be harmed and the price of our common stock could decline. You should also refer to the other information contained in this report, including our unaudited consolidated financial statements and related notes.</w:t>
      </w:r>
    </w:p>
    <w:p>
      <w:pPr>
        <w:spacing w:after="0" w:line="16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Our success is dependent in part on new growth in the deployment of wireless networks, and to the extent that such growth slows, our business may be harmed.</w:t>
      </w:r>
    </w:p>
    <w:p>
      <w:pPr>
        <w:spacing w:after="0" w:line="58"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principal customers of our WNS business are large telecommunications carriers, many of whom have re-evaluated their network deployment plans in response to trends in the capital markets, changing perceptions regarding industry growth, the adoption of new wireless technologies, increasing pricing competition for subscribers and general economic conditions in the United States and internationally. While some large carriers in the U.S. have started to once again focus on network expansion, if the rate of growth slows or carriers reduce their capital investments in wireless infrastructure or fail to expand into new geographic areas, our business may be significantly harmed.</w:t>
      </w:r>
    </w:p>
    <w:p>
      <w:pPr>
        <w:spacing w:after="0" w:line="80"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The uncertainty associated with rapidly changing telecommunications technologies may also negatively impact the rate of deployment of wireless networks and the demand for our services. Telecommunications service providers face significant challenges in assessing consumer demand and in acceptance of rapidly changing enhanced telecommunications capabilities. If telecommunications service providers perceive that the rate of acceptance of next generation telecommunications products will grow more slowly than previously expected, they may, as a result, slow their development of next generation technologies. Moreover, increasing price competition for subscribers could adversely affect the profitability of carriers and limit their resources for network deployment. Any significant sustained slowdown will further reduce the demand for our services and adversely affect our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wireless carriers, network equipment vendors and enterprises do not outsource their network services, our business will suffer.</w:t>
      </w:r>
    </w:p>
    <w:p>
      <w:pPr>
        <w:spacing w:after="0" w:line="121"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Our success depends upon the continued trend by wireless carriers and network equipment vendors to outsource their network design, deployment and management needs. If this trend does not continue and wireless carriers and network equipment vendors elect to perform more network deployment services themselves, our operating results and revenues may decline.</w:t>
      </w:r>
    </w:p>
    <w:p>
      <w:pPr>
        <w:spacing w:after="0" w:line="17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enterprise customers do not invest in security systems and other new in-building technologies such as wireless local area networks, our business will suffer.</w:t>
      </w:r>
    </w:p>
    <w:p>
      <w:pPr>
        <w:spacing w:after="0" w:line="58"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intend to devote significant resources to developing our enterprise-based WLAN (Wireless Local Area Networks),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failure to obtain new government contracts, the cancellation of government contracts, or a reduction in federal budget appropriations involving our services could materially adversely affect our revenues.</w:t>
      </w:r>
    </w:p>
    <w:p>
      <w:pPr>
        <w:spacing w:after="0" w:line="58"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We anticipate that a material portion of our future revenues will come from our Government Network Services segment. Our revenues and cash flows from our Government Network Services segment may decline if a significant number of our government contracts are delayed or cancelled due to cutbacks in defense, homeland security or other federal agency budgets or for other reasons. In addition, our failure to successfully compete for and retain such government contracts could have an adverse effect on our revenues and cash flows. We cannot guarantee that we—or if we are a subcontractor, that the prime contractor—will win any particular bid, or that we will be able to replace business lost upon expiration or completion of a contract.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We anticipate that our Government Network Services segment will also be sensitive to changes in national and international defense and budget priorities. Demand for our services may decline if conflicts in the Middle East and other high-risk areas subside, or if U.S. defense budget appropriations are reduced.</w:t>
      </w:r>
    </w:p>
    <w:p>
      <w:pPr>
        <w:spacing w:after="0" w:line="17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are subject to extensive government regulation, and our failure or inability to comply with these regulations could subject us to penalties or restrict our ability to operate our business, which could adversely affect our revenues.</w:t>
      </w:r>
    </w:p>
    <w:p>
      <w:pPr>
        <w:spacing w:after="0" w:line="58"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The wireless networks that we design, deploy and manage are subject to various regulations issued by the U.S. Federal Communications Commission (“FCC”) and other regulatory bodies in the U.S. FCC regulations and other countries require that these networks meet certain radio frequency emission</w:t>
      </w:r>
    </w:p>
    <w:p>
      <w:pPr>
        <w:sectPr>
          <w:pgSz w:w="11900" w:h="16838" w:orient="portrait"/>
          <w:cols w:equalWidth="0" w:num="1">
            <w:col w:w="11400"/>
          </w:cols>
          <w:pgMar w:left="240" w:top="125" w:right="259" w:bottom="0" w:gutter="0" w:footer="0" w:header="0"/>
        </w:sectPr>
      </w:pPr>
    </w:p>
    <w:bookmarkStart w:id="25" w:name="page26"/>
    <w:bookmarkEnd w:id="25"/>
    <w:p>
      <w:pPr>
        <w:ind w:right="40"/>
        <w:spacing w:after="0" w:line="255" w:lineRule="auto"/>
        <w:rPr>
          <w:sz w:val="20"/>
          <w:szCs w:val="20"/>
          <w:color w:val="auto"/>
        </w:rPr>
      </w:pPr>
      <w:r>
        <w:rPr>
          <w:rFonts w:ascii="Arial" w:cs="Arial" w:eastAsia="Arial" w:hAnsi="Arial"/>
          <w:sz w:val="18"/>
          <w:szCs w:val="18"/>
          <w:color w:val="auto"/>
        </w:rPr>
        <w:t>standards, not create unallowable interference to other services, and in some cases accept interference from other services. These networks are also subject to government regulations and requirements of local standards bodies in foreign countries in which we have business operations, where we are less prominent than local competitors and have less opportunity to participate in the establishment of regulatory and standards policies. We are also subject to state and federal health, safety and environmental regulations, as well as regulations related to the handling of and access to classified information. Additionally, because we conduct business throughout the U.S., many of our activities are subject to different state and local regulatory schemes, including those relative to licensing, taxes and employment matters, with which we are required to comply. We are subject to routine audits to assure our compliance with these requirements.</w:t>
      </w:r>
    </w:p>
    <w:p>
      <w:pPr>
        <w:spacing w:after="0" w:line="81"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Our failure to comply with these regulations, rules and approvals could result in the imposition of penalties and the loss of our government contracts and disqualification as a U.S. government contractor, which could adversely affect our revenues. Additional regulations may be adopted, including changes in the allocation of available spectrum by the U.S. government and other governments or exclusion of our technology by a standards body, which may result in additional cost to us or restrict our current business operations, which could have a harmful effect our operating results, liquidity and financial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derive a significant portion of our revenues from a limited number of customers.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have derived, and believe that we will continue to derive, a significant portion of our revenues from a limited number of customers. To the extent that any significant client uses less of our services or terminates its relationship with us, our revenues could decline significantly. As a result, the loss of any significant client could seriously harm our business. For the six months ended June 30, 2006, one customer comprised approximately 31.3% of our revenues, and our five largest customers accounted for approximately 53.0% of our total revenues. None of our customers are obligated to purchase additional services from us. As a result, the volume of work that we perform for a specific client is likely to vary from period to period, and a significant client in one period may not use our services in a subsequent period.</w:t>
      </w:r>
    </w:p>
    <w:p>
      <w:pPr>
        <w:spacing w:after="0" w:line="18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Recent business acquisitions and potential future business acquisitions could be difficult to integrate, disrupt our business, dilute stockholder value and adversely affect our operating results.</w:t>
      </w:r>
    </w:p>
    <w:p>
      <w:pPr>
        <w:spacing w:after="0" w:line="58"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We have completed several acquisitions of complimentary business in recent years, and we continually evaluate opportunities to acquire new businesses as part of our ongoing strategy. Our integration of historic and future acquisitions will require significant management time and financial resources because we will need to integrate dispersed operations with distinct corporate cultures. We also may continue to expand our operations through business acquisitions over time. Our failure to properly integrate businesses we acquire and to manage future acquisitions successfully could seriously harm our operating results. In addition, acquired companies may not perform as well as we expect, and we may fail to realize anticipated benefits. We may issue common stock that would dilute our current stockholders’ ownership and incur debt and other costs in connection with future acquisitions which may cause our quarterly operating results to vary significantly. In February 2004, we filed an acquisition shelf registration statement on Form S-4</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that, subject to the rules and regulations of the Securities and Exchange Commission, will enable us to issue shares of our newly issued common stock in one or more acquisition transactions for proceeds in an aggregate amount of up to $200 million. In addition, we currently have a $15 million senior credit facility with KeyBank National Association, which can be expanded to a $60 million facility to fund future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consolidation of equipment vendors or carriers could adversely impact our business.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Recently, the wireless telecommunications industry has been characterized by significant consolidation activity including Cingular’s acquisition of AT&amp;T Wireless, both of whom are significant customers of ours, the merger between Alltel and Western Wireless and the merger between Sprint and Nextel Communications. The consolidation of carriers has reduced the number of our current or potential customers and increase the bargaining power of our remaining customers, any or all of which may adversely impact our business. Most recently, we have seen this consolidation, which has effectively reduced the number of major U.S. wireless carriers by half, begin reaching into the vendor market, with the Alcatel-Lucent, Nokia-Siemens and ADC-Andrew announcements. This wireless industry consolidation presents a challenge for us, and if we do not effectively adapt to this changing business environment, our business will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customers do not receive sufficient financing or fail to pay us for services performed, our business may be harmed.</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A few of our customers rely upon outside financing to pay the costs of deploying their networks. These customers may fail to obtain adequate financing or experience delays in receiving financing and they may choose the services of our competitors if our competitors are willing and able to provide project financing.</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addition, we have historically taken significant write-offs of our accounts receivable. While the vast majority of our customers today are tier 1 carriers, large enterprises or the federal government, it is possible that in some instances we may not receive payment for services we have already performed. If our customers do not receive adequate financing or if we are required to write off significant amounts of our accounts receivables, then our net income will decline, and our business will be harmed.</w:t>
      </w:r>
    </w:p>
    <w:p>
      <w:pPr>
        <w:spacing w:after="0" w:line="18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are in highly competitive markets, face competition from large, well—established competitors with significant resources, and may not be able to compete effectively.</w:t>
      </w:r>
    </w:p>
    <w:p>
      <w:pPr>
        <w:spacing w:after="0" w:line="58"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Each of the vertical markets that we compete in is highly competitive. If we fail to compete successfully against current or future competitors, our business, financial condition and operating results may be harmed. We expect competition to continue and intensify in the future. We cannot be certain that we will be able to compete successfully with existing or new competitors.</w:t>
      </w:r>
    </w:p>
    <w:p>
      <w:pPr>
        <w:spacing w:after="0" w:line="73"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Many of our current competitors have significantly greater financial, technical and marketing resources, generate greater revenues and have greater name recognition and experience than we do. This may place us at a disadvantage in responding to our competitors’ pricing strategies, technological advances, advertising campaigns, strategic partnerships and other initiatives. In addition, many of our competitors have well-established relationships with our potential clients and have extensive knowledge of our industry. As a result, our competitors may be able to respond more quickly to new or emerging technologies and changes in customer requirements, and they may be able to devote more resources to the development, promotion and sale of their services than we can.</w:t>
      </w:r>
    </w:p>
    <w:p>
      <w:pPr>
        <w:sectPr>
          <w:pgSz w:w="11900" w:h="16838" w:orient="portrait"/>
          <w:cols w:equalWidth="0" w:num="1">
            <w:col w:w="11420"/>
          </w:cols>
          <w:pgMar w:left="240" w:top="125" w:right="239" w:bottom="96"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96"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Our quarterly results fluctuate and may cause our stock price to decline.</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Our quarterly operating results have fluctuated in the past and will likely fluctuate in the future. As a result, we believe that period-to-period comparisons of our results of operations are not a good indication of our future performance. A number of factors, many of which are outside of our control, are likely to cause these fluctuations. Some of these factors include:</w:t>
      </w:r>
    </w:p>
    <w:p>
      <w:pPr>
        <w:spacing w:after="0" w:line="73" w:lineRule="exact"/>
        <w:rPr>
          <w:sz w:val="20"/>
          <w:szCs w:val="20"/>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telecommunications market conditions and economic conditions generally;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size of network deployments and technology upgrades by our carrier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demand for outsourced network services;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expansion into new markets, both domestically and internationally;</w:t>
      </w:r>
    </w:p>
    <w:p>
      <w:pPr>
        <w:spacing w:after="0" w:line="117" w:lineRule="exact"/>
        <w:rPr>
          <w:rFonts w:ascii="Arial" w:cs="Arial" w:eastAsia="Arial" w:hAnsi="Arial"/>
          <w:sz w:val="18"/>
          <w:szCs w:val="18"/>
          <w:color w:val="auto"/>
        </w:rPr>
      </w:pPr>
    </w:p>
    <w:p>
      <w:pPr>
        <w:ind w:left="540" w:right="34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17"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certain customers to sustain capital resources to pay their trade accounts receivable balances and required changes to our allowance for doubtful accounts based on periodic assessments of the collectibility of our accounts receivable balances;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reductions in the prices of services offered by our competitors which increases pressure on our margins;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bidding on and winning new business;</w:t>
      </w:r>
    </w:p>
    <w:p>
      <w:pPr>
        <w:spacing w:after="0" w:line="117" w:lineRule="exact"/>
        <w:rPr>
          <w:rFonts w:ascii="Arial" w:cs="Arial" w:eastAsia="Arial" w:hAnsi="Arial"/>
          <w:sz w:val="18"/>
          <w:szCs w:val="18"/>
          <w:color w:val="auto"/>
        </w:rPr>
      </w:pPr>
    </w:p>
    <w:p>
      <w:pPr>
        <w:ind w:left="540" w:right="22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actual and estimated costs and time to complete fixed-price, time-certain projects that may result in revenue adjustments for contracts where revenue is recognized under the percentage of completion method;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sales, marketing, and administrative cost structure;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integrating businesses that we acquire.</w:t>
      </w:r>
    </w:p>
    <w:p>
      <w:pPr>
        <w:spacing w:after="0" w:line="117" w:lineRule="exact"/>
        <w:rPr>
          <w:sz w:val="20"/>
          <w:szCs w:val="20"/>
          <w:color w:val="auto"/>
        </w:rPr>
      </w:pPr>
    </w:p>
    <w:p>
      <w:pPr>
        <w:jc w:val="both"/>
        <w:ind w:right="200" w:firstLine="360"/>
        <w:spacing w:after="0" w:line="286" w:lineRule="auto"/>
        <w:rPr>
          <w:sz w:val="20"/>
          <w:szCs w:val="20"/>
          <w:color w:val="auto"/>
        </w:rPr>
      </w:pPr>
      <w:r>
        <w:rPr>
          <w:rFonts w:ascii="Arial" w:cs="Arial" w:eastAsia="Arial" w:hAnsi="Arial"/>
          <w:sz w:val="17"/>
          <w:szCs w:val="17"/>
          <w:color w:val="auto"/>
        </w:rPr>
        <w:t>Because our operating results may vary significantly from quarter to quarter, our operating results may not meet the expectations of securities analysts and investors, and our common stock could decline significantly which may expose us to risks of securities litigation, impair our ability to attract and retain qualified individuals using equity incentives and make it more difficult to complete acquisitions using equity as consideration.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dependent upon our ability to keep pace with the latest technological changes.</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 market for our services is characterized by rapid change and technological improvements. Failure to respond in a timely and cost-effective way to these technological developments will result in serious harm to our business and operating results. We have derived, and we expect to continue to derive, a substantial portion of our revenues from creating wireless networks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properly manage projects may result in costs or claims.</w:t>
      </w:r>
    </w:p>
    <w:p>
      <w:pPr>
        <w:spacing w:after="0" w:line="121"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Our wireless network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or that the network will achieve certain performance standards. If the project or network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74"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 addition, a majority of our enterprise businesses and additional significant deployment projects are located in southeastern United States, an area which is susceptible to hurricanes. In late summer 2005, Hurricane Katrina and Hurricane Rita struck the Gulf Coast region of the United States, resulting in labor and material shortages in the area. Although we expect certain delays and increased cost estimates in our deployment business for both carriers and enterprise customers as a result of the rebuilding effort in the wake of the 2005 hurricanes, we are unable to predict with certainty the extent of the impact on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attract and retain key managerial, technical, selling and marketing personnel could adversely affect our business.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success depends upon our attracting and retaining key members of our management team. The loss of any of our key members might delay or prevent the achievement of our development and strategic objectives. Our future performance will be substantially dependent upon our ability to attract, retain and motivate key members of our management team.</w:t>
      </w:r>
    </w:p>
    <w:p>
      <w:pPr>
        <w:spacing w:after="0" w:line="73"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We must also continue to hire and retain additional highly skilled engineering, managerial, business development and sales personnel. In an effort to manage our costs, it is our policy to hire employees on a project-by-project basis. Upon completion of an assigned project, the employees are no longer employed by us until we elect to hire them for the next project. Competition for such highly skilled personnel in our industry is intense, especially for engineers and project managers, and we can not be certain that we will be able to hire or re-hire sufficiently qualified personnel in adequate numbers to meet the demand for our services. We also believe that our success depends to a significant extent on the ability of our key personnel to operate effectively, both individually and as a group. If we are unable to identify, hire and integrate new employees in a timely and cost-efficient manner, our operating results will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maintain appropriate staffing levels could adversely affect our business.</w:t>
      </w:r>
    </w:p>
    <w:p>
      <w:pPr>
        <w:sectPr>
          <w:pgSz w:w="11900" w:h="16838" w:orient="portrait"/>
          <w:cols w:equalWidth="0" w:num="1">
            <w:col w:w="11420"/>
          </w:cols>
          <w:pgMar w:left="240" w:top="364" w:right="239" w:bottom="0" w:gutter="0" w:footer="0" w:header="0"/>
        </w:sectPr>
      </w:pPr>
    </w:p>
    <w:bookmarkStart w:id="27" w:name="page28"/>
    <w:bookmarkEnd w:id="27"/>
    <w:p>
      <w:pPr>
        <w:ind w:right="60" w:firstLine="360"/>
        <w:spacing w:after="0" w:line="276" w:lineRule="auto"/>
        <w:rPr>
          <w:sz w:val="20"/>
          <w:szCs w:val="20"/>
          <w:color w:val="auto"/>
        </w:rPr>
      </w:pPr>
      <w:r>
        <w:rPr>
          <w:rFonts w:ascii="Arial" w:cs="Arial" w:eastAsia="Arial" w:hAnsi="Arial"/>
          <w:sz w:val="17"/>
          <w:szCs w:val="17"/>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could restrict our ability to hire employees or to utilize employees effectively.</w:t>
      </w:r>
    </w:p>
    <w:p>
      <w:pPr>
        <w:spacing w:after="0" w:line="12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As of June 30, 2006, approximately 155 or 8% of our employees in the United States were working under H-1B visas. H-1B visas are a special class of nonimmigrant working visas for qualified aliens working in specialty occupations, including, for example, radio frequency engineers. The H-1B program refers to a provision of the United States Immigration and Nationality Act that allows highly skilled foreigners to work in the United States for as long as six years. Current law limits the number of foreign workers who may be issued a visa or otherwise be provided H-1B status to 65,000 plus 20,000 additional numbers for the U.S. advanced degree exception through 2006.</w:t>
      </w:r>
    </w:p>
    <w:p>
      <w:pPr>
        <w:spacing w:after="0" w:line="80"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Immigration policies are subject to rapid change, and these policies have become more stringent since the terrorist attacks on September 11, 2001. Any additional significant changes in immigration law or regulations may further restrict our ability to continue to employ or to hire new workers on H-1B visas and otherwise restrict our ability to utilize our existing employees as we see fit, and, therefore, could harm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uncertainties and fluctuations in the value of foreign currencies could harm our profitability.</w:t>
      </w:r>
    </w:p>
    <w:p>
      <w:pPr>
        <w:spacing w:after="0" w:line="121"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We currently have international operations, including offices in Brazil, China, India, the United Kingdom, Sweden and Turkey. For the six months ended June 30, 2006, international operations accounted for approximately 8% of our total revenues. Our international business operations are subject to a number of material risks, including, but not limited to:</w:t>
      </w:r>
    </w:p>
    <w:p>
      <w:pPr>
        <w:spacing w:after="0" w:line="73" w:lineRule="exact"/>
        <w:rPr>
          <w:sz w:val="20"/>
          <w:szCs w:val="20"/>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building and managing foreign operations;</w:t>
      </w:r>
    </w:p>
    <w:p>
      <w:pPr>
        <w:spacing w:after="0" w:line="117" w:lineRule="exact"/>
        <w:rPr>
          <w:rFonts w:ascii="Arial" w:cs="Arial" w:eastAsia="Arial" w:hAnsi="Arial"/>
          <w:sz w:val="18"/>
          <w:szCs w:val="18"/>
          <w:color w:val="auto"/>
        </w:rPr>
      </w:pPr>
    </w:p>
    <w:p>
      <w:pPr>
        <w:ind w:left="540" w:right="44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uncertainties in foreign countries, including changing regulations and delays in licensing carriers to build out their networks in various locations;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addressing other legal issues;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and U.S. taxation issues;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weaknesses in foreign economies, particularly in Europe and Latin and South America;</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value of foreign currencies;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domestic and international regulatory, economic or political changes.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significant international subsidiaries (i.e., in Brazil and the United Kingdom) procure certain transactions that are denominated in U.S. dollars. Downward fluctuations in the value of foreign currencies, compared to the U.S. dollar, may make our services more expensive than local service offerings in international locations. This would make our service offerings less price competitive than local service offerings, which could harm our business. To date, our experience with this foreign currency risk has predominately related to the Brazilian Real and Mexican Peso. In addition, we also conduct business in British Pound Sterling, Chinese Renminbi, Indian Rupee, Euro, Swedish Krona and Turkish Lira. We do not currently engage in currency hedging activities to limit the risks of currency fluctuations. Therefore, fluctuations in foreign currencies could have a negative impact on the profitability of our global operations, which would harm our financial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Payment for the sale of our operations in Mexico was made in part by promissory note, which could be placed into default in the event of non-payment by the buyer.</w:t>
      </w:r>
    </w:p>
    <w:p>
      <w:pPr>
        <w:spacing w:after="0" w:line="58"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As part of the sales price of the Company’s subsidiaries in Mexico, we received a $17.4 million promissory note from the buyer of which the current balance is $14.6 million. Although the note is secured by a pledge of assets and a personal guaranty, the buyer could default on the note. If upon the execution of the pledges on the assets and the personal guaranty, there were insufficient funds for a full payment of the note, we would incur a loss on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maintain an effective system of internal controls, we may not be able to accurately report our financial results or prevent fraud.</w:t>
      </w:r>
    </w:p>
    <w:p>
      <w:pPr>
        <w:spacing w:after="0" w:line="133"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As described in Item 9A of our annual report on Form 10-K for the year ended December 31, 2005, we restated our previously issued financial statements for the quarters ended July 1, 2005 and September 30, 2005 to reflect the accounting impact of the cancellation of sites by one of our customers in Mexico in those periods. In addition, as described in Item 4 of this Report, we are still in the process of remediating one of the two material weaknesses identified in Item 9A of our annual report on Form 10-K for the year ended December 31, 2005 and as a result, management was unable to conclude that our disclosure controls and procedures were effective as of June 30, 2006. We have implemented, and continue to implement, actions to address this weakness and to enhance the reliability and effectiveness of our internal controls and operations, however, we cannot assure you that the measures we have taken to date or any future measures will remediate the material weakness discussed in this Report.</w:t>
      </w:r>
    </w:p>
    <w:p>
      <w:pPr>
        <w:spacing w:after="0" w:line="70"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 Internal control systems are designed in part upon assumptions about the likelihood of future events, and all such systems, however well designed and operated, can provide only reasonable, and not absolute, assurance that the objectives of the system</w:t>
      </w:r>
    </w:p>
    <w:p>
      <w:pPr>
        <w:sectPr>
          <w:pgSz w:w="11900" w:h="16838" w:orient="portrait"/>
          <w:cols w:equalWidth="0" w:num="1">
            <w:col w:w="11420"/>
          </w:cols>
          <w:pgMar w:left="240" w:top="125" w:right="239" w:bottom="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are met. Because of these and other inherent limitations of control systems, there can be no assurance that any design will succeed in achieving its stated goals under all potential future conditions.</w:t>
      </w:r>
    </w:p>
    <w:p>
      <w:pPr>
        <w:spacing w:after="0" w:line="62"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We also cannot assure you that we will implement and maintain adequate controls over our financial processes and reporting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changing regulation of corporate governance and public disclosure may result in additional expenses.</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SEC regulations and NASDAQ Stock Market rules, are creating uncertainty for companies such as ours. We are committed to maintaining high standards of corporate governance and public disclosure. As a result, we intend to invest appropriate resources to comply with evolving standards, and this investment has resulted in and may continue to result in increased general and administrative expenses and a diversion of management time and attention from revenue-generating activities to compliance activities.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officers, directors and principal stockholders choose to act together, they may be able to exert significant influence over our management and operations, acting in their best interests and not in the best interests of other stockholders.</w:t>
      </w:r>
    </w:p>
    <w:p>
      <w:pPr>
        <w:spacing w:after="0" w:line="58"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As of June 30, 2006, our executive officers and directors and their affiliates beneficially owned, in the aggregate, approximately 37.3% of our outstanding common stock, after giving effect to the conversion of Series B Convertible Preferred Stock. In particular, our current Chairman, Masood K. Tayebi, beneficially owned approximately 9.6% of our outstanding common stock. 8.7% of our outstanding common stock is beneficially owned by certain of our other officers and directors and their affiliates. The remaining 19.0% is beneficially owned by other members of the Tayebi family. As a result, the executive officers, directors and their affiliates are able to collectively exercise significant influence over matters requiring stockholder approval, such as the election of directors and the approval of significant corporate transactions. The interests of this group of stockholders may not always coincide with our interests or the interests of other stockholders, and they may act in a manner that advances their best interests and not necessarily those of other stockholders. As a result of their actions or inactions, our stock price may decline.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to fund the growth of our business, and financing may not be available.</w:t>
      </w:r>
    </w:p>
    <w:p>
      <w:pPr>
        <w:spacing w:after="0" w:line="121"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We currently anticipate that our available capital resources and operating income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 We may raise additional funds through public or private debt or equity financings if such financings become available on favorable terms or we may expand our current $15 million senior credit facility up to $60 million to fund future acquisitions and for general corporate purposes. We also filed a universal shelf registration statement on Form S-3. Under this shelf registration statement, we may sell, in one or more public offerings, shares of newly issued common stock or preferred stock, warrants or debt securities, or any combination of such securities, for proceeds in an aggregate amount of up to $200 million. Such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may harm our business or otherwise distract our management.</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that we will always be able to resolve such disputes on terms favorable to us.</w:t>
      </w:r>
    </w:p>
    <w:p>
      <w:pPr>
        <w:spacing w:after="0" w:line="5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we and certain of our current and former officers and directors have been named defendants in class action and derivative lawsuits. While we believe that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trade secrets could aid our competitors.</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w:t>
      </w:r>
    </w:p>
    <w:p>
      <w:pPr>
        <w:ind w:right="120"/>
        <w:spacing w:after="0" w:line="255" w:lineRule="auto"/>
        <w:rPr>
          <w:sz w:val="20"/>
          <w:szCs w:val="20"/>
          <w:color w:val="auto"/>
        </w:rPr>
      </w:pPr>
      <w:r>
        <w:rPr>
          <w:rFonts w:ascii="Arial" w:cs="Arial" w:eastAsia="Arial" w:hAnsi="Arial"/>
          <w:sz w:val="18"/>
          <w:szCs w:val="18"/>
          <w:color w:val="auto"/>
        </w:rPr>
        <w:t>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our trade secrets become known we may lose our competitive position.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which may result in lawsuits against us and our officers and directors.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stock market in general and the stock prices of technology and telecommunications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ectPr>
          <w:pgSz w:w="11900" w:h="16838" w:orient="portrait"/>
          <w:cols w:equalWidth="0" w:num="1">
            <w:col w:w="11420"/>
          </w:cols>
          <w:pgMar w:left="240" w:top="125" w:right="239" w:bottom="0" w:gutter="0" w:footer="0" w:header="0"/>
        </w:sectPr>
      </w:pPr>
    </w:p>
    <w:bookmarkStart w:id="29" w:name="page30"/>
    <w:bookmarkEnd w:id="29"/>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litigation;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deter potential acquirers and may depress our stock price.</w:t>
      </w:r>
    </w:p>
    <w:p>
      <w:pPr>
        <w:spacing w:after="0" w:line="12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62"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600" w:hanging="17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62" w:lineRule="exact"/>
        <w:rPr>
          <w:rFonts w:ascii="Arial" w:cs="Arial" w:eastAsia="Arial" w:hAnsi="Arial"/>
          <w:sz w:val="18"/>
          <w:szCs w:val="18"/>
          <w:color w:val="auto"/>
        </w:rPr>
      </w:pPr>
    </w:p>
    <w:p>
      <w:pPr>
        <w:ind w:left="540" w:right="340" w:hanging="17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number of our executives have agreements with us that entitle them to payments in certain circumstances following a change in control.</w:t>
      </w:r>
    </w:p>
    <w:p>
      <w:pPr>
        <w:spacing w:after="0" w:line="12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addition, on December 16, 2004, we adopted a stockholder rights plan (“Rights Plan”). Pursuant to the Rights Plan, our Board of Directors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of Directors, each Right will entitle its holder to purchase, at the Rights then-current exercise price, a number of the acquiring company’s common shares having a market value at the time of twice the Rights exercise price. 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Annual Meeting of Stockholders of Wireless Facilities, Inc. was held on May 17, 2006. The following proposals were adopted by the votes indicated below:</w:t>
      </w:r>
    </w:p>
    <w:p>
      <w:pPr>
        <w:spacing w:after="0" w:line="62" w:lineRule="exact"/>
        <w:rPr>
          <w:sz w:val="20"/>
          <w:szCs w:val="20"/>
          <w:color w:val="auto"/>
        </w:rPr>
      </w:pPr>
    </w:p>
    <w:p>
      <w:pPr>
        <w:ind w:left="720" w:right="300" w:hanging="352"/>
        <w:spacing w:after="0" w:line="259" w:lineRule="auto"/>
        <w:tabs>
          <w:tab w:leader="none" w:pos="7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elect the Board of Directors to serve for the ensuing year and until their successors are elected. Elected to serve as directors were: Masood K. Tayebi, Ph.D., 61,974,527 for and 747,601 withheld; Scott Anderson, 61,988,679 for and 733,449 withheld; Bandel Carano, 60,369,326 for and 2,352,802 withheld; Eric Demarco, 62,148,574 for and 573,544 withheld; William Hoglund 60,298,082 for and 2,424,046 withheld; and Scot Jarvis, 60,292,123 for and 2,430,055 withheld.</w:t>
      </w:r>
    </w:p>
    <w:p>
      <w:pPr>
        <w:spacing w:after="0" w:line="78" w:lineRule="exact"/>
        <w:rPr>
          <w:rFonts w:ascii="Arial" w:cs="Arial" w:eastAsia="Arial" w:hAnsi="Arial"/>
          <w:sz w:val="18"/>
          <w:szCs w:val="18"/>
          <w:color w:val="auto"/>
        </w:rPr>
      </w:pPr>
    </w:p>
    <w:p>
      <w:pPr>
        <w:ind w:left="720" w:right="300" w:hanging="352"/>
        <w:spacing w:after="0" w:line="277" w:lineRule="auto"/>
        <w:tabs>
          <w:tab w:leader="none" w:pos="7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ratify the selection of Grant Thornton LLP as independent auditors of the Company for its fiscal year ending December 31, 2006; 62,561,217 for, 103,088 against, and 57,822 abstained.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740" w:type="dxa"/>
            <w:vAlign w:val="bottom"/>
          </w:tcPr>
          <w:p>
            <w:pPr>
              <w:ind w:left="360"/>
              <w:spacing w:after="0"/>
              <w:rPr>
                <w:sz w:val="20"/>
                <w:szCs w:val="20"/>
                <w:color w:val="auto"/>
              </w:rPr>
            </w:pPr>
            <w:r>
              <w:rPr>
                <w:rFonts w:ascii="Arial" w:cs="Arial" w:eastAsia="Arial" w:hAnsi="Arial"/>
                <w:sz w:val="18"/>
                <w:szCs w:val="18"/>
                <w:i w:val="1"/>
                <w:iCs w:val="1"/>
                <w:color w:val="auto"/>
              </w:rPr>
              <w:t>(a).</w:t>
            </w:r>
          </w:p>
        </w:tc>
        <w:tc>
          <w:tcPr>
            <w:tcW w:w="10420" w:type="dxa"/>
            <w:vAlign w:val="bottom"/>
          </w:tcPr>
          <w:p>
            <w:pPr>
              <w:ind w:left="520"/>
              <w:spacing w:after="0"/>
              <w:rPr>
                <w:sz w:val="20"/>
                <w:szCs w:val="20"/>
                <w:color w:val="auto"/>
              </w:rPr>
            </w:pPr>
            <w:r>
              <w:rPr>
                <w:rFonts w:ascii="Arial" w:cs="Arial" w:eastAsia="Arial" w:hAnsi="Arial"/>
                <w:sz w:val="18"/>
                <w:szCs w:val="18"/>
                <w:i w:val="1"/>
                <w:iCs w:val="1"/>
                <w:color w:val="auto"/>
              </w:rPr>
              <w:t>Exhibits:</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2.1</w:t>
            </w:r>
          </w:p>
        </w:tc>
        <w:tc>
          <w:tcPr>
            <w:tcW w:w="10420" w:type="dxa"/>
            <w:vAlign w:val="bottom"/>
          </w:tcPr>
          <w:p>
            <w:pPr>
              <w:ind w:left="520"/>
              <w:spacing w:after="0"/>
              <w:rPr>
                <w:sz w:val="20"/>
                <w:szCs w:val="20"/>
                <w:color w:val="auto"/>
              </w:rPr>
            </w:pPr>
            <w:r>
              <w:rPr>
                <w:rFonts w:ascii="Arial" w:cs="Arial" w:eastAsia="Arial" w:hAnsi="Arial"/>
                <w:sz w:val="18"/>
                <w:szCs w:val="18"/>
                <w:color w:val="auto"/>
                <w:w w:val="95"/>
              </w:rPr>
              <w:t>Stock Purchase Agreement by and among the Company, JMA Associates, Inc. d/b/a TLA Associates and the Stockholders of JMA</w:t>
            </w:r>
          </w:p>
        </w:tc>
      </w:tr>
      <w:tr>
        <w:trPr>
          <w:trHeight w:val="230"/>
        </w:trPr>
        <w:tc>
          <w:tcPr>
            <w:tcW w:w="740" w:type="dxa"/>
            <w:vAlign w:val="bottom"/>
          </w:tcPr>
          <w:p>
            <w:pPr>
              <w:spacing w:after="0"/>
              <w:rPr>
                <w:sz w:val="20"/>
                <w:szCs w:val="20"/>
                <w:color w:val="auto"/>
              </w:rPr>
            </w:pPr>
          </w:p>
        </w:tc>
        <w:tc>
          <w:tcPr>
            <w:tcW w:w="10420" w:type="dxa"/>
            <w:vAlign w:val="bottom"/>
          </w:tcPr>
          <w:p>
            <w:pPr>
              <w:ind w:left="520"/>
              <w:spacing w:after="0"/>
              <w:rPr>
                <w:sz w:val="20"/>
                <w:szCs w:val="20"/>
                <w:color w:val="auto"/>
              </w:rPr>
            </w:pPr>
            <w:r>
              <w:rPr>
                <w:rFonts w:ascii="Arial" w:cs="Arial" w:eastAsia="Arial" w:hAnsi="Arial"/>
                <w:sz w:val="18"/>
                <w:szCs w:val="18"/>
                <w:color w:val="auto"/>
              </w:rPr>
              <w:t>Associates, Inc. dated as of January 27, 2005.(1)</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2.2</w:t>
            </w:r>
          </w:p>
        </w:tc>
        <w:tc>
          <w:tcPr>
            <w:tcW w:w="10420" w:type="dxa"/>
            <w:vAlign w:val="bottom"/>
          </w:tcPr>
          <w:p>
            <w:pPr>
              <w:ind w:left="520"/>
              <w:spacing w:after="0"/>
              <w:rPr>
                <w:sz w:val="20"/>
                <w:szCs w:val="20"/>
                <w:color w:val="auto"/>
              </w:rPr>
            </w:pPr>
            <w:r>
              <w:rPr>
                <w:rFonts w:ascii="Arial" w:cs="Arial" w:eastAsia="Arial" w:hAnsi="Arial"/>
                <w:sz w:val="18"/>
                <w:szCs w:val="18"/>
                <w:color w:val="auto"/>
              </w:rPr>
              <w:t>Equity Purchase Agreement, dated February 17, 2006, by and between Sakoki LLC and the Company.(6)</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2.3</w:t>
            </w:r>
          </w:p>
        </w:tc>
        <w:tc>
          <w:tcPr>
            <w:tcW w:w="10420" w:type="dxa"/>
            <w:vAlign w:val="bottom"/>
          </w:tcPr>
          <w:p>
            <w:pPr>
              <w:ind w:left="520"/>
              <w:spacing w:after="0"/>
              <w:rPr>
                <w:sz w:val="20"/>
                <w:szCs w:val="20"/>
                <w:color w:val="auto"/>
              </w:rPr>
            </w:pPr>
            <w:r>
              <w:rPr>
                <w:rFonts w:ascii="Arial" w:cs="Arial" w:eastAsia="Arial" w:hAnsi="Arial"/>
                <w:sz w:val="18"/>
                <w:szCs w:val="18"/>
                <w:color w:val="auto"/>
                <w:w w:val="90"/>
              </w:rPr>
              <w:t>Addendum and Waiver Related to the Equity Purchase Agreement, dated June 26, 2006, by and between Sakoki LLC and the Company.*</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10420" w:type="dxa"/>
            <w:vAlign w:val="bottom"/>
          </w:tcPr>
          <w:p>
            <w:pPr>
              <w:ind w:left="520"/>
              <w:spacing w:after="0"/>
              <w:rPr>
                <w:sz w:val="20"/>
                <w:szCs w:val="20"/>
                <w:color w:val="auto"/>
              </w:rPr>
            </w:pPr>
            <w:r>
              <w:rPr>
                <w:rFonts w:ascii="Arial" w:cs="Arial" w:eastAsia="Arial" w:hAnsi="Arial"/>
                <w:sz w:val="18"/>
                <w:szCs w:val="18"/>
                <w:color w:val="auto"/>
              </w:rPr>
              <w:t>Amended and Restated Certificate of Incorporation.(2)</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10420" w:type="dxa"/>
            <w:vAlign w:val="bottom"/>
          </w:tcPr>
          <w:p>
            <w:pPr>
              <w:ind w:left="520"/>
              <w:spacing w:after="0"/>
              <w:rPr>
                <w:sz w:val="20"/>
                <w:szCs w:val="20"/>
                <w:color w:val="auto"/>
              </w:rPr>
            </w:pPr>
            <w:r>
              <w:rPr>
                <w:rFonts w:ascii="Arial" w:cs="Arial" w:eastAsia="Arial" w:hAnsi="Arial"/>
                <w:sz w:val="18"/>
                <w:szCs w:val="18"/>
                <w:color w:val="auto"/>
              </w:rPr>
              <w:t>Bylaws in effect since November 5, 1999.(3)</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3.3</w:t>
            </w:r>
          </w:p>
        </w:tc>
        <w:tc>
          <w:tcPr>
            <w:tcW w:w="10420" w:type="dxa"/>
            <w:vAlign w:val="bottom"/>
          </w:tcPr>
          <w:p>
            <w:pPr>
              <w:ind w:left="520"/>
              <w:spacing w:after="0"/>
              <w:rPr>
                <w:sz w:val="20"/>
                <w:szCs w:val="20"/>
                <w:color w:val="auto"/>
              </w:rPr>
            </w:pPr>
            <w:r>
              <w:rPr>
                <w:rFonts w:ascii="Arial" w:cs="Arial" w:eastAsia="Arial" w:hAnsi="Arial"/>
                <w:sz w:val="18"/>
                <w:szCs w:val="18"/>
                <w:color w:val="auto"/>
              </w:rPr>
              <w:t>Certificate of Designations, Preferences and Rights of Series B Preferred Stock.(4)</w:t>
            </w:r>
          </w:p>
        </w:tc>
      </w:tr>
    </w:tbl>
    <w:p>
      <w:pPr>
        <w:sectPr>
          <w:pgSz w:w="11900" w:h="16838" w:orient="portrait"/>
          <w:cols w:equalWidth="0" w:num="1">
            <w:col w:w="11420"/>
          </w:cols>
          <w:pgMar w:left="240" w:top="125" w:right="239" w:bottom="0" w:gutter="0" w:footer="0" w:header="0"/>
        </w:sectPr>
      </w:pPr>
    </w:p>
    <w:bookmarkStart w:id="30" w:name="page31"/>
    <w:bookmarkEnd w:id="30"/>
    <w:p>
      <w:pPr>
        <w:spacing w:after="0"/>
        <w:tabs>
          <w:tab w:leader="none" w:pos="12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Certificate of Designation of Series C Preferred Stock.(5)</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0380" w:type="dxa"/>
            <w:vAlign w:val="bottom"/>
          </w:tcPr>
          <w:p>
            <w:pPr>
              <w:ind w:left="460"/>
              <w:spacing w:after="0"/>
              <w:rPr>
                <w:sz w:val="20"/>
                <w:szCs w:val="20"/>
                <w:color w:val="auto"/>
              </w:rPr>
            </w:pPr>
            <w:r>
              <w:rPr>
                <w:rFonts w:ascii="Arial" w:cs="Arial" w:eastAsia="Arial" w:hAnsi="Arial"/>
                <w:sz w:val="18"/>
                <w:szCs w:val="18"/>
                <w:color w:val="auto"/>
              </w:rPr>
              <w:t>Reference is made to Exhibits 3.1, 3.2, 3.3 and 3.4.</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0380" w:type="dxa"/>
            <w:vAlign w:val="bottom"/>
          </w:tcPr>
          <w:p>
            <w:pPr>
              <w:ind w:left="460"/>
              <w:spacing w:after="0"/>
              <w:rPr>
                <w:sz w:val="20"/>
                <w:szCs w:val="20"/>
                <w:color w:val="auto"/>
              </w:rPr>
            </w:pPr>
            <w:r>
              <w:rPr>
                <w:rFonts w:ascii="Arial" w:cs="Arial" w:eastAsia="Arial" w:hAnsi="Arial"/>
                <w:sz w:val="18"/>
                <w:szCs w:val="18"/>
                <w:color w:val="auto"/>
              </w:rPr>
              <w:t>Specimen Stock Certificate.(1)</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10380" w:type="dxa"/>
            <w:vAlign w:val="bottom"/>
          </w:tcPr>
          <w:p>
            <w:pPr>
              <w:ind w:left="460"/>
              <w:spacing w:after="0"/>
              <w:rPr>
                <w:sz w:val="20"/>
                <w:szCs w:val="20"/>
                <w:color w:val="auto"/>
              </w:rPr>
            </w:pPr>
            <w:r>
              <w:rPr>
                <w:rFonts w:ascii="Arial" w:cs="Arial" w:eastAsia="Arial" w:hAnsi="Arial"/>
                <w:sz w:val="18"/>
                <w:szCs w:val="18"/>
                <w:color w:val="auto"/>
              </w:rPr>
              <w:t>Rights Agreement, dated as of December 16, 2004, between the Company and Wells Fargo, N.A.(5)</w:t>
            </w: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460"/>
              <w:spacing w:after="0"/>
              <w:rPr>
                <w:sz w:val="20"/>
                <w:szCs w:val="20"/>
                <w:color w:val="auto"/>
              </w:rPr>
            </w:pPr>
            <w:r>
              <w:rPr>
                <w:rFonts w:ascii="Arial" w:cs="Arial" w:eastAsia="Arial" w:hAnsi="Arial"/>
                <w:sz w:val="18"/>
                <w:szCs w:val="18"/>
                <w:color w:val="auto"/>
                <w:w w:val="91"/>
              </w:rPr>
              <w:t>Periodic Report Certification by Chief Executive Officer of Quarterly Report on Form 10-Q for the quarterly period ended June 30, 2006,</w:t>
            </w:r>
          </w:p>
        </w:tc>
      </w:tr>
      <w:tr>
        <w:trPr>
          <w:trHeight w:val="230"/>
        </w:trPr>
        <w:tc>
          <w:tcPr>
            <w:tcW w:w="800" w:type="dxa"/>
            <w:vAlign w:val="bottom"/>
          </w:tcPr>
          <w:p>
            <w:pPr>
              <w:spacing w:after="0"/>
              <w:rPr>
                <w:sz w:val="20"/>
                <w:szCs w:val="20"/>
                <w:color w:val="auto"/>
              </w:rPr>
            </w:pPr>
          </w:p>
        </w:tc>
        <w:tc>
          <w:tcPr>
            <w:tcW w:w="10380" w:type="dxa"/>
            <w:vAlign w:val="bottom"/>
          </w:tcPr>
          <w:p>
            <w:pPr>
              <w:ind w:left="4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460"/>
              <w:spacing w:after="0"/>
              <w:rPr>
                <w:sz w:val="20"/>
                <w:szCs w:val="20"/>
                <w:color w:val="auto"/>
              </w:rPr>
            </w:pPr>
            <w:r>
              <w:rPr>
                <w:rFonts w:ascii="Arial" w:cs="Arial" w:eastAsia="Arial" w:hAnsi="Arial"/>
                <w:sz w:val="18"/>
                <w:szCs w:val="18"/>
                <w:color w:val="auto"/>
                <w:w w:val="92"/>
              </w:rPr>
              <w:t>Periodic Report Certification by Chief Financial Officer of Quarterly Report on Form 10-Q for the quarterly period ended June 30, 2006,</w:t>
            </w:r>
          </w:p>
        </w:tc>
      </w:tr>
      <w:tr>
        <w:trPr>
          <w:trHeight w:val="230"/>
        </w:trPr>
        <w:tc>
          <w:tcPr>
            <w:tcW w:w="800" w:type="dxa"/>
            <w:vAlign w:val="bottom"/>
          </w:tcPr>
          <w:p>
            <w:pPr>
              <w:spacing w:after="0"/>
              <w:rPr>
                <w:sz w:val="20"/>
                <w:szCs w:val="20"/>
                <w:color w:val="auto"/>
              </w:rPr>
            </w:pPr>
          </w:p>
        </w:tc>
        <w:tc>
          <w:tcPr>
            <w:tcW w:w="10380" w:type="dxa"/>
            <w:vAlign w:val="bottom"/>
          </w:tcPr>
          <w:p>
            <w:pPr>
              <w:ind w:left="4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460"/>
              <w:spacing w:after="0"/>
              <w:rPr>
                <w:sz w:val="20"/>
                <w:szCs w:val="20"/>
                <w:color w:val="auto"/>
              </w:rPr>
            </w:pPr>
            <w:r>
              <w:rPr>
                <w:rFonts w:ascii="Arial" w:cs="Arial" w:eastAsia="Arial" w:hAnsi="Arial"/>
                <w:sz w:val="18"/>
                <w:szCs w:val="18"/>
                <w:color w:val="auto"/>
                <w:w w:val="91"/>
              </w:rPr>
              <w:t>Periodic Report Certification by Chief Executive Officer of Quarterly Report on Form 10-Q for the quarterly period ended June 30, 2006,</w:t>
            </w:r>
          </w:p>
        </w:tc>
      </w:tr>
      <w:tr>
        <w:trPr>
          <w:trHeight w:val="230"/>
        </w:trPr>
        <w:tc>
          <w:tcPr>
            <w:tcW w:w="800" w:type="dxa"/>
            <w:vAlign w:val="bottom"/>
          </w:tcPr>
          <w:p>
            <w:pPr>
              <w:spacing w:after="0"/>
              <w:rPr>
                <w:sz w:val="20"/>
                <w:szCs w:val="20"/>
                <w:color w:val="auto"/>
              </w:rPr>
            </w:pPr>
          </w:p>
        </w:tc>
        <w:tc>
          <w:tcPr>
            <w:tcW w:w="10380" w:type="dxa"/>
            <w:vAlign w:val="bottom"/>
          </w:tcPr>
          <w:p>
            <w:pPr>
              <w:ind w:left="46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460"/>
              <w:spacing w:after="0"/>
              <w:rPr>
                <w:sz w:val="20"/>
                <w:szCs w:val="20"/>
                <w:color w:val="auto"/>
              </w:rPr>
            </w:pPr>
            <w:r>
              <w:rPr>
                <w:rFonts w:ascii="Arial" w:cs="Arial" w:eastAsia="Arial" w:hAnsi="Arial"/>
                <w:sz w:val="18"/>
                <w:szCs w:val="18"/>
                <w:color w:val="auto"/>
                <w:w w:val="92"/>
              </w:rPr>
              <w:t>Periodic Report Certification by Chief Financial Officer of Quarterly Report on Form 10-Q for the quarterly period ended June 30, 2006,</w:t>
            </w:r>
          </w:p>
        </w:tc>
      </w:tr>
      <w:tr>
        <w:trPr>
          <w:trHeight w:val="230"/>
        </w:trPr>
        <w:tc>
          <w:tcPr>
            <w:tcW w:w="800" w:type="dxa"/>
            <w:vAlign w:val="bottom"/>
          </w:tcPr>
          <w:p>
            <w:pPr>
              <w:spacing w:after="0"/>
              <w:rPr>
                <w:sz w:val="20"/>
                <w:szCs w:val="20"/>
                <w:color w:val="auto"/>
              </w:rPr>
            </w:pPr>
          </w:p>
        </w:tc>
        <w:tc>
          <w:tcPr>
            <w:tcW w:w="10380" w:type="dxa"/>
            <w:vAlign w:val="bottom"/>
          </w:tcPr>
          <w:p>
            <w:pPr>
              <w:ind w:left="46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2140" w:hanging="545"/>
        <w:spacing w:after="0"/>
        <w:tabs>
          <w:tab w:leader="none" w:pos="2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2140" w:right="2060" w:hanging="545"/>
        <w:spacing w:after="0" w:line="277" w:lineRule="auto"/>
        <w:tabs>
          <w:tab w:leader="none" w:pos="2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filed on January 16, 2004 and incorporated herein by reference.</w:t>
      </w:r>
    </w:p>
    <w:p>
      <w:pPr>
        <w:spacing w:after="0" w:line="62" w:lineRule="exact"/>
        <w:rPr>
          <w:rFonts w:ascii="Arial" w:cs="Arial" w:eastAsia="Arial" w:hAnsi="Arial"/>
          <w:sz w:val="18"/>
          <w:szCs w:val="18"/>
          <w:color w:val="auto"/>
        </w:rPr>
      </w:pPr>
    </w:p>
    <w:p>
      <w:pPr>
        <w:ind w:left="2140" w:right="1420" w:hanging="545"/>
        <w:spacing w:after="0" w:line="277" w:lineRule="auto"/>
        <w:tabs>
          <w:tab w:leader="none" w:pos="2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for the quarter ended September 28, 2001, filed on November 13, 2001 and incorporated herein by reference.</w:t>
      </w:r>
    </w:p>
    <w:p>
      <w:pPr>
        <w:spacing w:after="0" w:line="62" w:lineRule="exact"/>
        <w:rPr>
          <w:rFonts w:ascii="Arial" w:cs="Arial" w:eastAsia="Arial" w:hAnsi="Arial"/>
          <w:sz w:val="18"/>
          <w:szCs w:val="18"/>
          <w:color w:val="auto"/>
        </w:rPr>
      </w:pPr>
    </w:p>
    <w:p>
      <w:pPr>
        <w:ind w:left="2140" w:right="2160" w:hanging="545"/>
        <w:spacing w:after="0" w:line="277" w:lineRule="auto"/>
        <w:tabs>
          <w:tab w:leader="none" w:pos="2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(No. 333-85515), and incorporated herein by reference.</w:t>
      </w:r>
    </w:p>
    <w:p>
      <w:pPr>
        <w:spacing w:after="0" w:line="62" w:lineRule="exact"/>
        <w:rPr>
          <w:rFonts w:ascii="Arial" w:cs="Arial" w:eastAsia="Arial" w:hAnsi="Arial"/>
          <w:sz w:val="18"/>
          <w:szCs w:val="18"/>
          <w:color w:val="auto"/>
        </w:rPr>
      </w:pPr>
    </w:p>
    <w:p>
      <w:pPr>
        <w:ind w:left="2140" w:right="2200" w:hanging="545"/>
        <w:spacing w:after="0" w:line="277" w:lineRule="auto"/>
        <w:tabs>
          <w:tab w:leader="none" w:pos="2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8-K/A filed on June 5, 2002, and incorporated herein by reference.</w:t>
      </w:r>
    </w:p>
    <w:p>
      <w:pPr>
        <w:spacing w:after="0" w:line="62" w:lineRule="exact"/>
        <w:rPr>
          <w:rFonts w:ascii="Arial" w:cs="Arial" w:eastAsia="Arial" w:hAnsi="Arial"/>
          <w:sz w:val="18"/>
          <w:szCs w:val="18"/>
          <w:color w:val="auto"/>
        </w:rPr>
      </w:pPr>
    </w:p>
    <w:p>
      <w:pPr>
        <w:ind w:left="2140" w:right="2160" w:hanging="545"/>
        <w:spacing w:after="0" w:line="277" w:lineRule="auto"/>
        <w:tabs>
          <w:tab w:leader="none" w:pos="2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Form 8-K filed on December 17, 2004 and incorporated herein by reference.</w:t>
      </w:r>
    </w:p>
    <w:p>
      <w:pPr>
        <w:spacing w:after="0" w:line="62" w:lineRule="exact"/>
        <w:rPr>
          <w:rFonts w:ascii="Arial" w:cs="Arial" w:eastAsia="Arial" w:hAnsi="Arial"/>
          <w:sz w:val="18"/>
          <w:szCs w:val="18"/>
          <w:color w:val="auto"/>
        </w:rPr>
      </w:pPr>
    </w:p>
    <w:p>
      <w:pPr>
        <w:ind w:left="2140" w:right="2020" w:hanging="545"/>
        <w:spacing w:after="0" w:line="277" w:lineRule="auto"/>
        <w:tabs>
          <w:tab w:leader="none" w:pos="2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filed on February 23, 2006 and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WIRELESS FACILITIES, INC.</w:t>
      </w:r>
    </w:p>
    <w:p>
      <w:pPr>
        <w:spacing w:after="0" w:line="200" w:lineRule="exact"/>
        <w:rPr>
          <w:sz w:val="20"/>
          <w:szCs w:val="20"/>
          <w:color w:val="auto"/>
        </w:rPr>
      </w:pPr>
    </w:p>
    <w:p>
      <w:pPr>
        <w:spacing w:after="0" w:line="241"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195"/>
        </w:trPr>
        <w:tc>
          <w:tcPr>
            <w:tcW w:w="420" w:type="dxa"/>
            <w:vAlign w:val="bottom"/>
          </w:tcPr>
          <w:p>
            <w:pPr>
              <w:spacing w:after="0"/>
              <w:rPr>
                <w:sz w:val="16"/>
                <w:szCs w:val="16"/>
                <w:color w:val="auto"/>
              </w:rPr>
            </w:pPr>
          </w:p>
        </w:tc>
        <w:tc>
          <w:tcPr>
            <w:tcW w:w="3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Eric M. DeMarco</w:t>
            </w:r>
          </w:p>
        </w:tc>
      </w:tr>
      <w:tr>
        <w:trPr>
          <w:trHeight w:val="230"/>
        </w:trPr>
        <w:tc>
          <w:tcPr>
            <w:tcW w:w="4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Chief Executive Officer, President</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195"/>
        </w:trPr>
        <w:tc>
          <w:tcPr>
            <w:tcW w:w="420" w:type="dxa"/>
            <w:vAlign w:val="bottom"/>
          </w:tcPr>
          <w:p>
            <w:pPr>
              <w:spacing w:after="0"/>
              <w:rPr>
                <w:sz w:val="16"/>
                <w:szCs w:val="16"/>
                <w:color w:val="auto"/>
              </w:rPr>
            </w:pPr>
          </w:p>
        </w:tc>
        <w:tc>
          <w:tcPr>
            <w:tcW w:w="3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3"/>
              </w:rPr>
              <w:t>Deanna H. Lund</w:t>
            </w:r>
          </w:p>
        </w:tc>
      </w:tr>
      <w:tr>
        <w:trPr>
          <w:trHeight w:val="216"/>
        </w:trPr>
        <w:tc>
          <w:tcPr>
            <w:tcW w:w="4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Senior Vice President, Chief Financial</w:t>
            </w:r>
          </w:p>
        </w:tc>
      </w:tr>
      <w:tr>
        <w:trPr>
          <w:trHeight w:val="230"/>
        </w:trPr>
        <w:tc>
          <w:tcPr>
            <w:tcW w:w="4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Officer</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LAURA L. SIEGAL</w:t>
            </w:r>
          </w:p>
        </w:tc>
      </w:tr>
      <w:tr>
        <w:trPr>
          <w:trHeight w:val="195"/>
        </w:trPr>
        <w:tc>
          <w:tcPr>
            <w:tcW w:w="420" w:type="dxa"/>
            <w:vAlign w:val="bottom"/>
          </w:tcPr>
          <w:p>
            <w:pPr>
              <w:spacing w:after="0"/>
              <w:rPr>
                <w:sz w:val="16"/>
                <w:szCs w:val="16"/>
                <w:color w:val="auto"/>
              </w:rPr>
            </w:pPr>
          </w:p>
        </w:tc>
        <w:tc>
          <w:tcPr>
            <w:tcW w:w="3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3"/>
              </w:rPr>
              <w:t>Laura L. Siegal</w:t>
            </w:r>
          </w:p>
        </w:tc>
      </w:tr>
      <w:tr>
        <w:trPr>
          <w:trHeight w:val="216"/>
        </w:trPr>
        <w:tc>
          <w:tcPr>
            <w:tcW w:w="4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Vice President, Corporate Controller and</w:t>
            </w:r>
          </w:p>
        </w:tc>
      </w:tr>
      <w:tr>
        <w:trPr>
          <w:trHeight w:val="230"/>
        </w:trPr>
        <w:tc>
          <w:tcPr>
            <w:tcW w:w="4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pacing w:after="0" w:line="9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Date: August 9, 2006</w:t>
      </w:r>
    </w:p>
    <w:p>
      <w:pPr>
        <w:sectPr>
          <w:pgSz w:w="11900" w:h="16838" w:orient="portrait"/>
          <w:cols w:equalWidth="0" w:num="1">
            <w:col w:w="11180"/>
          </w:cols>
          <w:pgMar w:left="240" w:top="125" w:right="479" w:bottom="447"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125" w:right="479" w:bottom="447"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2.3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and Waiver Related to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Purchase Agreement</w:t>
      </w:r>
    </w:p>
    <w:p>
      <w:pPr>
        <w:spacing w:after="0" w:line="117" w:lineRule="exact"/>
        <w:rPr>
          <w:sz w:val="20"/>
          <w:szCs w:val="20"/>
          <w:color w:val="auto"/>
        </w:rPr>
      </w:pPr>
    </w:p>
    <w:p>
      <w:pPr>
        <w:ind w:firstLine="360"/>
        <w:spacing w:after="0" w:line="314" w:lineRule="auto"/>
        <w:rPr>
          <w:sz w:val="20"/>
          <w:szCs w:val="20"/>
          <w:color w:val="auto"/>
        </w:rPr>
      </w:pPr>
      <w:r>
        <w:rPr>
          <w:rFonts w:ascii="Arial" w:cs="Arial" w:eastAsia="Arial" w:hAnsi="Arial"/>
          <w:sz w:val="16"/>
          <w:szCs w:val="16"/>
          <w:color w:val="auto"/>
        </w:rPr>
        <w:t xml:space="preserve">This Addendum and Waiver (this </w:t>
      </w:r>
      <w:r>
        <w:rPr>
          <w:rFonts w:ascii="Arial" w:cs="Arial" w:eastAsia="Arial" w:hAnsi="Arial"/>
          <w:sz w:val="16"/>
          <w:szCs w:val="16"/>
          <w:b w:val="1"/>
          <w:bCs w:val="1"/>
          <w:color w:val="auto"/>
        </w:rPr>
        <w:t>“Addendum”</w:t>
      </w:r>
      <w:r>
        <w:rPr>
          <w:rFonts w:ascii="Arial" w:cs="Arial" w:eastAsia="Arial" w:hAnsi="Arial"/>
          <w:sz w:val="16"/>
          <w:szCs w:val="16"/>
          <w:color w:val="auto"/>
        </w:rPr>
        <w:t xml:space="preserve">), dated as of June 26, 2006 (the </w:t>
      </w:r>
      <w:r>
        <w:rPr>
          <w:rFonts w:ascii="Arial" w:cs="Arial" w:eastAsia="Arial" w:hAnsi="Arial"/>
          <w:sz w:val="16"/>
          <w:szCs w:val="16"/>
          <w:b w:val="1"/>
          <w:bCs w:val="1"/>
          <w:color w:val="auto"/>
        </w:rPr>
        <w:t>“Addendum Date”</w:t>
      </w:r>
      <w:r>
        <w:rPr>
          <w:rFonts w:ascii="Arial" w:cs="Arial" w:eastAsia="Arial" w:hAnsi="Arial"/>
          <w:sz w:val="16"/>
          <w:szCs w:val="16"/>
          <w:color w:val="auto"/>
        </w:rPr>
        <w:t>), is by and among Sakoki, LLC, a Delaware limited liability company (</w:t>
      </w:r>
      <w:r>
        <w:rPr>
          <w:rFonts w:ascii="Arial" w:cs="Arial" w:eastAsia="Arial" w:hAnsi="Arial"/>
          <w:sz w:val="16"/>
          <w:szCs w:val="16"/>
          <w:b w:val="1"/>
          <w:bCs w:val="1"/>
          <w:color w:val="auto"/>
        </w:rPr>
        <w:t>“Buyer”</w:t>
      </w:r>
      <w:r>
        <w:rPr>
          <w:rFonts w:ascii="Arial" w:cs="Arial" w:eastAsia="Arial" w:hAnsi="Arial"/>
          <w:sz w:val="16"/>
          <w:szCs w:val="16"/>
          <w:color w:val="auto"/>
        </w:rPr>
        <w:t>), Wireless Facilities, Inc., a Delaware corporation (</w:t>
      </w:r>
      <w:r>
        <w:rPr>
          <w:rFonts w:ascii="Arial" w:cs="Arial" w:eastAsia="Arial" w:hAnsi="Arial"/>
          <w:sz w:val="16"/>
          <w:szCs w:val="16"/>
          <w:b w:val="1"/>
          <w:bCs w:val="1"/>
          <w:color w:val="auto"/>
        </w:rPr>
        <w:t>“Seller”</w:t>
      </w:r>
      <w:r>
        <w:rPr>
          <w:rFonts w:ascii="Arial" w:cs="Arial" w:eastAsia="Arial" w:hAnsi="Arial"/>
          <w:sz w:val="16"/>
          <w:szCs w:val="16"/>
          <w:color w:val="auto"/>
        </w:rPr>
        <w:t>), and the Companies (all as defined in the Equity Purchase Agreement). All capitalized terms used herein have the meanings assigned them in the Equity Purchase Agreement unless the context requires otherwise.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17" w:lineRule="exact"/>
        <w:rPr>
          <w:sz w:val="20"/>
          <w:szCs w:val="20"/>
          <w:color w:val="auto"/>
        </w:rPr>
      </w:pPr>
    </w:p>
    <w:p>
      <w:pPr>
        <w:ind w:right="740" w:firstLine="360"/>
        <w:spacing w:after="0" w:line="313" w:lineRule="auto"/>
        <w:rPr>
          <w:sz w:val="20"/>
          <w:szCs w:val="20"/>
          <w:color w:val="auto"/>
        </w:rPr>
      </w:pPr>
      <w:r>
        <w:rPr>
          <w:rFonts w:ascii="Arial" w:cs="Arial" w:eastAsia="Arial" w:hAnsi="Arial"/>
          <w:sz w:val="17"/>
          <w:szCs w:val="17"/>
          <w:color w:val="auto"/>
        </w:rPr>
        <w:t xml:space="preserve">WHEREAS, Buyer, Seller and the Companies entered into that certain Equity Purchase Agreement dated as of February 17, 2006 (the </w:t>
      </w:r>
      <w:r>
        <w:rPr>
          <w:rFonts w:ascii="Arial" w:cs="Arial" w:eastAsia="Arial" w:hAnsi="Arial"/>
          <w:sz w:val="17"/>
          <w:szCs w:val="17"/>
          <w:b w:val="1"/>
          <w:bCs w:val="1"/>
          <w:color w:val="auto"/>
        </w:rPr>
        <w:t>“Equity</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 Agreement”</w:t>
      </w:r>
      <w:r>
        <w:rPr>
          <w:rFonts w:ascii="Arial" w:cs="Arial" w:eastAsia="Arial" w:hAnsi="Arial"/>
          <w:sz w:val="17"/>
          <w:szCs w:val="17"/>
          <w:color w:val="auto"/>
        </w:rPr>
        <w:t>) with respect to the purchase and sale of the Shares (as defined in the Equity Purchase Agreement);</w:t>
      </w:r>
    </w:p>
    <w:p>
      <w:pPr>
        <w:spacing w:after="0" w:line="34"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WHEREAS, in compliance with Section 2.02 of the Equity Purchase Agreement, Seller submitted to Buyer the Effective Date Net Asset Calculations, and Buyer submitted to Seller the Post-Effective Date Asset Calculations, and after receipt of the Seller’s Objection, the parties conferred in good faith to resolve the differences in such calculations;</w:t>
      </w:r>
    </w:p>
    <w:p>
      <w:pPr>
        <w:spacing w:after="0" w:line="73"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WHEREAS, as a result of the discussions regarding the Effective Date Net Assets, including consideration of adjustments of (i) $357,622.87 made on February 17, 2006 for TEMS and Invex units in the US and Brazil at that date, and (ii) $127,653.87 for seven CAIT units and one Invex units in the US and Brazil; and</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WHEREAS, the parties now desire to memorialize their mutual understanding with respect to (i) the amount of the Purchase Price Reduction,</w:t>
      </w:r>
    </w:p>
    <w:p>
      <w:pPr>
        <w:spacing w:after="0" w:line="35" w:lineRule="exact"/>
        <w:rPr>
          <w:sz w:val="20"/>
          <w:szCs w:val="20"/>
          <w:color w:val="auto"/>
        </w:rPr>
      </w:pPr>
    </w:p>
    <w:p>
      <w:pPr>
        <w:ind w:right="80" w:firstLine="8"/>
        <w:spacing w:after="0" w:line="323" w:lineRule="auto"/>
        <w:tabs>
          <w:tab w:leader="none" w:pos="2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Seller’s agreement to waive compliance with the due dates for payments under the Promissory Note subject to Buyer’s agreement to make such payments on the dates set forth in this Addendum and (iii) Buyer’s agreement to provide specified additional services under the Transition Services Agreement.</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parties hereto agree as follows:</w:t>
      </w:r>
    </w:p>
    <w:p>
      <w:pPr>
        <w:spacing w:after="0" w:line="117" w:lineRule="exact"/>
        <w:rPr>
          <w:sz w:val="20"/>
          <w:szCs w:val="20"/>
          <w:color w:val="auto"/>
        </w:rPr>
      </w:pPr>
    </w:p>
    <w:p>
      <w:pPr>
        <w:ind w:right="140" w:firstLine="368"/>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Net Asset Calculations. </w:t>
      </w:r>
      <w:r>
        <w:rPr>
          <w:rFonts w:ascii="Arial" w:cs="Arial" w:eastAsia="Arial" w:hAnsi="Arial"/>
          <w:sz w:val="18"/>
          <w:szCs w:val="18"/>
          <w:color w:val="auto"/>
        </w:rPr>
        <w:t>The Parties agree that The Purchase Price Increase shall be $856,490.13, for a resulting total Purchase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$18,856,490.13.</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Promissory Note.</w:t>
      </w:r>
    </w:p>
    <w:p>
      <w:pPr>
        <w:spacing w:after="0" w:line="117" w:lineRule="exact"/>
        <w:rPr>
          <w:rFonts w:ascii="Arial" w:cs="Arial" w:eastAsia="Arial" w:hAnsi="Arial"/>
          <w:sz w:val="18"/>
          <w:szCs w:val="18"/>
          <w:color w:val="auto"/>
        </w:rPr>
      </w:pPr>
    </w:p>
    <w:p>
      <w:pPr>
        <w:ind w:left="1080" w:right="220" w:hanging="352"/>
        <w:spacing w:after="0" w:line="312" w:lineRule="auto"/>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 accordance with Section 2.02(d) of the Equity Purchase Agreement, the total amount of the Purchase Price Increase shall operate as an increase in the principal amount due under the Promissory Note and increase the amount of the final installment payments due thereunder in equal portions. Therefore, each of the remaining payments due under the Promissory Note shall be increased by $285,496.71.</w:t>
      </w:r>
    </w:p>
    <w:p>
      <w:pPr>
        <w:spacing w:after="0" w:line="38" w:lineRule="exact"/>
        <w:rPr>
          <w:rFonts w:ascii="Arial" w:cs="Arial" w:eastAsia="Arial" w:hAnsi="Arial"/>
          <w:sz w:val="16"/>
          <w:szCs w:val="16"/>
          <w:color w:val="auto"/>
        </w:rPr>
      </w:pPr>
    </w:p>
    <w:p>
      <w:pPr>
        <w:ind w:left="1080" w:right="420" w:hanging="352"/>
        <w:spacing w:after="0" w:line="286" w:lineRule="auto"/>
        <w:tabs>
          <w:tab w:leader="none" w:pos="1084" w:val="left"/>
        </w:tabs>
        <w:numPr>
          <w:ilvl w:val="1"/>
          <w:numId w:val="21"/>
        </w:numPr>
        <w:rPr>
          <w:rFonts w:ascii="Arial" w:cs="Arial" w:eastAsia="Arial" w:hAnsi="Arial"/>
          <w:sz w:val="17"/>
          <w:szCs w:val="17"/>
          <w:color w:val="auto"/>
        </w:rPr>
      </w:pPr>
      <w:r>
        <w:rPr>
          <w:rFonts w:ascii="Arial" w:cs="Arial" w:eastAsia="Arial" w:hAnsi="Arial"/>
          <w:sz w:val="17"/>
          <w:szCs w:val="17"/>
          <w:color w:val="auto"/>
        </w:rPr>
        <w:t>Seller hereby agrees to waive compliance by Buyer with the each of the payment due dates subsequent to the Addendum Date set forth in Section 2.01 of the Equity Purchase Agreement and Section 1 of the Promissory Note provided that Buyer makes each such payment, including the amount attributable to the Purchase Price Increase, in accordance with the following schedule:</w:t>
      </w:r>
    </w:p>
    <w:p>
      <w:pPr>
        <w:sectPr>
          <w:pgSz w:w="11900" w:h="16838" w:orient="portrait"/>
          <w:cols w:equalWidth="0" w:num="1">
            <w:col w:w="11420"/>
          </w:cols>
          <w:pgMar w:left="240" w:top="121" w:right="239" w:bottom="0" w:gutter="0" w:footer="0" w:header="0"/>
        </w:sectPr>
      </w:pPr>
    </w:p>
    <w:p>
      <w:pPr>
        <w:spacing w:after="0" w:line="36"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Original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6350</wp:posOffset>
            </wp:positionV>
            <wp:extent cx="23583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5"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August 17, 2006—Thursday</w:t>
      </w:r>
    </w:p>
    <w:p>
      <w:pPr>
        <w:spacing w:after="0" w:line="1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November 17, 2006—Friday</w:t>
      </w:r>
    </w:p>
    <w:p>
      <w:pPr>
        <w:spacing w:after="0" w:line="2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December 31, 2006—Sunday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3412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September 29, 2006—Friday (quarter end)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29, 2006—Friday (quarter 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29, 2006—Friday (quarter end)</w:t>
      </w:r>
    </w:p>
    <w:p>
      <w:pPr>
        <w:spacing w:after="0" w:line="200" w:lineRule="exact"/>
        <w:rPr>
          <w:sz w:val="20"/>
          <w:szCs w:val="20"/>
          <w:color w:val="auto"/>
        </w:rPr>
      </w:pPr>
    </w:p>
    <w:p>
      <w:pPr>
        <w:sectPr>
          <w:pgSz w:w="11900" w:h="16838" w:orient="portrait"/>
          <w:cols w:equalWidth="0" w:num="2">
            <w:col w:w="5120" w:space="720"/>
            <w:col w:w="5580"/>
          </w:cols>
          <w:pgMar w:left="240" w:top="121" w:right="239" w:bottom="0" w:gutter="0" w:footer="0" w:header="0"/>
          <w:type w:val="continuous"/>
        </w:sectPr>
      </w:pPr>
    </w:p>
    <w:p>
      <w:pPr>
        <w:spacing w:after="0" w:line="88"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In the event that any payment due under the modified dates above is not made by such modified date or in the event of a breach by Buyer of any provision herein or in the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Promissory Note, Pledge Agreement or Personal Guaranty, then this waiver shall be deemed revoked. All other terms related to the remaining payments of the Purchase Price and the terms of the Promissory Note shall continue unchanged. This waiver and the other terms of this Addendum Agreement shall have no effect on the Pledge Agreement or the Personal Guaranty; provided, however, that in the event that Seller reasonably determines that any provision of this Addendum Agreement has impaired its rights under the Pledge Agreement or the Personal Guaranty, then Buyer shall take all such actions as are reasonably necessary to restore Seller to the position it maintained with regard to security prior to execution of this Addendum Agreement.</w:t>
      </w:r>
    </w:p>
    <w:p>
      <w:pPr>
        <w:spacing w:after="0" w:line="50" w:lineRule="exact"/>
        <w:rPr>
          <w:sz w:val="20"/>
          <w:szCs w:val="20"/>
          <w:color w:val="auto"/>
        </w:rPr>
      </w:pPr>
    </w:p>
    <w:p>
      <w:pPr>
        <w:ind w:right="100" w:firstLine="368"/>
        <w:spacing w:after="0" w:line="25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IT Support</w:t>
      </w:r>
      <w:r>
        <w:rPr>
          <w:rFonts w:ascii="Arial" w:cs="Arial" w:eastAsia="Arial" w:hAnsi="Arial"/>
          <w:sz w:val="18"/>
          <w:szCs w:val="18"/>
          <w:color w:val="auto"/>
        </w:rPr>
        <w:t>. Seller agrees to continue to provide IT support, including support on its Oracle system, pursuant to the terms of the Transition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Buyer and the Companies through December 31, 2006, at no cost to Buyer. However, Buyer will endeavor to transition to its own IT system as soon as practicable and the parties will work together towards a rapid transition, with Seller providing appropriate assistance to Buyer. Also, Seller will maintain the records relating to the Companies for five year from the Effective Date and permit Buyer access to those records at reasonable times and on reasonable terms.</w:t>
      </w:r>
    </w:p>
    <w:p>
      <w:pPr>
        <w:spacing w:after="0" w:line="80" w:lineRule="exact"/>
        <w:rPr>
          <w:rFonts w:ascii="Arial" w:cs="Arial" w:eastAsia="Arial" w:hAnsi="Arial"/>
          <w:sz w:val="18"/>
          <w:szCs w:val="18"/>
          <w:color w:val="auto"/>
        </w:rPr>
      </w:pPr>
    </w:p>
    <w:p>
      <w:pPr>
        <w:ind w:right="20" w:firstLine="368"/>
        <w:spacing w:after="0" w:line="308"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No Other Modifications</w:t>
      </w:r>
      <w:r>
        <w:rPr>
          <w:rFonts w:ascii="Arial" w:cs="Arial" w:eastAsia="Arial" w:hAnsi="Arial"/>
          <w:sz w:val="17"/>
          <w:szCs w:val="17"/>
          <w:color w:val="auto"/>
        </w:rPr>
        <w:t>. All other terms and conditions set forth and agreed to in the Equity Purchase Agreement, the Promissory Note, the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and related documents which have not been specifically modified by this Amendment, shall remain unchanged and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WITNESS WHEREOF, the parties hereto have caused this Addendum and Waiver related to the Equity Purchase Agreement to be duly executed by their respective authorized officers as of the day and year first above written.</w:t>
      </w:r>
    </w:p>
    <w:p>
      <w:pPr>
        <w:spacing w:after="0" w:line="27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SAKOKI LLC</w:t>
      </w:r>
    </w:p>
    <w:p>
      <w:pPr>
        <w:spacing w:after="0" w:line="279" w:lineRule="exact"/>
        <w:rPr>
          <w:sz w:val="20"/>
          <w:szCs w:val="20"/>
          <w:color w:val="auto"/>
        </w:rPr>
      </w:pPr>
    </w:p>
    <w:p>
      <w:pPr>
        <w:ind w:left="538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Massih Tayebi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23152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97" w:lineRule="exact"/>
        <w:rPr>
          <w:sz w:val="20"/>
          <w:szCs w:val="20"/>
          <w:color w:val="auto"/>
        </w:rPr>
      </w:pPr>
    </w:p>
    <w:p>
      <w:pPr>
        <w:ind w:left="5380"/>
        <w:spacing w:after="0"/>
        <w:tabs>
          <w:tab w:leader="none" w:pos="6100" w:val="left"/>
        </w:tabs>
        <w:rPr>
          <w:sz w:val="20"/>
          <w:szCs w:val="20"/>
          <w:color w:val="auto"/>
        </w:rPr>
      </w:pPr>
      <w:r>
        <w:rPr>
          <w:rFonts w:ascii="Arial" w:cs="Arial" w:eastAsia="Arial" w:hAnsi="Arial"/>
          <w:sz w:val="18"/>
          <w:szCs w:val="18"/>
          <w:color w:val="auto"/>
        </w:rPr>
        <w:t>Name:</w:t>
        <w:tab/>
        <w:t>Massih Tayebi</w:t>
      </w:r>
    </w:p>
    <w:p>
      <w:pPr>
        <w:spacing w:after="0" w:line="131" w:lineRule="exact"/>
        <w:rPr>
          <w:sz w:val="20"/>
          <w:szCs w:val="20"/>
          <w:color w:val="auto"/>
        </w:rPr>
      </w:pPr>
    </w:p>
    <w:p>
      <w:pPr>
        <w:ind w:left="538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7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WIRELESS FACILITIES, INC.</w:t>
      </w:r>
    </w:p>
    <w:p>
      <w:pPr>
        <w:sectPr>
          <w:pgSz w:w="11900" w:h="16838" w:orient="portrait"/>
          <w:cols w:equalWidth="0" w:num="1">
            <w:col w:w="11420"/>
          </w:cols>
          <w:pgMar w:left="240" w:top="121" w:right="239" w:bottom="0" w:gutter="0" w:footer="0" w:header="0"/>
          <w:type w:val="continuous"/>
        </w:sectPr>
      </w:pPr>
    </w:p>
    <w:bookmarkStart w:id="32" w:name="page33"/>
    <w:bookmarkEnd w:id="32"/>
    <w:p>
      <w:pPr>
        <w:ind w:left="538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R.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23152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97" w:lineRule="exact"/>
        <w:rPr>
          <w:sz w:val="20"/>
          <w:szCs w:val="20"/>
          <w:color w:val="auto"/>
        </w:rPr>
      </w:pPr>
    </w:p>
    <w:p>
      <w:pPr>
        <w:ind w:left="5380"/>
        <w:spacing w:after="0"/>
        <w:tabs>
          <w:tab w:leader="none" w:pos="6100" w:val="left"/>
        </w:tabs>
        <w:rPr>
          <w:sz w:val="20"/>
          <w:szCs w:val="20"/>
          <w:color w:val="auto"/>
        </w:rPr>
      </w:pPr>
      <w:r>
        <w:rPr>
          <w:rFonts w:ascii="Arial" w:cs="Arial" w:eastAsia="Arial" w:hAnsi="Arial"/>
          <w:sz w:val="18"/>
          <w:szCs w:val="18"/>
          <w:color w:val="auto"/>
        </w:rPr>
        <w:t>Name:</w:t>
        <w:tab/>
        <w:t>James R. Edwards</w:t>
      </w:r>
    </w:p>
    <w:p>
      <w:pPr>
        <w:spacing w:after="0" w:line="131" w:lineRule="exact"/>
        <w:rPr>
          <w:sz w:val="20"/>
          <w:szCs w:val="20"/>
          <w:color w:val="auto"/>
        </w:rPr>
      </w:pPr>
    </w:p>
    <w:p>
      <w:pPr>
        <w:ind w:left="538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Sr. VP</w:t>
      </w:r>
    </w:p>
    <w:p>
      <w:pPr>
        <w:spacing w:after="0" w:line="27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[SIGNATURE PAGE to ADDENDUM AND WAIVER RELATED to the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 WITNESS WHEREOF, the parties hereto have caused this Amendment No. 1 to the Equity Purchase Agreement to be duly executed by their respective authorized officers as of the day and year first above written.</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COMPANIES:</w:t>
      </w:r>
    </w:p>
    <w:p>
      <w:pPr>
        <w:spacing w:after="0" w:line="200" w:lineRule="exact"/>
        <w:rPr>
          <w:sz w:val="20"/>
          <w:szCs w:val="20"/>
          <w:color w:val="auto"/>
        </w:rPr>
      </w:pP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WFI DE MEXICO, S. DE R.L. DE C.V.</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WFI SERVICES DE MÉXICO, S.A. DE C.V.</w:t>
            </w:r>
          </w:p>
        </w:tc>
      </w:tr>
      <w:tr>
        <w:trPr>
          <w:trHeight w:val="48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gridSpan w:val="2"/>
          </w:tcPr>
          <w:p>
            <w:pPr>
              <w:ind w:left="80"/>
              <w:spacing w:after="0"/>
              <w:rPr>
                <w:sz w:val="20"/>
                <w:szCs w:val="20"/>
                <w:color w:val="auto"/>
              </w:rPr>
            </w:pPr>
            <w:r>
              <w:rPr>
                <w:rFonts w:ascii="Arial" w:cs="Arial" w:eastAsia="Arial" w:hAnsi="Arial"/>
                <w:sz w:val="18"/>
                <w:szCs w:val="18"/>
                <w:color w:val="auto"/>
              </w:rPr>
              <w:t>/s/ Massih Tayebi</w:t>
            </w:r>
          </w:p>
        </w:tc>
        <w:tc>
          <w:tcPr>
            <w:tcW w:w="740" w:type="dxa"/>
            <w:vAlign w:val="bottom"/>
          </w:tcPr>
          <w:p>
            <w:pPr>
              <w:ind w:left="100"/>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Massih Tayebi</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18"/>
                <w:szCs w:val="18"/>
                <w:color w:val="auto"/>
              </w:rPr>
            </w:pPr>
          </w:p>
        </w:tc>
        <w:tc>
          <w:tcPr>
            <w:tcW w:w="3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740" w:type="dxa"/>
            <w:vAlign w:val="bottom"/>
          </w:tcPr>
          <w:p>
            <w:pPr>
              <w:ind w:left="100"/>
              <w:spacing w:after="0"/>
              <w:rPr>
                <w:sz w:val="20"/>
                <w:szCs w:val="20"/>
                <w:color w:val="auto"/>
              </w:rPr>
            </w:pPr>
            <w:r>
              <w:rPr>
                <w:rFonts w:ascii="Arial" w:cs="Arial" w:eastAsia="Arial" w:hAnsi="Arial"/>
                <w:sz w:val="18"/>
                <w:szCs w:val="18"/>
                <w:color w:val="auto"/>
              </w:rPr>
              <w:t>Title:</w:t>
            </w:r>
          </w:p>
        </w:tc>
        <w:tc>
          <w:tcPr>
            <w:tcW w:w="3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148" w:lineRule="exact"/>
        <w:rPr>
          <w:sz w:val="20"/>
          <w:szCs w:val="20"/>
          <w:color w:val="auto"/>
        </w:rPr>
      </w:pPr>
    </w:p>
    <w:p>
      <w:pPr>
        <w:sectPr>
          <w:pgSz w:w="11900" w:h="16838" w:orient="portrait"/>
          <w:cols w:equalWidth="0" w:num="1">
            <w:col w:w="10880"/>
          </w:cols>
          <w:pgMar w:left="240" w:top="125" w:right="779" w:bottom="1440" w:gutter="0" w:footer="0" w:header="0"/>
        </w:sectPr>
      </w:pPr>
    </w:p>
    <w:p>
      <w:pPr>
        <w:ind w:left="1580"/>
        <w:spacing w:after="0"/>
        <w:rPr>
          <w:sz w:val="20"/>
          <w:szCs w:val="20"/>
          <w:color w:val="auto"/>
        </w:rPr>
      </w:pPr>
      <w:r>
        <w:rPr>
          <w:rFonts w:ascii="Arial" w:cs="Arial" w:eastAsia="Arial" w:hAnsi="Arial"/>
          <w:sz w:val="17"/>
          <w:szCs w:val="17"/>
          <w:color w:val="auto"/>
        </w:rPr>
        <w:t>WFI DE MEXICO, SERVICIOS DE INGENIERIA, S.</w:t>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DE R.L. DE C.V.</w:t>
      </w:r>
    </w:p>
    <w:p>
      <w:pPr>
        <w:spacing w:after="0" w:line="20" w:lineRule="exact"/>
        <w:rPr>
          <w:sz w:val="20"/>
          <w:szCs w:val="20"/>
          <w:color w:val="auto"/>
        </w:rPr>
      </w:pPr>
      <w:r>
        <w:rPr>
          <w:sz w:val="20"/>
          <w:szCs w:val="20"/>
          <w:color w:val="auto"/>
        </w:rPr>
        <w:br w:type="column"/>
      </w:r>
    </w:p>
    <w:p>
      <w:pPr>
        <w:ind w:right="1620"/>
        <w:spacing w:after="0" w:line="277" w:lineRule="auto"/>
        <w:rPr>
          <w:sz w:val="20"/>
          <w:szCs w:val="20"/>
          <w:color w:val="auto"/>
        </w:rPr>
      </w:pPr>
      <w:r>
        <w:rPr>
          <w:rFonts w:ascii="Arial" w:cs="Arial" w:eastAsia="Arial" w:hAnsi="Arial"/>
          <w:sz w:val="18"/>
          <w:szCs w:val="18"/>
          <w:color w:val="auto"/>
        </w:rPr>
        <w:t>WFI SERVICES DE MÉXICO, SERVICIOS DE ADMINISTRACIÓN, S. DE R.L. DE C.V.</w:t>
      </w:r>
    </w:p>
    <w:p>
      <w:pPr>
        <w:spacing w:after="0" w:line="200" w:lineRule="exact"/>
        <w:rPr>
          <w:sz w:val="20"/>
          <w:szCs w:val="20"/>
          <w:color w:val="auto"/>
        </w:rPr>
      </w:pPr>
    </w:p>
    <w:p>
      <w:pPr>
        <w:sectPr>
          <w:pgSz w:w="11900" w:h="16838" w:orient="portrait"/>
          <w:cols w:equalWidth="0" w:num="2">
            <w:col w:w="5560" w:space="160"/>
            <w:col w:w="5160"/>
          </w:cols>
          <w:pgMar w:left="240" w:top="125" w:right="779" w:bottom="1440" w:gutter="0" w:footer="0" w:header="0"/>
          <w:type w:val="continuous"/>
        </w:sectPr>
      </w:pPr>
    </w:p>
    <w:p>
      <w:pPr>
        <w:spacing w:after="0" w:line="24"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gridSpan w:val="2"/>
          </w:tcPr>
          <w:p>
            <w:pPr>
              <w:ind w:left="80"/>
              <w:spacing w:after="0"/>
              <w:rPr>
                <w:sz w:val="20"/>
                <w:szCs w:val="20"/>
                <w:color w:val="auto"/>
              </w:rPr>
            </w:pPr>
            <w:r>
              <w:rPr>
                <w:rFonts w:ascii="Arial" w:cs="Arial" w:eastAsia="Arial" w:hAnsi="Arial"/>
                <w:sz w:val="18"/>
                <w:szCs w:val="18"/>
                <w:color w:val="auto"/>
              </w:rPr>
              <w:t>/s/ Massih Tayebi</w:t>
            </w:r>
          </w:p>
        </w:tc>
        <w:tc>
          <w:tcPr>
            <w:tcW w:w="740" w:type="dxa"/>
            <w:vAlign w:val="bottom"/>
          </w:tcPr>
          <w:p>
            <w:pPr>
              <w:ind w:left="100"/>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Massih Tayebi</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18"/>
                <w:szCs w:val="18"/>
                <w:color w:val="auto"/>
              </w:rPr>
            </w:pPr>
          </w:p>
        </w:tc>
        <w:tc>
          <w:tcPr>
            <w:tcW w:w="3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740" w:type="dxa"/>
            <w:vAlign w:val="bottom"/>
          </w:tcPr>
          <w:p>
            <w:pPr>
              <w:ind w:left="100"/>
              <w:spacing w:after="0"/>
              <w:rPr>
                <w:sz w:val="20"/>
                <w:szCs w:val="20"/>
                <w:color w:val="auto"/>
              </w:rPr>
            </w:pPr>
            <w:r>
              <w:rPr>
                <w:rFonts w:ascii="Arial" w:cs="Arial" w:eastAsia="Arial" w:hAnsi="Arial"/>
                <w:sz w:val="18"/>
                <w:szCs w:val="18"/>
                <w:color w:val="auto"/>
              </w:rPr>
              <w:t>Title:</w:t>
            </w:r>
          </w:p>
        </w:tc>
        <w:tc>
          <w:tcPr>
            <w:tcW w:w="3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357"/>
        </w:trPr>
        <w:tc>
          <w:tcPr>
            <w:tcW w:w="4040" w:type="dxa"/>
            <w:vAlign w:val="bottom"/>
            <w:gridSpan w:val="3"/>
          </w:tcPr>
          <w:p>
            <w:pPr>
              <w:spacing w:after="0"/>
              <w:rPr>
                <w:sz w:val="20"/>
                <w:szCs w:val="20"/>
                <w:color w:val="auto"/>
              </w:rPr>
            </w:pPr>
            <w:r>
              <w:rPr>
                <w:rFonts w:ascii="Arial" w:cs="Arial" w:eastAsia="Arial" w:hAnsi="Arial"/>
                <w:sz w:val="18"/>
                <w:szCs w:val="18"/>
                <w:color w:val="auto"/>
              </w:rPr>
              <w:t>WFI ASESORIA EN TELECOMUNICACIONES,</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WFI ASESORIA EN ADMINISTRACION, S.C.</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S.C.</w:t>
            </w:r>
          </w:p>
        </w:tc>
        <w:tc>
          <w:tcPr>
            <w:tcW w:w="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8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gridSpan w:val="2"/>
          </w:tcPr>
          <w:p>
            <w:pPr>
              <w:ind w:left="80"/>
              <w:spacing w:after="0"/>
              <w:rPr>
                <w:sz w:val="20"/>
                <w:szCs w:val="20"/>
                <w:color w:val="auto"/>
              </w:rPr>
            </w:pPr>
            <w:r>
              <w:rPr>
                <w:rFonts w:ascii="Arial" w:cs="Arial" w:eastAsia="Arial" w:hAnsi="Arial"/>
                <w:sz w:val="18"/>
                <w:szCs w:val="18"/>
                <w:color w:val="auto"/>
              </w:rPr>
              <w:t>/s/ Massih Tayebi</w:t>
            </w:r>
          </w:p>
        </w:tc>
        <w:tc>
          <w:tcPr>
            <w:tcW w:w="740" w:type="dxa"/>
            <w:vAlign w:val="bottom"/>
          </w:tcPr>
          <w:p>
            <w:pPr>
              <w:ind w:left="100"/>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Massih Tayebi</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18"/>
                <w:szCs w:val="18"/>
                <w:color w:val="auto"/>
              </w:rPr>
            </w:pPr>
          </w:p>
        </w:tc>
        <w:tc>
          <w:tcPr>
            <w:tcW w:w="3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740" w:type="dxa"/>
            <w:vAlign w:val="bottom"/>
          </w:tcPr>
          <w:p>
            <w:pPr>
              <w:ind w:left="100"/>
              <w:spacing w:after="0"/>
              <w:rPr>
                <w:sz w:val="20"/>
                <w:szCs w:val="20"/>
                <w:color w:val="auto"/>
              </w:rPr>
            </w:pPr>
            <w:r>
              <w:rPr>
                <w:rFonts w:ascii="Arial" w:cs="Arial" w:eastAsia="Arial" w:hAnsi="Arial"/>
                <w:sz w:val="18"/>
                <w:szCs w:val="18"/>
                <w:color w:val="auto"/>
              </w:rPr>
              <w:t>Title:</w:t>
            </w:r>
          </w:p>
        </w:tc>
        <w:tc>
          <w:tcPr>
            <w:tcW w:w="3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 as of the date first written above: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Massih Tayebi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Massih Tayebi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3290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54" w:lineRule="exact"/>
        <w:rPr>
          <w:sz w:val="20"/>
          <w:szCs w:val="20"/>
          <w:color w:val="auto"/>
        </w:rPr>
      </w:pPr>
    </w:p>
    <w:p>
      <w:pPr>
        <w:jc w:val="right"/>
        <w:ind w:right="860"/>
        <w:spacing w:after="0"/>
        <w:rPr>
          <w:sz w:val="20"/>
          <w:szCs w:val="20"/>
          <w:color w:val="auto"/>
        </w:rPr>
      </w:pPr>
      <w:r>
        <w:rPr>
          <w:rFonts w:ascii="Arial" w:cs="Arial" w:eastAsia="Arial" w:hAnsi="Arial"/>
          <w:sz w:val="18"/>
          <w:szCs w:val="18"/>
          <w:b w:val="1"/>
          <w:bCs w:val="1"/>
          <w:color w:val="auto"/>
        </w:rPr>
        <w:t>[SIGNATURE PAGE to ADDENDUM AND WAIVER RELATED to the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240" w:top="125" w:right="77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117"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Wireless Facilities, Inc.;</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160" w:hanging="352"/>
        <w:spacing w:after="0" w:line="264" w:lineRule="auto"/>
        <w:tabs>
          <w:tab w:leader="none" w:pos="3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720" w:right="500" w:hanging="352"/>
        <w:spacing w:after="0" w:line="264"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720" w:right="60" w:hanging="352"/>
        <w:spacing w:after="0" w:line="342" w:lineRule="auto"/>
        <w:tabs>
          <w:tab w:leader="none" w:pos="691"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280" w:hanging="352"/>
        <w:spacing w:after="0" w:line="277" w:lineRule="auto"/>
        <w:tabs>
          <w:tab w:leader="none" w:pos="3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720" w:right="400" w:hanging="352"/>
        <w:spacing w:after="0" w:line="277"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hanging="352"/>
        <w:spacing w:after="0" w:line="277" w:lineRule="auto"/>
        <w:tabs>
          <w:tab w:leader="none" w:pos="6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400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117"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Wireless Facilities, Inc.;</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80" w:hanging="352"/>
        <w:spacing w:after="0" w:line="264" w:lineRule="auto"/>
        <w:tabs>
          <w:tab w:leader="none" w:pos="3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73" w:lineRule="exact"/>
        <w:rPr>
          <w:rFonts w:ascii="Arial" w:cs="Arial" w:eastAsia="Arial" w:hAnsi="Arial"/>
          <w:sz w:val="18"/>
          <w:szCs w:val="18"/>
          <w:color w:val="auto"/>
        </w:rPr>
      </w:pPr>
    </w:p>
    <w:p>
      <w:pPr>
        <w:jc w:val="both"/>
        <w:ind w:left="720" w:right="500" w:hanging="352"/>
        <w:spacing w:after="0" w:line="264" w:lineRule="auto"/>
        <w:tabs>
          <w:tab w:leader="none" w:pos="6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720" w:right="60" w:hanging="352"/>
        <w:spacing w:after="0" w:line="342" w:lineRule="auto"/>
        <w:tabs>
          <w:tab w:leader="none" w:pos="6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280" w:hanging="352"/>
        <w:spacing w:after="0" w:line="277" w:lineRule="auto"/>
        <w:tabs>
          <w:tab w:leader="none" w:pos="3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720" w:right="400" w:hanging="352"/>
        <w:spacing w:after="0" w:line="277" w:lineRule="auto"/>
        <w:tabs>
          <w:tab w:leader="none" w:pos="6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hanging="352"/>
        <w:spacing w:after="0" w:line="277" w:lineRule="auto"/>
        <w:tabs>
          <w:tab w:leader="none" w:pos="6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400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left="10280"/>
        <w:spacing w:after="0"/>
        <w:rPr>
          <w:sz w:val="20"/>
          <w:szCs w:val="20"/>
          <w:color w:val="auto"/>
        </w:rPr>
      </w:pPr>
      <w:r>
        <w:rPr>
          <w:rFonts w:ascii="Arial" w:cs="Arial" w:eastAsia="Arial" w:hAnsi="Arial"/>
          <w:sz w:val="18"/>
          <w:szCs w:val="18"/>
          <w:b w:val="1"/>
          <w:bCs w:val="1"/>
          <w:color w:val="auto"/>
        </w:rPr>
        <w:t>EXHIBIT 32.1</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CERTIFICATION PURSUANT TO SECTION 906 OF THE SARBANES-OXLEY ACT OF 2002 (18 U.S.C. SECTION 1350)</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In connection with the accompanying Quarterly Report of Wireless Facilities, Inc. (the “Company”) on Form 10-Q for the quarter ended June 30, 2006 (the “Report”), I, Eric M. DeMarco, Chief Executive Officer of the Company, certify, pursuant to 18 U.S.C. Section 1350, as adopted pursuant to Section 906 of the Sarbanes-Oxley Act of 2002, that:</w:t>
      </w:r>
    </w:p>
    <w:p>
      <w:pPr>
        <w:spacing w:after="0" w:line="73" w:lineRule="exact"/>
        <w:rPr>
          <w:sz w:val="20"/>
          <w:szCs w:val="20"/>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M. DeMarco</w:t>
            </w:r>
          </w:p>
        </w:tc>
        <w:tc>
          <w:tcPr>
            <w:tcW w:w="896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1940" w:type="dxa"/>
            <w:vAlign w:val="bottom"/>
          </w:tcPr>
          <w:p>
            <w:pPr>
              <w:spacing w:after="0" w:line="195" w:lineRule="exact"/>
              <w:rPr>
                <w:sz w:val="20"/>
                <w:szCs w:val="20"/>
                <w:color w:val="auto"/>
              </w:rPr>
            </w:pPr>
            <w:r>
              <w:rPr>
                <w:rFonts w:ascii="Arial" w:cs="Arial" w:eastAsia="Arial" w:hAnsi="Arial"/>
                <w:sz w:val="18"/>
                <w:szCs w:val="18"/>
                <w:color w:val="auto"/>
              </w:rPr>
              <w:t>Eric M. DeMarco</w:t>
            </w:r>
          </w:p>
        </w:tc>
        <w:tc>
          <w:tcPr>
            <w:tcW w:w="896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8960" w:type="dxa"/>
            <w:vAlign w:val="bottom"/>
          </w:tcPr>
          <w:p>
            <w:pPr>
              <w:spacing w:after="0"/>
              <w:rPr>
                <w:sz w:val="20"/>
                <w:szCs w:val="20"/>
                <w:color w:val="auto"/>
              </w:rPr>
            </w:pPr>
          </w:p>
        </w:tc>
      </w:tr>
      <w:tr>
        <w:trPr>
          <w:trHeight w:val="645"/>
        </w:trPr>
        <w:tc>
          <w:tcPr>
            <w:tcW w:w="56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8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6" w:name="page37"/>
    <w:bookmarkEnd w:id="36"/>
    <w:p>
      <w:pPr>
        <w:ind w:left="10280"/>
        <w:spacing w:after="0"/>
        <w:rPr>
          <w:sz w:val="20"/>
          <w:szCs w:val="20"/>
          <w:color w:val="auto"/>
        </w:rPr>
      </w:pPr>
      <w:r>
        <w:rPr>
          <w:rFonts w:ascii="Arial" w:cs="Arial" w:eastAsia="Arial" w:hAnsi="Arial"/>
          <w:sz w:val="18"/>
          <w:szCs w:val="18"/>
          <w:b w:val="1"/>
          <w:bCs w:val="1"/>
          <w:color w:val="auto"/>
        </w:rPr>
        <w:t>EXHIBIT 32.2</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CERTIFICATION PURSUANT TO SECTION 906 OF THE SARBANES-OXLEY ACT OF 2002 (18 U.S.C. SECTION 1350)</w:t>
      </w:r>
    </w:p>
    <w:p>
      <w:pPr>
        <w:spacing w:after="0" w:line="117"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In connection with the accompanying Quarterly Report of Wireless Facilities, Inc. (the “Company”) on Form 10-Q for the quarter ended June 30, 2006 (the “Report”), I, Deanna H. Lund, Chief Financial Officer of the Company, certify, pursuant to 18 U.S.C. Section 1350, as adopted pursuant to Section 906 of the Sarbanes-Oxley Act of 2002, that:</w:t>
      </w:r>
    </w:p>
    <w:p>
      <w:pPr>
        <w:spacing w:after="0" w:line="73" w:lineRule="exact"/>
        <w:rPr>
          <w:sz w:val="20"/>
          <w:szCs w:val="20"/>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Deanna H. Lund</w:t>
            </w:r>
          </w:p>
        </w:tc>
        <w:tc>
          <w:tcPr>
            <w:tcW w:w="896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1940" w:type="dxa"/>
            <w:vAlign w:val="bottom"/>
          </w:tcPr>
          <w:p>
            <w:pPr>
              <w:spacing w:after="0" w:line="195" w:lineRule="exact"/>
              <w:rPr>
                <w:sz w:val="20"/>
                <w:szCs w:val="20"/>
                <w:color w:val="auto"/>
              </w:rPr>
            </w:pPr>
            <w:r>
              <w:rPr>
                <w:rFonts w:ascii="Arial" w:cs="Arial" w:eastAsia="Arial" w:hAnsi="Arial"/>
                <w:sz w:val="18"/>
                <w:szCs w:val="18"/>
                <w:color w:val="auto"/>
              </w:rPr>
              <w:t>Deanna H. Lund</w:t>
            </w:r>
          </w:p>
        </w:tc>
        <w:tc>
          <w:tcPr>
            <w:tcW w:w="896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8960" w:type="dxa"/>
            <w:vAlign w:val="bottom"/>
          </w:tcPr>
          <w:p>
            <w:pPr>
              <w:spacing w:after="0"/>
              <w:rPr>
                <w:sz w:val="20"/>
                <w:szCs w:val="20"/>
                <w:color w:val="auto"/>
              </w:rPr>
            </w:pPr>
          </w:p>
        </w:tc>
      </w:tr>
      <w:tr>
        <w:trPr>
          <w:trHeight w:val="861"/>
        </w:trPr>
        <w:tc>
          <w:tcPr>
            <w:tcW w:w="56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8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Letter"/>
      <w:start w:val="1"/>
    </w:lvl>
    <w:lvl w:ilvl="1">
      <w:lvlJc w:val="left"/>
      <w:lvlText w:val="(%2)"/>
      <w:numFmt w:val="decimal"/>
      <w:start w:val="5"/>
    </w:lvl>
  </w:abstractNum>
  <w:abstractNum w:abstractNumId="4">
    <w:nsid w:val="41A7C4C9"/>
    <w:multiLevelType w:val="hybridMultilevel"/>
    <w:lvl w:ilvl="0">
      <w:lvlJc w:val="left"/>
      <w:lvlText w:val="(%1)"/>
      <w:numFmt w:val="lowerLetter"/>
      <w:start w:val="8"/>
    </w:lvl>
    <w:lvl w:ilvl="1">
      <w:lvlJc w:val="left"/>
      <w:lvlText w:val="%2"/>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2"/>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decimal"/>
      <w:start w:val="3"/>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2019-12-14T20:50:43Z</dcterms:created>
  <dcterms:modified xsi:type="dcterms:W3CDTF">2019-12-14T20:50:43Z</dcterms:modified>
</cp:coreProperties>
</file>