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FORM 10-Q</w:t>
      </w:r>
    </w:p>
    <w:p>
      <w:pPr>
        <w:spacing w:after="0" w:line="274" w:lineRule="exact"/>
        <w:rPr>
          <w:sz w:val="24"/>
          <w:szCs w:val="24"/>
          <w:color w:val="auto"/>
        </w:rPr>
      </w:pPr>
    </w:p>
    <w:p>
      <w:pPr>
        <w:ind w:left="880" w:hanging="393"/>
        <w:spacing w:after="0"/>
        <w:tabs>
          <w:tab w:leader="none" w:pos="880" w:val="left"/>
        </w:tabs>
        <w:numPr>
          <w:ilvl w:val="0"/>
          <w:numId w:val="1"/>
        </w:numPr>
        <w:rPr>
          <w:rFonts w:ascii="MS PGothic" w:cs="MS PGothic" w:eastAsia="MS PGothic" w:hAnsi="MS PGothic"/>
          <w:sz w:val="25"/>
          <w:szCs w:val="25"/>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29, 2019</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40" w:lineRule="exact"/>
        <w:rPr>
          <w:sz w:val="24"/>
          <w:szCs w:val="24"/>
          <w:color w:val="auto"/>
        </w:rPr>
      </w:pPr>
    </w:p>
    <w:p>
      <w:pPr>
        <w:ind w:left="660" w:hanging="428"/>
        <w:spacing w:after="0"/>
        <w:tabs>
          <w:tab w:leader="none" w:pos="66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73"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33" w:right="259" w:bottom="1157"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60"/>
          </w:cols>
          <w:pgMar w:left="240" w:top="233" w:right="259" w:bottom="1157"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140"/>
          </w:cols>
          <w:pgMar w:left="240" w:top="233" w:right="259" w:bottom="1157"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10680 Treena St., Suite 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San Diego, CA 92131</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area code, of registrant’s principal executive offices)</w:t>
      </w:r>
    </w:p>
    <w:p>
      <w:pPr>
        <w:spacing w:after="0" w:line="26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7"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3880" w:type="dxa"/>
            <w:vAlign w:val="bottom"/>
            <w:tcBorders>
              <w:top w:val="single" w:sz="8" w:color="auto"/>
              <w:left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Title of each class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7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w w:val="92"/>
              </w:rPr>
              <w:t>Name of each exchange on which registered</w:t>
            </w: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$0.001 par value</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KTOS</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300355</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jc w:val="both"/>
        <w:ind w:right="2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1480" w:type="dxa"/>
        <w:tblCellMar>
          <w:top w:w="0" w:type="dxa"/>
          <w:left w:w="0" w:type="dxa"/>
          <w:bottom w:w="0" w:type="dxa"/>
          <w:right w:w="0" w:type="dxa"/>
        </w:tblCellMar>
      </w:tblPr>
      <w:tr>
        <w:trPr>
          <w:trHeight w:val="283"/>
        </w:trPr>
        <w:tc>
          <w:tcPr>
            <w:tcW w:w="2540" w:type="dxa"/>
            <w:vAlign w:val="bottom"/>
            <w:vMerge w:val="restart"/>
          </w:tcPr>
          <w:p>
            <w:pPr>
              <w:jc w:val="center"/>
              <w:ind w:right="830"/>
              <w:spacing w:after="0"/>
              <w:rPr>
                <w:sz w:val="20"/>
                <w:szCs w:val="20"/>
                <w:color w:val="auto"/>
              </w:rPr>
            </w:pPr>
            <w:r>
              <w:rPr>
                <w:rFonts w:ascii="Arial" w:cs="Arial" w:eastAsia="Arial" w:hAnsi="Arial"/>
                <w:sz w:val="18"/>
                <w:szCs w:val="18"/>
                <w:color w:val="auto"/>
                <w:w w:val="90"/>
              </w:rPr>
              <w:t>Large accelerated filer</w:t>
            </w:r>
          </w:p>
        </w:tc>
        <w:tc>
          <w:tcPr>
            <w:tcW w:w="204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vMerge w:val="restart"/>
          </w:tcPr>
          <w:p>
            <w:pPr>
              <w:jc w:val="center"/>
              <w:ind w:left="30"/>
              <w:spacing w:after="0"/>
              <w:rPr>
                <w:sz w:val="20"/>
                <w:szCs w:val="20"/>
                <w:color w:val="auto"/>
              </w:rPr>
            </w:pPr>
            <w:r>
              <w:rPr>
                <w:rFonts w:ascii="Arial" w:cs="Arial" w:eastAsia="Arial" w:hAnsi="Arial"/>
                <w:sz w:val="18"/>
                <w:szCs w:val="18"/>
                <w:color w:val="auto"/>
                <w:w w:val="92"/>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15"/>
        </w:trPr>
        <w:tc>
          <w:tcPr>
            <w:tcW w:w="25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3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2540" w:type="dxa"/>
            <w:vAlign w:val="bottom"/>
            <w:vMerge w:val="restart"/>
          </w:tcPr>
          <w:p>
            <w:pPr>
              <w:jc w:val="center"/>
              <w:ind w:right="810"/>
              <w:spacing w:after="0"/>
              <w:rPr>
                <w:sz w:val="20"/>
                <w:szCs w:val="20"/>
                <w:color w:val="auto"/>
              </w:rPr>
            </w:pPr>
            <w:r>
              <w:rPr>
                <w:rFonts w:ascii="Arial" w:cs="Arial" w:eastAsia="Arial" w:hAnsi="Arial"/>
                <w:sz w:val="18"/>
                <w:szCs w:val="18"/>
                <w:color w:val="auto"/>
                <w:w w:val="91"/>
              </w:rPr>
              <w:t>Non-accelerated filer</w:t>
            </w:r>
          </w:p>
        </w:tc>
        <w:tc>
          <w:tcPr>
            <w:tcW w:w="204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Smaller reporting company</w:t>
            </w:r>
          </w:p>
        </w:tc>
        <w:tc>
          <w:tcPr>
            <w:tcW w:w="112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5"/>
        </w:trPr>
        <w:tc>
          <w:tcPr>
            <w:tcW w:w="25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3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2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6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Emerging growth company</w:t>
            </w:r>
          </w:p>
        </w:tc>
        <w:tc>
          <w:tcPr>
            <w:tcW w:w="112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6" w:lineRule="exact"/>
        <w:rPr>
          <w:sz w:val="24"/>
          <w:szCs w:val="24"/>
          <w:color w:val="auto"/>
        </w:rPr>
      </w:pPr>
    </w:p>
    <w:p>
      <w:pPr>
        <w:ind w:left="340" w:right="1740"/>
        <w:spacing w:after="0" w:line="33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r>
        <w:rPr>
          <w:rFonts w:ascii="Arial" w:cs="Arial" w:eastAsia="Arial" w:hAnsi="Arial"/>
          <w:sz w:val="18"/>
          <w:szCs w:val="18"/>
          <w:color w:val="auto"/>
        </w:rPr>
        <w:t xml:space="preserve"> As of November 1, 2019, 106,269,609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157"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29,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Borders>
              <w:bottom w:val="single" w:sz="8" w:color="0000EE"/>
            </w:tcBorders>
            <w:gridSpan w:val="6"/>
          </w:tcPr>
          <w:p>
            <w:pPr>
              <w:jc w:val="center"/>
              <w:ind w:right="20"/>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20" w:type="dxa"/>
            <w:vAlign w:val="bottom"/>
            <w:gridSpan w:val="5"/>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9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September 29, 2019 and December 30, 2018 (unaudited)</w:t>
              </w:r>
            </w:hyperlink>
          </w:p>
        </w:tc>
        <w:tc>
          <w:tcPr>
            <w:tcW w:w="2660" w:type="dxa"/>
            <w:vAlign w:val="bottom"/>
            <w:gridSpan w:val="4"/>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Income (Loss) for the Three and Nine Months Ended September</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29, 2019 and September 30, 2018 (unaudited)</w:t>
              </w:r>
            </w:hyperlink>
          </w:p>
        </w:tc>
        <w:tc>
          <w:tcPr>
            <w:tcW w:w="6520" w:type="dxa"/>
            <w:vAlign w:val="bottom"/>
            <w:tcBorders>
              <w:top w:val="single" w:sz="8" w:color="0000EE"/>
            </w:tcBorders>
            <w:gridSpan w:val="11"/>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Stockholders’ Equity for the Three and Nine Months Ended September 29, 2019 and September</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30, 2018 (unaudited)</w:t>
              </w:r>
            </w:hyperlink>
          </w:p>
        </w:tc>
        <w:tc>
          <w:tcPr>
            <w:tcW w:w="8280" w:type="dxa"/>
            <w:vAlign w:val="bottom"/>
            <w:tcBorders>
              <w:top w:val="single" w:sz="8" w:color="0000EE"/>
            </w:tcBorders>
            <w:gridSpan w:val="13"/>
          </w:tcPr>
          <w:p>
            <w:pPr>
              <w:spacing w:after="0"/>
              <w:rPr>
                <w:sz w:val="17"/>
                <w:szCs w:val="17"/>
                <w:color w:val="auto"/>
              </w:rPr>
            </w:pPr>
          </w:p>
        </w:tc>
        <w:tc>
          <w:tcPr>
            <w:tcW w:w="120" w:type="dxa"/>
            <w:vAlign w:val="bottom"/>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Consolidated Statements of Cash Flows for the Nine Months Ended September 29, 2019 and September 30, 2018</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900" w:type="dxa"/>
            <w:vAlign w:val="bottom"/>
            <w:gridSpan w:val="3"/>
          </w:tcPr>
          <w:p>
            <w:pPr>
              <w:spacing w:after="0"/>
              <w:rPr>
                <w:sz w:val="17"/>
                <w:szCs w:val="17"/>
                <w:color w:val="auto"/>
              </w:rPr>
            </w:pPr>
          </w:p>
        </w:tc>
        <w:tc>
          <w:tcPr>
            <w:tcW w:w="560" w:type="dxa"/>
            <w:vAlign w:val="bottom"/>
            <w:gridSpan w:val="4"/>
          </w:tcPr>
          <w:p>
            <w:pPr>
              <w:jc w:val="right"/>
              <w:ind w:righ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99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990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990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358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w:t>
              </w:r>
            </w:hyperlink>
          </w:p>
        </w:tc>
        <w:tc>
          <w:tcPr>
            <w:tcW w:w="99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3"/>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9000" w:type="dxa"/>
            <w:vAlign w:val="bottom"/>
            <w:gridSpan w:val="17"/>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99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58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99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99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990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11"/>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gridSpan w:val="2"/>
          </w:tcPr>
          <w:p>
            <w:pPr>
              <w:ind w:left="3940"/>
              <w:spacing w:after="0"/>
              <w:rPr>
                <w:sz w:val="20"/>
                <w:szCs w:val="20"/>
                <w:color w:val="auto"/>
              </w:rPr>
            </w:pPr>
            <w:r>
              <w:rPr>
                <w:rFonts w:ascii="Arial" w:cs="Arial" w:eastAsia="Arial" w:hAnsi="Arial"/>
                <w:sz w:val="16"/>
                <w:szCs w:val="16"/>
                <w:b w:val="1"/>
                <w:bCs w:val="1"/>
                <w:color w:val="auto"/>
                <w:w w:val="90"/>
              </w:rPr>
              <w:t>(in millions, except par value and number of shares)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7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September 29, 2019</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23"/>
                <w:szCs w:val="23"/>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30, 2018</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Unbilled receivables, net</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Inventoried costs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Current assets of discontinued operations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494.7</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458.1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425.7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1,010.1</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294.2</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Operating lease liabilities, net of current portion</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Long-term liabilities of discontinued operations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490.8</w:t>
            </w:r>
          </w:p>
        </w:tc>
        <w:tc>
          <w:tcPr>
            <w:tcW w:w="0" w:type="dxa"/>
            <w:vAlign w:val="bottom"/>
          </w:tcPr>
          <w:p>
            <w:pPr>
              <w:spacing w:after="0"/>
              <w:rPr>
                <w:sz w:val="1"/>
                <w:szCs w:val="1"/>
                <w:color w:val="auto"/>
              </w:rPr>
            </w:pP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 (Note 12)</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6"/>
                <w:szCs w:val="16"/>
                <w:color w:val="auto"/>
              </w:rPr>
              <w:t>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Preferred stock, $0.001 par value, 5,000,000 shares authorized, 0 shares outstanding at September 29, 2019</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December 30, 2018</w:t>
            </w:r>
          </w:p>
        </w:tc>
        <w:tc>
          <w:tcPr>
            <w:tcW w:w="3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200" w:type="dxa"/>
            <w:vAlign w:val="bottom"/>
          </w:tcPr>
          <w:p>
            <w:pPr>
              <w:ind w:left="180"/>
              <w:spacing w:after="0"/>
              <w:rPr>
                <w:sz w:val="20"/>
                <w:szCs w:val="20"/>
                <w:color w:val="auto"/>
              </w:rPr>
            </w:pPr>
            <w:r>
              <w:rPr>
                <w:rFonts w:ascii="Arial" w:cs="Arial" w:eastAsia="Arial" w:hAnsi="Arial"/>
                <w:sz w:val="16"/>
                <w:szCs w:val="16"/>
                <w:color w:val="auto"/>
                <w:w w:val="94"/>
              </w:rPr>
              <w:t>Common stock, $0.001 par value, 195,000,000 shares authorized; 106,269,609 and 103,766,899 shares</w:t>
            </w: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80"/>
              <w:spacing w:after="0"/>
              <w:rPr>
                <w:sz w:val="20"/>
                <w:szCs w:val="20"/>
                <w:color w:val="auto"/>
              </w:rPr>
            </w:pPr>
            <w:r>
              <w:rPr>
                <w:rFonts w:ascii="Arial" w:cs="Arial" w:eastAsia="Arial" w:hAnsi="Arial"/>
                <w:sz w:val="16"/>
                <w:szCs w:val="16"/>
                <w:color w:val="auto"/>
              </w:rPr>
              <w:t>issued and outstanding at September 29, 2019 and December 30, 2018, respectively</w:t>
            </w:r>
          </w:p>
        </w:tc>
        <w:tc>
          <w:tcPr>
            <w:tcW w:w="340" w:type="dxa"/>
            <w:vAlign w:val="bottom"/>
          </w:tcPr>
          <w:p>
            <w:pPr>
              <w:spacing w:after="0"/>
              <w:rPr>
                <w:sz w:val="17"/>
                <w:szCs w:val="17"/>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1,244.5</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(724.5)</w:t>
            </w:r>
          </w:p>
        </w:tc>
        <w:tc>
          <w:tcPr>
            <w:tcW w:w="0" w:type="dxa"/>
            <w:vAlign w:val="bottom"/>
          </w:tcPr>
          <w:p>
            <w:pPr>
              <w:spacing w:after="0"/>
              <w:rPr>
                <w:sz w:val="1"/>
                <w:szCs w:val="1"/>
                <w:color w:val="auto"/>
              </w:rPr>
            </w:pPr>
          </w:p>
        </w:tc>
      </w:tr>
      <w:tr>
        <w:trPr>
          <w:trHeight w:val="223"/>
        </w:trPr>
        <w:tc>
          <w:tcPr>
            <w:tcW w:w="7200" w:type="dxa"/>
            <w:vAlign w:val="bottom"/>
          </w:tcPr>
          <w:p>
            <w:pPr>
              <w:ind w:left="3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566.7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519.3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1,010.1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1029"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029"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29, 2019</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September 30, 2018</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100" w:type="dxa"/>
            <w:vAlign w:val="bottom"/>
          </w:tcPr>
          <w:p>
            <w:pPr>
              <w:jc w:val="right"/>
              <w:ind w:right="99"/>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113.3</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325.3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305.7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453.6</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142.8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85.3</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229.0</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color w:val="auto"/>
              </w:rPr>
              <w:t>Total costs</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135.5</w:t>
            </w: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390.8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329.4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Merger and acquisition expenses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expenses and other</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color w:val="auto"/>
              </w:rPr>
              <w:t>Operating income from continuing operations</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7"/>
        </w:trPr>
        <w:tc>
          <w:tcPr>
            <w:tcW w:w="6060" w:type="dxa"/>
            <w:vAlign w:val="bottom"/>
          </w:tcPr>
          <w:p>
            <w:pPr>
              <w:ind w:left="600"/>
              <w:spacing w:after="0"/>
              <w:rPr>
                <w:sz w:val="20"/>
                <w:szCs w:val="20"/>
                <w:color w:val="auto"/>
              </w:rPr>
            </w:pPr>
            <w:r>
              <w:rPr>
                <w:rFonts w:ascii="Arial" w:cs="Arial" w:eastAsia="Arial" w:hAnsi="Arial"/>
                <w:sz w:val="16"/>
                <w:szCs w:val="16"/>
                <w:color w:val="auto"/>
              </w:rPr>
              <w:t>Total other expense, net</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continuing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(loss) from operations of discontinued component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Income tax benefit (expense)</w:t>
            </w:r>
          </w:p>
        </w:tc>
        <w:tc>
          <w:tcPr>
            <w:tcW w:w="4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income (loss) attributable to Kratos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income (loss) per common share attributable to Kratos:</w:t>
            </w:r>
          </w:p>
        </w:tc>
        <w:tc>
          <w:tcPr>
            <w:tcW w:w="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(loss) from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income (loss) per common share</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(loss) per common share attributable to Kratos:</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(loss) from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income (loss) per common share</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163"/>
        </w:trPr>
        <w:tc>
          <w:tcPr>
            <w:tcW w:w="6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4"/>
          <w:szCs w:val="14"/>
          <w:color w:val="auto"/>
        </w:rPr>
        <w:t>Weighted average common shares outstanding:</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Basic</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 (Loss)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 (from above)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cumulative translation adjustment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103.8</w:t>
            </w:r>
          </w:p>
        </w:tc>
      </w:tr>
      <w:tr>
        <w:trPr>
          <w:trHeight w:val="211"/>
        </w:trPr>
        <w:tc>
          <w:tcPr>
            <w:tcW w:w="4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103.8</w:t>
            </w:r>
          </w:p>
        </w:tc>
      </w:tr>
      <w:tr>
        <w:trPr>
          <w:trHeight w:val="33"/>
        </w:trPr>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88"/>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4"/>
                <w:szCs w:val="24"/>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70"/>
        </w:trPr>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-870585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-509905</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-149860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606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54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60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Comprehensive income (loss) attributable to Kratos</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60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left="260" w:right="2760"/>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three months ended September 30, 2018 and September 29, 2019</w:t>
      </w:r>
    </w:p>
    <w:p>
      <w:pPr>
        <w:spacing w:after="0" w:line="2"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right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89"/>
              </w:rPr>
              <w:t>Redeemable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Borders>
              <w:right w:val="single" w:sz="8" w:color="auto"/>
            </w:tcBorders>
            <w:vMerge w:val="restart"/>
          </w:tcPr>
          <w:p>
            <w:pPr>
              <w:jc w:val="center"/>
              <w:ind w:right="126"/>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100" w:type="dxa"/>
            <w:vAlign w:val="bottom"/>
            <w:vMerge w:val="restart"/>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3"/>
            <w:vMerge w:val="restart"/>
          </w:tcPr>
          <w:p>
            <w:pPr>
              <w:jc w:val="center"/>
              <w:spacing w:after="0" w:line="139" w:lineRule="exact"/>
              <w:rPr>
                <w:sz w:val="20"/>
                <w:szCs w:val="20"/>
                <w:color w:val="auto"/>
              </w:rPr>
            </w:pPr>
            <w:r>
              <w:rPr>
                <w:rFonts w:ascii="Arial" w:cs="Arial" w:eastAsia="Arial" w:hAnsi="Arial"/>
                <w:sz w:val="14"/>
                <w:szCs w:val="14"/>
                <w:b w:val="1"/>
                <w:bCs w:val="1"/>
                <w:color w:val="auto"/>
                <w:w w:val="95"/>
              </w:rPr>
              <w:t>Additional Paid-</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gridSpan w:val="3"/>
            <w:vMerge w:val="restart"/>
          </w:tcPr>
          <w:p>
            <w:pPr>
              <w:ind w:left="60"/>
              <w:spacing w:after="0" w:line="139" w:lineRule="exact"/>
              <w:rPr>
                <w:sz w:val="20"/>
                <w:szCs w:val="20"/>
                <w:color w:val="auto"/>
              </w:rPr>
            </w:pPr>
            <w:r>
              <w:rPr>
                <w:rFonts w:ascii="Arial" w:cs="Arial" w:eastAsia="Arial" w:hAnsi="Arial"/>
                <w:sz w:val="14"/>
                <w:szCs w:val="14"/>
                <w:b w:val="1"/>
                <w:bCs w:val="1"/>
                <w:color w:val="auto"/>
                <w:w w:val="97"/>
              </w:rPr>
              <w:t>Accumulated Other</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tcBorders>
              <w:right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2"/>
            <w:vMerge w:val="restart"/>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100" w:type="dxa"/>
            <w:vAlign w:val="bottom"/>
            <w:gridSpan w:val="2"/>
            <w:vMerge w:val="restart"/>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29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In Capital</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Comprehensive Loss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1, 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3"/>
              <w:spacing w:after="0"/>
              <w:rPr>
                <w:sz w:val="20"/>
                <w:szCs w:val="20"/>
                <w:color w:val="auto"/>
              </w:rPr>
            </w:pPr>
            <w:r>
              <w:rPr>
                <w:rFonts w:ascii="Arial" w:cs="Arial" w:eastAsia="Arial" w:hAnsi="Arial"/>
                <w:sz w:val="14"/>
                <w:szCs w:val="14"/>
                <w:color w:val="auto"/>
              </w:rPr>
              <w:t>103.5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1,238.8</w:t>
            </w:r>
          </w:p>
        </w:tc>
        <w:tc>
          <w:tcPr>
            <w:tcW w:w="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(730.9)</w:t>
            </w:r>
          </w:p>
        </w:tc>
        <w:tc>
          <w:tcPr>
            <w:tcW w:w="4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506.5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22"/>
                <w:szCs w:val="22"/>
                <w:color w:val="auto"/>
              </w:rPr>
            </w:pPr>
          </w:p>
        </w:tc>
        <w:tc>
          <w:tcPr>
            <w:tcW w:w="1260" w:type="dxa"/>
            <w:vAlign w:val="bottom"/>
            <w:tcBorders>
              <w:right w:val="single" w:sz="8" w:color="auto"/>
            </w:tcBorders>
          </w:tcPr>
          <w:p>
            <w:pPr>
              <w:jc w:val="right"/>
              <w:ind w:right="8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tcPr>
          <w:p>
            <w:pPr>
              <w:jc w:val="right"/>
              <w:ind w:right="6"/>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Issuance of common stock for employee stock</w:t>
            </w:r>
          </w:p>
        </w:tc>
        <w:tc>
          <w:tcPr>
            <w:tcW w:w="16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plan, options and warrants</w:t>
            </w:r>
          </w:p>
        </w:tc>
        <w:tc>
          <w:tcPr>
            <w:tcW w:w="160" w:type="dxa"/>
            <w:vAlign w:val="bottom"/>
            <w:shd w:val="clear" w:color="auto" w:fill="CCEEFF"/>
          </w:tcPr>
          <w:p>
            <w:pPr>
              <w:spacing w:after="0"/>
              <w:rPr>
                <w:sz w:val="16"/>
                <w:szCs w:val="16"/>
                <w:color w:val="auto"/>
              </w:rPr>
            </w:pPr>
          </w:p>
        </w:tc>
        <w:tc>
          <w:tcPr>
            <w:tcW w:w="126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3"/>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4"/>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160" w:type="dxa"/>
            <w:vAlign w:val="bottom"/>
          </w:tcPr>
          <w:p>
            <w:pPr>
              <w:spacing w:after="0"/>
              <w:rPr>
                <w:sz w:val="22"/>
                <w:szCs w:val="22"/>
                <w:color w:val="auto"/>
              </w:rPr>
            </w:pPr>
          </w:p>
        </w:tc>
        <w:tc>
          <w:tcPr>
            <w:tcW w:w="1260" w:type="dxa"/>
            <w:vAlign w:val="bottom"/>
            <w:tcBorders>
              <w:right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24"/>
                <w:szCs w:val="24"/>
                <w:color w:val="auto"/>
              </w:rPr>
            </w:pPr>
          </w:p>
        </w:tc>
        <w:tc>
          <w:tcPr>
            <w:tcW w:w="126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income, net of tax</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0.1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right w:val="single" w:sz="8" w:color="auto"/>
            </w:tcBorders>
            <w:shd w:val="clear" w:color="auto" w:fill="CCEEFF"/>
          </w:tcPr>
          <w:p>
            <w:pPr>
              <w:jc w:val="right"/>
              <w:ind w:right="86"/>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4"/>
                <w:szCs w:val="14"/>
                <w:color w:val="auto"/>
              </w:rPr>
              <w:t>103.8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1,242.4</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511.9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9"/>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right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2"/>
              </w:rPr>
              <w:t>Redeemable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Borders>
              <w:right w:val="single" w:sz="8" w:color="auto"/>
            </w:tcBorders>
            <w:vMerge w:val="restart"/>
          </w:tcPr>
          <w:p>
            <w:pPr>
              <w:jc w:val="center"/>
              <w:ind w:right="106"/>
              <w:spacing w:after="0" w:line="139"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Additional Paid-</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w w:val="99"/>
              </w:rPr>
              <w:t>Accumulated Other</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160"/>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tcBorders>
              <w:right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5"/>
              </w:rPr>
              <w:t>Amounts</w:t>
            </w:r>
          </w:p>
        </w:tc>
        <w:tc>
          <w:tcPr>
            <w:tcW w:w="120" w:type="dxa"/>
            <w:vAlign w:val="bottom"/>
            <w:gridSpan w:val="2"/>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9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In Capital</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Comprehensive Loss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Deficit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3"/>
              <w:spacing w:after="0"/>
              <w:rPr>
                <w:sz w:val="20"/>
                <w:szCs w:val="20"/>
                <w:color w:val="auto"/>
              </w:rPr>
            </w:pPr>
            <w:r>
              <w:rPr>
                <w:rFonts w:ascii="Arial" w:cs="Arial" w:eastAsia="Arial" w:hAnsi="Arial"/>
                <w:sz w:val="14"/>
                <w:szCs w:val="14"/>
                <w:color w:val="auto"/>
              </w:rPr>
              <w:t>105.9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1,277.8</w:t>
            </w:r>
          </w:p>
        </w:tc>
        <w:tc>
          <w:tcPr>
            <w:tcW w:w="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(717.5)</w:t>
            </w:r>
          </w:p>
        </w:tc>
        <w:tc>
          <w:tcPr>
            <w:tcW w:w="4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ind w:left="16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22"/>
                <w:szCs w:val="22"/>
                <w:color w:val="auto"/>
              </w:rPr>
            </w:pPr>
          </w:p>
        </w:tc>
        <w:tc>
          <w:tcPr>
            <w:tcW w:w="1260" w:type="dxa"/>
            <w:vAlign w:val="bottom"/>
            <w:tcBorders>
              <w:right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tcPr>
          <w:p>
            <w:pPr>
              <w:jc w:val="right"/>
              <w:ind w:right="46"/>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 for employee</w:t>
            </w:r>
          </w:p>
        </w:tc>
        <w:tc>
          <w:tcPr>
            <w:tcW w:w="16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9"/>
              </w:rPr>
              <w:t>stock purchase plan, options and warrants</w:t>
            </w:r>
          </w:p>
        </w:tc>
        <w:tc>
          <w:tcPr>
            <w:tcW w:w="160" w:type="dxa"/>
            <w:vAlign w:val="bottom"/>
            <w:shd w:val="clear" w:color="auto" w:fill="CCEEFF"/>
          </w:tcPr>
          <w:p>
            <w:pPr>
              <w:spacing w:after="0"/>
              <w:rPr>
                <w:sz w:val="16"/>
                <w:szCs w:val="16"/>
                <w:color w:val="auto"/>
              </w:rPr>
            </w:pPr>
          </w:p>
        </w:tc>
        <w:tc>
          <w:tcPr>
            <w:tcW w:w="12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3"/>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4"/>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ind w:left="160"/>
              <w:spacing w:after="0"/>
              <w:rPr>
                <w:sz w:val="20"/>
                <w:szCs w:val="20"/>
                <w:color w:val="auto"/>
              </w:rPr>
            </w:pPr>
            <w:r>
              <w:rPr>
                <w:rFonts w:ascii="Arial" w:cs="Arial" w:eastAsia="Arial" w:hAnsi="Arial"/>
                <w:sz w:val="14"/>
                <w:szCs w:val="14"/>
                <w:color w:val="auto"/>
              </w:rPr>
              <w:t>Restricted stock issued and related taxes</w:t>
            </w:r>
          </w:p>
        </w:tc>
        <w:tc>
          <w:tcPr>
            <w:tcW w:w="160" w:type="dxa"/>
            <w:vAlign w:val="bottom"/>
          </w:tcPr>
          <w:p>
            <w:pPr>
              <w:spacing w:after="0"/>
              <w:rPr>
                <w:sz w:val="22"/>
                <w:szCs w:val="22"/>
                <w:color w:val="auto"/>
              </w:rPr>
            </w:pPr>
          </w:p>
        </w:tc>
        <w:tc>
          <w:tcPr>
            <w:tcW w:w="1260" w:type="dxa"/>
            <w:vAlign w:val="bottom"/>
            <w:tcBorders>
              <w:right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3"/>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24"/>
                <w:szCs w:val="24"/>
                <w:color w:val="auto"/>
              </w:rPr>
            </w:pPr>
          </w:p>
        </w:tc>
        <w:tc>
          <w:tcPr>
            <w:tcW w:w="12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960" w:type="dxa"/>
            <w:vAlign w:val="bottom"/>
          </w:tcPr>
          <w:p>
            <w:pPr>
              <w:ind w:left="160"/>
              <w:spacing w:after="0" w:line="157" w:lineRule="exact"/>
              <w:rPr>
                <w:sz w:val="20"/>
                <w:szCs w:val="20"/>
                <w:color w:val="auto"/>
              </w:rPr>
            </w:pPr>
            <w:r>
              <w:rPr>
                <w:rFonts w:ascii="Arial" w:cs="Arial" w:eastAsia="Arial" w:hAnsi="Arial"/>
                <w:sz w:val="14"/>
                <w:szCs w:val="14"/>
                <w:color w:val="auto"/>
              </w:rPr>
              <w:t>Other comprehensive income (loss), net of</w:t>
            </w:r>
          </w:p>
        </w:tc>
        <w:tc>
          <w:tcPr>
            <w:tcW w:w="160" w:type="dxa"/>
            <w:vAlign w:val="bottom"/>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9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tax</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29,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3"/>
              <w:spacing w:after="0"/>
              <w:rPr>
                <w:sz w:val="20"/>
                <w:szCs w:val="20"/>
                <w:color w:val="auto"/>
              </w:rPr>
            </w:pPr>
            <w:r>
              <w:rPr>
                <w:rFonts w:ascii="Arial" w:cs="Arial" w:eastAsia="Arial" w:hAnsi="Arial"/>
                <w:sz w:val="14"/>
                <w:szCs w:val="14"/>
                <w:color w:val="auto"/>
              </w:rPr>
              <w:t>106.3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1,282.7</w:t>
            </w:r>
          </w:p>
        </w:tc>
        <w:tc>
          <w:tcPr>
            <w:tcW w:w="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(715.0)</w:t>
            </w:r>
          </w:p>
        </w:tc>
        <w:tc>
          <w:tcPr>
            <w:tcW w:w="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left="260" w:right="2760"/>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nine months ended September 30, 2018 and September 29, 2019</w:t>
      </w:r>
    </w:p>
    <w:p>
      <w:pPr>
        <w:spacing w:after="0" w:line="2"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right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9"/>
              </w:rPr>
              <w:t>Redeemable</w:t>
            </w:r>
          </w:p>
        </w:tc>
        <w:tc>
          <w:tcPr>
            <w:tcW w:w="120" w:type="dxa"/>
            <w:vAlign w:val="bottom"/>
            <w:gridSpan w:val="2"/>
          </w:tcPr>
          <w:p>
            <w:pPr>
              <w:spacing w:after="0"/>
              <w:rPr>
                <w:sz w:val="18"/>
                <w:szCs w:val="18"/>
                <w:color w:val="auto"/>
              </w:rPr>
            </w:pPr>
          </w:p>
        </w:tc>
        <w:tc>
          <w:tcPr>
            <w:tcW w:w="18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right w:val="single" w:sz="8" w:color="auto"/>
            </w:tcBorders>
            <w:vMerge w:val="restart"/>
          </w:tcPr>
          <w:p>
            <w:pPr>
              <w:jc w:val="center"/>
              <w:ind w:right="105"/>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120" w:type="dxa"/>
            <w:vAlign w:val="bottom"/>
            <w:gridSpan w:val="2"/>
            <w:vMerge w:val="restart"/>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Additional Paid-</w:t>
            </w:r>
          </w:p>
        </w:tc>
        <w:tc>
          <w:tcPr>
            <w:tcW w:w="1460" w:type="dxa"/>
            <w:vAlign w:val="bottom"/>
            <w:gridSpan w:val="3"/>
            <w:vMerge w:val="restart"/>
          </w:tcPr>
          <w:p>
            <w:pPr>
              <w:ind w:left="60"/>
              <w:spacing w:after="0" w:line="139" w:lineRule="exact"/>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4"/>
                <w:szCs w:val="4"/>
                <w:color w:val="auto"/>
              </w:rPr>
            </w:pPr>
          </w:p>
        </w:tc>
        <w:tc>
          <w:tcPr>
            <w:tcW w:w="100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3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1240" w:type="dxa"/>
            <w:vAlign w:val="bottom"/>
            <w:gridSpan w:val="3"/>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right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gridSpan w:val="2"/>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Capital</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right w:val="single" w:sz="8" w:color="auto"/>
            </w:tcBorders>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gridSpan w:val="2"/>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103.3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1,233.7</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511.5</w:t>
            </w:r>
          </w:p>
        </w:tc>
        <w:tc>
          <w:tcPr>
            <w:tcW w:w="0" w:type="dxa"/>
            <w:vAlign w:val="bottom"/>
          </w:tcPr>
          <w:p>
            <w:pPr>
              <w:spacing w:after="0"/>
              <w:rPr>
                <w:sz w:val="1"/>
                <w:szCs w:val="1"/>
                <w:color w:val="auto"/>
              </w:rPr>
            </w:pPr>
          </w:p>
        </w:tc>
      </w:tr>
      <w:tr>
        <w:trPr>
          <w:trHeight w:val="264"/>
        </w:trPr>
        <w:tc>
          <w:tcPr>
            <w:tcW w:w="3000" w:type="dxa"/>
            <w:vAlign w:val="bottom"/>
          </w:tcPr>
          <w:p>
            <w:pPr>
              <w:ind w:left="180"/>
              <w:spacing w:after="0"/>
              <w:rPr>
                <w:sz w:val="20"/>
                <w:szCs w:val="20"/>
                <w:color w:val="auto"/>
              </w:rPr>
            </w:pPr>
            <w:r>
              <w:rPr>
                <w:rFonts w:ascii="Arial" w:cs="Arial" w:eastAsia="Arial" w:hAnsi="Arial"/>
                <w:sz w:val="14"/>
                <w:szCs w:val="14"/>
                <w:color w:val="auto"/>
              </w:rPr>
              <w:t>Impact from the adoption of ASC 606</w:t>
            </w:r>
          </w:p>
        </w:tc>
        <w:tc>
          <w:tcPr>
            <w:tcW w:w="160" w:type="dxa"/>
            <w:vAlign w:val="bottom"/>
          </w:tcPr>
          <w:p>
            <w:pPr>
              <w:spacing w:after="0"/>
              <w:rPr>
                <w:sz w:val="22"/>
                <w:szCs w:val="22"/>
                <w:color w:val="auto"/>
              </w:rPr>
            </w:pPr>
          </w:p>
        </w:tc>
        <w:tc>
          <w:tcPr>
            <w:tcW w:w="1240" w:type="dxa"/>
            <w:vAlign w:val="bottom"/>
            <w:tcBorders>
              <w:right w:val="single" w:sz="8" w:color="auto"/>
            </w:tcBorders>
          </w:tcPr>
          <w:p>
            <w:pPr>
              <w:jc w:val="right"/>
              <w:ind w:right="65"/>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6"/>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24"/>
                <w:szCs w:val="24"/>
                <w:color w:val="auto"/>
              </w:rPr>
            </w:pPr>
          </w:p>
        </w:tc>
        <w:tc>
          <w:tcPr>
            <w:tcW w:w="1240" w:type="dxa"/>
            <w:vAlign w:val="bottom"/>
            <w:tcBorders>
              <w:right w:val="single" w:sz="8" w:color="auto"/>
            </w:tcBorders>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57"/>
        </w:trPr>
        <w:tc>
          <w:tcPr>
            <w:tcW w:w="3000" w:type="dxa"/>
            <w:vAlign w:val="bottom"/>
          </w:tcPr>
          <w:p>
            <w:pPr>
              <w:ind w:left="180"/>
              <w:spacing w:after="0" w:line="157" w:lineRule="exact"/>
              <w:rPr>
                <w:sz w:val="20"/>
                <w:szCs w:val="20"/>
                <w:color w:val="auto"/>
              </w:rPr>
            </w:pPr>
            <w:r>
              <w:rPr>
                <w:rFonts w:ascii="Arial" w:cs="Arial" w:eastAsia="Arial" w:hAnsi="Arial"/>
                <w:sz w:val="14"/>
                <w:szCs w:val="14"/>
                <w:color w:val="auto"/>
                <w:w w:val="97"/>
              </w:rPr>
              <w:t>Issuance of common stock for employee stock</w:t>
            </w:r>
          </w:p>
        </w:tc>
        <w:tc>
          <w:tcPr>
            <w:tcW w:w="16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340"/>
              <w:spacing w:after="0"/>
              <w:rPr>
                <w:sz w:val="20"/>
                <w:szCs w:val="20"/>
                <w:color w:val="auto"/>
              </w:rPr>
            </w:pPr>
            <w:r>
              <w:rPr>
                <w:rFonts w:ascii="Arial" w:cs="Arial" w:eastAsia="Arial" w:hAnsi="Arial"/>
                <w:sz w:val="14"/>
                <w:szCs w:val="14"/>
                <w:color w:val="auto"/>
              </w:rPr>
              <w:t>purchase plan, options and warrants</w:t>
            </w:r>
          </w:p>
        </w:tc>
        <w:tc>
          <w:tcPr>
            <w:tcW w:w="160" w:type="dxa"/>
            <w:vAlign w:val="bottom"/>
          </w:tcPr>
          <w:p>
            <w:pPr>
              <w:spacing w:after="0"/>
              <w:rPr>
                <w:sz w:val="16"/>
                <w:szCs w:val="16"/>
                <w:color w:val="auto"/>
              </w:rPr>
            </w:pPr>
          </w:p>
        </w:tc>
        <w:tc>
          <w:tcPr>
            <w:tcW w:w="1240" w:type="dxa"/>
            <w:vAlign w:val="bottom"/>
            <w:tcBorders>
              <w:right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6"/>
                <w:szCs w:val="16"/>
                <w:color w:val="auto"/>
              </w:rPr>
            </w:pPr>
          </w:p>
        </w:tc>
        <w:tc>
          <w:tcPr>
            <w:tcW w:w="700" w:type="dxa"/>
            <w:vAlign w:val="bottom"/>
          </w:tcPr>
          <w:p>
            <w:pPr>
              <w:jc w:val="right"/>
              <w:ind w:right="44"/>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4"/>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6"/>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issued and related taxes</w:t>
            </w:r>
          </w:p>
        </w:tc>
        <w:tc>
          <w:tcPr>
            <w:tcW w:w="160" w:type="dxa"/>
            <w:vAlign w:val="bottom"/>
            <w:shd w:val="clear" w:color="auto" w:fill="CCEEFF"/>
          </w:tcPr>
          <w:p>
            <w:pPr>
              <w:spacing w:after="0"/>
              <w:rPr>
                <w:sz w:val="24"/>
                <w:szCs w:val="24"/>
                <w:color w:val="auto"/>
              </w:rPr>
            </w:pPr>
          </w:p>
        </w:tc>
        <w:tc>
          <w:tcPr>
            <w:tcW w:w="1240" w:type="dxa"/>
            <w:vAlign w:val="bottom"/>
            <w:tcBorders>
              <w:right w:val="single" w:sz="8" w:color="auto"/>
            </w:tcBorders>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4"/>
        </w:trPr>
        <w:tc>
          <w:tcPr>
            <w:tcW w:w="30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22"/>
                <w:szCs w:val="22"/>
                <w:color w:val="auto"/>
              </w:rPr>
            </w:pPr>
          </w:p>
        </w:tc>
        <w:tc>
          <w:tcPr>
            <w:tcW w:w="1240" w:type="dxa"/>
            <w:vAlign w:val="bottom"/>
            <w:tcBorders>
              <w:right w:val="single" w:sz="8" w:color="auto"/>
            </w:tcBorders>
          </w:tcPr>
          <w:p>
            <w:pPr>
              <w:jc w:val="right"/>
              <w:ind w:right="65"/>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Other comprehensive income (loss), net of tax</w:t>
            </w: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right w:val="single" w:sz="8" w:color="auto"/>
            </w:tcBorders>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right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1"/>
                <w:szCs w:val="21"/>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1,242.4</w:t>
            </w:r>
          </w:p>
        </w:tc>
        <w:tc>
          <w:tcPr>
            <w:tcW w:w="120" w:type="dxa"/>
            <w:vAlign w:val="bottom"/>
          </w:tcPr>
          <w:p>
            <w:pPr>
              <w:spacing w:after="0"/>
              <w:rPr>
                <w:sz w:val="21"/>
                <w:szCs w:val="21"/>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spacing w:after="0"/>
              <w:rPr>
                <w:sz w:val="24"/>
                <w:szCs w:val="24"/>
                <w:color w:val="auto"/>
              </w:rPr>
            </w:pPr>
          </w:p>
        </w:tc>
        <w:tc>
          <w:tcPr>
            <w:tcW w:w="186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right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9"/>
              </w:rPr>
              <w:t>Redeemable</w:t>
            </w:r>
          </w:p>
        </w:tc>
        <w:tc>
          <w:tcPr>
            <w:tcW w:w="120" w:type="dxa"/>
            <w:vAlign w:val="bottom"/>
            <w:gridSpan w:val="2"/>
          </w:tcPr>
          <w:p>
            <w:pPr>
              <w:spacing w:after="0"/>
              <w:rPr>
                <w:sz w:val="18"/>
                <w:szCs w:val="18"/>
                <w:color w:val="auto"/>
              </w:rPr>
            </w:pPr>
          </w:p>
        </w:tc>
        <w:tc>
          <w:tcPr>
            <w:tcW w:w="18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right w:val="single" w:sz="8" w:color="auto"/>
            </w:tcBorders>
            <w:vMerge w:val="restart"/>
          </w:tcPr>
          <w:p>
            <w:pPr>
              <w:jc w:val="center"/>
              <w:ind w:right="105"/>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120" w:type="dxa"/>
            <w:vAlign w:val="bottom"/>
            <w:gridSpan w:val="2"/>
            <w:vMerge w:val="restart"/>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Additional Paid-</w:t>
            </w:r>
          </w:p>
        </w:tc>
        <w:tc>
          <w:tcPr>
            <w:tcW w:w="1460" w:type="dxa"/>
            <w:vAlign w:val="bottom"/>
            <w:gridSpan w:val="3"/>
            <w:vMerge w:val="restart"/>
          </w:tcPr>
          <w:p>
            <w:pPr>
              <w:ind w:left="60"/>
              <w:spacing w:after="0" w:line="139" w:lineRule="exact"/>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4"/>
                <w:szCs w:val="4"/>
                <w:color w:val="auto"/>
              </w:rPr>
            </w:pPr>
          </w:p>
        </w:tc>
        <w:tc>
          <w:tcPr>
            <w:tcW w:w="100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3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100" w:type="dxa"/>
            <w:vAlign w:val="bottom"/>
            <w:vMerge w:val="restart"/>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CCEEFF"/>
            </w:tcBorders>
            <w:gridSpan w:val="2"/>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In Capital</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30, 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22"/>
                <w:szCs w:val="22"/>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103.8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1,244.5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519.3</w:t>
            </w:r>
          </w:p>
        </w:tc>
        <w:tc>
          <w:tcPr>
            <w:tcW w:w="0" w:type="dxa"/>
            <w:vAlign w:val="bottom"/>
          </w:tcPr>
          <w:p>
            <w:pPr>
              <w:spacing w:after="0"/>
              <w:rPr>
                <w:sz w:val="1"/>
                <w:szCs w:val="1"/>
                <w:color w:val="auto"/>
              </w:rPr>
            </w:pPr>
          </w:p>
        </w:tc>
      </w:tr>
      <w:tr>
        <w:trPr>
          <w:trHeight w:val="264"/>
        </w:trPr>
        <w:tc>
          <w:tcPr>
            <w:tcW w:w="30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22"/>
                <w:szCs w:val="22"/>
                <w:color w:val="auto"/>
              </w:rPr>
            </w:pPr>
          </w:p>
        </w:tc>
        <w:tc>
          <w:tcPr>
            <w:tcW w:w="1240" w:type="dxa"/>
            <w:vAlign w:val="bottom"/>
            <w:tcBorders>
              <w:right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3"/>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Issuance of common stock for employee stock</w:t>
            </w:r>
          </w:p>
        </w:tc>
        <w:tc>
          <w:tcPr>
            <w:tcW w:w="160" w:type="dxa"/>
            <w:vAlign w:val="bottom"/>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 plan, options and warrants</w:t>
            </w:r>
          </w:p>
        </w:tc>
        <w:tc>
          <w:tcPr>
            <w:tcW w:w="160" w:type="dxa"/>
            <w:vAlign w:val="bottom"/>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6"/>
                <w:szCs w:val="16"/>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3000" w:type="dxa"/>
            <w:vAlign w:val="bottom"/>
          </w:tcPr>
          <w:p>
            <w:pPr>
              <w:ind w:left="180"/>
              <w:spacing w:after="0"/>
              <w:rPr>
                <w:sz w:val="20"/>
                <w:szCs w:val="20"/>
                <w:color w:val="auto"/>
              </w:rPr>
            </w:pPr>
            <w:r>
              <w:rPr>
                <w:rFonts w:ascii="Arial" w:cs="Arial" w:eastAsia="Arial" w:hAnsi="Arial"/>
                <w:sz w:val="14"/>
                <w:szCs w:val="14"/>
                <w:color w:val="auto"/>
              </w:rPr>
              <w:t>Restricted stock issued and related taxes</w:t>
            </w:r>
          </w:p>
        </w:tc>
        <w:tc>
          <w:tcPr>
            <w:tcW w:w="160" w:type="dxa"/>
            <w:vAlign w:val="bottom"/>
          </w:tcPr>
          <w:p>
            <w:pPr>
              <w:spacing w:after="0"/>
              <w:rPr>
                <w:sz w:val="22"/>
                <w:szCs w:val="22"/>
                <w:color w:val="auto"/>
              </w:rPr>
            </w:pPr>
          </w:p>
        </w:tc>
        <w:tc>
          <w:tcPr>
            <w:tcW w:w="1240" w:type="dxa"/>
            <w:vAlign w:val="bottom"/>
            <w:tcBorders>
              <w:right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2"/>
                <w:szCs w:val="22"/>
                <w:color w:val="auto"/>
              </w:rPr>
            </w:pPr>
          </w:p>
        </w:tc>
        <w:tc>
          <w:tcPr>
            <w:tcW w:w="700" w:type="dxa"/>
            <w:vAlign w:val="bottom"/>
          </w:tcPr>
          <w:p>
            <w:pPr>
              <w:jc w:val="right"/>
              <w:ind w:right="44"/>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6"/>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for acquisitions</w:t>
            </w:r>
          </w:p>
        </w:tc>
        <w:tc>
          <w:tcPr>
            <w:tcW w:w="160" w:type="dxa"/>
            <w:vAlign w:val="bottom"/>
            <w:shd w:val="clear" w:color="auto" w:fill="CCEEFF"/>
          </w:tcPr>
          <w:p>
            <w:pPr>
              <w:spacing w:after="0"/>
              <w:rPr>
                <w:sz w:val="24"/>
                <w:szCs w:val="24"/>
                <w:color w:val="auto"/>
              </w:rPr>
            </w:pPr>
          </w:p>
        </w:tc>
        <w:tc>
          <w:tcPr>
            <w:tcW w:w="1240" w:type="dxa"/>
            <w:vAlign w:val="bottom"/>
            <w:tcBorders>
              <w:right w:val="single" w:sz="8" w:color="auto"/>
            </w:tcBorders>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24"/>
                <w:szCs w:val="24"/>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64"/>
        </w:trPr>
        <w:tc>
          <w:tcPr>
            <w:tcW w:w="30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2"/>
                <w:szCs w:val="22"/>
                <w:color w:val="auto"/>
              </w:rPr>
            </w:pPr>
          </w:p>
        </w:tc>
        <w:tc>
          <w:tcPr>
            <w:tcW w:w="1240" w:type="dxa"/>
            <w:vAlign w:val="bottom"/>
            <w:tcBorders>
              <w:right w:val="single" w:sz="8" w:color="auto"/>
            </w:tcBorders>
          </w:tcPr>
          <w:p>
            <w:pPr>
              <w:jc w:val="right"/>
              <w:ind w:right="65"/>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0" w:type="dxa"/>
            <w:vAlign w:val="bottom"/>
          </w:tcPr>
          <w:p>
            <w:pPr>
              <w:jc w:val="right"/>
              <w:ind w:right="42"/>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6"/>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net of tax</w:t>
            </w:r>
          </w:p>
        </w:tc>
        <w:tc>
          <w:tcPr>
            <w:tcW w:w="160" w:type="dxa"/>
            <w:vAlign w:val="bottom"/>
            <w:shd w:val="clear" w:color="auto" w:fill="CCEEFF"/>
          </w:tcPr>
          <w:p>
            <w:pPr>
              <w:spacing w:after="0"/>
              <w:rPr>
                <w:sz w:val="24"/>
                <w:szCs w:val="24"/>
                <w:color w:val="auto"/>
              </w:rPr>
            </w:pPr>
          </w:p>
        </w:tc>
        <w:tc>
          <w:tcPr>
            <w:tcW w:w="1240" w:type="dxa"/>
            <w:vAlign w:val="bottom"/>
            <w:tcBorders>
              <w:right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Changes in noncontrolling interest</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65"/>
              <w:spacing w:after="0"/>
              <w:rPr>
                <w:sz w:val="20"/>
                <w:szCs w:val="20"/>
                <w:color w:val="auto"/>
              </w:rPr>
            </w:pPr>
            <w:r>
              <w:rPr>
                <w:rFonts w:ascii="Arial" w:cs="Arial" w:eastAsia="Arial" w:hAnsi="Arial"/>
                <w:sz w:val="14"/>
                <w:szCs w:val="14"/>
                <w:color w:val="auto"/>
              </w:rPr>
              <w:t>15.0</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29,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shd w:val="clear" w:color="auto" w:fill="CCEEFF"/>
          </w:tcPr>
          <w:p>
            <w:pPr>
              <w:jc w:val="right"/>
              <w:ind w:right="65"/>
              <w:spacing w:after="0"/>
              <w:rPr>
                <w:sz w:val="20"/>
                <w:szCs w:val="20"/>
                <w:color w:val="auto"/>
              </w:rPr>
            </w:pPr>
            <w:r>
              <w:rPr>
                <w:rFonts w:ascii="Arial" w:cs="Arial" w:eastAsia="Arial" w:hAnsi="Arial"/>
                <w:sz w:val="14"/>
                <w:szCs w:val="14"/>
                <w:color w:val="auto"/>
              </w:rPr>
              <w:t>15.5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106.3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1,282.7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4"/>
          </w:tcPr>
          <w:p>
            <w:pPr>
              <w:jc w:val="right"/>
              <w:ind w:right="139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29, 2019</w:t>
            </w:r>
          </w:p>
        </w:tc>
        <w:tc>
          <w:tcPr>
            <w:tcW w:w="260" w:type="dxa"/>
            <w:vAlign w:val="bottom"/>
          </w:tcPr>
          <w:p>
            <w:pPr>
              <w:spacing w:after="0"/>
              <w:rPr>
                <w:sz w:val="22"/>
                <w:szCs w:val="22"/>
                <w:color w:val="auto"/>
              </w:rPr>
            </w:pPr>
          </w:p>
        </w:tc>
        <w:tc>
          <w:tcPr>
            <w:tcW w:w="1780" w:type="dxa"/>
            <w:vAlign w:val="bottom"/>
          </w:tcPr>
          <w:p>
            <w:pPr>
              <w:jc w:val="right"/>
              <w:ind w:right="339"/>
              <w:spacing w:after="0"/>
              <w:rPr>
                <w:sz w:val="20"/>
                <w:szCs w:val="20"/>
                <w:color w:val="auto"/>
              </w:rPr>
            </w:pPr>
            <w:r>
              <w:rPr>
                <w:rFonts w:ascii="Arial" w:cs="Arial" w:eastAsia="Arial" w:hAnsi="Arial"/>
                <w:sz w:val="14"/>
                <w:szCs w:val="14"/>
                <w:b w:val="1"/>
                <w:bCs w:val="1"/>
                <w:color w:val="auto"/>
              </w:rPr>
              <w:t>September 30, 2018</w:t>
            </w:r>
          </w:p>
        </w:tc>
      </w:tr>
      <w:tr>
        <w:trPr>
          <w:trHeight w:val="210"/>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60"/>
        </w:trPr>
        <w:tc>
          <w:tcPr>
            <w:tcW w:w="72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7200" w:type="dxa"/>
            <w:vAlign w:val="bottom"/>
          </w:tcPr>
          <w:p>
            <w:pPr>
              <w:ind w:left="180"/>
              <w:spacing w:after="0"/>
              <w:rPr>
                <w:sz w:val="20"/>
                <w:szCs w:val="20"/>
                <w:color w:val="auto"/>
              </w:rPr>
            </w:pPr>
            <w:r>
              <w:rPr>
                <w:rFonts w:ascii="Arial" w:cs="Arial" w:eastAsia="Arial" w:hAnsi="Arial"/>
                <w:sz w:val="16"/>
                <w:szCs w:val="16"/>
                <w:color w:val="auto"/>
              </w:rPr>
              <w:t>Income (loss) from continuing operations</w:t>
            </w: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income (loss) from continuing operations to net cash provided by</w:t>
            </w: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activities from continuing operations:</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Unbilled receivables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Inventoried costs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Advance payments received on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67.0</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investing activities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r>
      <w:tr>
        <w:trPr>
          <w:trHeight w:val="231"/>
        </w:trPr>
        <w:tc>
          <w:tcPr>
            <w:tcW w:w="72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Expenses from the issuance of common stock</w:t>
            </w:r>
          </w:p>
        </w:tc>
        <w:tc>
          <w:tcPr>
            <w:tcW w:w="28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43"/>
        </w:trPr>
        <w:tc>
          <w:tcPr>
            <w:tcW w:w="7200" w:type="dxa"/>
            <w:vAlign w:val="bottom"/>
          </w:tcPr>
          <w:p>
            <w:pPr>
              <w:ind w:left="180"/>
              <w:spacing w:after="0"/>
              <w:rPr>
                <w:sz w:val="20"/>
                <w:szCs w:val="20"/>
                <w:color w:val="auto"/>
              </w:rPr>
            </w:pPr>
            <w:r>
              <w:rPr>
                <w:rFonts w:ascii="Arial" w:cs="Arial" w:eastAsia="Arial" w:hAnsi="Arial"/>
                <w:sz w:val="16"/>
                <w:szCs w:val="16"/>
                <w:color w:val="auto"/>
              </w:rPr>
              <w:t>Payments under finance leases</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1"/>
              </w:rPr>
              <w:t>Proceeds from exercise of restricted stock units, employee stock options, and employee stock purchase plan</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56.6</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r>
      <w:tr>
        <w:trPr>
          <w:trHeight w:val="244"/>
        </w:trPr>
        <w:tc>
          <w:tcPr>
            <w:tcW w:w="72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181.0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187.5</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1097"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097"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90"/>
        <w:spacing w:after="0" w:line="270" w:lineRule="auto"/>
        <w:rPr>
          <w:sz w:val="20"/>
          <w:szCs w:val="20"/>
          <w:color w:val="auto"/>
        </w:rPr>
      </w:pPr>
      <w:r>
        <w:rPr>
          <w:rFonts w:ascii="Arial" w:cs="Arial" w:eastAsia="Arial" w:hAnsi="Arial"/>
          <w:sz w:val="17"/>
          <w:szCs w:val="17"/>
          <w:color w:val="auto"/>
        </w:rPr>
        <w:t>The information as of September 29, 2019 and for the three and nine months ended September 29, 2019 and September 30, 2018 is unaudited. The condensed consolidated balance sheet as of December 30, 2018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30, 2018, included in the Company’s Annual Report on Form 10-K filed with the U.S. Securities and Exchange Commission (the “SEC”) on February 28, 2019 (the “Form 10-K”). Interim operating results are not necessarily indicative of operating results expected in subsequent periods or for the year as a whole.</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As discussed in “Acquisition” in Note 2, on February 27, 2019, the Company acquired 80.1% of the issued and outstanding shares of capital stock of Florida Turbine Technologies, Inc. (“FTT Inc.”), and 80.1% of the membership interests in FTT CORE, LLC (“FTT Core” and, together with FTT Inc.,“FTT”), for an aggregate purchase price of approximately $60 million. FTT is now the Kratos Turbine Technologies Division (the “KTT Division”), which is focused on the development and production of small, affordable, high-performance jet engines for the next generation of tactical weapon systems and tactical jet unmanned aerial systems (“UAS”). The KTT Division is included in the Kratos Government Solutions (“KGS”) Segment.</w:t>
      </w:r>
    </w:p>
    <w:p>
      <w:pPr>
        <w:spacing w:after="0" w:line="16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condensed consolidated financial statements include the accounts of the Company, its 100% owned subsidiaries and its majority owned subsidiaries, FTT Inc. and FTT Core, each of which is 80.1% owned. All inter-company transactions have been eliminated in consolidation. Noncontrolling interest consists of the remaining 19.9% interest in FTT Inc. and FTT Core. See Note 12 for further information related to the redeemable noncontrolling interest.</w:t>
      </w:r>
    </w:p>
    <w:p>
      <w:pPr>
        <w:spacing w:after="0" w:line="18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has a 52/53 week fiscal year ending on the last Sunday of the calendar year. The three month periods ended September 29, 2019 and September 30, 2018 consisted of 13-week periods. The nine month periods ended September 29, 2019 and September 30, 2018 consisted of 39-week periods. There are 52 calendar weeks in the fiscal years ending on December 29, 2019 and December 30, 2018.</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nine months ended September 29, 2019 as compared to the accounting estimates described in the Form 10-K.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In February 2016, the Financial Accounting Standards Board (“FASB”) issued ASU 2016-02 (“ASU 2016-02”), </w:t>
      </w:r>
      <w:r>
        <w:rPr>
          <w:rFonts w:ascii="Arial" w:cs="Arial" w:eastAsia="Arial" w:hAnsi="Arial"/>
          <w:sz w:val="17"/>
          <w:szCs w:val="17"/>
          <w:i w:val="1"/>
          <w:iCs w:val="1"/>
          <w:color w:val="auto"/>
        </w:rPr>
        <w:t>Leases</w:t>
      </w:r>
      <w:r>
        <w:rPr>
          <w:rFonts w:ascii="Arial" w:cs="Arial" w:eastAsia="Arial" w:hAnsi="Arial"/>
          <w:sz w:val="17"/>
          <w:szCs w:val="17"/>
          <w:color w:val="auto"/>
        </w:rPr>
        <w:t>, also referred to as “ASC 842”</w:t>
      </w:r>
      <w:r>
        <w:rPr>
          <w:rFonts w:ascii="Arial" w:cs="Arial" w:eastAsia="Arial" w:hAnsi="Arial"/>
          <w:sz w:val="17"/>
          <w:szCs w:val="17"/>
          <w:i w:val="1"/>
          <w:iCs w:val="1"/>
          <w:color w:val="auto"/>
        </w:rPr>
        <w:t>.</w:t>
      </w:r>
      <w:r>
        <w:rPr>
          <w:rFonts w:ascii="Arial" w:cs="Arial" w:eastAsia="Arial" w:hAnsi="Arial"/>
          <w:sz w:val="17"/>
          <w:szCs w:val="17"/>
          <w:color w:val="auto"/>
        </w:rPr>
        <w:t xml:space="preserve"> ASU 2016-02 requires that lessees recognize assets and liabilities for the rights and obligations underlying leases with a lease term of more than one year. The amendments in this ASU are effective for annual periods beginning after December 15, 2018. In July 2018, the FASB issued ASU 2018-11,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Targeted Improvements</w:t>
      </w:r>
      <w:r>
        <w:rPr>
          <w:rFonts w:ascii="Arial" w:cs="Arial" w:eastAsia="Arial" w:hAnsi="Arial"/>
          <w:sz w:val="17"/>
          <w:szCs w:val="17"/>
          <w:color w:val="auto"/>
        </w:rPr>
        <w:t>, which, among other things, allows a company to elect an optional transition method that applies the new lease requirements through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cumulative-effect adjustment in the period of adoption. The Company adopted this standard on December 31, 2018 using the optional transition method, and, as a result, did not recast prior period unaudited condensed comparative financial statements. All prior period amounts and disclosures are presented under Accounting Standards Codification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840”).</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has revised its controls and processes to address the new lease standard and has completed the implementation and data input for its lease accounting software tool. The Company has elected the package of practical expedients, which, among other things, allows carry-forward of prior lease classifications under the prior standard. However, the Company has not elected to adopt the hindsight practical expedient and is therefore maintaining the lease terms previously determined under the prior lease standard. For all new and modified leases after adoption of ASU 2016-02, the Company has taken the component election allowing the Company to account for lease components together with non-lease components in the calculation of the lease asset and corresponding liability. Adoption of the new standard resulted in the recording of additional lease assets and lease liabilities on the unaudited condensed consolidated balance sheet. No cumulative-effect adjustment was recognized as the amount was not material, and the impact on the Company’s results of operations and cash flows was also not material. See Note 8 for additional disclosures.</w:t>
      </w:r>
    </w:p>
    <w:p>
      <w:pPr>
        <w:spacing w:after="0" w:line="1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February 2018, the FASB issued ASU 2018-02 (“ASU 2018-02”), </w:t>
      </w:r>
      <w:r>
        <w:rPr>
          <w:rFonts w:ascii="Arial" w:cs="Arial" w:eastAsia="Arial" w:hAnsi="Arial"/>
          <w:sz w:val="18"/>
          <w:szCs w:val="18"/>
          <w:i w:val="1"/>
          <w:iCs w:val="1"/>
          <w:color w:val="auto"/>
        </w:rPr>
        <w:t>Reclassification of Certain Tax Effects from 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(“AOCI”). ASU 2018-02 provides entities the option to reclassify tax effects to retained earnings from AOCI which are impacted by the Tax Cuts and</w:t>
      </w:r>
      <w:r>
        <w:rPr>
          <w:rFonts w:ascii="Arial" w:cs="Arial" w:eastAsia="Arial" w:hAnsi="Arial"/>
          <w:sz w:val="18"/>
          <w:szCs w:val="18"/>
          <w:i w:val="1"/>
          <w:iCs w:val="1"/>
          <w:color w:val="auto"/>
        </w:rPr>
        <w:t xml:space="preserve"> </w:t>
      </w:r>
      <w:r>
        <w:rPr>
          <w:rFonts w:ascii="Arial" w:cs="Arial" w:eastAsia="Arial" w:hAnsi="Arial"/>
          <w:sz w:val="18"/>
          <w:szCs w:val="18"/>
          <w:color w:val="auto"/>
        </w:rPr>
        <w:t>Jobs Act of 2017. This ASU is effective for fiscal years beginning after December 15, 2018 but early adoption is permitted. The Company adopted this standard on December 31, 2018. The Company has a full valuation allowance for all tax benefits related to AOCI, and therefore, there are no tax effects to be reclassified to retained earnings.</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In June 2016, the FASB issued ASU 2016-13 (“ASU 2016-13”), </w:t>
      </w:r>
      <w:r>
        <w:rPr>
          <w:rFonts w:ascii="Arial" w:cs="Arial" w:eastAsia="Arial" w:hAnsi="Arial"/>
          <w:sz w:val="17"/>
          <w:szCs w:val="17"/>
          <w:i w:val="1"/>
          <w:iCs w:val="1"/>
          <w:color w:val="auto"/>
        </w:rPr>
        <w:t>Financial Instruments-Credit Losses (Topic 326):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Instruments</w:t>
      </w:r>
      <w:r>
        <w:rPr>
          <w:rFonts w:ascii="Arial" w:cs="Arial" w:eastAsia="Arial" w:hAnsi="Arial"/>
          <w:sz w:val="17"/>
          <w:szCs w:val="17"/>
          <w:color w:val="auto"/>
        </w:rPr>
        <w:t>. The main objective of this update is to provide financial statement users with more decision-useful information about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on financial instruments and other commitments to extend credit held by a reporting entity at each reporting date. To achieve this objective, the amendments in this update replace the incurred loss impairment methodology in current GAAP with a methodology that reflects expected credit losses and requires consideration of a broader range of reasonable and supportable information to inform credit loss estimates. ASU2016-13 is effective for fiscal years beginning after December 15, 2019, including interim periods within those fiscal years. The Company is currently evaluating the impact of the adoption of ASU 2016-13 on its consolidated financial statements.</w:t>
      </w:r>
    </w:p>
    <w:p>
      <w:pPr>
        <w:spacing w:after="0" w:line="17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September 29, 2019 and December 30, 2018 are presented in Note 10.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September 29, 2019 and December 30, 2018 due to the short-term nature of these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February 27, 2019, the Company acquired 80.1% of the issued and outstanding shares of capital stock of FTT Inc., and 80.1% of the membership interests in FTT Core for an aggregate purchase price of approximately $60 million. The purchase price was $33 million in cash, with approximately $17.7 million paid at close and approximately $15.3 million to be paid over a three-year period, subject to adjustments for transaction expenses, indebtedness, cash on hand, certain amounts payable or potentially payable to employees of FTT and post-closing working capital adjustments, and 1,825,406 shares of common stock (with a value of approximately $27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FTT is a leading turbomachinery design and manufacturing company specializing in engineering, development, and testing of gas turbines, propulsion components, engine and other systems for military and commercial applications. FTT is now the KTT Division, which is focused on the development and production of small, affordable, high-performance jet engines for the next generation of tactical weapon systems and tactical jet UAS. The KTT Division is included in the KGS segment.</w:t>
      </w:r>
    </w:p>
    <w:p>
      <w:pPr>
        <w:spacing w:after="0" w:line="18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enabling it to accelerate FTT’s small engine development programs, and facilitate integration of these leading-edge engine solutions with evolving Kratos tactical systems.</w:t>
      </w:r>
    </w:p>
    <w:p>
      <w:pPr>
        <w:spacing w:after="0" w:line="166"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7"/>
          <w:szCs w:val="17"/>
          <w:color w:val="auto"/>
        </w:rPr>
        <w:t>Simultaneously with the execution of the Purchase Agreement among the Company and the Sellers (as defined in such agreement) (the “Purchase Agreement”) and completion of the acquisition, the Company, FTT Inc., FTT Core and the Sellers entered into an exchange agreement (the “Exchange Agreement”) pursuant to which, among other things, (i) FTT Core was converted into a Delaware corporation, (ii) beginning in January 2024, the Holders (as defined in the Exchange Agreement) will have an annual right (the “Put Right”) to sell all of the minority interests in FTT Inc. and FTT Core (the “Minority Interests”) to the Company at a purchase price based on an assumed enterprise value of 12 times the trailing 12 months EBITDA of FTT Inc., FTT Core and each of their respective subsidiaries (the “Acquired Companies”), subject to adjustment as set forth in the Exchange Agreement (the “Minority Interest Purchase Price”) (provided, however, that following certain events, including a change of control, the Put Right will be accelerated and the Minority Interest Purchase Price will be increased to 14 times the trailing 12 months EBITDA of the Acquired Companies), and (iii) beginning in January 2025, the Company will have an annual right to purchase all of the Minority Interests from the Holders at the Minority Interest Purchase Price.</w:t>
      </w:r>
    </w:p>
    <w:p>
      <w:pPr>
        <w:spacing w:after="0" w:line="18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transaction has been accounted for using the acquisition method of accounting, which requires, among other things, that the assets acquired, the liabilities assumed, and the noncontrolling interest be recognized at their fair values as of the acquisition date. The fair value measurements are based primarily on significant inputs not observable in the marketplace and thus represent Level 3 measurements. The following table summarizes the allocation of the purchase price over the estimated fair values of the major assets acquired, liabilities assumed, and noncontrolling interest (in millions):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7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7"/>
        </w:trPr>
        <w:tc>
          <w:tcPr>
            <w:tcW w:w="9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7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9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7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26.9</w:t>
            </w:r>
          </w:p>
        </w:tc>
      </w:tr>
      <w:tr>
        <w:trPr>
          <w:trHeight w:val="27"/>
        </w:trPr>
        <w:tc>
          <w:tcPr>
            <w:tcW w:w="9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r>
      <w:tr>
        <w:trPr>
          <w:trHeight w:val="237"/>
        </w:trPr>
        <w:tc>
          <w:tcPr>
            <w:tcW w:w="9460" w:type="dxa"/>
            <w:vAlign w:val="bottom"/>
          </w:tcPr>
          <w:p>
            <w:pPr>
              <w:ind w:left="100"/>
              <w:spacing w:after="0"/>
              <w:rPr>
                <w:sz w:val="20"/>
                <w:szCs w:val="20"/>
                <w:color w:val="auto"/>
              </w:rPr>
            </w:pPr>
            <w:r>
              <w:rPr>
                <w:rFonts w:ascii="Arial" w:cs="Arial" w:eastAsia="Arial" w:hAnsi="Arial"/>
                <w:sz w:val="18"/>
                <w:szCs w:val="18"/>
                <w:color w:val="auto"/>
              </w:rPr>
              <w:t>Total identifiable net assets acquired</w:t>
            </w: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82.5</w:t>
            </w:r>
          </w:p>
        </w:tc>
      </w:tr>
      <w:tr>
        <w:trPr>
          <w:trHeight w:val="27"/>
        </w:trPr>
        <w:tc>
          <w:tcPr>
            <w:tcW w:w="9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9460" w:type="dxa"/>
            <w:vAlign w:val="bottom"/>
          </w:tcPr>
          <w:p>
            <w:pPr>
              <w:ind w:left="120"/>
              <w:spacing w:after="0"/>
              <w:rPr>
                <w:sz w:val="20"/>
                <w:szCs w:val="20"/>
                <w:color w:val="auto"/>
              </w:rPr>
            </w:pPr>
            <w:r>
              <w:rPr>
                <w:rFonts w:ascii="Arial" w:cs="Arial" w:eastAsia="Arial" w:hAnsi="Arial"/>
                <w:sz w:val="18"/>
                <w:szCs w:val="18"/>
                <w:color w:val="auto"/>
              </w:rPr>
              <w:t>Net assets before noncontrolling interest</w:t>
            </w: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75.0</w:t>
            </w:r>
          </w:p>
        </w:tc>
      </w:tr>
      <w:tr>
        <w:trPr>
          <w:trHeight w:val="27"/>
        </w:trPr>
        <w:tc>
          <w:tcPr>
            <w:tcW w:w="9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7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57"/>
        </w:trPr>
        <w:tc>
          <w:tcPr>
            <w:tcW w:w="9460" w:type="dxa"/>
            <w:vAlign w:val="bottom"/>
          </w:tcPr>
          <w:p>
            <w:pPr>
              <w:ind w:left="120"/>
              <w:spacing w:after="0"/>
              <w:rPr>
                <w:sz w:val="20"/>
                <w:szCs w:val="20"/>
                <w:color w:val="auto"/>
              </w:rPr>
            </w:pPr>
            <w:r>
              <w:rPr>
                <w:rFonts w:ascii="Arial" w:cs="Arial" w:eastAsia="Arial" w:hAnsi="Arial"/>
                <w:sz w:val="18"/>
                <w:szCs w:val="18"/>
                <w:color w:val="auto"/>
              </w:rPr>
              <w:t>Net assets acquired, excluding cash</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60.0</w:t>
            </w:r>
          </w:p>
        </w:tc>
      </w:tr>
      <w:tr>
        <w:trPr>
          <w:trHeight w:val="20"/>
        </w:trPr>
        <w:tc>
          <w:tcPr>
            <w:tcW w:w="9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February 27, 2019, net liabilities include $7.5 million of current liabilities. There was no contingent purchase consideration associated with the acquisition of an 80.1% majority interest in FTT. The identifiable intangible assets include customer relationships of $16.3 million with a useful life of 13 years, in-process research and development of $8.5 million that will commence amortization at the completion of the development project, backlog of $1.6 million with a useful life of 2 years, and trade name of $0.5 million with a useful life of 2 year. Any subsequent adjustments to these fair value estimates occurring during the measurement period will result in an adjustment to goodwill. The Company also established a deferred tax liability of $6.3 million for the increase in the financial statement basis of the acquired assets of FTT and a corresponding increase in goodwill. The goodwill recorded in this transaction is not expected to be tax-deductible.</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amounts of revenue and operating loss of FTT included in the Company's condensed consolidated statement of operations for the three months ended September 29, 2019 are $16.3 million and $0.7 million, respectively. The amounts of revenue and operating income of FTT included in the Company's condensed consolidated statement of operations for the nine months ended September 29, 2019 are $37.7 million and $1.0 million, respectively. Included in the merger and acquisition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99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80"/>
        </w:trPr>
        <w:tc>
          <w:tcPr>
            <w:tcW w:w="9940" w:type="dxa"/>
            <w:vAlign w:val="bottom"/>
            <w:gridSpan w:val="2"/>
          </w:tcPr>
          <w:p>
            <w:pPr>
              <w:spacing w:after="0"/>
              <w:rPr>
                <w:sz w:val="20"/>
                <w:szCs w:val="20"/>
                <w:color w:val="auto"/>
              </w:rPr>
            </w:pPr>
            <w:r>
              <w:rPr>
                <w:rFonts w:ascii="Arial" w:cs="Arial" w:eastAsia="Arial" w:hAnsi="Arial"/>
                <w:sz w:val="18"/>
                <w:szCs w:val="18"/>
                <w:color w:val="auto"/>
                <w:w w:val="94"/>
              </w:rPr>
              <w:t>expenses for the nine months ended September 29, 2019 are transaction expenses of $1.3 million related to the acquisition of FTT.</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9940" w:type="dxa"/>
            <w:vAlign w:val="bottom"/>
            <w:gridSpan w:val="2"/>
          </w:tcPr>
          <w:p>
            <w:pPr>
              <w:ind w:left="660"/>
              <w:spacing w:after="0"/>
              <w:rPr>
                <w:sz w:val="20"/>
                <w:szCs w:val="20"/>
                <w:color w:val="auto"/>
              </w:rPr>
            </w:pPr>
            <w:r>
              <w:rPr>
                <w:rFonts w:ascii="Arial" w:cs="Arial" w:eastAsia="Arial" w:hAnsi="Arial"/>
                <w:sz w:val="18"/>
                <w:szCs w:val="18"/>
                <w:color w:val="auto"/>
              </w:rPr>
              <w:t>A summary of the consideration paid for the acquired ownership in FTT is as follow:</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Deferred purchase consideration</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37"/>
        </w:trPr>
        <w:tc>
          <w:tcPr>
            <w:tcW w:w="128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63.0</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Cash acquired</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Total consideration</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r>
      <w:tr>
        <w:trPr>
          <w:trHeight w:val="20"/>
        </w:trPr>
        <w:tc>
          <w:tcPr>
            <w:tcW w:w="128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 Forma Financial Information</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following tables summarize the supplemental condensed consolidated statements of operations information on an unaudited pro forma basis as if the acquisition of FTT occurred on December 31, 2018 and include adjustments that were directly attributable to the foregoing transactions. There are no material, nonrecurring pro forma adjustments directly attributable to the business combination included in the reported pro forma revenue and earnings.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tcPr>
          <w:p>
            <w:pPr>
              <w:ind w:left="660"/>
              <w:spacing w:after="0"/>
              <w:rPr>
                <w:sz w:val="20"/>
                <w:szCs w:val="20"/>
                <w:color w:val="auto"/>
              </w:rPr>
            </w:pPr>
            <w:r>
              <w:rPr>
                <w:rFonts w:ascii="Arial" w:cs="Arial" w:eastAsia="Arial" w:hAnsi="Arial"/>
                <w:sz w:val="18"/>
                <w:szCs w:val="18"/>
                <w:color w:val="auto"/>
              </w:rPr>
              <w:t>For the nine months ended September 29, 2019 (all amounts, except per share amounts, are in millions):</w:t>
            </w: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35"/>
        </w:trPr>
        <w:tc>
          <w:tcPr>
            <w:tcW w:w="9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14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Pro forma net income before tax</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9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income</w:t>
            </w:r>
          </w:p>
        </w:tc>
        <w:tc>
          <w:tcPr>
            <w:tcW w:w="14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Pro forma net income attributable to Kratos</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9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9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Basic pro forma income per share attributable to Kratos</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0.11</w:t>
            </w:r>
          </w:p>
        </w:tc>
      </w:tr>
      <w:tr>
        <w:trPr>
          <w:trHeight w:val="27"/>
        </w:trPr>
        <w:tc>
          <w:tcPr>
            <w:tcW w:w="9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pro forma income per share attributable to Kratos</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r>
      <w:tr>
        <w:trPr>
          <w:trHeight w:val="27"/>
        </w:trPr>
        <w:tc>
          <w:tcPr>
            <w:tcW w:w="9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weighted average common shares used to calculate income per share also reflects the issuance of 1,825,406 shares of our common stock in conjunction with the acquisition. Comparable amounts for the three months ended September 29, 2019 are not presented as the results for FTT for the quarter were fully included in the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Under ASC 606 revenue is recognized when a customer obtains control of promised goods or services. The amount of revenue recognized reflects the consideration that the Company expects to be entitled to receive in exchange for these goods or services.</w:t>
      </w:r>
    </w:p>
    <w:p>
      <w:pPr>
        <w:spacing w:after="0" w:line="18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w:t>
      </w:r>
    </w:p>
    <w:p>
      <w:pPr>
        <w:ind w:right="180" w:firstLine="8"/>
        <w:spacing w:after="0" w:line="270" w:lineRule="auto"/>
        <w:tabs>
          <w:tab w:leader="none" w:pos="305"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8"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estimated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calculates revenues from remaining performance obligations as the dollar value of the remaining performance obligations on executed contracts. On September 29, 2019, the Company had approximately $608.7 million of remaining performance obligations. The Company expects to recognize approximately 27% of the remaining performance obligations as revenue in 2019, an additional 41% by 2020, and the balance thereafter.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Due to the nature of the work required to be performed on many performance obligations, the estimation of total revenue and cost at completion is complex, subject to many variables and requires significant judgment. It is common for the Company’s long-term contracts to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6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There is a Company-wide standard and disciplined quarterly Estimate at Completion (EAC) process in which management reviews the progress and execution of outstanding performance obligations.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Based on this analysis, any quarterly adjustments to net sales,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based on a performance obligation's percentage of completion. A significant change in one or more of these estimates could affect the profitability of one or more of the Company’s performance obligations. When estimates of total costs to be incurred on a performance obligation exceed total estimates of revenue to be earned, a provision for the entire loss on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performance obligation is recognized in the period the loss is determined. No adjustment on any one contract was material to the Company’s unaudited condensed consolidated financial statements for the nine-month periods ended September 29, 2019, and September 30, 2018.</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17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29, 2019</w:t>
            </w:r>
          </w:p>
        </w:tc>
        <w:tc>
          <w:tcPr>
            <w:tcW w:w="20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30, 2018</w:t>
            </w:r>
          </w:p>
        </w:tc>
        <w:tc>
          <w:tcPr>
            <w:tcW w:w="1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6"/>
                <w:szCs w:val="16"/>
                <w:b w:val="1"/>
                <w:bCs w:val="1"/>
                <w:color w:val="auto"/>
                <w:w w:val="96"/>
              </w:rPr>
              <w:t>Net Change</w:t>
            </w:r>
          </w:p>
        </w:tc>
      </w:tr>
      <w:tr>
        <w:trPr>
          <w:trHeight w:val="33"/>
        </w:trPr>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1"/>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20"/>
                <w:szCs w:val="20"/>
                <w:color w:val="auto"/>
              </w:rPr>
              <w:t>142.2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20"/>
                <w:szCs w:val="20"/>
                <w:color w:val="auto"/>
              </w:rPr>
              <w:t>135.8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20"/>
                <w:szCs w:val="20"/>
                <w:color w:val="auto"/>
              </w:rPr>
              <w:t>6.4</w:t>
            </w:r>
          </w:p>
        </w:tc>
      </w:tr>
      <w:tr>
        <w:trPr>
          <w:trHeight w:val="20"/>
        </w:trPr>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change in the balances of the Company’s contract assets and liabilities primarily results from the increases and decreases in advance payments from customers differing from the amount of revenue recognized as performance obligations were satisfied and the related billings. There were no significant impairment losses related to any receivables or contract assets arising from the Company’s contracts with customers during the nine months ended September 29, 2019. For the nine months ended September 29, 2019 and September 30, 2018 the Company recognized revenue of $26.6 million and $14.5 million, respectively, that was previously included in the beginning balance of contract liabilities.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series of tables presents the Company’s revenue disaggregated by several categories. For the majority of contracts, the customer obtains control or receives benefits as work is performed on the contract. Revenue by contract type was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29,</w:t>
            </w:r>
          </w:p>
        </w:tc>
        <w:tc>
          <w:tcPr>
            <w:tcW w:w="12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020" w:type="dxa"/>
            <w:vAlign w:val="bottom"/>
          </w:tcPr>
          <w:p>
            <w:pPr>
              <w:jc w:val="right"/>
              <w:ind w:right="53"/>
              <w:spacing w:after="0" w:line="153" w:lineRule="exact"/>
              <w:rPr>
                <w:sz w:val="20"/>
                <w:szCs w:val="20"/>
                <w:color w:val="auto"/>
              </w:rPr>
            </w:pPr>
            <w:r>
              <w:rPr>
                <w:rFonts w:ascii="Arial" w:cs="Arial" w:eastAsia="Arial" w:hAnsi="Arial"/>
                <w:sz w:val="14"/>
                <w:szCs w:val="14"/>
                <w:b w:val="1"/>
                <w:bCs w:val="1"/>
                <w:color w:val="auto"/>
                <w:w w:val="89"/>
              </w:rPr>
              <w:t>September 30,</w:t>
            </w:r>
          </w:p>
        </w:tc>
      </w:tr>
      <w:tr>
        <w:trPr>
          <w:trHeight w:val="192"/>
        </w:trPr>
        <w:tc>
          <w:tcPr>
            <w:tcW w:w="54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r>
      <w:tr>
        <w:trPr>
          <w:trHeight w:val="250"/>
        </w:trPr>
        <w:tc>
          <w:tcPr>
            <w:tcW w:w="5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200"/>
              <w:spacing w:after="0"/>
              <w:rPr>
                <w:sz w:val="20"/>
                <w:szCs w:val="20"/>
                <w:color w:val="auto"/>
              </w:rPr>
            </w:pPr>
            <w:r>
              <w:rPr>
                <w:rFonts w:ascii="Arial" w:cs="Arial" w:eastAsia="Arial" w:hAnsi="Arial"/>
                <w:sz w:val="18"/>
                <w:szCs w:val="18"/>
                <w:color w:val="auto"/>
              </w:rPr>
              <w:t>Fixed price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311.8</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plus fee</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r>
      <w:tr>
        <w:trPr>
          <w:trHeight w:val="243"/>
        </w:trPr>
        <w:tc>
          <w:tcPr>
            <w:tcW w:w="5480" w:type="dxa"/>
            <w:vAlign w:val="bottom"/>
          </w:tcPr>
          <w:p>
            <w:pPr>
              <w:ind w:left="200"/>
              <w:spacing w:after="0"/>
              <w:rPr>
                <w:sz w:val="20"/>
                <w:szCs w:val="20"/>
                <w:color w:val="auto"/>
              </w:rPr>
            </w:pPr>
            <w:r>
              <w:rPr>
                <w:rFonts w:ascii="Arial" w:cs="Arial" w:eastAsia="Arial" w:hAnsi="Arial"/>
                <w:sz w:val="18"/>
                <w:szCs w:val="18"/>
                <w:color w:val="auto"/>
              </w:rPr>
              <w:t>Time and materials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20.4</w:t>
            </w: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356.9</w:t>
            </w:r>
          </w:p>
        </w:tc>
      </w:tr>
      <w:tr>
        <w:trPr>
          <w:trHeight w:val="243"/>
        </w:trPr>
        <w:tc>
          <w:tcPr>
            <w:tcW w:w="5480" w:type="dxa"/>
            <w:vAlign w:val="bottom"/>
          </w:tcPr>
          <w:p>
            <w:pPr>
              <w:ind w:left="120"/>
              <w:spacing w:after="0"/>
              <w:rPr>
                <w:sz w:val="20"/>
                <w:szCs w:val="20"/>
                <w:color w:val="auto"/>
              </w:rPr>
            </w:pPr>
            <w:r>
              <w:rPr>
                <w:rFonts w:ascii="Arial" w:cs="Arial" w:eastAsia="Arial" w:hAnsi="Arial"/>
                <w:sz w:val="18"/>
                <w:szCs w:val="18"/>
                <w:color w:val="auto"/>
              </w:rPr>
              <w:t>Unmanned Systems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Fixed price</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w:t>
            </w:r>
          </w:p>
        </w:tc>
      </w:tr>
      <w:tr>
        <w:trPr>
          <w:trHeight w:val="243"/>
        </w:trPr>
        <w:tc>
          <w:tcPr>
            <w:tcW w:w="5480" w:type="dxa"/>
            <w:vAlign w:val="bottom"/>
          </w:tcPr>
          <w:p>
            <w:pPr>
              <w:ind w:left="200"/>
              <w:spacing w:after="0"/>
              <w:rPr>
                <w:sz w:val="20"/>
                <w:szCs w:val="20"/>
                <w:color w:val="auto"/>
              </w:rPr>
            </w:pPr>
            <w:r>
              <w:rPr>
                <w:rFonts w:ascii="Arial" w:cs="Arial" w:eastAsia="Arial" w:hAnsi="Arial"/>
                <w:sz w:val="18"/>
                <w:szCs w:val="18"/>
                <w:color w:val="auto"/>
              </w:rPr>
              <w:t>Cost plus fee</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18.5</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Time and materials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37"/>
        </w:trPr>
        <w:tc>
          <w:tcPr>
            <w:tcW w:w="5480" w:type="dxa"/>
            <w:vAlign w:val="bottom"/>
          </w:tcPr>
          <w:p>
            <w:pPr>
              <w:ind w:left="280"/>
              <w:spacing w:after="0"/>
              <w:rPr>
                <w:sz w:val="20"/>
                <w:szCs w:val="20"/>
                <w:color w:val="auto"/>
              </w:rPr>
            </w:pPr>
            <w:r>
              <w:rPr>
                <w:rFonts w:ascii="Arial" w:cs="Arial" w:eastAsia="Arial" w:hAnsi="Arial"/>
                <w:sz w:val="18"/>
                <w:szCs w:val="18"/>
                <w:color w:val="auto"/>
              </w:rPr>
              <w:t>Total Unmanned Systems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96.7</w:t>
            </w: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453.6</w:t>
            </w: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customer was as follows (in millions):</w:t>
      </w:r>
    </w:p>
    <w:p>
      <w:pPr>
        <w:spacing w:after="0" w:line="271"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29,</w:t>
            </w:r>
          </w:p>
        </w:tc>
        <w:tc>
          <w:tcPr>
            <w:tcW w:w="120" w:type="dxa"/>
            <w:vAlign w:val="bottom"/>
          </w:tcPr>
          <w:p>
            <w:pPr>
              <w:spacing w:after="0"/>
              <w:rPr>
                <w:sz w:val="13"/>
                <w:szCs w:val="13"/>
                <w:color w:val="auto"/>
              </w:rPr>
            </w:pPr>
          </w:p>
        </w:tc>
        <w:tc>
          <w:tcPr>
            <w:tcW w:w="1020" w:type="dxa"/>
            <w:vAlign w:val="bottom"/>
          </w:tcPr>
          <w:p>
            <w:pPr>
              <w:jc w:val="right"/>
              <w:ind w:right="33"/>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92"/>
        </w:trPr>
        <w:tc>
          <w:tcPr>
            <w:tcW w:w="54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54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245.3</w:t>
            </w:r>
          </w:p>
        </w:tc>
      </w:tr>
      <w:tr>
        <w:trPr>
          <w:trHeight w:val="270"/>
        </w:trPr>
        <w:tc>
          <w:tcPr>
            <w:tcW w:w="54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U.S. Commercial and other customers</w:t>
            </w: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70"/>
        </w:trPr>
        <w:tc>
          <w:tcPr>
            <w:tcW w:w="54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Commercial and other customers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5480" w:type="dxa"/>
            <w:vAlign w:val="bottom"/>
          </w:tcPr>
          <w:p>
            <w:pPr>
              <w:ind w:left="200"/>
              <w:spacing w:after="0"/>
              <w:rPr>
                <w:sz w:val="20"/>
                <w:szCs w:val="20"/>
                <w:color w:val="auto"/>
              </w:rPr>
            </w:pPr>
            <w:r>
              <w:rPr>
                <w:rFonts w:ascii="Arial" w:cs="Arial" w:eastAsia="Arial" w:hAnsi="Arial"/>
                <w:sz w:val="18"/>
                <w:szCs w:val="18"/>
                <w:color w:val="auto"/>
              </w:rPr>
              <w:t>Total Unmanned Systems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2260" w:firstLine="8"/>
        <w:spacing w:after="0" w:line="305" w:lineRule="auto"/>
        <w:tabs>
          <w:tab w:leader="none" w:pos="153" w:val="left"/>
        </w:tabs>
        <w:numPr>
          <w:ilvl w:val="0"/>
          <w:numId w:val="8"/>
        </w:numPr>
        <w:rPr>
          <w:rFonts w:ascii="Arial" w:cs="Arial" w:eastAsia="Arial" w:hAnsi="Arial"/>
          <w:sz w:val="10"/>
          <w:szCs w:val="10"/>
          <w:color w:val="auto"/>
        </w:rPr>
      </w:pPr>
      <w:r>
        <w:rPr>
          <w:rFonts w:ascii="Arial" w:cs="Arial" w:eastAsia="Arial" w:hAnsi="Arial"/>
          <w:sz w:val="15"/>
          <w:szCs w:val="15"/>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25" w:lineRule="exact"/>
        <w:rPr>
          <w:rFonts w:ascii="Arial" w:cs="Arial" w:eastAsia="Arial" w:hAnsi="Arial"/>
          <w:sz w:val="10"/>
          <w:szCs w:val="10"/>
          <w:color w:val="auto"/>
        </w:rPr>
      </w:pPr>
    </w:p>
    <w:p>
      <w:pPr>
        <w:ind w:right="2200" w:firstLine="8"/>
        <w:spacing w:after="0" w:line="278" w:lineRule="auto"/>
        <w:tabs>
          <w:tab w:leader="none" w:pos="153" w:val="left"/>
        </w:tabs>
        <w:numPr>
          <w:ilvl w:val="0"/>
          <w:numId w:val="8"/>
        </w:numPr>
        <w:rPr>
          <w:rFonts w:ascii="Arial" w:cs="Arial" w:eastAsia="Arial" w:hAnsi="Arial"/>
          <w:sz w:val="11"/>
          <w:szCs w:val="11"/>
          <w:color w:val="auto"/>
        </w:rPr>
      </w:pPr>
      <w:r>
        <w:rPr>
          <w:rFonts w:ascii="Arial" w:cs="Arial" w:eastAsia="Arial" w:hAnsi="Arial"/>
          <w:sz w:val="16"/>
          <w:szCs w:val="16"/>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The Company and the Buyer are currently in a dispute regarding the closing net working capital adjustment. The amount in dispute is approximately $8 million.</w:t>
      </w:r>
    </w:p>
    <w:p>
      <w:pPr>
        <w:sectPr>
          <w:pgSz w:w="11900" w:h="16838" w:orient="portrait"/>
          <w:cols w:equalWidth="0" w:num="1">
            <w:col w:w="11400"/>
          </w:cols>
          <w:pgMar w:left="240" w:top="125" w:right="25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25" w:right="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Including amounts received to date, the Company currently expects to receive approximately $70 million of aggregate net cash proceeds from the Transaction, after taking into account amounts to be paid by the Company pursuant to a negotiated transaction services agreement between the Company and Buyer, receipt by the Company of approximately $7.0 million in net working capital retained by the Company, and associated transaction fees and expenses, excluding the impact of the final settlement and determination of the closing net working capital adjustment. The Company currently expects that the net working capital retained by the Company will be settled in 2019 once certain legacy projects are completed and the project close-out process has been completed. Through September 29, 2019, approximately $2.4 million has been collected related to these legacy projects. The Company incurred approximately $2.7 million of transaction related costs, which was reflected in the loss from discontinued operations in the periods incurred. The Company currently expects to recognize a net break-even on the sale of the PSS business once the aggregate net proceeds described above have been collected, excluding the impact of the final settlement and determination of the closing net working capital adjustment. Any changes or adjustments to the expected net proceeds will be reflected in future periods.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2019</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Revenue and operating results for the three and nine months ended September 29, 2019 reflected the work performed in relation to tasks on the legacy projects retained by the Company. Operating results for 2018 are through the date of divestiture of June 11, 2018. Revenue and operating results for the nine months ended September 30, 2018 were impacted by approximately $1.8 million and $2.0 million, respectively, of cost adjustments on certain security system deployment projects for a mass transit authority. Transaction expenses of $0.0 million and $2.7 million primarily comprised of investment advisory fees, legal fees, and other direct transaction expenses related to the Transaction were included in </w:t>
      </w:r>
      <w:r>
        <w:rPr>
          <w:rFonts w:ascii="Arial" w:cs="Arial" w:eastAsia="Arial" w:hAnsi="Arial"/>
          <w:sz w:val="17"/>
          <w:szCs w:val="17"/>
          <w:i w:val="1"/>
          <w:iCs w:val="1"/>
          <w:color w:val="auto"/>
        </w:rPr>
        <w:t>Other (income) expense</w:t>
      </w:r>
      <w:r>
        <w:rPr>
          <w:rFonts w:ascii="Arial" w:cs="Arial" w:eastAsia="Arial" w:hAnsi="Arial"/>
          <w:sz w:val="17"/>
          <w:szCs w:val="17"/>
          <w:color w:val="auto"/>
        </w:rPr>
        <w:t xml:space="preserve"> for the three and nine months ended September 30, 2018, respectively. </w:t>
      </w:r>
      <w:r>
        <w:rPr>
          <w:rFonts w:ascii="Arial" w:cs="Arial" w:eastAsia="Arial" w:hAnsi="Arial"/>
          <w:sz w:val="17"/>
          <w:szCs w:val="17"/>
          <w:i w:val="1"/>
          <w:iCs w:val="1"/>
          <w:color w:val="auto"/>
        </w:rPr>
        <w:t>Other (income) expense</w:t>
      </w:r>
      <w:r>
        <w:rPr>
          <w:rFonts w:ascii="Arial" w:cs="Arial" w:eastAsia="Arial" w:hAnsi="Arial"/>
          <w:sz w:val="17"/>
          <w:szCs w:val="17"/>
          <w:color w:val="auto"/>
        </w:rPr>
        <w:t xml:space="preserve"> for the nine months ended September 29, 2019 includes a $3.6 million gain as a result of the release of an indemnification liability following the lapse of the statute of limitations associated with a potential tax liability that was recorded in 2015 as part of the sale of the Company’s Electronics Products Division.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assets and liabilities of discontinued operations in the accompanying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2019 and December 30, 2018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29, 2019</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41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 and unbilled receivables, net</w:t>
            </w:r>
          </w:p>
        </w:tc>
        <w:tc>
          <w:tcPr>
            <w:tcW w:w="4680" w:type="dxa"/>
            <w:vAlign w:val="bottom"/>
            <w:tcBorders>
              <w:bottom w:val="single" w:sz="8" w:color="CCEEFF"/>
            </w:tcBorders>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468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76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680" w:type="dxa"/>
            <w:vAlign w:val="bottom"/>
            <w:tcBorders>
              <w:bottom w:val="single" w:sz="8" w:color="CCEEFF"/>
            </w:tcBorders>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4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4160" w:type="dxa"/>
            <w:vAlign w:val="bottom"/>
          </w:tcPr>
          <w:p>
            <w:pPr>
              <w:spacing w:after="0"/>
              <w:rPr>
                <w:sz w:val="20"/>
                <w:szCs w:val="20"/>
                <w:color w:val="auto"/>
              </w:rPr>
            </w:pP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 of discontinued operations</w:t>
            </w:r>
          </w:p>
        </w:tc>
        <w:tc>
          <w:tcPr>
            <w:tcW w:w="468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3030"/>
              <w:spacing w:after="0"/>
              <w:rPr>
                <w:sz w:val="20"/>
                <w:szCs w:val="20"/>
                <w:color w:val="auto"/>
              </w:rPr>
            </w:pPr>
            <w:r>
              <w:rPr>
                <w:rFonts w:ascii="Arial" w:cs="Arial" w:eastAsia="Arial" w:hAnsi="Arial"/>
                <w:sz w:val="18"/>
                <w:szCs w:val="18"/>
                <w:color w:val="auto"/>
              </w:rPr>
              <w:t>15</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76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September 29, 2019 and December 30, 2018 by reportable segment are as follows (in millions):</w:t>
      </w:r>
    </w:p>
    <w:p>
      <w:pPr>
        <w:spacing w:after="0" w:line="185"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As of September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37465</wp:posOffset>
            </wp:positionV>
            <wp:extent cx="2169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Kratos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9"/>
              </w:rPr>
              <w:t>Unmanned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Government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Systems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260" w:type="dxa"/>
            <w:vAlign w:val="bottom"/>
            <w:tcBorders>
              <w:top w:val="single" w:sz="8" w:color="auto"/>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711.4</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60" w:type="dxa"/>
            <w:vAlign w:val="bottom"/>
            <w:tcBorders>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360.8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3"/>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10"/>
          </w:tcPr>
          <w:p>
            <w:pPr>
              <w:jc w:val="right"/>
              <w:ind w:right="60"/>
              <w:spacing w:after="0"/>
              <w:rPr>
                <w:sz w:val="20"/>
                <w:szCs w:val="20"/>
                <w:color w:val="auto"/>
              </w:rPr>
            </w:pPr>
            <w:r>
              <w:rPr>
                <w:rFonts w:ascii="Arial" w:cs="Arial" w:eastAsia="Arial" w:hAnsi="Arial"/>
                <w:sz w:val="16"/>
                <w:szCs w:val="16"/>
                <w:b w:val="1"/>
                <w:bCs w:val="1"/>
                <w:color w:val="auto"/>
              </w:rPr>
              <w:t>As of December 30, 2018</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Kratos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Unmanned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Government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Solutions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Systems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1"/>
              </w:rPr>
              <w:t>As of September 29, 2019</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As of December 30, 2018</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68.9</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3.7</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Indefinite-lived trade names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Consolidated amortization expense related to intangible assets subject to amortization was $1.7 million and $1.3 million for the three months ended September 29, 2019 and September 30, 2018, respectively, and $5.2 million and $4.5 million for the nine months ended September 29, 2019 and September 30, 2018,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net of progress payments, consisted of the following components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29, 2019</w:t>
            </w:r>
          </w:p>
        </w:tc>
        <w:tc>
          <w:tcPr>
            <w:tcW w:w="260" w:type="dxa"/>
            <w:vAlign w:val="bottom"/>
          </w:tcPr>
          <w:p>
            <w:pPr>
              <w:spacing w:after="0"/>
              <w:rPr>
                <w:sz w:val="18"/>
                <w:szCs w:val="18"/>
                <w:color w:val="auto"/>
              </w:rPr>
            </w:pPr>
          </w:p>
        </w:tc>
        <w:tc>
          <w:tcPr>
            <w:tcW w:w="1800" w:type="dxa"/>
            <w:vAlign w:val="bottom"/>
          </w:tcPr>
          <w:p>
            <w:pPr>
              <w:jc w:val="right"/>
              <w:ind w:right="292"/>
              <w:spacing w:after="0"/>
              <w:rPr>
                <w:sz w:val="20"/>
                <w:szCs w:val="20"/>
                <w:color w:val="auto"/>
              </w:rPr>
            </w:pPr>
            <w:r>
              <w:rPr>
                <w:rFonts w:ascii="Arial" w:cs="Arial" w:eastAsia="Arial" w:hAnsi="Arial"/>
                <w:sz w:val="16"/>
                <w:szCs w:val="16"/>
                <w:b w:val="1"/>
                <w:bCs w:val="1"/>
                <w:color w:val="auto"/>
                <w:w w:val="97"/>
              </w:rPr>
              <w:t>December 30, 2018</w:t>
            </w: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10.3</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57"/>
        </w:trPr>
        <w:tc>
          <w:tcPr>
            <w:tcW w:w="7200" w:type="dxa"/>
            <w:vAlign w:val="bottom"/>
          </w:tcPr>
          <w:p>
            <w:pPr>
              <w:ind w:left="280"/>
              <w:spacing w:after="0"/>
              <w:rPr>
                <w:sz w:val="20"/>
                <w:szCs w:val="20"/>
                <w:color w:val="auto"/>
              </w:rPr>
            </w:pPr>
            <w:r>
              <w:rPr>
                <w:rFonts w:ascii="Arial" w:cs="Arial" w:eastAsia="Arial" w:hAnsi="Arial"/>
                <w:sz w:val="18"/>
                <w:szCs w:val="18"/>
                <w:color w:val="auto"/>
              </w:rPr>
              <w:t>Total inventoried costs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46.8</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 Company calculates net income (loss) per share in accordance with FASB Accounting Standards Codification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260). </w:t>
      </w:r>
      <w:r>
        <w:rPr>
          <w:rFonts w:ascii="Arial" w:cs="Arial" w:eastAsia="Arial" w:hAnsi="Arial"/>
          <w:sz w:val="18"/>
          <w:szCs w:val="18"/>
          <w:color w:val="auto"/>
        </w:rPr>
        <w:t>Under Topic 260, basic net income (loss) per common share attributable to the Kratos shareholders is calculated by dividing net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Kratos by the weighted-average number of common shares outstanding during the reporting period. Diluted net income (loss) per common share attributable to the Kratos shareholders reflects the effects of potentially dilutive securities. The dilutive impact of potentially dilutive common shares is determined by applying the treasury stock method.</w:t>
      </w:r>
    </w:p>
    <w:p>
      <w:pPr>
        <w:spacing w:after="0" w:line="188" w:lineRule="exact"/>
        <w:rPr>
          <w:sz w:val="20"/>
          <w:szCs w:val="20"/>
          <w:color w:val="auto"/>
        </w:rPr>
      </w:pPr>
    </w:p>
    <w:p>
      <w:pPr>
        <w:jc w:val="both"/>
        <w:ind w:right="200" w:firstLine="567"/>
        <w:spacing w:after="0" w:line="264" w:lineRule="auto"/>
        <w:rPr>
          <w:sz w:val="20"/>
          <w:szCs w:val="20"/>
          <w:color w:val="auto"/>
        </w:rPr>
      </w:pPr>
      <w:r>
        <w:rPr>
          <w:rFonts w:ascii="Arial" w:cs="Arial" w:eastAsia="Arial" w:hAnsi="Arial"/>
          <w:sz w:val="18"/>
          <w:szCs w:val="18"/>
          <w:color w:val="auto"/>
        </w:rPr>
        <w:t>Shares from stock options and awards, excluded from the calculation of diluted net income (loss) per share because their inclusion would have been anti-dilutive, were 0.0 million and 0.0 million for the three and nine months ended September 29, 2019, respectively, and 0.0 million and 0.1 million for the three and nine months ended September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1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depreciable life of lease assets and leasehold improvements is limited by the expected lease term, unless there is a transfer of title or purchase option reasonably certain of exercise.</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As a result of a lease modification for its expanded facilities in Colorado, in the first quarter of 2019, the Company was required to reassess the classification of the lease which previously had been accounted for as an operating lease. This reassessment resulted in the reclassification of the operating lease to a $39.3 million finance lease.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right"/>
        <w:ind w:right="6180"/>
        <w:spacing w:after="0"/>
        <w:rPr>
          <w:sz w:val="20"/>
          <w:szCs w:val="20"/>
          <w:color w:val="auto"/>
        </w:rPr>
      </w:pPr>
      <w:r>
        <w:rPr>
          <w:rFonts w:ascii="Arial" w:cs="Arial" w:eastAsia="Arial" w:hAnsi="Arial"/>
          <w:sz w:val="18"/>
          <w:szCs w:val="18"/>
          <w:color w:val="auto"/>
        </w:rPr>
        <w:t>The components of lease expense were as follows (in millions):</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jc w:val="center"/>
        <w:ind w:left="792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31115</wp:posOffset>
            </wp:positionV>
            <wp:extent cx="1157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01"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September 29, 2019</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31115</wp:posOffset>
            </wp:positionV>
            <wp:extent cx="1157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September 29, 2019</w:t>
      </w:r>
    </w:p>
    <w:p>
      <w:pPr>
        <w:spacing w:after="0" w:line="36" w:lineRule="exact"/>
        <w:rPr>
          <w:sz w:val="20"/>
          <w:szCs w:val="20"/>
          <w:color w:val="auto"/>
        </w:rPr>
      </w:pPr>
    </w:p>
    <w:p>
      <w:pPr>
        <w:sectPr>
          <w:pgSz w:w="11900" w:h="16838" w:orient="portrait"/>
          <w:cols w:equalWidth="0" w:num="2">
            <w:col w:w="9240" w:space="660"/>
            <w:col w:w="15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right of use assets - finance leases</w:t>
            </w:r>
          </w:p>
        </w:tc>
        <w:tc>
          <w:tcPr>
            <w:tcW w:w="7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on lease liabilities - finance leases</w:t>
            </w:r>
          </w:p>
        </w:tc>
        <w:tc>
          <w:tcPr>
            <w:tcW w:w="7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 (cost resulting from lease payments)</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7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 (cost excluded from lease payments)</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7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lease cost</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660"/>
              <w:spacing w:after="0"/>
              <w:rPr>
                <w:sz w:val="20"/>
                <w:szCs w:val="20"/>
                <w:color w:val="auto"/>
              </w:rPr>
            </w:pPr>
            <w:r>
              <w:rPr>
                <w:rFonts w:ascii="Arial" w:cs="Arial" w:eastAsia="Arial" w:hAnsi="Arial"/>
                <w:sz w:val="18"/>
                <w:szCs w:val="18"/>
                <w:color w:val="auto"/>
              </w:rPr>
              <w:t>The components of leases on the balance sheet were as follows (in millions):</w:t>
            </w: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76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September 29, 2019</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20"/>
              <w:spacing w:after="0"/>
              <w:rPr>
                <w:sz w:val="20"/>
                <w:szCs w:val="20"/>
                <w:color w:val="auto"/>
              </w:rPr>
            </w:pPr>
            <w:r>
              <w:rPr>
                <w:rFonts w:ascii="Arial" w:cs="Arial" w:eastAsia="Arial" w:hAnsi="Arial"/>
                <w:sz w:val="18"/>
                <w:szCs w:val="18"/>
                <w:color w:val="auto"/>
              </w:rPr>
              <w:t>Operating lease right-of-use assets</w:t>
            </w: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Current portion of operating lease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7660" w:type="dxa"/>
            <w:vAlign w:val="bottom"/>
          </w:tcPr>
          <w:p>
            <w:pPr>
              <w:ind w:left="520"/>
              <w:spacing w:after="0"/>
              <w:rPr>
                <w:sz w:val="20"/>
                <w:szCs w:val="20"/>
                <w:color w:val="auto"/>
              </w:rPr>
            </w:pPr>
            <w:r>
              <w:rPr>
                <w:rFonts w:ascii="Arial" w:cs="Arial" w:eastAsia="Arial" w:hAnsi="Arial"/>
                <w:sz w:val="18"/>
                <w:szCs w:val="18"/>
                <w:color w:val="auto"/>
              </w:rPr>
              <w:t>Operating lease liabilities, net of current portion</w:t>
            </w: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2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7660" w:type="dxa"/>
            <w:vAlign w:val="bottom"/>
          </w:tcPr>
          <w:p>
            <w:pPr>
              <w:ind w:left="520"/>
              <w:spacing w:after="0"/>
              <w:rPr>
                <w:sz w:val="20"/>
                <w:szCs w:val="20"/>
                <w:color w:val="auto"/>
              </w:rPr>
            </w:pPr>
            <w:r>
              <w:rPr>
                <w:rFonts w:ascii="Arial" w:cs="Arial" w:eastAsia="Arial" w:hAnsi="Arial"/>
                <w:sz w:val="18"/>
                <w:szCs w:val="18"/>
                <w:color w:val="auto"/>
              </w:rPr>
              <w:t>Other long-term liabilities</w:t>
            </w: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amounts included in the measurement of lease liabilities was as follows (in millions):</w:t>
      </w:r>
    </w:p>
    <w:p>
      <w:pPr>
        <w:sectPr>
          <w:pgSz w:w="11900" w:h="16838" w:orient="portrait"/>
          <w:cols w:equalWidth="0" w:num="1">
            <w:col w:w="11420"/>
          </w:cols>
          <w:pgMar w:left="240" w:top="125" w:right="239" w:bottom="1440" w:gutter="0" w:footer="0" w:header="0"/>
          <w:type w:val="continuous"/>
        </w:sectPr>
      </w:pPr>
    </w:p>
    <w:p>
      <w:pPr>
        <w:spacing w:after="0" w:line="230" w:lineRule="exact"/>
        <w:rPr>
          <w:sz w:val="20"/>
          <w:szCs w:val="20"/>
          <w:color w:val="auto"/>
        </w:rPr>
      </w:pPr>
    </w:p>
    <w:p>
      <w:pPr>
        <w:jc w:val="center"/>
        <w:ind w:left="792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31115</wp:posOffset>
            </wp:positionV>
            <wp:extent cx="1157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01"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September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23495</wp:posOffset>
            </wp:positionV>
            <wp:extent cx="1157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31115</wp:posOffset>
            </wp:positionV>
            <wp:extent cx="1157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September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31115</wp:posOffset>
            </wp:positionV>
            <wp:extent cx="1157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9240" w:space="660"/>
            <w:col w:w="15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880" w:type="dxa"/>
            <w:vAlign w:val="bottom"/>
          </w:tcPr>
          <w:p>
            <w:pPr>
              <w:ind w:left="40"/>
              <w:spacing w:after="0"/>
              <w:rPr>
                <w:sz w:val="20"/>
                <w:szCs w:val="20"/>
                <w:color w:val="auto"/>
              </w:rPr>
            </w:pPr>
            <w:r>
              <w:rPr>
                <w:rFonts w:ascii="Arial" w:cs="Arial" w:eastAsia="Arial" w:hAnsi="Arial"/>
                <w:sz w:val="18"/>
                <w:szCs w:val="18"/>
                <w:color w:val="auto"/>
              </w:rPr>
              <w:t>Finance lease - cash paid for interest</w:t>
            </w:r>
          </w:p>
        </w:tc>
        <w:tc>
          <w:tcPr>
            <w:tcW w:w="25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8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5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 financing cash flows</w:t>
            </w:r>
          </w:p>
        </w:tc>
        <w:tc>
          <w:tcPr>
            <w:tcW w:w="25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Operating lease - operating cash flows (fixed payments)</w:t>
            </w:r>
          </w:p>
        </w:tc>
        <w:tc>
          <w:tcPr>
            <w:tcW w:w="25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8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ind w:left="660"/>
              <w:spacing w:after="0"/>
              <w:rPr>
                <w:sz w:val="20"/>
                <w:szCs w:val="20"/>
                <w:color w:val="auto"/>
              </w:rPr>
            </w:pPr>
            <w:r>
              <w:rPr>
                <w:rFonts w:ascii="Arial" w:cs="Arial" w:eastAsia="Arial" w:hAnsi="Arial"/>
                <w:sz w:val="18"/>
                <w:szCs w:val="18"/>
                <w:color w:val="auto"/>
              </w:rPr>
              <w:t>Other supplemental noncash information (in millions):</w:t>
            </w: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35"/>
        </w:trPr>
        <w:tc>
          <w:tcPr>
            <w:tcW w:w="7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29"/>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Operating lease liabilities arising from obtaining right-of-use assets, including impact of ASC 842</w:t>
            </w: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adoption</w:t>
            </w:r>
          </w:p>
        </w:tc>
        <w:tc>
          <w:tcPr>
            <w:tcW w:w="10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60.1</w:t>
            </w:r>
          </w:p>
        </w:tc>
      </w:tr>
      <w:tr>
        <w:trPr>
          <w:trHeight w:val="229"/>
        </w:trPr>
        <w:tc>
          <w:tcPr>
            <w:tcW w:w="7360" w:type="dxa"/>
            <w:vAlign w:val="bottom"/>
          </w:tcPr>
          <w:p>
            <w:pPr>
              <w:ind w:left="40"/>
              <w:spacing w:after="0"/>
              <w:rPr>
                <w:sz w:val="20"/>
                <w:szCs w:val="20"/>
                <w:color w:val="auto"/>
              </w:rPr>
            </w:pPr>
            <w:r>
              <w:rPr>
                <w:rFonts w:ascii="Arial" w:cs="Arial" w:eastAsia="Arial" w:hAnsi="Arial"/>
                <w:sz w:val="18"/>
                <w:szCs w:val="18"/>
                <w:color w:val="auto"/>
                <w:w w:val="97"/>
              </w:rPr>
              <w:t>Finance lease liabilities arising from obtaining right-of-use assets, including impact of ASC 842</w:t>
            </w: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360" w:type="dxa"/>
            <w:vAlign w:val="bottom"/>
          </w:tcPr>
          <w:p>
            <w:pPr>
              <w:ind w:left="40"/>
              <w:spacing w:after="0"/>
              <w:rPr>
                <w:sz w:val="20"/>
                <w:szCs w:val="20"/>
                <w:color w:val="auto"/>
              </w:rPr>
            </w:pPr>
            <w:r>
              <w:rPr>
                <w:rFonts w:ascii="Arial" w:cs="Arial" w:eastAsia="Arial" w:hAnsi="Arial"/>
                <w:sz w:val="18"/>
                <w:szCs w:val="18"/>
                <w:color w:val="auto"/>
              </w:rPr>
              <w:t>adoption</w:t>
            </w:r>
          </w:p>
        </w:tc>
        <w:tc>
          <w:tcPr>
            <w:tcW w:w="10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39.6</w:t>
            </w:r>
          </w:p>
        </w:tc>
      </w:tr>
      <w:tr>
        <w:trPr>
          <w:trHeight w:val="27"/>
        </w:trPr>
        <w:tc>
          <w:tcPr>
            <w:tcW w:w="7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7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1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5.79</w:t>
            </w:r>
          </w:p>
        </w:tc>
      </w:tr>
      <w:tr>
        <w:trPr>
          <w:trHeight w:val="243"/>
        </w:trPr>
        <w:tc>
          <w:tcPr>
            <w:tcW w:w="736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19.17</w:t>
            </w:r>
          </w:p>
        </w:tc>
      </w:tr>
      <w:tr>
        <w:trPr>
          <w:trHeight w:val="27"/>
        </w:trPr>
        <w:tc>
          <w:tcPr>
            <w:tcW w:w="7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7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1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736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918"/>
        </w:trPr>
        <w:tc>
          <w:tcPr>
            <w:tcW w:w="7360" w:type="dxa"/>
            <w:vAlign w:val="bottom"/>
          </w:tcPr>
          <w:p>
            <w:pPr>
              <w:ind w:left="5620"/>
              <w:spacing w:after="0"/>
              <w:rPr>
                <w:sz w:val="20"/>
                <w:szCs w:val="20"/>
                <w:color w:val="auto"/>
              </w:rPr>
            </w:pPr>
            <w:r>
              <w:rPr>
                <w:rFonts w:ascii="Arial" w:cs="Arial" w:eastAsia="Arial" w:hAnsi="Arial"/>
                <w:sz w:val="18"/>
                <w:szCs w:val="18"/>
                <w:color w:val="auto"/>
              </w:rPr>
              <w:t>18</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lease liabilities is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4"/>
          </w:tcPr>
          <w:p>
            <w:pPr>
              <w:ind w:left="140"/>
              <w:spacing w:after="0"/>
              <w:rPr>
                <w:sz w:val="20"/>
                <w:szCs w:val="20"/>
                <w:color w:val="auto"/>
              </w:rPr>
            </w:pPr>
            <w:r>
              <w:rPr>
                <w:rFonts w:ascii="Arial" w:cs="Arial" w:eastAsia="Arial" w:hAnsi="Arial"/>
                <w:sz w:val="14"/>
                <w:szCs w:val="14"/>
                <w:b w:val="1"/>
                <w:bCs w:val="1"/>
                <w:color w:val="auto"/>
              </w:rPr>
              <w:t>Operating Leases</w:t>
            </w:r>
          </w:p>
        </w:tc>
        <w:tc>
          <w:tcPr>
            <w:tcW w:w="340" w:type="dxa"/>
            <w:vAlign w:val="bottom"/>
          </w:tcPr>
          <w:p>
            <w:pPr>
              <w:spacing w:after="0"/>
              <w:rPr>
                <w:sz w:val="14"/>
                <w:szCs w:val="14"/>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Finance Leases</w:t>
            </w:r>
          </w:p>
        </w:tc>
      </w:tr>
      <w:tr>
        <w:trPr>
          <w:trHeight w:val="21"/>
        </w:trPr>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57.3</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(31.8)</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present value of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200" w:hanging="165"/>
        <w:spacing w:after="0"/>
        <w:tabs>
          <w:tab w:leader="none" w:pos="20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Excludes the nine months ended September 29, 2019.</w:t>
      </w:r>
    </w:p>
    <w:p>
      <w:pPr>
        <w:spacing w:after="0" w:line="200" w:lineRule="exact"/>
        <w:rPr>
          <w:sz w:val="20"/>
          <w:szCs w:val="20"/>
          <w:color w:val="auto"/>
        </w:rPr>
      </w:pPr>
    </w:p>
    <w:p>
      <w:pPr>
        <w:spacing w:after="0" w:line="25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Rental expense for operating leases classified under ASC 840 for the three months ended September 30, 2018 was approximately $5.3 million net of sublease income of approximately $0.8 million. Rental expense for operating leases classified under ASC 840 for the nine months ended September 30, 2018 was approximately $12.9 million net of sublease income of approximately $2.5 million. As of December 30, 2018, future minimum lease payments under operating leases, which does not include $4.3 million in sublease income on the Company’s operating leases as classified under ASC 840, were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Operating Leases</w:t>
            </w:r>
          </w:p>
        </w:tc>
      </w:tr>
      <w:tr>
        <w:trPr>
          <w:trHeight w:val="21"/>
        </w:trPr>
        <w:tc>
          <w:tcPr>
            <w:tcW w:w="9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r>
      <w:tr>
        <w:trPr>
          <w:trHeight w:val="27"/>
        </w:trPr>
        <w:tc>
          <w:tcPr>
            <w:tcW w:w="9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8.1</w:t>
            </w:r>
          </w:p>
        </w:tc>
      </w:tr>
      <w:tr>
        <w:trPr>
          <w:trHeight w:val="27"/>
        </w:trPr>
        <w:tc>
          <w:tcPr>
            <w:tcW w:w="9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63.1</w:t>
            </w:r>
          </w:p>
        </w:tc>
      </w:tr>
      <w:tr>
        <w:trPr>
          <w:trHeight w:val="27"/>
        </w:trPr>
        <w:tc>
          <w:tcPr>
            <w:tcW w:w="9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minimum lease payments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r>
      <w:tr>
        <w:trPr>
          <w:trHeight w:val="20"/>
        </w:trPr>
        <w:tc>
          <w:tcPr>
            <w:tcW w:w="9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A reconciliation of the income tax expense from continuing operations computed by applying the statutory federal income tax rate of 21% to income from continuing operations before income taxes to the provision for income taxes from continuing operations for the three and nine months ended September 29, 2019 and September 30, 2018 was as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For the Nine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6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at federal statutory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 of valuation allowance due to FTT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Nondeductible expenses and other</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Increase in reserves for uncertain tax positions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federal valuation allowance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Provision for income taxes from continuing operations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r>
      <w:tr>
        <w:trPr>
          <w:trHeight w:val="27"/>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its deferred tax assets will not be realized. In making this assessment, the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Company has concluded that negative evidence, including cumulative losses in recent years, continues to outweigh the positive evidence. Accordingly, the Company has maintained a full valuation allowance against the Company’s U.S. federal, combined state and certain foreign net deferred tax assets. However, given the Company’s more recent earnings history, management believes that there is a reasonable possibility that within the next 12 months, sufficient positive evidence may become available to allow management to reach a conclusion that a significant portion of the valuation allowance will no longer be needed. Release of valuation allowance would result in the recognition of certain deferred tax assets with a corresponding decrease to income tax expense for the period the release is recorded. The exact timing and amount of the valuation allowance release will be predicated on the basis of the level of profitability that the Company is able to actually achieve.</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9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For the nine months ended September 29, 2019, there was no impact of such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2018 the Company was notified by the Internal Revenue Service that its federal income tax return for the calendar year ending December 27, 2015 had been selected for examination. The Company is currently in the process of responding to the information requested.</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As of December 30, 2018, the Company had $17.7 million of unrecognized tax benefits that, if recognized, would impact the Company’s effective income tax rate, subject to possible offset by an increase in the deferred tax asset valuation allowance. During the nine months ended September 29, 2019, unrecognized tax benefits increased by $4.4 million relating to various current year positions.</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recognizes interest and penalties related to unrecognized tax benefits in its provision for income taxes. For the nine months ended September 29, 2019 and September 30, 2018, the Company recorded an expense for interest and penalties of $1.1 million and $0.5 million, respectively. For the nine months ended September 29, 2019 there was no material benefit recorded related to the removal of interest and penalties. For the nine months ended September 30, 2018, there was a decrease of $0.8 million for the removal of interest and penalties as a result of the disposition of PSS. The Company believes that it is reasonably possible that as much as $0.4 million of the liabilities for uncertain tax positions will expire within twelve months of September 29, 2019 due to the expiration of various applicable statutes of limitations.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Issuance of 6.5% Senior Secured Notes due 2025</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November 2017, the Company issued and sold $300 million aggregate principal amount of 6.5% Senior Secured Notes due 2025 (the “6.5% Notes”) in a private placement conducted pursuant to Rule 144A and Regulation S under the Securities Act of 1933, as amended. The Company incurred debt issuance costs of $6.6 million associated with the new 6.5% Notes. The Company utilized the net proceeds from the sale of the 6.5% Notes, as well as cash from its recent equity offering to extinguish its outstanding 7.00% Senior Secured Notes due in 2019 (the “7% Notes”). The total reacquisition price of the 7% Notes was $385.2 million, including a $12.0 million call premium, and $0.3 million of accrued interest.</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6.5% Notes and the guarantees (as set forth in the Indenture)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 (as defined below).</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6.5% Notes will be redeemable, in whole or in part, at any time on or after November 30, 2020 at the respective redemption prices specified in the Indenture. In addition, the Company may redeem up to 40% of the 6.5% Notes before November 30, 2020 with the net proceeds of certain equity offerings. The Company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the Company may redeem up to 10% of the original aggregate principal amount of the 6.5% Notes issued under the Indenture at a redemption price of 103.000% of the principal amount thereof, plus accrued and unpaid interest, to, but excluding, the date of redemption, if any. The Company may also be required to make an offer to purchase the 6.5% Notes upon a change of control and certain sales of its assets.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w:t>
      </w:r>
    </w:p>
    <w:p>
      <w:pPr>
        <w:jc w:val="both"/>
        <w:ind w:firstLine="8"/>
        <w:spacing w:after="0" w:line="281" w:lineRule="auto"/>
        <w:tabs>
          <w:tab w:leader="none" w:pos="2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w:t>
      </w:r>
    </w:p>
    <w:p>
      <w:pPr>
        <w:spacing w:after="0" w:line="1" w:lineRule="exact"/>
        <w:rPr>
          <w:rFonts w:ascii="Arial" w:cs="Arial" w:eastAsia="Arial" w:hAnsi="Arial"/>
          <w:sz w:val="16"/>
          <w:szCs w:val="16"/>
          <w:color w:val="auto"/>
        </w:rPr>
      </w:pPr>
    </w:p>
    <w:p>
      <w:pPr>
        <w:ind w:firstLine="8"/>
        <w:spacing w:after="0" w:line="323" w:lineRule="auto"/>
        <w:tabs>
          <w:tab w:leader="none" w:pos="218"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enter into agreements restricting the Company’s ability and certain of its subsidiaries’ ability to pay dividends. These covenants are subject to a number of exceptions. As of September 29, 2019, the Company was in compliance with the covenants contained in the Indenture governing the 6.5% Notes.</w:t>
      </w:r>
    </w:p>
    <w:p>
      <w:pPr>
        <w:spacing w:after="0" w:line="13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29, 2019, there was $300.0 million of 6.5% Notes outstanding.</w:t>
      </w:r>
    </w:p>
    <w:p>
      <w:pPr>
        <w:spacing w:after="0" w:line="221" w:lineRule="exact"/>
        <w:rPr>
          <w:sz w:val="20"/>
          <w:szCs w:val="20"/>
          <w:color w:val="auto"/>
        </w:rPr>
      </w:pPr>
    </w:p>
    <w:p>
      <w:pPr>
        <w:jc w:val="right"/>
        <w:ind w:left="660" w:right="9500" w:hanging="652"/>
        <w:spacing w:after="0" w:line="566" w:lineRule="auto"/>
        <w:tabs>
          <w:tab w:leader="none" w:pos="412"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Indebtedness </w:t>
      </w:r>
      <w:r>
        <w:rPr>
          <w:rFonts w:ascii="Arial" w:cs="Arial" w:eastAsia="Arial" w:hAnsi="Arial"/>
          <w:sz w:val="16"/>
          <w:szCs w:val="16"/>
          <w:i w:val="1"/>
          <w:iCs w:val="1"/>
          <w:color w:val="auto"/>
        </w:rPr>
        <w:t>Credit Agreement</w:t>
      </w:r>
    </w:p>
    <w:p>
      <w:pPr>
        <w:spacing w:after="0" w:line="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20, 2017, the Company entered into an amended and restated credit and security agreement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the Company’s accounts receivable, inventory, deposit accounts, securities accounts, cash, securities and general intangibles (other than intellectual property) and (ii) a second priority lien, junior to the lien securing the Company’s 6.5% Notes, on all of the Company’s other assets.</w:t>
      </w:r>
    </w:p>
    <w:p>
      <w:pPr>
        <w:spacing w:after="0" w:line="18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 then held eligible raw materials inventory, work-in-process inventory, and applicable reserves.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September 29, 2019,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16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measurement of a minimum fixed charge coverage ratio under the Credit Agreement was modified in November 2017 to require measurement if Excess Availability (as defined in the Credit Agreement) is less than 50% of the lesser of the borrowing base or the total commitment amount.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June 11, 2018, the Company entered into a first amendment (the “First Amendment”) to the amended and restated Credit Agreement. Among other things, the First Amendment permitted the sale of the PSS business, provided that certain conditions, including application of the proceeds in accordance with the terms of documents governing the Company’s outstanding indebtedness, were satisfied.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29, 2019, there were no borrowings outstanding on the Credit Agreement and $5.7 million was outstanding on letters of credit, resulting in net borrowing base availability of $54.2 million. The Company was in compliance with the financial covenants of the Credit Agreement and its amendments as of September 29, 2019.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September 29, 2019 and December 30, 2018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4"/>
                <w:szCs w:val="14"/>
                <w:b w:val="1"/>
                <w:bCs w:val="1"/>
                <w:color w:val="auto"/>
              </w:rPr>
              <w:t>As of September 29,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0"/>
              </w:rPr>
              <w:t>As of December 30, 2018</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Principal</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long-term debt was based upon actual trading activity (Level 1, Observable inputs -quoted prices in active markets).</w:t>
      </w:r>
    </w:p>
    <w:p>
      <w:pPr>
        <w:spacing w:after="0" w:line="248" w:lineRule="exact"/>
        <w:rPr>
          <w:sz w:val="20"/>
          <w:szCs w:val="20"/>
          <w:color w:val="auto"/>
        </w:rPr>
      </w:pPr>
    </w:p>
    <w:p>
      <w:pPr>
        <w:ind w:right="120" w:firstLine="683"/>
        <w:spacing w:after="0" w:line="302" w:lineRule="auto"/>
        <w:rPr>
          <w:sz w:val="20"/>
          <w:szCs w:val="20"/>
          <w:color w:val="auto"/>
        </w:rPr>
      </w:pPr>
      <w:r>
        <w:rPr>
          <w:rFonts w:ascii="Arial" w:cs="Arial" w:eastAsia="Arial" w:hAnsi="Arial"/>
          <w:sz w:val="16"/>
          <w:szCs w:val="16"/>
          <w:color w:val="auto"/>
        </w:rPr>
        <w:t>As of September 29, 2019, the difference between the carrying amount of $294.8 million and the principal amount of $300.0 million presented in the table above is the unamortized debt issuance costs of $5.2 million, which are being accreted to interest expense over the term of the related debt. As of December 30, 2018, the difference between the carrying amount of $294.2 million and the principal amount of $300.0 million presented in the table above is the unamortized debt issuance costs of $5.8 million, which are being accreted to interest expense over the term of the related debt.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Company operates in two reportable segments. The KGS reportable segment is comprised of an aggregation of KGS operating segments, including the microwave electronic products, satellite communications, modular systems, defense and rocket support services, and turbine technologies operating segments. The Unmanned Systems (“US”) reportable segment consists of its unmanned aerial system and unmanned ground and seaborne system businesses.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from continuing operations of the reportable business segments is reconciled to the corresponding consolidated amount. The reconciling item </w:t>
      </w:r>
      <w:r>
        <w:rPr>
          <w:rFonts w:ascii="Arial" w:cs="Arial" w:eastAsia="Arial" w:hAnsi="Arial"/>
          <w:sz w:val="17"/>
          <w:szCs w:val="17"/>
          <w:i w:val="1"/>
          <w:iCs w:val="1"/>
          <w:color w:val="auto"/>
        </w:rPr>
        <w:t>Corporate activities</w:t>
      </w:r>
      <w:r>
        <w:rPr>
          <w:rFonts w:ascii="Arial" w:cs="Arial" w:eastAsia="Arial" w:hAnsi="Arial"/>
          <w:sz w:val="17"/>
          <w:szCs w:val="17"/>
          <w:color w:val="auto"/>
        </w:rPr>
        <w:t xml:space="preserve">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reportable segments for the three and nine month periods ended September 29, 2019 and September 30, 2018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29, 2019</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29, 2019</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409.3</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Unmanned Systems product sales</w:t>
            </w: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184.1</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532.4</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Depreciation &amp; amortization:</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5620" w:type="dxa"/>
            <w:vAlign w:val="bottom"/>
          </w:tcPr>
          <w:p>
            <w:pPr>
              <w:ind w:left="380"/>
              <w:spacing w:after="0"/>
              <w:rPr>
                <w:sz w:val="20"/>
                <w:szCs w:val="20"/>
                <w:color w:val="auto"/>
              </w:rPr>
            </w:pPr>
            <w:r>
              <w:rPr>
                <w:rFonts w:ascii="Arial" w:cs="Arial" w:eastAsia="Arial" w:hAnsi="Arial"/>
                <w:sz w:val="18"/>
                <w:szCs w:val="18"/>
                <w:color w:val="auto"/>
              </w:rPr>
              <w:t>Total operating income from continuing operations</w:t>
            </w:r>
          </w:p>
        </w:tc>
        <w:tc>
          <w:tcPr>
            <w:tcW w:w="4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Corporate activities</w:t>
      </w:r>
      <w:r>
        <w:rPr>
          <w:rFonts w:ascii="Arial" w:cs="Arial" w:eastAsia="Arial" w:hAnsi="Arial"/>
          <w:sz w:val="18"/>
          <w:szCs w:val="18"/>
          <w:color w:val="auto"/>
        </w:rPr>
        <w:t xml:space="preserve"> for the three and nine months ended September 29, 2019 is $0.0 million and $1.3 million of transaction expenses, respectively, related to the acquisition of FTT.</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Redeemable Noncontrolling Interest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discussed in “Acquisition” in Note 2, in connection with the Company’s acquisition of FTT, (i) beginning in January 2024, the Holders will have an annual Put Right to sell all of the Minority Interests to the Company at a purchase price based on an assumed enterprise value of 12 times the trailing 12 months EBITDA of the Acquired Companies, subject to adjustment as set forth in the Exchange Agreement (provided, however, that following certain events, including a change of control, the Put Right will be accelerated and the Minority Interest Purchase Price will be increased to 14 times the trailing 12 months EBITDA of the Acquired Companies); and (ii) beginning in January 2025, the Company will have an annual right to purchase all of the Minority Interests from the Holders at the Minority Interest Purchase Price.</w:t>
      </w:r>
    </w:p>
    <w:p>
      <w:pPr>
        <w:spacing w:after="0" w:line="19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Rights. Adjustments to Redemption Amount will have a corresponding effect on net income per share attributable to Kratos shareholders. As of September 29, 2019, no adjustment of the carrying value of the redeemable noncontrolling interest was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Significant Customers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$126.2 million and $120.8 million, or 69% and 76% of total Kratos revenue, for the three months ended September 29, 2019 and September 30, 2018, respectively, and $377.0 million and $328.3 million, or 71% and 72% of total Kratos revenue for the nine months ended September 29, 2019 and September 30, 2018, respectively.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32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Legal and Regulatory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66"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7"/>
          <w:szCs w:val="17"/>
          <w:color w:val="auto"/>
        </w:rPr>
        <w:t>“</w:t>
      </w:r>
      <w:r>
        <w:rPr>
          <w:rFonts w:ascii="Arial" w:cs="Arial" w:eastAsia="Arial" w:hAnsi="Arial"/>
          <w:sz w:val="17"/>
          <w:szCs w:val="17"/>
          <w:i w:val="1"/>
          <w:iCs w:val="1"/>
          <w:color w:val="auto"/>
        </w:rPr>
        <w:t>DoD</w:t>
      </w:r>
      <w:r>
        <w:rPr>
          <w:rFonts w:ascii="Arial" w:cs="Arial" w:eastAsia="Arial" w:hAnsi="Arial"/>
          <w:sz w:val="17"/>
          <w:szCs w:val="17"/>
          <w:color w:val="auto"/>
        </w:rPr>
        <w:t>”)</w:t>
      </w:r>
      <w:r>
        <w:rPr>
          <w:rFonts w:ascii="Arial" w:cs="Arial" w:eastAsia="Arial" w:hAnsi="Arial"/>
          <w:sz w:val="17"/>
          <w:szCs w:val="17"/>
          <w:i w:val="1"/>
          <w:iCs w:val="1"/>
          <w:color w:val="auto"/>
        </w:rPr>
        <w:t>,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or if we cannot expand our customer base or if our products do not achieve broad acceptance which could impact our ability to achieve our anticipated level of growth;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risks related to unknown defects or errors in our products;</w:t>
      </w:r>
    </w:p>
    <w:p>
      <w:pPr>
        <w:spacing w:after="0" w:line="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and competition in the marketplace, which could reduce revenues and profit margins, as well as the additional risks and uncertainties described in this Quarterly Report, in “Item 1A-Risk Factors” of our Annual Report on Form 10-K for the fiscal year ended December 30, 2018 filed with the U.S. Securities and Exchange Commission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 on February 28, 2019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Kratos is a government contractor at the forefront of the DoD’s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Kratos’ primary focus areas are unmanned systems, space and satellite communications, microwave electronics, cyber security/warfare, training systems, missile defense, and C5ISR.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or in a secure facility. Our entire organization is focused on executing our strategy of becoming the leading technology and intellectual property based company in our industry.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2019 DoD Budget was signed into law at $720 billion on September 30, 2018. The Senate and the House of representative have agreed on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$738 billion 2020 DoD Budget baseline amount and a $741 billion 2021 DoD budget baseline amount, respectively. The final annual appropriations process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FY 2020 is not complete and currently the U.S. Government is operating under a Continuing Resolution Agreement (CRA) signed on September 27,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2019, that temporarily extends government funding through November 21, 2019. Operating under the CRA means the defense budget will stay at 2019 levels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full-year appropriations bills are passed, with no new program related contract awards, or increased funding for existing contracts typically allowed. If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prolonged CRA were to occur, this could significantly impact the Company’s expected timing for future new program or contract awards and for expected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or new production on existing programs or contracts.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Considerable uncertainty still exists regarding how future budget and program decisions will unfold, including the defense spending priorities of the Administration and Congress, what challenges budget reductions (required by the BCA and otherwise) will present for the defense industry and whether annual appropriations bills for all agencies will be enacted for FY 2020 in a timely manner, or at all. The U.S. Government, which is currently acting under a CRA, may decide to restrict new contract or program starts, face resource allocation challenges and/or place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7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17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operates in two reportable segments. The Kratos Government Solutions (“KGS”) reportable segment is comprised of an aggregation of KGS operating segments, including our microwave electronic products, space and satellite communications, training systems, modular systems, defense and rocket support services, and turbine technologies operating segments. The Unmanned Systems (“US”) reportable segment consists of our unmanned aerial system and unmanned ground and seaborne system businesses.</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Effective December 31, 2018, we adopted the requirements of ASU 2016-02, </w:t>
      </w:r>
      <w:r>
        <w:rPr>
          <w:rFonts w:ascii="Arial" w:cs="Arial" w:eastAsia="Arial" w:hAnsi="Arial"/>
          <w:sz w:val="18"/>
          <w:szCs w:val="18"/>
          <w:i w:val="1"/>
          <w:iCs w:val="1"/>
          <w:color w:val="auto"/>
        </w:rPr>
        <w:t>Leases</w:t>
      </w:r>
      <w:r>
        <w:rPr>
          <w:rFonts w:ascii="Arial" w:cs="Arial" w:eastAsia="Arial" w:hAnsi="Arial"/>
          <w:sz w:val="18"/>
          <w:szCs w:val="18"/>
          <w:color w:val="auto"/>
        </w:rPr>
        <w:t>, also referred to as</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“ASC 842”, utilizing the optional transition method, as discussed in Note 1 to the accompanying Condensed Consolidated Financial Statements. Other than the adoption of ASC 842, there have been no changes to our key financial statement concepts for the nine months ended September 29, 2019. For a complete description of our business and a discussion of our critical accounting matters, please refer to Item 7, “Management’s Discussion and Analysis of Financial Condition and Results of Operations” in the Form 10-K.</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September 29, 2019 to the Three Months Ended September 30, 2018</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three months ended September 29, 2019 and September 30, 2018 are as follows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29.0 %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9.8 %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37.2 %</w:t>
            </w:r>
          </w:p>
        </w:tc>
      </w:tr>
      <w:tr>
        <w:trPr>
          <w:trHeight w:val="297"/>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184.1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r>
      <w:tr>
        <w:trPr>
          <w:trHeight w:val="284"/>
        </w:trPr>
        <w:tc>
          <w:tcPr>
            <w:tcW w:w="5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29.0 %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15.5 %</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Revenues increased $24.7 million to $184.1 million for the three months ended September 29, 2019 from $159.4 million for the three months ended September 30, 2018. Revenues in our KGS segment increased $12.3 million due to the acquisition of FTT, which contributed approximately $16.3 million, and increases in our microwave products and modular systems businesses with aggregate increased revenue of $4.7 million, offset by reductions in our legacy government services business of $5.1 million, and reductions in our training systems business of $2.5 million related to the recent descoping of a foreign military sales contract in Saudi Arabia. Revenues in our US segment increased primarily due to increased production of the U.S. Air Force AFSAT 167 targets and our SSAT/177 aerial targets for the U.S. Navy, as well as for our 178 targets for an international customer.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sales increased $8.8 million to $113.3 million for the three months ended September 29, 2019 from $104.5 million for the three months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2018 primarily due to increased production in our US business and our modular systems business offset partially by reductions 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space and satellite business. As a percentage of total revenue, product sales were 61.5% for the three months ended September 29, 2019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65.6% for the three months ended September 30, 2018. Service revenues increased by $15.9 million to $70.8 million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29, 2019 from $54.9 million for the three months ended September 30, 2018. The increase was primarily related to work performed in our recently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acquired FTT business as well increased work in the training solutions, space and satellite communications and ballistic missile targets businesses within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KGS.</w:t>
      </w:r>
    </w:p>
    <w:p>
      <w:pPr>
        <w:spacing w:after="0" w:line="21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$20.2 million to $135.5 million for the three months ended September 29, 2019 from $115.3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September 30, 2018. The increase in cost of revenues was primarily a result of the increase in revenues discussed above.</w:t>
      </w:r>
    </w:p>
    <w:p>
      <w:pPr>
        <w:spacing w:after="0" w:line="12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Gross margin decreased to 26.4% for the three months ended September 29, 2019 from 27.7% for the three months ended September 30, 2018. Margins on services decreased to 29.1% for the three months ended September 29, 2019 from 37.5% for the three months ended September 30, 2018, due primarily to a less favorable mix of revenues, primarily in our space and satellite communications and training solutions businesses and our recently acquired FTT business. Margins on products increased to 24.7% for the three months ended September 29, 2019 from 22.5% for the three months ended September 30, 2018, primarily due to the mix of products produced. Margins in the KGS segment decreased slightly to 28.0% for the three months ended September 29, 2019 from 29.7% for the three months ended September 30, 2018. Margins in the US segment increased to 21.7% for the three months ended September 29, 2019 from 20.1% for the three months ended September 30, 2018, primarily due to a more favorable mix of products being produced during the three months ended September 29, 2019.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Selling, General and Administrative (</w:t>
      </w:r>
      <w:r>
        <w:rPr>
          <w:rFonts w:ascii="Arial" w:cs="Arial" w:eastAsia="Arial" w:hAnsi="Arial"/>
          <w:sz w:val="16"/>
          <w:szCs w:val="16"/>
          <w:color w:val="auto"/>
        </w:rPr>
        <w:t>“</w:t>
      </w:r>
      <w:r>
        <w:rPr>
          <w:rFonts w:ascii="Arial" w:cs="Arial" w:eastAsia="Arial" w:hAnsi="Arial"/>
          <w:sz w:val="16"/>
          <w:szCs w:val="16"/>
          <w:i w:val="1"/>
          <w:iCs w:val="1"/>
          <w:color w:val="auto"/>
        </w:rPr>
        <w:t>SG&amp;A</w:t>
      </w:r>
      <w:r>
        <w:rPr>
          <w:rFonts w:ascii="Arial" w:cs="Arial" w:eastAsia="Arial" w:hAnsi="Arial"/>
          <w:sz w:val="16"/>
          <w:szCs w:val="16"/>
          <w:color w:val="auto"/>
        </w:rPr>
        <w:t>”</w:t>
      </w:r>
      <w:r>
        <w:rPr>
          <w:rFonts w:ascii="Arial" w:cs="Arial" w:eastAsia="Arial" w:hAnsi="Arial"/>
          <w:sz w:val="16"/>
          <w:szCs w:val="16"/>
          <w:i w:val="1"/>
          <w:iCs w:val="1"/>
          <w:color w:val="auto"/>
        </w:rPr>
        <w:t xml:space="preserve">) Expenses. </w:t>
      </w:r>
      <w:r>
        <w:rPr>
          <w:rFonts w:ascii="Arial" w:cs="Arial" w:eastAsia="Arial" w:hAnsi="Arial"/>
          <w:sz w:val="16"/>
          <w:szCs w:val="16"/>
          <w:color w:val="auto"/>
        </w:rPr>
        <w:t>SG&amp;A expense was $32.5 million for the three months ended September 29, 2019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$29.5 million for the three months ended September 30, 2018. As a percentage of revenues, SG&amp;A decreased to 17.7% at September 29, 2019 from 18.5%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2018, which is primarily due to the leverage on the fixed SG&amp;A infrastructure as revenues have increased, as well as the impact of cost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reduction actions taken by us.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i w:val="1"/>
          <w:iCs w:val="1"/>
          <w:color w:val="auto"/>
        </w:rPr>
        <w:t>Research and Development (</w:t>
      </w:r>
      <w:r>
        <w:rPr>
          <w:rFonts w:ascii="Arial" w:cs="Arial" w:eastAsia="Arial" w:hAnsi="Arial"/>
          <w:sz w:val="17"/>
          <w:szCs w:val="17"/>
          <w:color w:val="auto"/>
        </w:rPr>
        <w:t>“</w:t>
      </w:r>
      <w:r>
        <w:rPr>
          <w:rFonts w:ascii="Arial" w:cs="Arial" w:eastAsia="Arial" w:hAnsi="Arial"/>
          <w:sz w:val="17"/>
          <w:szCs w:val="17"/>
          <w:i w:val="1"/>
          <w:iCs w:val="1"/>
          <w:color w:val="auto"/>
        </w:rPr>
        <w:t>R&amp;D</w:t>
      </w:r>
      <w:r>
        <w:rPr>
          <w:rFonts w:ascii="Arial" w:cs="Arial" w:eastAsia="Arial" w:hAnsi="Arial"/>
          <w:sz w:val="17"/>
          <w:szCs w:val="17"/>
          <w:color w:val="auto"/>
        </w:rPr>
        <w:t>”</w:t>
      </w:r>
      <w:r>
        <w:rPr>
          <w:rFonts w:ascii="Arial" w:cs="Arial" w:eastAsia="Arial" w:hAnsi="Arial"/>
          <w:sz w:val="17"/>
          <w:szCs w:val="17"/>
          <w:i w:val="1"/>
          <w:iCs w:val="1"/>
          <w:color w:val="auto"/>
        </w:rPr>
        <w:t xml:space="preserve">) Expenses. </w:t>
      </w:r>
      <w:r>
        <w:rPr>
          <w:rFonts w:ascii="Arial" w:cs="Arial" w:eastAsia="Arial" w:hAnsi="Arial"/>
          <w:sz w:val="17"/>
          <w:szCs w:val="17"/>
          <w:color w:val="auto"/>
        </w:rPr>
        <w:t>R&amp;D expenses increased $0.2 million to $4.6 million for the three months ended September 29,</w:t>
      </w:r>
      <w:r>
        <w:rPr>
          <w:rFonts w:ascii="Arial" w:cs="Arial" w:eastAsia="Arial" w:hAnsi="Arial"/>
          <w:sz w:val="17"/>
          <w:szCs w:val="17"/>
          <w:i w:val="1"/>
          <w:iCs w:val="1"/>
          <w:color w:val="auto"/>
        </w:rPr>
        <w:t xml:space="preserve"> </w:t>
      </w:r>
      <w:r>
        <w:rPr>
          <w:rFonts w:ascii="Arial" w:cs="Arial" w:eastAsia="Arial" w:hAnsi="Arial"/>
          <w:sz w:val="17"/>
          <w:szCs w:val="17"/>
          <w:color w:val="auto"/>
        </w:rPr>
        <w:t>2019 from $4.4 million for the three months ended September 30, 2018, with the primary increases in our space and satellite communications business. As a percentage of revenues, R&amp;D decreased to 2.5% for the three months ended September 29, 2019 from 2.8% for the three months ended September 30, 2018. R&amp;D expenditures are primarily related to investments we are making in conjunction with our customers, with the objectives of our products being the new platform for or “designed-in” to certain new long-term program opportunities and our ownership of certain intellectual property rights for products that support these programs as well as technology upgrades and refresh activities that are necessary for the next generation of our existing product lines specifically in our space and satellite communications business.</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Restructuring expenses and other for the three months ended September 29, 2019 was $0.1 million of income and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2018 was $0.1 million of expense.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Total Other Expense, Net. </w:t>
      </w:r>
      <w:r>
        <w:rPr>
          <w:rFonts w:ascii="Arial" w:cs="Arial" w:eastAsia="Arial" w:hAnsi="Arial"/>
          <w:sz w:val="18"/>
          <w:szCs w:val="18"/>
          <w:color w:val="auto"/>
        </w:rPr>
        <w:t>Total other expense, net increased to $6.1 million from $5.3 million for the three months ended September 29,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respectively, primarily as a result of increased interest expense of $0.6 million related to financial type lease liabilities and an increase of $0.5 million related to foreign transaction gains and losses.</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Provision for Income Taxes from Continuing Operations. </w:t>
      </w:r>
      <w:r>
        <w:rPr>
          <w:rFonts w:ascii="Arial" w:cs="Arial" w:eastAsia="Arial" w:hAnsi="Arial"/>
          <w:sz w:val="18"/>
          <w:szCs w:val="18"/>
          <w:color w:val="auto"/>
        </w:rPr>
        <w:t>Income tax expense from continuing operations for the three months ended September 29,</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September 30, 2018 was $2.8 million and $3.4 million, respectively. For the three months ended September 29, 2019 and September 30, 2018, the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The income from discontinued operations was $0.0 million for the three months ended September 29,</w:t>
      </w:r>
      <w:r>
        <w:rPr>
          <w:rFonts w:ascii="Arial" w:cs="Arial" w:eastAsia="Arial" w:hAnsi="Arial"/>
          <w:sz w:val="18"/>
          <w:szCs w:val="18"/>
          <w:i w:val="1"/>
          <w:iCs w:val="1"/>
          <w:color w:val="auto"/>
        </w:rPr>
        <w:t xml:space="preserve"> </w:t>
      </w:r>
      <w:r>
        <w:rPr>
          <w:rFonts w:ascii="Arial" w:cs="Arial" w:eastAsia="Arial" w:hAnsi="Arial"/>
          <w:sz w:val="18"/>
          <w:szCs w:val="18"/>
          <w:color w:val="auto"/>
        </w:rPr>
        <w:t>2019, primarily reflecting the work performed in relation to outstanding tasks on legacy projects retained by us following the sale of the PSS business. The income from discontinued operations was $0.3 million for the three months ended September 30, 2018.</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Nine Months Ended September 29, 2019 to the Nine Months Ended September 30, 2018</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nine months ended September 29, 2019 and September 30, 2018 are as follows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59.2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40.0 %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409.3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14.7 %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27.3 %</w:t>
            </w:r>
          </w:p>
        </w:tc>
      </w:tr>
      <w:tr>
        <w:trPr>
          <w:trHeight w:val="297"/>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532.4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453.6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r>
      <w:tr>
        <w:trPr>
          <w:trHeight w:val="284"/>
        </w:trPr>
        <w:tc>
          <w:tcPr>
            <w:tcW w:w="5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59.2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40.0 %</w:t>
            </w: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532.4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453.6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17.4 %</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Revenues increased $78.8 million to $532.4 million for the nine months ended September 29, 2019 from $453.6 million for the nine months ended September 30, 2018. Revenues in our KGS segment increased $52.4 million due to the recent FTT acquisition which contributed $37.7 million, along with increases in our satellite communications, modular systems, training systems and our ballistic missile target businesses which contributed increased revenues of $27.6 million, partially offset by reductions of approximately $8.5 million resulting from reduced revenues in our legacy government services business which has been impacted by continued commoditization and price competitiveness in the government services industry due to contract awards on a lowest price technically acceptable basis rather than on a best value basis. Revenues in our US segment increased due to increased execution on low rate initial production of our SSAT/177 aerial targets for the U.S. Navy, production on our AFSAT 167 aerial targets for the U.S. Air Force and low rate initial production on other programs, which resulted in increased revenues of $23.2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Product sales increased $19.6 million to $325.3 million for the nine months ended September 29, 2019 from $305.7 million for the nine months ended September 30, 2018, primarily as a result of increased production activity in our US segment and our modular systems business offset partially by reductions in our space and satellite business. As a percentage of total revenue, product sales were 61.1% for the nine months ended September 29, 2019 as compared to 67.4% for the nine months ended September 30, 2018. Service revenues increased by $59.2 million to $207.1 million for the nine months ended September 29, 2019 from $147.9 million for the nine months ended September 30, 2018. The increase was primarily related to work performed in our recently acquired FTT business as well increased work in the training solutions, space and satellite communications and ballistic missile targets businesses within KGS.</w:t>
      </w:r>
    </w:p>
    <w:p>
      <w:pPr>
        <w:spacing w:after="0" w:line="18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$61.4 million to $390.8 million for the nine months ended September 29, 2019 from $329.4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30, 2018. The increase in cost of revenues was primarily a result of the revenue changes discussed above.</w:t>
      </w:r>
    </w:p>
    <w:p>
      <w:pPr>
        <w:spacing w:after="0" w:line="12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Gross margin decreased to 26.6% for the nine months ended September 29, 2019 from 27.4% for the nine months ended September 30, 2018. Margins on services decreased to 31.0% for the nine months ended September 29, 2019 from 32.1% for the nine months ended September 30, 2018. Margins on product sales decreased to 23.8% for the nine months ended September 29, 2019 from 25.1% for the nine months ended September 30, 2018, primarily due to the mix of products. Margins in the KGS segment decreased to 28.5% for the nine months ended September 29, 2019 from 29.0% for the nine months ended September 30, 2018. Margins in the US segment decreased to 20.4% for the nine months ended September 29, 2019 from 21.3% for the nine months ended September 30, 2018, primarily due to a less favorable mix of products produced and shipped during the nine months ended September 29, 2019.</w:t>
      </w:r>
    </w:p>
    <w:p>
      <w:pPr>
        <w:spacing w:after="0" w:line="16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SG&amp;A Expenses. </w:t>
      </w:r>
      <w:r>
        <w:rPr>
          <w:rFonts w:ascii="Arial" w:cs="Arial" w:eastAsia="Arial" w:hAnsi="Arial"/>
          <w:sz w:val="16"/>
          <w:szCs w:val="16"/>
          <w:color w:val="auto"/>
        </w:rPr>
        <w:t>SG&amp;A expense was $97.7 million for the nine months ended September 29, 2019 and $89.4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As a percentage of revenues, SG&amp;A decreased to 18.4% at September 29, 2019 from 19.7% at September 30, 2018, which is primarily due to the leverage on the fixed SG&amp;A infrastructure as revenues have increased, as well as the impact of cost reduction actions taken by us.</w:t>
      </w:r>
    </w:p>
    <w:p>
      <w:pPr>
        <w:spacing w:after="0" w:line="14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 xml:space="preserve">R&amp;D Expenses. </w:t>
      </w:r>
      <w:r>
        <w:rPr>
          <w:rFonts w:ascii="Arial" w:cs="Arial" w:eastAsia="Arial" w:hAnsi="Arial"/>
          <w:sz w:val="17"/>
          <w:szCs w:val="17"/>
          <w:color w:val="auto"/>
        </w:rPr>
        <w:t>R&amp;D expenses were $13.0 million for the nine months ended September 29, 2019 and $11.6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As a percentage of revenues, R&amp;D decreased to 2.4% for the nine months ended September 29, 2019 from 2.6% for the nine months ended September 30, 2018. R&amp;D expenditures are primarily related to investments we are making in conjunction with our customers, with our objectives for our products being the new platform for or “designed-in” to certain new long-term program opportunities and our ownership of certain intellectual property rights for products that support these programs as well as technology upgrades and refresh activities that are necessary for the next generation of our existing product lines specifically in our space and satellite communications business.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The expense of $0.3 million for the nine months ended September 29, 2019 was primarily due to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costs related to personnel reduction actions taken during the year. The expense of $3.5 million for the nine months ended September 30, 2018 was primarily due to a litigation settlement of $2.3 million, related legal costs of approximately $0.5 million and employee termination costs of approximately $0.7 million related to personnel reduction actions taken in 2018.</w:t>
      </w:r>
    </w:p>
    <w:p>
      <w:pPr>
        <w:spacing w:after="0" w:line="18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i w:val="1"/>
          <w:iCs w:val="1"/>
          <w:color w:val="auto"/>
        </w:rPr>
        <w:t xml:space="preserve">Total Other Expense, Net. </w:t>
      </w:r>
      <w:r>
        <w:rPr>
          <w:rFonts w:ascii="Arial" w:cs="Arial" w:eastAsia="Arial" w:hAnsi="Arial"/>
          <w:sz w:val="18"/>
          <w:szCs w:val="18"/>
          <w:color w:val="auto"/>
        </w:rPr>
        <w:t>Total other expense, net, increased to $17.3 million from $16.4 million for the nine months ended September 29,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September 30, 2018, respectively, primarily as a result of increased interest expense of $1.2 million related to finance type lease liabilities and a $0.7 million increase related to foreign transaction gains and losses</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Provision for Income Taxes from Continuing Operations. </w:t>
      </w:r>
      <w:r>
        <w:rPr>
          <w:rFonts w:ascii="Arial" w:cs="Arial" w:eastAsia="Arial" w:hAnsi="Arial"/>
          <w:sz w:val="18"/>
          <w:szCs w:val="18"/>
          <w:color w:val="auto"/>
        </w:rPr>
        <w:t>Income tax expense from continuing operations for the nine months ended September 29,</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September 30, 2018 was $3.8 million and $4.4 million, respectively. For the nine months ended September 29, 2019 and September 30, 2018, the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w:t>
      </w:r>
    </w:p>
    <w:p>
      <w:pPr>
        <w:spacing w:after="0" w:line="188" w:lineRule="exact"/>
        <w:rPr>
          <w:sz w:val="20"/>
          <w:szCs w:val="20"/>
          <w:color w:val="auto"/>
        </w:rPr>
      </w:pPr>
    </w:p>
    <w:p>
      <w:pPr>
        <w:ind w:right="80" w:firstLine="693"/>
        <w:spacing w:after="0" w:line="297"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The income from discontinued operations was $2.4 million for the nine months ended September 29,</w:t>
      </w:r>
      <w:r>
        <w:rPr>
          <w:rFonts w:ascii="Arial" w:cs="Arial" w:eastAsia="Arial" w:hAnsi="Arial"/>
          <w:sz w:val="16"/>
          <w:szCs w:val="16"/>
          <w:i w:val="1"/>
          <w:iCs w:val="1"/>
          <w:color w:val="auto"/>
        </w:rPr>
        <w:t xml:space="preserve"> </w:t>
      </w:r>
      <w:r>
        <w:rPr>
          <w:rFonts w:ascii="Arial" w:cs="Arial" w:eastAsia="Arial" w:hAnsi="Arial"/>
          <w:sz w:val="16"/>
          <w:szCs w:val="16"/>
          <w:color w:val="auto"/>
        </w:rPr>
        <w:t>2019, and includes a $3.6 million gain as a result of the release of an indemnification liability following the lapse of the statute of limitations associated with a potential tax liability that was recorded in 2015 as part of the previous sale of our Electronics Products Division. This gain was offset by a loss of $1.2 million from operating activities primarily reflecting the work performed in relation to outstanding tasks on legacy projects retained by us following the sale of the PSS business and legal expenses related to the closing net working capital dispute with the buyer of the PSS business.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loss from discontinued operations was $7.1 million for the nine months ended September 30, 2018 which includes a loss of $6.4 million from operating activities through the completion of the disposition of the PSS business and approximately $2.7 million of transaction-related expenses related to the disposition.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On September 29, 2019, we had approximately $608.7 million of total backlog, of which $518.7 million was funded. We expect to recognize approximately 27% of the remaining total backlog as revenue in 2019, an additional 41% by 2020 and the balance thereafter. Our comparable total backlog balance as of September 30, 2018, was approximately $571.7 million of which $528.1 million was funded.</w:t>
      </w:r>
    </w:p>
    <w:p>
      <w:pPr>
        <w:spacing w:after="0" w:line="18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its backlog until a related contract award is received.</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As of September 29, 2019, we had cash and cash equivalents of $181.0 million compared with cash and cash equivalents of $182.7 million as of December 30, 2018, which includes $23.6 million and $12.0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Our total long-term debt, including principal due on our 6.5% Notes (as defined below), increased from $294.2 million at December 30, 2018 to $294.8 million at September 29, 2019, due to the amortization of the discount on our 6.5% Notes and the amortization of deferred financing costs.</w:t>
      </w:r>
    </w:p>
    <w:p>
      <w:pPr>
        <w:spacing w:after="0" w:line="124"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use our operating cash flow to finance trade accounts receivable, fund necessary increases in inventory, fund capital expenditures, our internal research and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from 140 days as of December 30, 2018 to 119 days at September 29, 2019, primarily as a result of certain contractual billing milestones which have been achieved and collected.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 We are currently in dispute with an international customer in our US segment over approximately $11.2 million in unbilled receivables outstanding as of September 29, 2019. The dispute concerns the completion of flight requirements and contractual milestones.</w:t>
      </w:r>
    </w:p>
    <w:p>
      <w:pPr>
        <w:spacing w:after="0" w:line="16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spacing w:after="0"/>
              <w:rPr>
                <w:sz w:val="22"/>
                <w:szCs w:val="22"/>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29, 2019</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85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46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46.2</w:t>
            </w:r>
          </w:p>
        </w:tc>
      </w:tr>
      <w:tr>
        <w:trPr>
          <w:trHeight w:val="27"/>
        </w:trPr>
        <w:tc>
          <w:tcPr>
            <w:tcW w:w="8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35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Net cash provided by operating activities from continuing operations for the nine months ended September 29, 2019 was positively impacted by increased operating income as compared to the nine months ended September 30, 2018, as well as changes in working capital accounts.</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Net cash used in investing activities from continuing operations for the nine months ended September 29, 2019 is comprised of the acquisition of FTT and capital expenditures, which consist primarily of investments in machinery, computer hardware and software and improvement of our physical properties in order to maintain suitable conditions in which to conduct our business. Net cash provided by investing activities from continuing operations for the nine months ended September 30, 2018 was positively impacted by the approximately $66.7 million net proceeds, net of related transaction expenses, received from the disposition of our PSS business unit. These proceeds were partially offset by capital expenditures of $17.9 million, which consist primarily of investments in machinery, computer hardware and software and improvement of our physical properties in order to maintain suitable conditions in which to conduct our business. During the nine months ended September 29, 2019, capital expenditures of approximately $10.4 million were incurred in our US business, primarily related to our unmanned combat target initiative. We expect our capital expenditures for FY 2019 to continue to be significant for investments we are making in our US business totaling approximately $14 to $16 million, including approximately $6 to $8 million for capital aerial targets and related support equipment and tooling that we are building and approximately $6 to $8 million related to investments we are making to build-out our new Oklahoma manufacturing facility and a new secured facility for our US business.</w:t>
      </w:r>
    </w:p>
    <w:p>
      <w:pPr>
        <w:spacing w:after="0" w:line="183"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Net cash provided by financing activities from continuing operations was $2.6 million for the nine months ended September 29, 2019. Net cash provided by financing activities from continuing operations was $1.7 million for the nine months ended September 30, 2018.</w:t>
      </w:r>
    </w:p>
    <w:p>
      <w:pPr>
        <w:spacing w:after="0" w:line="14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operating cash flows from discontinued operations for the nine months ended September 29, 2019 and September 30, 2018 is substantially related to the discontinued operations of our PSS business unit. During the nine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ended September 29, 2019, approximately $2.4 million was collected on amounts due related to the legacy projects retained by us. The operating cash flows from discontinued operations for the nine months ended September 30, 2018 includes the payment of approximately $2.5 million to the buyer of the PSS business pursuant to a negotiated transaction services agreement as well as transaction expenses incurred related to the divestiture of the PSS business and legal expenses we have incurred related to the dispute on the closing net working capital adjustment with the buyer of our PSS business unit.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6.5% Senior Secured Notes due 2025</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November 2017, we issued and sold $300 million aggregate principal amount of 6.5% Senior Secured Notes due 2025 (the “6.5% Notes”) in a private placement conducted pursuant to Rule 144A and Regulation S under the Securities Act of 1933, as amended. We incurred debt issuance costs of $6.6 million associated with the new 6.5% Notes. We utilized the net proceeds from the sale of the 6.5% Notes, as well as cash from its recent equity offering to extinguish its outstanding 7.00% Senior Secured Notes due in 2019 (the “7% Notes”). The total reacquisition price of the 7% Notes was $385.2 million, including a $12.0 million call premium, and $0.3 million of accrued interest.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(as defined in the Indenture); (c) we exercise our legal defeasance option or our covenant defeasance option; or (d) upon satisfaction and discharge of the Indenture or payment in full in cash of the principal of, premium, if any, and accrued and unpaid interest on the 6.5% Notes.</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6.5% Notes and the guarantees (as set forth in the Indenture)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 (as defined below).</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6.5% Notes will be redeemable, in whole or in part, at any time on or after November 30, 2020 at the respective redemption prices specified in the Indenture. In addition, we may redeem up to 40% of the 6.5% Notes before November 30, 2020 with the net proceeds of certain equity offerings. We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we may redeem up to 10% of the original aggregate principal amount of the 6.5% Notes issued under the Indenture at a redemption price of 103.000% of the principal amount thereof, plus accrued and unpaid interest, to, but excluding, the date of redemption, if any. We may also be required to make an offer to purchase the 6.5% Notes upon a change of control and certain sales of its assets.</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Indenture contains covenants limiting, among other things, our ability and the Subsidiary Guarantors’ ability to: (a) pay dividends on or make distributions or repurchase or redeem our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 our ability and certain of its subsidiaries’ ability to pay dividends. These covenants are subject to a number of exceptions. As of September 29, 2019, we were in compliance with the covenants contained in the Indenture governing the 6.5% Notes.</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combination of (i), (ii) and (iii). To the extent there are any remaining net proceeds from the asset disposition after application of (i), (ii) and (iii), such amounts are required to be utilized to repurchase the 6.5% Notes at par.</w:t>
      </w:r>
    </w:p>
    <w:p>
      <w:pPr>
        <w:spacing w:after="0" w:line="170"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29, 2019, there was $300.0 million of 6.5% Notes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20, 2017, we entered into an amended and restated credit and security agreement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our accounts receivable, inventory, deposit accounts, securities accounts, cash, securities and general intangibles (other than intellectual property)and (ii) a second priority lien, junior to the lien securing our 6.5% Notes, on all of our other assets.</w:t>
      </w:r>
    </w:p>
    <w:p>
      <w:pPr>
        <w:spacing w:after="0" w:line="19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 then held eligible raw materials inventory, work-in-process inventory, and applicable reserves.</w:t>
      </w:r>
    </w:p>
    <w:p>
      <w:pPr>
        <w:spacing w:after="0" w:line="16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Credit Agreement contains certain covenants, which include, but are not limited to, restrictions on indebtedness, 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us or any of our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September 29, 2019, no event of default had occurred and we believe that events or conditions having a material adverse effect, giving rise to an acceleration of any amounts outstanding under the Credit Agreement, have not occurred and the likelihood of such events or conditions occurring is remote.</w:t>
      </w:r>
    </w:p>
    <w:p>
      <w:pPr>
        <w:spacing w:after="0" w:line="183"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measurement of a minimum fixed charge coverage ratio under the Credit Agreement was modified in November 2017 to require measurement if Excess Availability (as defined in the Credit Agreement) is less than 50% of the lesser of the borrowing base or the total commitment amount.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June 11, 2018, we entered into a first amendment (the “First Amendment”) to the amended and restated Credit Agreement. Among other things, the First Amendment permitted the sale of the PSS business, provided that certain conditions, including application of the proceeds in accordance with the terms of documents governing our outstanding indebtedness, were satisfied.</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of September 29, 2019, there were no borrowings outstanding on the Credit Agreement and $5.7 million was outstanding on letters of credit, resulting in net borrowing base availability of $54.2 million. We were in compliance with the financial covenants of the Credit Agreement and its amendments as of September 29,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discussed in 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Effective December 31, 2018, we adopted the requirements of ASC 842 utilizing the optional transition method as discussed in Note 1 to the accompanying Condensed Consolidated Financial Statements. Other than the adoption of ASC 842, there have been no significant changes to our “Critical Accounting Policies or Estimates” as compared to the significant accounting policies described in the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Since December 30, 2018,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Officer, of the effectiveness of the design and operation of our disclosure controls and procedures as of the end of the period covered by this report.</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September 29,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September 29, 2019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5"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See Note 14 of the Notes to the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There have been no material changes in our risk factors as previously disclosed in the Form 10-K during the period covered by this Quarterly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40" w:type="dxa"/>
            <w:vAlign w:val="bottom"/>
            <w:gridSpan w:val="26"/>
            <w:vMerge w:val="restart"/>
          </w:tcPr>
          <w:p>
            <w:pPr>
              <w:ind w:left="7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40" w:type="dxa"/>
            <w:vAlign w:val="bottom"/>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6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0" w:type="dxa"/>
            <w:vAlign w:val="bottom"/>
            <w:tcBorders>
              <w:top w:val="single" w:sz="8" w:color="auto"/>
            </w:tcBorders>
            <w:gridSpan w:val="27"/>
          </w:tcPr>
          <w:p>
            <w:pPr>
              <w:spacing w:after="0" w:line="202" w:lineRule="exact"/>
              <w:rPr>
                <w:rFonts w:ascii="Arial" w:cs="Arial" w:eastAsia="Arial" w:hAnsi="Arial"/>
                <w:sz w:val="18"/>
                <w:szCs w:val="18"/>
                <w:color w:val="0000FF"/>
                <w:w w:val="96"/>
              </w:rPr>
            </w:pPr>
            <w:hyperlink r:id="rId25">
              <w:r>
                <w:rPr>
                  <w:rFonts w:ascii="Arial" w:cs="Arial" w:eastAsia="Arial" w:hAnsi="Arial"/>
                  <w:sz w:val="18"/>
                  <w:szCs w:val="18"/>
                  <w:color w:val="0000FF"/>
                  <w:w w:val="96"/>
                </w:rPr>
                <w:t>Stock Purchase Agreement, dated February 28, 2018,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among Kratos Defense &amp; Security Solutions, Inc., Kratos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Public Safety &amp; Security Solutions, Inc. and Securitas</w:t>
              </w:r>
            </w:hyperlink>
          </w:p>
        </w:tc>
        <w:tc>
          <w:tcPr>
            <w:tcW w:w="220" w:type="dxa"/>
            <w:vAlign w:val="bottom"/>
            <w:tcBorders>
              <w:top w:val="single" w:sz="8" w:color="0000FF"/>
            </w:tcBorders>
            <w:gridSpan w:val="5"/>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Electronic Security,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FF"/>
                <w:w w:val="94"/>
              </w:rPr>
            </w:pPr>
            <w:hyperlink r:id="rId26">
              <w:r>
                <w:rPr>
                  <w:rFonts w:ascii="Arial" w:cs="Arial" w:eastAsia="Arial" w:hAnsi="Arial"/>
                  <w:sz w:val="18"/>
                  <w:szCs w:val="18"/>
                  <w:color w:val="0000FF"/>
                  <w:w w:val="94"/>
                </w:rPr>
                <w:t>Purchase Agreement, dated February 27, 2019, by and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among Kratos Defense &amp; Security Solutions, Inc.,</w:t>
              </w:r>
            </w:hyperlink>
          </w:p>
        </w:tc>
        <w:tc>
          <w:tcPr>
            <w:tcW w:w="300" w:type="dxa"/>
            <w:vAlign w:val="bottom"/>
            <w:tcBorders>
              <w:top w:val="single" w:sz="8" w:color="0000FF"/>
            </w:tcBorders>
            <w:gridSpan w:val="8"/>
          </w:tcPr>
          <w:p>
            <w:pPr>
              <w:spacing w:after="0"/>
              <w:rPr>
                <w:sz w:val="17"/>
                <w:szCs w:val="17"/>
                <w:color w:val="auto"/>
              </w:rPr>
            </w:pP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Shirley Brostmeyer, (“SB”), Joseph Brostmeyer (“JB”),</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26">
              <w:r>
                <w:rPr>
                  <w:rFonts w:ascii="Arial" w:cs="Arial" w:eastAsia="Arial" w:hAnsi="Arial"/>
                  <w:sz w:val="18"/>
                  <w:szCs w:val="18"/>
                  <w:color w:val="0000FF"/>
                  <w:w w:val="89"/>
                </w:rPr>
                <w:t>certain trusts established by SB, JB and members of their</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Arial" w:cs="Arial" w:eastAsia="Arial" w:hAnsi="Arial"/>
                <w:sz w:val="18"/>
                <w:szCs w:val="18"/>
                <w:color w:val="0000FF"/>
                <w:w w:val="88"/>
              </w:rPr>
            </w:pPr>
            <w:hyperlink r:id="rId26">
              <w:r>
                <w:rPr>
                  <w:rFonts w:ascii="Arial" w:cs="Arial" w:eastAsia="Arial" w:hAnsi="Arial"/>
                  <w:sz w:val="18"/>
                  <w:szCs w:val="18"/>
                  <w:color w:val="0000FF"/>
                  <w:w w:val="88"/>
                </w:rPr>
                <w:t>immediate family, and JB, as the Sellers Representative.</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Borders>
              <w:bottom w:val="single" w:sz="8" w:color="0000FF"/>
            </w:tcBorders>
            <w:gridSpan w:val="20"/>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Amended and Restated Certificate of Incorporation of</w:t>
              </w:r>
            </w:hyperlink>
          </w:p>
        </w:tc>
        <w:tc>
          <w:tcPr>
            <w:tcW w:w="3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Kratos Defense &amp; Security Solutions, Inc., as amended.</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0000FF"/>
            </w:tcBorders>
            <w:gridSpan w:val="12"/>
          </w:tcPr>
          <w:p>
            <w:pPr>
              <w:spacing w:after="0"/>
              <w:rPr>
                <w:rFonts w:ascii="Arial" w:cs="Arial" w:eastAsia="Arial" w:hAnsi="Arial"/>
                <w:sz w:val="18"/>
                <w:szCs w:val="18"/>
                <w:color w:val="0000FF"/>
                <w:w w:val="89"/>
              </w:rPr>
            </w:pPr>
            <w:hyperlink r:id="rId28">
              <w:r>
                <w:rPr>
                  <w:rFonts w:ascii="Arial" w:cs="Arial" w:eastAsia="Arial" w:hAnsi="Arial"/>
                  <w:sz w:val="18"/>
                  <w:szCs w:val="18"/>
                  <w:color w:val="0000FF"/>
                  <w:w w:val="89"/>
                </w:rPr>
                <w:t>Second Amended and Restated Bylaws of Kratos</w:t>
              </w:r>
            </w:hyperlink>
          </w:p>
        </w:tc>
        <w:tc>
          <w:tcPr>
            <w:tcW w:w="64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Defense &amp; Security Solutions, Inc., as amended.</w:t>
              </w:r>
            </w:hyperlink>
          </w:p>
        </w:tc>
        <w:tc>
          <w:tcPr>
            <w:tcW w:w="7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Borders>
              <w:bottom w:val="single" w:sz="8" w:color="0000FF"/>
            </w:tcBorders>
            <w:gridSpan w:val="3"/>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Specimen Stock Certificate.</w:t>
              </w:r>
            </w:hyperlink>
          </w:p>
        </w:tc>
        <w:tc>
          <w:tcPr>
            <w:tcW w:w="2180" w:type="dxa"/>
            <w:vAlign w:val="bottom"/>
            <w:gridSpan w:val="24"/>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27"/>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Indenture, dated as of November 20, 2017, among Kratos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Defense &amp; Security Solutions, Inc., as Issuer, the</w:t>
              </w:r>
            </w:hyperlink>
          </w:p>
        </w:tc>
        <w:tc>
          <w:tcPr>
            <w:tcW w:w="600" w:type="dxa"/>
            <w:vAlign w:val="bottom"/>
            <w:tcBorders>
              <w:top w:val="single" w:sz="8" w:color="0000FF"/>
            </w:tcBorders>
            <w:gridSpan w:val="15"/>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Guarantors party thereto, and Wilmington Trust, National</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Association, as Trustee and Collateral Agent.</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First Supplemental Indenture, dated as of December 21,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w w:val="94"/>
              </w:rPr>
            </w:pPr>
            <w:hyperlink r:id="rId31">
              <w:r>
                <w:rPr>
                  <w:rFonts w:ascii="Arial" w:cs="Arial" w:eastAsia="Arial" w:hAnsi="Arial"/>
                  <w:sz w:val="18"/>
                  <w:szCs w:val="18"/>
                  <w:color w:val="0000FF"/>
                  <w:w w:val="94"/>
                </w:rPr>
                <w:t>2017, among Kratos Defense &amp; Security Solutions,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25"/>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as Issuer, the Guarantor as party thereto, and Wilmington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Trust, National Association, as Trustee.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Chief Executive Officer pursuant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0000FF"/>
            </w:tcBorders>
            <w:gridSpan w:val="16"/>
          </w:tcPr>
          <w:p>
            <w:pPr>
              <w:spacing w:after="0" w:line="196" w:lineRule="exact"/>
              <w:rPr>
                <w:rFonts w:ascii="Arial" w:cs="Arial" w:eastAsia="Arial" w:hAnsi="Arial"/>
                <w:sz w:val="18"/>
                <w:szCs w:val="18"/>
                <w:color w:val="0000FF"/>
                <w:w w:val="97"/>
              </w:rPr>
            </w:pPr>
            <w:hyperlink w:anchor="page41">
              <w:r>
                <w:rPr>
                  <w:rFonts w:ascii="Arial" w:cs="Arial" w:eastAsia="Arial" w:hAnsi="Arial"/>
                  <w:sz w:val="18"/>
                  <w:szCs w:val="18"/>
                  <w:color w:val="0000FF"/>
                  <w:w w:val="97"/>
                </w:rPr>
                <w:t>Section 302 of the Sarbanes Oxley Act of 2002.</w:t>
              </w:r>
            </w:hyperlink>
          </w:p>
        </w:tc>
        <w:tc>
          <w:tcPr>
            <w:tcW w:w="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tcBorders>
            <w:gridSpan w:val="15"/>
          </w:tcPr>
          <w:p>
            <w:pPr>
              <w:spacing w:after="0" w:line="196" w:lineRule="exact"/>
              <w:rPr>
                <w:rFonts w:ascii="Arial" w:cs="Arial" w:eastAsia="Arial" w:hAnsi="Arial"/>
                <w:sz w:val="18"/>
                <w:szCs w:val="18"/>
                <w:color w:val="0000FF"/>
                <w:w w:val="96"/>
              </w:rPr>
            </w:pPr>
            <w:hyperlink w:anchor="page42">
              <w:r>
                <w:rPr>
                  <w:rFonts w:ascii="Arial" w:cs="Arial" w:eastAsia="Arial" w:hAnsi="Arial"/>
                  <w:sz w:val="18"/>
                  <w:szCs w:val="18"/>
                  <w:color w:val="0000FF"/>
                  <w:w w:val="96"/>
                </w:rPr>
                <w:t>Section 302 of the Sarbanes Oxley Act of 2002.</w:t>
              </w:r>
            </w:hyperlink>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pursuant to 18 U.S.C. Section 1350, as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adopted pursuant to Section 906 of the Sarbanes-Oxley</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Act of 2002 for Eric M. DeMarco.</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pursuant to 18 U.S.C. Section 1350, as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adopted pursuant to Section 906 of the Sarbanes-Oxley</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Act of 2002 for Deanna Lund.</w:t>
              </w:r>
            </w:hyperlink>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2"/>
          </w:tcPr>
          <w:p>
            <w:pPr>
              <w:ind w:left="28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XBRL Instance Document-the instance document does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720" w:type="dxa"/>
            <w:vAlign w:val="bottom"/>
            <w:gridSpan w:val="8"/>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7"/>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not appear in the Interactive Data File because its XBRL</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tags are embedded within the Inline XBRL document</w:t>
              </w:r>
            </w:hyperlink>
          </w:p>
        </w:tc>
        <w:tc>
          <w:tcPr>
            <w:tcW w:w="220" w:type="dxa"/>
            <w:vAlign w:val="bottom"/>
            <w:tcBorders>
              <w:top w:val="single" w:sz="8" w:color="0000EE"/>
            </w:tcBorders>
            <w:gridSpan w:val="5"/>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1.01.SCH</w:t>
            </w:r>
          </w:p>
        </w:tc>
        <w:tc>
          <w:tcPr>
            <w:tcW w:w="20" w:type="dxa"/>
            <w:vAlign w:val="bottom"/>
          </w:tcPr>
          <w:p>
            <w:pPr>
              <w:spacing w:after="0"/>
              <w:rPr>
                <w:sz w:val="21"/>
                <w:szCs w:val="21"/>
                <w:color w:val="auto"/>
              </w:rPr>
            </w:pPr>
          </w:p>
        </w:tc>
        <w:tc>
          <w:tcPr>
            <w:tcW w:w="34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XBRL Taxonomy Extension Schema Document</w:t>
              </w:r>
            </w:hyperlink>
          </w:p>
        </w:tc>
        <w:tc>
          <w:tcPr>
            <w:tcW w:w="72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1.01.CAL</w:t>
            </w:r>
          </w:p>
        </w:tc>
        <w:tc>
          <w:tcPr>
            <w:tcW w:w="20" w:type="dxa"/>
            <w:vAlign w:val="bottom"/>
          </w:tcPr>
          <w:p>
            <w:pPr>
              <w:spacing w:after="0"/>
              <w:rPr>
                <w:sz w:val="21"/>
                <w:szCs w:val="21"/>
                <w:color w:val="auto"/>
              </w:rPr>
            </w:pPr>
          </w:p>
        </w:tc>
        <w:tc>
          <w:tcPr>
            <w:tcW w:w="420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XBRL Taxonomy Extension Calculation Linkbase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Document</w:t>
              </w:r>
            </w:hyperlink>
          </w:p>
        </w:tc>
        <w:tc>
          <w:tcPr>
            <w:tcW w:w="2880" w:type="dxa"/>
            <w:vAlign w:val="bottom"/>
            <w:tcBorders>
              <w:top w:val="single" w:sz="8" w:color="0000EE"/>
            </w:tcBorders>
            <w:gridSpan w:val="13"/>
          </w:tcPr>
          <w:p>
            <w:pPr>
              <w:spacing w:after="0"/>
              <w:rPr>
                <w:sz w:val="17"/>
                <w:szCs w:val="17"/>
                <w:color w:val="auto"/>
              </w:rPr>
            </w:pPr>
          </w:p>
        </w:tc>
        <w:tc>
          <w:tcPr>
            <w:tcW w:w="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05/10/2018</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05/08/2019</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11/21/2017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02/28/2018</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ectPr>
          <w:pgSz w:w="11900" w:h="16838" w:orient="portrait"/>
          <w:cols w:equalWidth="0" w:num="2">
            <w:col w:w="5500" w:space="120"/>
            <w:col w:w="580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40" w:type="dxa"/>
            <w:vAlign w:val="bottom"/>
            <w:gridSpan w:val="4"/>
            <w:vMerge w:val="restart"/>
          </w:tcPr>
          <w:p>
            <w:pPr>
              <w:ind w:left="7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2"/>
        </w:trPr>
        <w:tc>
          <w:tcPr>
            <w:tcW w:w="12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17"/>
                <w:szCs w:val="17"/>
                <w:color w:val="auto"/>
              </w:rPr>
            </w:pPr>
          </w:p>
        </w:tc>
        <w:tc>
          <w:tcPr>
            <w:tcW w:w="3560" w:type="dxa"/>
            <w:vAlign w:val="bottom"/>
            <w:tcBorders>
              <w:bottom w:val="single" w:sz="8" w:color="0000EE"/>
            </w:tcBorders>
            <w:gridSpan w:val="2"/>
          </w:tcPr>
          <w:p>
            <w:pPr>
              <w:spacing w:after="0" w:line="202"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XBRL Taxonomy Extension Definition Linkbase</w:t>
              </w:r>
            </w:hyperlink>
          </w:p>
        </w:tc>
        <w:tc>
          <w:tcPr>
            <w:tcW w:w="76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Document</w:t>
              </w:r>
            </w:hyperlink>
          </w:p>
        </w:tc>
        <w:tc>
          <w:tcPr>
            <w:tcW w:w="3560" w:type="dxa"/>
            <w:vAlign w:val="bottom"/>
            <w:gridSpan w:val="5"/>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1.01.LAB</w:t>
            </w:r>
          </w:p>
        </w:tc>
        <w:tc>
          <w:tcPr>
            <w:tcW w:w="20" w:type="dxa"/>
            <w:vAlign w:val="bottom"/>
          </w:tcPr>
          <w:p>
            <w:pPr>
              <w:spacing w:after="0"/>
              <w:rPr>
                <w:sz w:val="21"/>
                <w:szCs w:val="21"/>
                <w:color w:val="auto"/>
              </w:rPr>
            </w:pPr>
          </w:p>
        </w:tc>
        <w:tc>
          <w:tcPr>
            <w:tcW w:w="40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XBRL Taxonomy Extension Label Linkbase Document</w:t>
              </w:r>
            </w:hyperlink>
          </w:p>
        </w:tc>
        <w:tc>
          <w:tcPr>
            <w:tcW w:w="300" w:type="dxa"/>
            <w:vAlign w:val="bottom"/>
            <w:gridSpan w:val="2"/>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1"/>
                <w:szCs w:val="21"/>
                <w:color w:val="auto"/>
              </w:rPr>
            </w:pPr>
          </w:p>
        </w:tc>
        <w:tc>
          <w:tcPr>
            <w:tcW w:w="432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XBRL Taxonomy Extension Presentation Linkbase</w:t>
              </w:r>
            </w:hyperlink>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Document</w:t>
              </w:r>
            </w:hyperlink>
          </w:p>
        </w:tc>
        <w:tc>
          <w:tcPr>
            <w:tcW w:w="2940" w:type="dxa"/>
            <w:vAlign w:val="bottom"/>
            <w:tcBorders>
              <w:top w:val="single" w:sz="8" w:color="0000EE"/>
            </w:tcBorders>
            <w:gridSpan w:val="2"/>
          </w:tcPr>
          <w:p>
            <w:pPr>
              <w:spacing w:after="0"/>
              <w:rPr>
                <w:sz w:val="17"/>
                <w:szCs w:val="17"/>
                <w:color w:val="auto"/>
              </w:rPr>
            </w:pPr>
          </w:p>
        </w:tc>
        <w:tc>
          <w:tcPr>
            <w:tcW w:w="62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540" w:firstLine="8"/>
        <w:spacing w:after="0" w:line="308" w:lineRule="auto"/>
        <w:tabs>
          <w:tab w:leader="none" w:pos="2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47" w:lineRule="exact"/>
        <w:rPr>
          <w:sz w:val="20"/>
          <w:szCs w:val="20"/>
          <w:color w:val="auto"/>
        </w:rPr>
      </w:pPr>
    </w:p>
    <w:p>
      <w:pPr>
        <w:ind w:right="240" w:firstLine="8"/>
        <w:spacing w:after="0" w:line="277"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would be competitively harmful if publicly disclosed.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November 5, 2019</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40</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2019</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7"/>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2019</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66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29, 2019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2019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70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29, 2019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2019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2"/>
    </w:lvl>
  </w:abstractNum>
  <w:abstractNum w:abstractNumId="4">
    <w:nsid w:val="66EF438D"/>
    <w:multiLevelType w:val="hybridMultilevel"/>
    <w:lvl w:ilvl="0">
      <w:lvlJc w:val="left"/>
      <w:lvlText w:val="(%1)"/>
      <w:numFmt w:val="lowerLetter"/>
      <w:start w:val="3"/>
    </w:lvl>
  </w:abstractNum>
  <w:abstractNum w:abstractNumId="5">
    <w:nsid w:val="140E0F76"/>
    <w:multiLevelType w:val="hybridMultilevel"/>
    <w:lvl w:ilvl="0">
      <w:lvlJc w:val="left"/>
      <w:lvlText w:val="(%1)"/>
      <w:numFmt w:val="lowerLetter"/>
      <w:start w:val="6"/>
    </w:lvl>
  </w:abstractNum>
  <w:abstractNum w:abstractNumId="6">
    <w:nsid w:val="3352255A"/>
    <w:multiLevelType w:val="hybridMultilevel"/>
    <w:lvl w:ilvl="0">
      <w:lvlJc w:val="left"/>
      <w:lvlText w:val="(%1)"/>
      <w:numFmt w:val="lowerRoman"/>
      <w:start w:val="4"/>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3"/>
    </w:lvl>
  </w:abstractNum>
  <w:abstractNum w:abstractNumId="11">
    <w:nsid w:val="41A7C4C9"/>
    <w:multiLevelType w:val="hybridMultilevel"/>
    <w:lvl w:ilvl="0">
      <w:lvlJc w:val="left"/>
      <w:lvlText w:val="(%1)"/>
      <w:numFmt w:val="lowerLetter"/>
      <w:start w:val="10"/>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25" Type="http://schemas.openxmlformats.org/officeDocument/2006/relationships/hyperlink" Target="http://www.sec.gov/Archives/edgar/data/1069258/000106925818000021/ktos20180401ex-22.htm" TargetMode="External"/><Relationship Id="rId26" Type="http://schemas.openxmlformats.org/officeDocument/2006/relationships/hyperlink" Target="http://www.sec.gov/Archives/edgar/data/1069258/000106925819000017/exhibit23redacted.htm" TargetMode="External"/><Relationship Id="rId27" Type="http://schemas.openxmlformats.org/officeDocument/2006/relationships/hyperlink" Target="http://www.sec.gov/Archives/edgar/data/1069258/000106925817000009/ktos20161225ex-31.htm" TargetMode="External"/><Relationship Id="rId28" Type="http://schemas.openxmlformats.org/officeDocument/2006/relationships/hyperlink" Target="http://www.sec.gov/Archives/edgar/data/1069258/000106925817000009/ktos20161225ex-32.htm" TargetMode="External"/><Relationship Id="rId29" Type="http://schemas.openxmlformats.org/officeDocument/2006/relationships/hyperlink" Target="http://www.sec.gov/Archives/edgar/data/1069258/000106925817000009/kratoscommonformofcertif.htm" TargetMode="External"/><Relationship Id="rId30" Type="http://schemas.openxmlformats.org/officeDocument/2006/relationships/hyperlink" Target="http://www.sec.gov/Archives/edgar/data/1069258/000110465917069690/a17-27375_1ex4d1.htm" TargetMode="External"/><Relationship Id="rId31" Type="http://schemas.openxmlformats.org/officeDocument/2006/relationships/hyperlink" Target="http://www.sec.gov/Archives/edgar/data/1069258/000106925818000006/ktos20171231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2019-12-28T03:00:22Z</dcterms:created>
  <dcterms:modified xsi:type="dcterms:W3CDTF">2019-12-28T03:00:22Z</dcterms:modified>
</cp:coreProperties>
</file>