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77470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31"/>
          <w:szCs w:val="31"/>
          <w:b w:val="1"/>
          <w:bCs w:val="1"/>
          <w:color w:val="auto"/>
        </w:rPr>
        <w:t>FORM 10-K</w:t>
      </w:r>
    </w:p>
    <w:p>
      <w:pPr>
        <w:spacing w:after="0" w:line="103" w:lineRule="exact"/>
        <w:rPr>
          <w:sz w:val="24"/>
          <w:szCs w:val="24"/>
          <w:color w:val="auto"/>
        </w:rPr>
      </w:pPr>
    </w:p>
    <w:p>
      <w:pPr>
        <w:ind w:left="1020" w:right="440" w:hanging="649"/>
        <w:spacing w:after="0" w:line="267" w:lineRule="auto"/>
        <w:tabs>
          <w:tab w:leader="none" w:pos="889"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ANNUAL REPORT PURSUANT TO SECTION 13 OR 15(d) OF THE SECURITIES EXCHANGE ACT OF 1934 FOR THE FISCAL YEAR ENDED DECEMBER 31, 2006</w:t>
      </w:r>
    </w:p>
    <w:p>
      <w:pPr>
        <w:spacing w:after="0" w:line="56" w:lineRule="exact"/>
        <w:rPr>
          <w:sz w:val="24"/>
          <w:szCs w:val="24"/>
          <w:color w:val="auto"/>
        </w:rPr>
      </w:pPr>
    </w:p>
    <w:p>
      <w:pPr>
        <w:ind w:left="1020" w:right="440" w:hanging="649"/>
        <w:spacing w:after="0" w:line="267" w:lineRule="auto"/>
        <w:tabs>
          <w:tab w:leader="none" w:pos="93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TRANSITION REPORT PURSUANT TO SECTION 13 OR 15(d) OF THE SECURITIES AND EXCHANGE ACT OF 1934</w:t>
      </w:r>
    </w:p>
    <w:p>
      <w:pPr>
        <w:spacing w:after="0" w:line="5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88900</wp:posOffset>
            </wp:positionV>
            <wp:extent cx="1389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31"/>
          <w:szCs w:val="31"/>
          <w:b w:val="1"/>
          <w:bCs w:val="1"/>
          <w:color w:val="auto"/>
        </w:rPr>
        <w:t>WIRELESS FACILITIES, INC.</w:t>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pacing w:after="0" w:line="95" w:lineRule="exact"/>
        <w:rPr>
          <w:sz w:val="24"/>
          <w:szCs w:val="24"/>
          <w:color w:val="auto"/>
        </w:rPr>
      </w:pPr>
    </w:p>
    <w:tbl>
      <w:tblPr>
        <w:tblLayout w:type="fixed"/>
        <w:tblInd w:w="2600" w:type="dxa"/>
        <w:tblCellMar>
          <w:top w:w="0" w:type="dxa"/>
          <w:left w:w="0" w:type="dxa"/>
          <w:bottom w:w="0" w:type="dxa"/>
          <w:right w:w="0" w:type="dxa"/>
        </w:tblCellMar>
      </w:tblPr>
      <w:tr>
        <w:trPr>
          <w:trHeight w:val="207"/>
        </w:trPr>
        <w:tc>
          <w:tcPr>
            <w:tcW w:w="3300" w:type="dxa"/>
            <w:vAlign w:val="bottom"/>
          </w:tcPr>
          <w:p>
            <w:pPr>
              <w:jc w:val="center"/>
              <w:ind w:right="1259"/>
              <w:spacing w:after="0"/>
              <w:rPr>
                <w:sz w:val="20"/>
                <w:szCs w:val="20"/>
                <w:color w:val="auto"/>
              </w:rPr>
            </w:pPr>
            <w:r>
              <w:rPr>
                <w:rFonts w:ascii="Arial" w:cs="Arial" w:eastAsia="Arial" w:hAnsi="Arial"/>
                <w:sz w:val="16"/>
                <w:szCs w:val="16"/>
                <w:b w:val="1"/>
                <w:bCs w:val="1"/>
                <w:color w:val="auto"/>
                <w:w w:val="91"/>
              </w:rPr>
              <w:t>Delaware</w:t>
            </w:r>
          </w:p>
        </w:tc>
        <w:tc>
          <w:tcPr>
            <w:tcW w:w="2540" w:type="dxa"/>
            <w:vAlign w:val="bottom"/>
          </w:tcPr>
          <w:p>
            <w:pPr>
              <w:jc w:val="center"/>
              <w:ind w:left="1259"/>
              <w:spacing w:after="0"/>
              <w:rPr>
                <w:sz w:val="20"/>
                <w:szCs w:val="20"/>
                <w:color w:val="auto"/>
              </w:rPr>
            </w:pPr>
            <w:r>
              <w:rPr>
                <w:rFonts w:ascii="Arial" w:cs="Arial" w:eastAsia="Arial" w:hAnsi="Arial"/>
                <w:sz w:val="16"/>
                <w:szCs w:val="16"/>
                <w:b w:val="1"/>
                <w:bCs w:val="1"/>
                <w:color w:val="auto"/>
                <w:w w:val="93"/>
              </w:rPr>
              <w:t>13-3818604</w:t>
            </w:r>
          </w:p>
        </w:tc>
      </w:tr>
      <w:tr>
        <w:trPr>
          <w:trHeight w:val="203"/>
        </w:trPr>
        <w:tc>
          <w:tcPr>
            <w:tcW w:w="3300" w:type="dxa"/>
            <w:vAlign w:val="bottom"/>
          </w:tcPr>
          <w:p>
            <w:pPr>
              <w:jc w:val="center"/>
              <w:ind w:right="1259"/>
              <w:spacing w:after="0"/>
              <w:rPr>
                <w:sz w:val="20"/>
                <w:szCs w:val="20"/>
                <w:color w:val="auto"/>
              </w:rPr>
            </w:pPr>
            <w:r>
              <w:rPr>
                <w:rFonts w:ascii="Arial" w:cs="Arial" w:eastAsia="Arial" w:hAnsi="Arial"/>
                <w:sz w:val="16"/>
                <w:szCs w:val="16"/>
                <w:color w:val="auto"/>
                <w:w w:val="93"/>
              </w:rPr>
              <w:t>(State or other jurisdiction of</w:t>
            </w:r>
          </w:p>
        </w:tc>
        <w:tc>
          <w:tcPr>
            <w:tcW w:w="2540" w:type="dxa"/>
            <w:vAlign w:val="bottom"/>
          </w:tcPr>
          <w:p>
            <w:pPr>
              <w:jc w:val="center"/>
              <w:ind w:left="1259"/>
              <w:spacing w:after="0"/>
              <w:rPr>
                <w:sz w:val="20"/>
                <w:szCs w:val="20"/>
                <w:color w:val="auto"/>
              </w:rPr>
            </w:pPr>
            <w:r>
              <w:rPr>
                <w:rFonts w:ascii="Arial" w:cs="Arial" w:eastAsia="Arial" w:hAnsi="Arial"/>
                <w:sz w:val="16"/>
                <w:szCs w:val="16"/>
                <w:color w:val="auto"/>
                <w:w w:val="95"/>
              </w:rPr>
              <w:t>(I.R.S. Employer</w:t>
            </w:r>
          </w:p>
        </w:tc>
      </w:tr>
      <w:tr>
        <w:trPr>
          <w:trHeight w:val="206"/>
        </w:trPr>
        <w:tc>
          <w:tcPr>
            <w:tcW w:w="3300" w:type="dxa"/>
            <w:vAlign w:val="bottom"/>
          </w:tcPr>
          <w:p>
            <w:pPr>
              <w:jc w:val="center"/>
              <w:ind w:right="1259"/>
              <w:spacing w:after="0"/>
              <w:rPr>
                <w:sz w:val="20"/>
                <w:szCs w:val="20"/>
                <w:color w:val="auto"/>
              </w:rPr>
            </w:pPr>
            <w:r>
              <w:rPr>
                <w:rFonts w:ascii="Arial" w:cs="Arial" w:eastAsia="Arial" w:hAnsi="Arial"/>
                <w:sz w:val="16"/>
                <w:szCs w:val="16"/>
                <w:color w:val="auto"/>
                <w:w w:val="94"/>
              </w:rPr>
              <w:t>incorporation or organization)</w:t>
            </w:r>
          </w:p>
        </w:tc>
        <w:tc>
          <w:tcPr>
            <w:tcW w:w="2540" w:type="dxa"/>
            <w:vAlign w:val="bottom"/>
          </w:tcPr>
          <w:p>
            <w:pPr>
              <w:jc w:val="center"/>
              <w:ind w:left="1259"/>
              <w:spacing w:after="0"/>
              <w:rPr>
                <w:sz w:val="20"/>
                <w:szCs w:val="20"/>
                <w:color w:val="auto"/>
              </w:rPr>
            </w:pPr>
            <w:r>
              <w:rPr>
                <w:rFonts w:ascii="Arial" w:cs="Arial" w:eastAsia="Arial" w:hAnsi="Arial"/>
                <w:sz w:val="16"/>
                <w:szCs w:val="16"/>
                <w:color w:val="auto"/>
                <w:w w:val="96"/>
              </w:rPr>
              <w:t>Identification No.)</w:t>
            </w:r>
          </w:p>
        </w:tc>
      </w:tr>
    </w:tbl>
    <w:p>
      <w:pPr>
        <w:jc w:val="center"/>
        <w:ind w:right="40"/>
        <w:spacing w:after="0"/>
        <w:rPr>
          <w:sz w:val="20"/>
          <w:szCs w:val="20"/>
          <w:color w:val="auto"/>
        </w:rPr>
      </w:pPr>
      <w:r>
        <w:rPr>
          <w:rFonts w:ascii="Arial" w:cs="Arial" w:eastAsia="Arial" w:hAnsi="Arial"/>
          <w:sz w:val="16"/>
          <w:szCs w:val="16"/>
          <w:b w:val="1"/>
          <w:bCs w:val="1"/>
          <w:color w:val="auto"/>
        </w:rPr>
        <w:t>4810 Eastgate Mall</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San Diego, CA 92121</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(858) 228-2000</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(Address, including zip code, and telephone number, including area code,</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of Registrant’s principal executive offices)</w:t>
      </w:r>
    </w:p>
    <w:p>
      <w:pPr>
        <w:spacing w:after="0" w:line="17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None</w:t>
      </w:r>
    </w:p>
    <w:p>
      <w:pPr>
        <w:spacing w:after="0" w:line="9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Common Stock, par value $0.001</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Rights to Purchase Shares of Series C Preferred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84455</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24" w:lineRule="exact"/>
        <w:rPr>
          <w:sz w:val="24"/>
          <w:szCs w:val="24"/>
          <w:color w:val="auto"/>
        </w:rPr>
      </w:pPr>
    </w:p>
    <w:p>
      <w:pPr>
        <w:ind w:left="360" w:right="2540"/>
        <w:spacing w:after="0" w:line="452"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500" w:firstLine="360"/>
        <w:spacing w:after="0" w:line="27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63" w:lineRule="exact"/>
        <w:rPr>
          <w:sz w:val="24"/>
          <w:szCs w:val="24"/>
          <w:color w:val="auto"/>
        </w:rPr>
      </w:pPr>
    </w:p>
    <w:p>
      <w:pPr>
        <w:ind w:right="700" w:firstLine="360"/>
        <w:spacing w:after="0" w:line="369"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5"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or a non-accelerated filer (as defined in Rule 12b-2 of the Exchange Act);</w:t>
      </w:r>
    </w:p>
    <w:p>
      <w:pPr>
        <w:spacing w:after="0" w:line="134" w:lineRule="exact"/>
        <w:rPr>
          <w:sz w:val="24"/>
          <w:szCs w:val="24"/>
          <w:color w:val="auto"/>
        </w:rPr>
      </w:pPr>
    </w:p>
    <w:p>
      <w:pPr>
        <w:ind w:left="360"/>
        <w:spacing w:after="0"/>
        <w:tabs>
          <w:tab w:leader="none" w:pos="3260" w:val="left"/>
          <w:tab w:leader="none" w:pos="60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6"/>
          <w:szCs w:val="16"/>
          <w:color w:val="auto"/>
        </w:rPr>
        <w:t>Non Accelerated Filer o</w:t>
      </w:r>
    </w:p>
    <w:p>
      <w:pPr>
        <w:spacing w:after="0" w:line="135"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86" w:lineRule="exact"/>
        <w:rPr>
          <w:sz w:val="24"/>
          <w:szCs w:val="24"/>
          <w:color w:val="auto"/>
        </w:rPr>
      </w:pPr>
    </w:p>
    <w:p>
      <w:pPr>
        <w:ind w:right="400" w:firstLine="360"/>
        <w:spacing w:after="0" w:line="329" w:lineRule="auto"/>
        <w:rPr>
          <w:sz w:val="20"/>
          <w:szCs w:val="20"/>
          <w:color w:val="auto"/>
        </w:rPr>
      </w:pPr>
      <w:r>
        <w:rPr>
          <w:rFonts w:ascii="Arial" w:cs="Arial" w:eastAsia="Arial" w:hAnsi="Arial"/>
          <w:sz w:val="15"/>
          <w:szCs w:val="15"/>
          <w:color w:val="auto"/>
        </w:rPr>
        <w:t>The aggregate market value of the voting and non-voting stock (Common Stock) held by non-affiliates as of the last business day of most recently completed second fiscal quarter (June 30, 2006) was approximately $135.0 million, based on the closing sale price on the NASDAQ market exchange on that date.*</w:t>
      </w:r>
    </w:p>
    <w:p>
      <w:pPr>
        <w:spacing w:after="0" w:line="13"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number of shares outstanding of the Registrant’s Common Stock was 74,061,650 as of July 31, 2007.</w:t>
      </w:r>
    </w:p>
    <w:p>
      <w:pPr>
        <w:spacing w:after="0" w:line="86" w:lineRule="exact"/>
        <w:rPr>
          <w:sz w:val="24"/>
          <w:szCs w:val="24"/>
          <w:color w:val="auto"/>
        </w:rPr>
      </w:pPr>
    </w:p>
    <w:p>
      <w:pPr>
        <w:ind w:right="540" w:firstLine="360"/>
        <w:spacing w:after="0" w:line="293" w:lineRule="auto"/>
        <w:rPr>
          <w:sz w:val="20"/>
          <w:szCs w:val="20"/>
          <w:color w:val="auto"/>
        </w:rPr>
      </w:pPr>
      <w:r>
        <w:rPr>
          <w:rFonts w:ascii="Arial" w:cs="Arial" w:eastAsia="Arial" w:hAnsi="Arial"/>
          <w:sz w:val="16"/>
          <w:szCs w:val="16"/>
          <w:color w:val="auto"/>
        </w:rPr>
        <w:t>*Excludes the common stock held by executive officers, directors and stockholders whose individual ownership exceeds 5% of the Common Stock outstanding on June 30,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405130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960" w:type="dxa"/>
            <w:vAlign w:val="bottom"/>
          </w:tcPr>
          <w:p>
            <w:pPr>
              <w:jc w:val="center"/>
              <w:ind w:left="890"/>
              <w:spacing w:after="0"/>
              <w:rPr>
                <w:sz w:val="20"/>
                <w:szCs w:val="20"/>
                <w:color w:val="auto"/>
              </w:rPr>
            </w:pPr>
            <w:r>
              <w:rPr>
                <w:rFonts w:ascii="Arial" w:cs="Arial" w:eastAsia="Arial" w:hAnsi="Arial"/>
                <w:sz w:val="18"/>
                <w:szCs w:val="18"/>
                <w:color w:val="auto"/>
                <w:w w:val="99"/>
              </w:rPr>
              <w:t>2</w:t>
            </w:r>
          </w:p>
        </w:tc>
        <w:tc>
          <w:tcPr>
            <w:tcW w:w="6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5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31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72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rPr>
              <w:t>WIRELESS FACILITIES, INC.</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720" w:type="dxa"/>
            <w:vAlign w:val="bottom"/>
            <w:gridSpan w:val="3"/>
          </w:tcPr>
          <w:p>
            <w:pPr>
              <w:jc w:val="center"/>
              <w:ind w:right="2780"/>
              <w:spacing w:after="0"/>
              <w:rPr>
                <w:sz w:val="20"/>
                <w:szCs w:val="20"/>
                <w:color w:val="auto"/>
              </w:rPr>
            </w:pPr>
            <w:r>
              <w:rPr>
                <w:rFonts w:ascii="Arial" w:cs="Arial" w:eastAsia="Arial" w:hAnsi="Arial"/>
                <w:sz w:val="18"/>
                <w:szCs w:val="18"/>
                <w:b w:val="1"/>
                <w:bCs w:val="1"/>
                <w:color w:val="auto"/>
              </w:rPr>
              <w:t>FORM 10-K</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720" w:type="dxa"/>
            <w:vAlign w:val="bottom"/>
            <w:gridSpan w:val="3"/>
          </w:tcPr>
          <w:p>
            <w:pPr>
              <w:jc w:val="center"/>
              <w:ind w:right="2780"/>
              <w:spacing w:after="0"/>
              <w:rPr>
                <w:sz w:val="20"/>
                <w:szCs w:val="20"/>
                <w:color w:val="auto"/>
              </w:rPr>
            </w:pPr>
            <w:r>
              <w:rPr>
                <w:rFonts w:ascii="Arial" w:cs="Arial" w:eastAsia="Arial" w:hAnsi="Arial"/>
                <w:sz w:val="18"/>
                <w:szCs w:val="18"/>
                <w:b w:val="1"/>
                <w:bCs w:val="1"/>
                <w:color w:val="auto"/>
                <w:w w:val="98"/>
              </w:rPr>
              <w:t>FOR THE FISCAL YEAR ENDED DECEMBER 31, 2006</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72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351"/>
        </w:trPr>
        <w:tc>
          <w:tcPr>
            <w:tcW w:w="1100" w:type="dxa"/>
            <w:vAlign w:val="bottom"/>
            <w:gridSpan w:val="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76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110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17"/>
                <w:szCs w:val="17"/>
                <w:color w:val="auto"/>
              </w:rPr>
            </w:pPr>
          </w:p>
        </w:tc>
        <w:tc>
          <w:tcPr>
            <w:tcW w:w="560" w:type="dxa"/>
            <w:vAlign w:val="bottom"/>
            <w:gridSpan w:val="2"/>
          </w:tcPr>
          <w:p>
            <w:pPr>
              <w:spacing w:after="0"/>
              <w:rPr>
                <w:sz w:val="17"/>
                <w:szCs w:val="17"/>
                <w:color w:val="auto"/>
              </w:rPr>
            </w:pPr>
          </w:p>
        </w:tc>
        <w:tc>
          <w:tcPr>
            <w:tcW w:w="164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7</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1A.</w:t>
              </w:r>
            </w:hyperlink>
          </w:p>
        </w:tc>
        <w:tc>
          <w:tcPr>
            <w:tcW w:w="1640" w:type="dxa"/>
            <w:vAlign w:val="bottom"/>
            <w:gridSpan w:val="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56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20</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35" w:right="1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640" w:type="dxa"/>
            <w:vAlign w:val="bottom"/>
            <w:gridSpan w:val="3"/>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Item 1B.</w:t>
              </w:r>
            </w:hyperlink>
          </w:p>
        </w:tc>
        <w:tc>
          <w:tcPr>
            <w:tcW w:w="460" w:type="dxa"/>
            <w:vAlign w:val="bottom"/>
            <w:gridSpan w:val="3"/>
          </w:tcPr>
          <w:p>
            <w:pPr>
              <w:spacing w:after="0"/>
              <w:rPr>
                <w:sz w:val="17"/>
                <w:szCs w:val="17"/>
                <w:color w:val="auto"/>
              </w:rPr>
            </w:pPr>
          </w:p>
        </w:tc>
        <w:tc>
          <w:tcPr>
            <w:tcW w:w="6480" w:type="dxa"/>
            <w:vAlign w:val="bottom"/>
            <w:gridSpan w:val="2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120" w:type="dxa"/>
            <w:vAlign w:val="bottom"/>
            <w:tcBorders>
              <w:top w:val="single" w:sz="8" w:color="0000EE"/>
            </w:tcBorders>
            <w:gridSpan w:val="2"/>
          </w:tcPr>
          <w:p>
            <w:pPr>
              <w:spacing w:after="0"/>
              <w:rPr>
                <w:sz w:val="17"/>
                <w:szCs w:val="17"/>
                <w:color w:val="auto"/>
              </w:rPr>
            </w:pPr>
          </w:p>
        </w:tc>
        <w:tc>
          <w:tcPr>
            <w:tcW w:w="460" w:type="dxa"/>
            <w:vAlign w:val="bottom"/>
            <w:gridSpan w:val="3"/>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Properties</w:t>
              </w:r>
            </w:hyperlink>
          </w:p>
        </w:tc>
        <w:tc>
          <w:tcPr>
            <w:tcW w:w="1300" w:type="dxa"/>
            <w:vAlign w:val="bottom"/>
            <w:tcBorders>
              <w:top w:val="single" w:sz="8" w:color="0000EE"/>
            </w:tcBorders>
            <w:gridSpan w:val="9"/>
          </w:tcPr>
          <w:p>
            <w:pPr>
              <w:spacing w:after="0"/>
              <w:rPr>
                <w:sz w:val="17"/>
                <w:szCs w:val="17"/>
                <w:color w:val="auto"/>
              </w:rPr>
            </w:pPr>
          </w:p>
        </w:tc>
        <w:tc>
          <w:tcPr>
            <w:tcW w:w="4440" w:type="dxa"/>
            <w:vAlign w:val="bottom"/>
            <w:gridSpan w:val="1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580" w:type="dxa"/>
            <w:vAlign w:val="bottom"/>
            <w:gridSpan w:val="5"/>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5140" w:type="dxa"/>
            <w:vAlign w:val="bottom"/>
            <w:gridSpan w:val="1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580" w:type="dxa"/>
            <w:vAlign w:val="bottom"/>
            <w:gridSpan w:val="5"/>
          </w:tcPr>
          <w:p>
            <w:pPr>
              <w:spacing w:after="0"/>
              <w:rPr>
                <w:sz w:val="17"/>
                <w:szCs w:val="17"/>
                <w:color w:val="auto"/>
              </w:rPr>
            </w:pPr>
          </w:p>
        </w:tc>
        <w:tc>
          <w:tcPr>
            <w:tcW w:w="6480" w:type="dxa"/>
            <w:vAlign w:val="bottom"/>
            <w:gridSpan w:val="2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Submission of Matters to a Vote of Security Holders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100" w:type="dxa"/>
            <w:vAlign w:val="bottom"/>
            <w:gridSpan w:val="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PART II</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5.</w:t>
              </w:r>
            </w:hyperlink>
          </w:p>
        </w:tc>
        <w:tc>
          <w:tcPr>
            <w:tcW w:w="80" w:type="dxa"/>
            <w:vAlign w:val="bottom"/>
            <w:tcBorders>
              <w:top w:val="single" w:sz="8" w:color="0000EE"/>
            </w:tcBorders>
          </w:tcPr>
          <w:p>
            <w:pPr>
              <w:spacing w:after="0"/>
              <w:rPr>
                <w:sz w:val="17"/>
                <w:szCs w:val="17"/>
                <w:color w:val="auto"/>
              </w:rPr>
            </w:pPr>
          </w:p>
        </w:tc>
        <w:tc>
          <w:tcPr>
            <w:tcW w:w="500" w:type="dxa"/>
            <w:vAlign w:val="bottom"/>
            <w:gridSpan w:val="4"/>
          </w:tcPr>
          <w:p>
            <w:pPr>
              <w:spacing w:after="0"/>
              <w:rPr>
                <w:sz w:val="17"/>
                <w:szCs w:val="17"/>
                <w:color w:val="auto"/>
              </w:rPr>
            </w:pPr>
          </w:p>
        </w:tc>
        <w:tc>
          <w:tcPr>
            <w:tcW w:w="6480" w:type="dxa"/>
            <w:vAlign w:val="bottom"/>
            <w:gridSpan w:val="24"/>
          </w:tcPr>
          <w:p>
            <w:pPr>
              <w:spacing w:after="0" w:line="196"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Market for the Registrant’s Common Equity, Related Stockholder Matters and Issuer</w:t>
              </w:r>
            </w:hyperlink>
          </w:p>
        </w:tc>
        <w:tc>
          <w:tcPr>
            <w:tcW w:w="640" w:type="dxa"/>
            <w:vAlign w:val="bottom"/>
          </w:tcPr>
          <w:p>
            <w:pPr>
              <w:spacing w:after="0"/>
              <w:rPr>
                <w:sz w:val="17"/>
                <w:szCs w:val="17"/>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Purchases of Equity Securities</w:t>
              </w:r>
            </w:hyperlink>
          </w:p>
        </w:tc>
        <w:tc>
          <w:tcPr>
            <w:tcW w:w="3720" w:type="dxa"/>
            <w:vAlign w:val="bottom"/>
            <w:tcBorders>
              <w:top w:val="single" w:sz="8" w:color="0000EE"/>
            </w:tcBorders>
            <w:gridSpan w:val="11"/>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580" w:type="dxa"/>
            <w:vAlign w:val="bottom"/>
            <w:gridSpan w:val="5"/>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Selected Financial Data</w:t>
              </w:r>
            </w:hyperlink>
          </w:p>
        </w:tc>
        <w:tc>
          <w:tcPr>
            <w:tcW w:w="4760" w:type="dxa"/>
            <w:vAlign w:val="bottom"/>
            <w:gridSpan w:val="1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7.</w:t>
              </w:r>
            </w:hyperlink>
          </w:p>
        </w:tc>
        <w:tc>
          <w:tcPr>
            <w:tcW w:w="580" w:type="dxa"/>
            <w:vAlign w:val="bottom"/>
            <w:gridSpan w:val="5"/>
          </w:tcPr>
          <w:p>
            <w:pPr>
              <w:spacing w:after="0"/>
              <w:rPr>
                <w:sz w:val="17"/>
                <w:szCs w:val="17"/>
                <w:color w:val="auto"/>
              </w:rPr>
            </w:pPr>
          </w:p>
        </w:tc>
        <w:tc>
          <w:tcPr>
            <w:tcW w:w="6480" w:type="dxa"/>
            <w:vAlign w:val="bottom"/>
            <w:gridSpan w:val="2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w:t>
              </w:r>
            </w:hyperlink>
          </w:p>
        </w:tc>
        <w:tc>
          <w:tcPr>
            <w:tcW w:w="640" w:type="dxa"/>
            <w:vAlign w:val="bottom"/>
          </w:tcPr>
          <w:p>
            <w:pPr>
              <w:spacing w:after="0"/>
              <w:rPr>
                <w:sz w:val="17"/>
                <w:szCs w:val="17"/>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Operations</w:t>
              </w:r>
            </w:hyperlink>
          </w:p>
        </w:tc>
        <w:tc>
          <w:tcPr>
            <w:tcW w:w="4640" w:type="dxa"/>
            <w:vAlign w:val="bottom"/>
            <w:tcBorders>
              <w:top w:val="single" w:sz="8" w:color="0000EE"/>
            </w:tcBorders>
            <w:gridSpan w:val="16"/>
          </w:tcPr>
          <w:p>
            <w:pPr>
              <w:spacing w:after="0"/>
              <w:rPr>
                <w:sz w:val="17"/>
                <w:szCs w:val="17"/>
                <w:color w:val="auto"/>
              </w:rPr>
            </w:pPr>
          </w:p>
        </w:tc>
        <w:tc>
          <w:tcPr>
            <w:tcW w:w="86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Item 7A.</w:t>
              </w:r>
            </w:hyperlink>
          </w:p>
        </w:tc>
        <w:tc>
          <w:tcPr>
            <w:tcW w:w="440" w:type="dxa"/>
            <w:vAlign w:val="bottom"/>
            <w:gridSpan w:val="2"/>
          </w:tcPr>
          <w:p>
            <w:pPr>
              <w:spacing w:after="0"/>
              <w:rPr>
                <w:sz w:val="17"/>
                <w:szCs w:val="17"/>
                <w:color w:val="auto"/>
              </w:rPr>
            </w:pPr>
          </w:p>
        </w:tc>
        <w:tc>
          <w:tcPr>
            <w:tcW w:w="6480" w:type="dxa"/>
            <w:vAlign w:val="bottom"/>
            <w:gridSpan w:val="2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8.</w:t>
              </w:r>
            </w:hyperlink>
          </w:p>
        </w:tc>
        <w:tc>
          <w:tcPr>
            <w:tcW w:w="140" w:type="dxa"/>
            <w:vAlign w:val="bottom"/>
            <w:tcBorders>
              <w:top w:val="single" w:sz="8" w:color="0000EE"/>
            </w:tcBorders>
            <w:gridSpan w:val="3"/>
          </w:tcPr>
          <w:p>
            <w:pPr>
              <w:spacing w:after="0"/>
              <w:rPr>
                <w:sz w:val="17"/>
                <w:szCs w:val="17"/>
                <w:color w:val="auto"/>
              </w:rPr>
            </w:pPr>
          </w:p>
        </w:tc>
        <w:tc>
          <w:tcPr>
            <w:tcW w:w="440" w:type="dxa"/>
            <w:vAlign w:val="bottom"/>
            <w:gridSpan w:val="2"/>
          </w:tcPr>
          <w:p>
            <w:pPr>
              <w:spacing w:after="0"/>
              <w:rPr>
                <w:sz w:val="17"/>
                <w:szCs w:val="17"/>
                <w:color w:val="auto"/>
              </w:rPr>
            </w:pPr>
          </w:p>
        </w:tc>
        <w:tc>
          <w:tcPr>
            <w:tcW w:w="33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3"/>
          </w:tcPr>
          <w:p>
            <w:pPr>
              <w:spacing w:after="0"/>
              <w:rPr>
                <w:sz w:val="17"/>
                <w:szCs w:val="17"/>
                <w:color w:val="auto"/>
              </w:rPr>
            </w:pPr>
          </w:p>
        </w:tc>
        <w:tc>
          <w:tcPr>
            <w:tcW w:w="2120" w:type="dxa"/>
            <w:vAlign w:val="bottom"/>
            <w:gridSpan w:val="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9.</w:t>
              </w:r>
            </w:hyperlink>
          </w:p>
        </w:tc>
        <w:tc>
          <w:tcPr>
            <w:tcW w:w="580" w:type="dxa"/>
            <w:vAlign w:val="bottom"/>
            <w:gridSpan w:val="5"/>
          </w:tcPr>
          <w:p>
            <w:pPr>
              <w:spacing w:after="0"/>
              <w:rPr>
                <w:sz w:val="17"/>
                <w:szCs w:val="17"/>
                <w:color w:val="auto"/>
              </w:rPr>
            </w:pPr>
          </w:p>
        </w:tc>
        <w:tc>
          <w:tcPr>
            <w:tcW w:w="6480" w:type="dxa"/>
            <w:vAlign w:val="bottom"/>
            <w:gridSpan w:val="2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Changes in and Disagreements with Accountants on Accounting and Financial</w:t>
              </w:r>
            </w:hyperlink>
          </w:p>
        </w:tc>
        <w:tc>
          <w:tcPr>
            <w:tcW w:w="640" w:type="dxa"/>
            <w:vAlign w:val="bottom"/>
          </w:tcPr>
          <w:p>
            <w:pPr>
              <w:spacing w:after="0"/>
              <w:rPr>
                <w:sz w:val="17"/>
                <w:szCs w:val="17"/>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Disclosure</w:t>
              </w:r>
            </w:hyperlink>
          </w:p>
        </w:tc>
        <w:tc>
          <w:tcPr>
            <w:tcW w:w="4700" w:type="dxa"/>
            <w:vAlign w:val="bottom"/>
            <w:tcBorders>
              <w:top w:val="single" w:sz="8" w:color="0000EE"/>
            </w:tcBorders>
            <w:gridSpan w:val="18"/>
          </w:tcPr>
          <w:p>
            <w:pPr>
              <w:spacing w:after="0"/>
              <w:rPr>
                <w:sz w:val="17"/>
                <w:szCs w:val="17"/>
                <w:color w:val="auto"/>
              </w:rPr>
            </w:pPr>
          </w:p>
        </w:tc>
        <w:tc>
          <w:tcPr>
            <w:tcW w:w="82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Item 9A.</w:t>
              </w:r>
            </w:hyperlink>
          </w:p>
        </w:tc>
        <w:tc>
          <w:tcPr>
            <w:tcW w:w="440" w:type="dxa"/>
            <w:vAlign w:val="bottom"/>
            <w:gridSpan w:val="2"/>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Controls and Procedures</w:t>
              </w:r>
            </w:hyperlink>
          </w:p>
        </w:tc>
        <w:tc>
          <w:tcPr>
            <w:tcW w:w="4700" w:type="dxa"/>
            <w:vAlign w:val="bottom"/>
            <w:gridSpan w:val="1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Item 9B.</w:t>
              </w:r>
            </w:hyperlink>
          </w:p>
        </w:tc>
        <w:tc>
          <w:tcPr>
            <w:tcW w:w="460" w:type="dxa"/>
            <w:vAlign w:val="bottom"/>
            <w:gridSpan w:val="3"/>
          </w:tcPr>
          <w:p>
            <w:pPr>
              <w:spacing w:after="0"/>
              <w:rPr>
                <w:sz w:val="17"/>
                <w:szCs w:val="17"/>
                <w:color w:val="auto"/>
              </w:rPr>
            </w:pPr>
          </w:p>
        </w:tc>
        <w:tc>
          <w:tcPr>
            <w:tcW w:w="13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Other Information</w:t>
              </w:r>
            </w:hyperlink>
          </w:p>
        </w:tc>
        <w:tc>
          <w:tcPr>
            <w:tcW w:w="5160" w:type="dxa"/>
            <w:vAlign w:val="bottom"/>
            <w:gridSpan w:val="1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1100" w:type="dxa"/>
            <w:vAlign w:val="bottom"/>
            <w:gridSpan w:val="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PART III</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660" w:type="dxa"/>
            <w:vAlign w:val="bottom"/>
            <w:tcBorders>
              <w:top w:val="single" w:sz="8" w:color="0000EE"/>
            </w:tcBorders>
            <w:gridSpan w:val="4"/>
          </w:tcPr>
          <w:p>
            <w:pPr>
              <w:spacing w:after="0" w:line="196" w:lineRule="exact"/>
              <w:rPr>
                <w:rFonts w:ascii="Arial" w:cs="Arial" w:eastAsia="Arial" w:hAnsi="Arial"/>
                <w:sz w:val="18"/>
                <w:szCs w:val="18"/>
                <w:color w:val="0000EE"/>
                <w:w w:val="98"/>
              </w:rPr>
            </w:pPr>
            <w:hyperlink w:anchor="page54">
              <w:r>
                <w:rPr>
                  <w:rFonts w:ascii="Arial" w:cs="Arial" w:eastAsia="Arial" w:hAnsi="Arial"/>
                  <w:sz w:val="18"/>
                  <w:szCs w:val="18"/>
                  <w:color w:val="0000EE"/>
                  <w:w w:val="98"/>
                </w:rPr>
                <w:t>Item 10.</w:t>
              </w:r>
            </w:hyperlink>
          </w:p>
        </w:tc>
        <w:tc>
          <w:tcPr>
            <w:tcW w:w="440" w:type="dxa"/>
            <w:vAlign w:val="bottom"/>
            <w:gridSpan w:val="2"/>
          </w:tcPr>
          <w:p>
            <w:pPr>
              <w:spacing w:after="0"/>
              <w:rPr>
                <w:sz w:val="17"/>
                <w:szCs w:val="17"/>
                <w:color w:val="auto"/>
              </w:rPr>
            </w:pPr>
          </w:p>
        </w:tc>
        <w:tc>
          <w:tcPr>
            <w:tcW w:w="6480" w:type="dxa"/>
            <w:vAlign w:val="bottom"/>
            <w:gridSpan w:val="2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Directors, Executive Officers and Corporate Governance</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100" w:type="dxa"/>
            <w:vAlign w:val="bottom"/>
            <w:gridSpan w:val="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11.</w:t>
              </w:r>
            </w:hyperlink>
          </w:p>
        </w:tc>
        <w:tc>
          <w:tcPr>
            <w:tcW w:w="6480" w:type="dxa"/>
            <w:vAlign w:val="bottom"/>
            <w:gridSpan w:val="2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Executive Compensation</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100" w:type="dxa"/>
            <w:vAlign w:val="bottom"/>
            <w:gridSpan w:val="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12.</w:t>
              </w:r>
            </w:hyperlink>
          </w:p>
        </w:tc>
        <w:tc>
          <w:tcPr>
            <w:tcW w:w="6480" w:type="dxa"/>
            <w:vAlign w:val="bottom"/>
            <w:gridSpan w:val="24"/>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Security Ownership of Certain Beneficial Owners and Management and Related</w:t>
              </w:r>
            </w:hyperlink>
          </w:p>
        </w:tc>
        <w:tc>
          <w:tcPr>
            <w:tcW w:w="640" w:type="dxa"/>
            <w:vAlign w:val="bottom"/>
          </w:tcPr>
          <w:p>
            <w:pPr>
              <w:spacing w:after="0"/>
              <w:rPr>
                <w:sz w:val="17"/>
                <w:szCs w:val="17"/>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Stockholder Matters</w:t>
              </w:r>
            </w:hyperlink>
          </w:p>
        </w:tc>
        <w:tc>
          <w:tcPr>
            <w:tcW w:w="70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6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Item 13.</w:t>
              </w:r>
            </w:hyperlink>
          </w:p>
        </w:tc>
        <w:tc>
          <w:tcPr>
            <w:tcW w:w="420" w:type="dxa"/>
            <w:vAlign w:val="bottom"/>
          </w:tcPr>
          <w:p>
            <w:pPr>
              <w:spacing w:after="0"/>
              <w:rPr>
                <w:sz w:val="17"/>
                <w:szCs w:val="17"/>
                <w:color w:val="auto"/>
              </w:rPr>
            </w:pPr>
          </w:p>
        </w:tc>
        <w:tc>
          <w:tcPr>
            <w:tcW w:w="54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Certain Relationships and Related Transactions, and Director Independence</w:t>
              </w:r>
            </w:hyperlink>
          </w:p>
        </w:tc>
        <w:tc>
          <w:tcPr>
            <w:tcW w:w="1020" w:type="dxa"/>
            <w:vAlign w:val="bottom"/>
            <w:gridSpan w:val="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1100" w:type="dxa"/>
            <w:vAlign w:val="bottom"/>
            <w:gridSpan w:val="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Item 14.</w:t>
              </w:r>
            </w:hyperlink>
          </w:p>
        </w:tc>
        <w:tc>
          <w:tcPr>
            <w:tcW w:w="6480" w:type="dxa"/>
            <w:vAlign w:val="bottom"/>
            <w:gridSpan w:val="24"/>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Principal Accountant Fees and Services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67">
              <w:r>
                <w:rPr>
                  <w:rFonts w:ascii="Arial" w:cs="Arial" w:eastAsia="Arial" w:hAnsi="Arial"/>
                  <w:sz w:val="18"/>
                  <w:szCs w:val="18"/>
                  <w:color w:val="0000EE"/>
                  <w:w w:val="94"/>
                </w:rPr>
                <w:t>PART IV</w:t>
              </w:r>
            </w:hyperlink>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1100" w:type="dxa"/>
            <w:vAlign w:val="bottom"/>
            <w:gridSpan w:val="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Item 15.</w:t>
              </w:r>
            </w:hyperlink>
          </w:p>
        </w:tc>
        <w:tc>
          <w:tcPr>
            <w:tcW w:w="6480" w:type="dxa"/>
            <w:vAlign w:val="bottom"/>
            <w:gridSpan w:val="2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Exhibits, Financial Statement Schedules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723"/>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tcBorders>
              <w:top w:val="single" w:sz="8" w:color="0000EE"/>
            </w:tcBorders>
            <w:gridSpan w:val="14"/>
          </w:tcPr>
          <w:p>
            <w:pPr>
              <w:spacing w:after="0"/>
              <w:rPr>
                <w:sz w:val="24"/>
                <w:szCs w:val="24"/>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references to us, we, our, the Company and WFI refer to Wireless Facilities, Inc., a Delaware Corporation,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In this Annual Report on Form 10-K, we are restating our consolidated balance sheet as of December 31, 2005, and the related consolidated statements of income, stockholders’ equity, comprehensive income and cash flows for the years ended December 31, 2004 and 2005. This Report also includes restated unaudited quarterly financial information and financial statements for interim periods of 2005.</w:t>
      </w:r>
    </w:p>
    <w:p>
      <w:pPr>
        <w:spacing w:after="0" w:line="73"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As a result of the findings of our Equity Award Review, our consolidated financial statements for the years ended December 31, 2004 and 2005 have been restated. The restated consolidated financial statements include unaudited financial information for interim periods of 2005 consistent with Article 10-01 of Regulation S-X. The Company also recorded additional stock-based compensation expense and associated tax adjustments affecting the Company’s previously reported financial statements for 1998 through 2003, the effects of which are summarized in cumulative adjustments to additional paid-in capital, deferred compensation and accumulated deficit accounts as of December 31, 2003 in the amounts of $56.1 million, $6.6 million and $62.9 million, respectively, all of which are recorded in the Consolidated Statements of Shareholders’ Equity.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Review</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Background and Scope of Review</w:t>
      </w:r>
    </w:p>
    <w:p>
      <w:pPr>
        <w:spacing w:after="0" w:line="11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Our current executive management team, which has been in place since 2004, initiated an internal review of our historical practices related to granting stock option awards and other equity awards (the “</w:t>
      </w:r>
      <w:r>
        <w:rPr>
          <w:rFonts w:ascii="Arial" w:cs="Arial" w:eastAsia="Arial" w:hAnsi="Arial"/>
          <w:sz w:val="17"/>
          <w:szCs w:val="17"/>
          <w:i w:val="1"/>
          <w:iCs w:val="1"/>
          <w:color w:val="auto"/>
        </w:rPr>
        <w:t>Equity Award Review</w:t>
      </w:r>
      <w:r>
        <w:rPr>
          <w:rFonts w:ascii="Arial" w:cs="Arial" w:eastAsia="Arial" w:hAnsi="Arial"/>
          <w:sz w:val="17"/>
          <w:szCs w:val="17"/>
          <w:color w:val="auto"/>
        </w:rPr>
        <w:t>”) in the summer of 2006 in reaction to media reports regarding stock option granting practices of public companies. The Equity Award Review was conducted with oversight from the Board of Directors (the “Board”), and assistance from our outside counsel, Morrison &amp; Foerster LLP (“Morrison Foerster”). In February 2007, the Board appointed a Special Committee of the Board to review the adequacy of the Equity Award Review and the recommendations of management regarding historical option granting practices, and to make recommendations and findings regarding those practices and individual conduct. The Special Committee was not charged with making, and did not make, any evaluation of the accounting determinations and related tax adjustments. The accounting determinations and related tax adjustments were evaluated by management and the Audit Committee of the Board of Directors. The Special Committee was comprised of a non-employee director who had not served on our Compensation Committee before 2005.</w:t>
      </w:r>
    </w:p>
    <w:p>
      <w:pPr>
        <w:spacing w:after="0" w:line="74"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The Equity Award Review encompassed all grants of options to purchase shares of our common stock and other equity awards made since two months prior to our initial public offering (our “IPO”) in November 1999 through December 2006. We also reviewed all option grants that were entered into our stock option database (Equity Edge) after our IPO with a grant date before November 1999, as well as other substantial grants issued prior to our IPO. The total number of grants reviewed in the Equity Award Review exceeded 14,000 individual grants. We further reviewed all option grants with a grant date that preceded an employee’s date of hire. As part of the review, interviews of 18 current and former officers, directors, employees and attorneys were conducted, and more than 40 million pages of electronic and hard copy documents were searched for relevant information. The Special Committee also conducted its own separate review of the option granting practices during the tenure of our current executive management team through additional interviews and document collection and review with the assistance of its own separate counsel, Pillsbury Winthrop Shaw Pittman LLP (“Pillsbury Winthrop”), and FTI Consulting Inc. (“FTI Consulting”), a forensic information technology consulting firm.</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The Special Committee completed its evaluation of the Equity Award Review in August 2007 after considering the information gathered by management and Morrison &amp; Foerster, along with testing and data gathering by Pillsbury Winthrop and FTI Consulting. The Special Committee concluded that the Equity</w:t>
      </w:r>
    </w:p>
    <w:p>
      <w:pPr>
        <w:sectPr>
          <w:pgSz w:w="11900" w:h="16838" w:orient="portrait"/>
          <w:cols w:equalWidth="0" w:num="1">
            <w:col w:w="11420"/>
          </w:cols>
          <w:pgMar w:left="240" w:top="122" w:right="239" w:bottom="0" w:gutter="0" w:footer="0" w:header="0"/>
        </w:sectPr>
      </w:pPr>
    </w:p>
    <w:bookmarkStart w:id="2" w:name="page3"/>
    <w:bookmarkEnd w:id="2"/>
    <w:p>
      <w:pPr>
        <w:ind w:right="60"/>
        <w:spacing w:after="0" w:line="277" w:lineRule="auto"/>
        <w:rPr>
          <w:sz w:val="20"/>
          <w:szCs w:val="20"/>
          <w:color w:val="auto"/>
        </w:rPr>
      </w:pPr>
      <w:r>
        <w:rPr>
          <w:rFonts w:ascii="Arial" w:cs="Arial" w:eastAsia="Arial" w:hAnsi="Arial"/>
          <w:sz w:val="18"/>
          <w:szCs w:val="18"/>
          <w:color w:val="auto"/>
        </w:rPr>
        <w:t>Award Review was complete and worthy of reliance. Our Board has also concluded that the scope and thoroughness of the Equity Award Review was complete and appropriate.</w:t>
      </w:r>
    </w:p>
    <w:p>
      <w:pPr>
        <w:spacing w:after="0" w:line="62" w:lineRule="exact"/>
        <w:rPr>
          <w:sz w:val="20"/>
          <w:szCs w:val="20"/>
          <w:color w:val="auto"/>
        </w:rPr>
      </w:pPr>
    </w:p>
    <w:p>
      <w:pPr>
        <w:ind w:right="280" w:firstLine="360"/>
        <w:spacing w:after="0" w:line="272" w:lineRule="auto"/>
        <w:rPr>
          <w:sz w:val="20"/>
          <w:szCs w:val="20"/>
          <w:color w:val="auto"/>
        </w:rPr>
      </w:pPr>
      <w:r>
        <w:rPr>
          <w:rFonts w:ascii="Arial" w:cs="Arial" w:eastAsia="Arial" w:hAnsi="Arial"/>
          <w:sz w:val="17"/>
          <w:szCs w:val="17"/>
          <w:color w:val="auto"/>
        </w:rPr>
        <w:t>The Equity Award Review established the absence of contemporaneous evidence supporting a substantial number of the previously-recorded option grants, substantially all of which were made in the period from 1998 through late 2003. During this period of time, in some instances, documents, data and interviews suggest that option grants were prepared or finalized days or, in some cases, weeks or months after the option grant date recorded in our accounting records. The affected grants include options issued to certain newly-hired employees using measurement dates prior to their employment start dates and options issued to non-employees, including advisors to the Board, erroneously designated as employees. The Special Committee also concluded that certain former employees and former officers participated in making improper option grants, including the selection of grant dates with the benefit of hindsight and in the delay in dating of otherwise approved option grants.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Impact on Previously Issued Reports and Financial Statements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light of the Equity Award Review and the Special Committee’s findings described herein, the Audit Committee of the Board concluded that our prior financial statements for periods from 1998 through our filing of interim financial statements for the period ended September 30, 2006, must be restated. Our management determined that, from fiscal year 1998 through fiscal year 2005, the Company did not properly recognize non-cash equity-based compensation charges. These charges are material to our financial statements for the years ended December 31, 1998 through 2005, the periods to which such charges would have related. Previously filed annual reports on Form 10-K and quarterly reports on Form 10-Q affected by the restatements have not been and will not be amended and should not be relied upon.</w:t>
      </w:r>
    </w:p>
    <w:p>
      <w:pPr>
        <w:spacing w:after="0" w:line="85"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color w:val="auto"/>
        </w:rPr>
        <w:t>Consistent with the relevant accounting standards and recent guidance from the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as part of the Equity Award Review, the grants during the relevant period were organized into categories based on grant type and process by which the grant was finalized. We analyzed the evidence related to grants in each category as part of the Equity Award Review. This evidence included, but was not limited to, electronic and physical documents, document metadata, and witness interviews. The controlling accounting standards were applied to the relevant facts and circumstances, in a manner consistent with the recent guidance from the SEC, to determine the proper measurement date for every grant within each category. If the measurement date was not the same as the originally assigned grant date, accounting adjustments were made as required, resulting in stock-based compensation expense and related income tax effects, as detailed below.</w:t>
      </w:r>
    </w:p>
    <w:p>
      <w:pPr>
        <w:spacing w:after="0" w:line="70" w:lineRule="exact"/>
        <w:rPr>
          <w:sz w:val="20"/>
          <w:szCs w:val="20"/>
          <w:color w:val="auto"/>
        </w:rPr>
      </w:pPr>
    </w:p>
    <w:p>
      <w:pPr>
        <w:ind w:right="60" w:firstLine="360"/>
        <w:spacing w:after="0" w:line="253" w:lineRule="auto"/>
        <w:rPr>
          <w:sz w:val="20"/>
          <w:szCs w:val="20"/>
          <w:color w:val="auto"/>
        </w:rPr>
      </w:pPr>
      <w:r>
        <w:rPr>
          <w:rFonts w:ascii="Arial" w:cs="Arial" w:eastAsia="Arial" w:hAnsi="Arial"/>
          <w:sz w:val="18"/>
          <w:szCs w:val="18"/>
          <w:color w:val="auto"/>
        </w:rPr>
        <w:t xml:space="preserve">Based on the results of the Equity Award Review, we concluded that, pursuant to Accounting Principles Board Opinion No. 25, </w:t>
      </w:r>
      <w:r>
        <w:rPr>
          <w:rFonts w:ascii="Arial" w:cs="Arial" w:eastAsia="Arial" w:hAnsi="Arial"/>
          <w:sz w:val="18"/>
          <w:szCs w:val="18"/>
          <w:i w:val="1"/>
          <w:iCs w:val="1"/>
          <w:color w:val="auto"/>
        </w:rPr>
        <w:t>Accounting for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Issued to Employees </w:t>
      </w:r>
      <w:r>
        <w:rPr>
          <w:rFonts w:ascii="Arial" w:cs="Arial" w:eastAsia="Arial" w:hAnsi="Arial"/>
          <w:sz w:val="18"/>
          <w:szCs w:val="18"/>
          <w:color w:val="auto"/>
        </w:rPr>
        <w:t>(“</w:t>
      </w:r>
      <w:r>
        <w:rPr>
          <w:rFonts w:ascii="Arial" w:cs="Arial" w:eastAsia="Arial" w:hAnsi="Arial"/>
          <w:sz w:val="18"/>
          <w:szCs w:val="18"/>
          <w:i w:val="1"/>
          <w:iCs w:val="1"/>
          <w:color w:val="auto"/>
        </w:rPr>
        <w:t>APB 25</w:t>
      </w:r>
      <w:r>
        <w:rPr>
          <w:rFonts w:ascii="Arial" w:cs="Arial" w:eastAsia="Arial" w:hAnsi="Arial"/>
          <w:sz w:val="18"/>
          <w:szCs w:val="18"/>
          <w:color w:val="auto"/>
        </w:rPr>
        <w:t>”), and relevant interpretations, revised accounting measurement dates should be applied to a substantial number of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grants covering options for the purchase of 15.2 million shares of our common stock that were awarded primarily between March 1998 and December 2003. The use of the revised measurement dates for the affected option grants required us to record a total of $75.0 million in additional deferred compensation, with substantially all of the increase relating to option grants made before December 31, 2003. We have also recorded $58.2 million in additional stock-based compensation expense for the years 1998 through 2005, reflecting the amortization of deferred compensation over the relevant vesting periods, which was typically over four years. After aggregate other tax adjustments and income tax adjustments of $9.6 million, the restatement resulted in total net adjustments to net income (loss) of $48.6 million for the years 1998 through 2005. This amount is net of forfeitures related to employee terminations 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approximately $16.8 million. These amounts do not include the unauthorized issuance of common stock charge of $0.6 million and $5.7 million in 2002 and 2003, respectively, related to misappropriated options by the Company’s former stock administrator described herein. The aggregate amount of the Equity Award Review including the misappropriated options is $64.5 million comprised of the $58.2 million in additional stock-based compensation expense and $6.3 million of a charge for unauthorized issuance of common stock. After aggregate other tax adjustments and income tax adjustments of $9.6 million, the restatement resulted in total net adjustments to net income (loss) of $54.9 million for the years 1998 through 2005. Approximately $26.6 million of the stock-based compensation expense was recorded in 2001, due to cancellations from our Stock Option Cancel/Re-grant Program, as described below, which resulted in the remaining unamortized deferred compensation being expensed upon the cancellation in March 2001 in accordance with Emerging Issues Task Force 00-23, “Issues Related to the Accounting for Stock Compensation under APB Opinion No. 25 and FASB Interpretation No. 44.”</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a consequence of these adjustments, our audited consolidated financial statements and related disclosures for the years ended December 31, 2004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2005 and our consolidated statements of operations and consolidated balance sheet data for the four years ended December 31, 2005, included in “Selected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Consolidated Financial Data” in Part II, Item 6 of this Report, have been restated. Additionally, the unaudited quarterly financial information for interim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periods of 2005, as well as the unaudited balance sheet data for the interim periods of 2006, included in “Management’s Discussion and Analysis of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 and Results of Operations” in Part II, Item 7 of this Report, have been amended. We have also restated the stock-based compensation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footnote information calculated under Statement of Financial Accounting Standards, or SFAS,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SFAS 123</w:t>
      </w:r>
      <w:r>
        <w:rPr>
          <w:rFonts w:ascii="Arial" w:cs="Arial" w:eastAsia="Arial" w:hAnsi="Arial"/>
          <w:sz w:val="16"/>
          <w:szCs w:val="16"/>
          <w:i w:val="1"/>
          <w:iCs w:val="1"/>
          <w:color w:val="auto"/>
        </w:rPr>
        <w:t>,</w:t>
      </w:r>
      <w:r>
        <w:rPr>
          <w:rFonts w:ascii="Arial" w:cs="Arial" w:eastAsia="Arial" w:hAnsi="Arial"/>
          <w:sz w:val="16"/>
          <w:szCs w:val="16"/>
          <w:color w:val="auto"/>
        </w:rPr>
        <w:t xml:space="preserve"> and SFAS No. 148, </w:t>
      </w:r>
      <w:r>
        <w:rPr>
          <w:rFonts w:ascii="Arial" w:cs="Arial" w:eastAsia="Arial" w:hAnsi="Arial"/>
          <w:sz w:val="16"/>
          <w:szCs w:val="16"/>
          <w:i w:val="1"/>
          <w:iCs w:val="1"/>
          <w:color w:val="auto"/>
        </w:rPr>
        <w:t>Accounting for Stock-Based Compensation—Transition and Disclosure</w:t>
      </w:r>
      <w:r>
        <w:rPr>
          <w:rFonts w:ascii="Arial" w:cs="Arial" w:eastAsia="Arial" w:hAnsi="Arial"/>
          <w:sz w:val="16"/>
          <w:szCs w:val="16"/>
          <w:color w:val="auto"/>
        </w:rPr>
        <w:t>, or SFAS 148, under the disclosure-only alternatives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those pronouncements for the years 2004 and 2005 and for interim periods of 2005. The restated footnote information has been included in “Management’s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Discussion and Analysis of Financial Condition and Results of Operations” as well as in the Consolidated Financial Statements in Part II, Item 15 of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103" w:lineRule="exact"/>
        <w:rPr>
          <w:sz w:val="20"/>
          <w:szCs w:val="20"/>
          <w:color w:val="auto"/>
        </w:rPr>
      </w:pPr>
    </w:p>
    <w:p>
      <w:pPr>
        <w:ind w:right="640" w:firstLine="360"/>
        <w:spacing w:after="0" w:line="277" w:lineRule="auto"/>
        <w:rPr>
          <w:sz w:val="20"/>
          <w:szCs w:val="20"/>
          <w:color w:val="auto"/>
        </w:rPr>
      </w:pPr>
      <w:r>
        <w:rPr>
          <w:rFonts w:ascii="Arial" w:cs="Arial" w:eastAsia="Arial" w:hAnsi="Arial"/>
          <w:sz w:val="18"/>
          <w:szCs w:val="18"/>
          <w:color w:val="auto"/>
        </w:rPr>
        <w:t>None of the adjustments resulting from the Equity Award Review affected our previously reported revenue, cash, cash equivalents or marketable securities balances in any prior periods.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Former Stock Option Administrator</w:t>
      </w:r>
    </w:p>
    <w:p>
      <w:pPr>
        <w:spacing w:after="0" w:line="117"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During the course of the Equity Award Review, we discovered that Vencent Donlan, a former stock option administrator, had engaged in a fraudulent scheme by which he misappropriated options to purchase more than 700,000 shares of stock. Ill-gotten gains from this scheme approximated $6.3 million. We have brought an action against Donlan seeking return of the fraudulently obtained stock option proceeds. We also promptly alerted the SEC of our discovery in March 2007. The SEC commenced an enforcement action against Donlan, and the U.S. Attorney’s Office forwarded a grand jury subpoena to us seeking records related to Donlan and our historical option granting practices. We have cooperated with, and intend to continue to cooperate with, both the SEC and the U.S. Attorney’s Office in their actions against Donlan and otherwise. Donlan has consented to an injunction brought by the SEC and has plead guilty to federal criminal charges brought against him by the U.S. Attorney’s Office. We have recorded an unauthorized issuance of common stock charge of $0.6 million and $5.7 million in 2002 and 2003, respectively, related to this theft.</w:t>
      </w:r>
    </w:p>
    <w:p>
      <w:pPr>
        <w:spacing w:after="0" w:line="71"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Except as otherwise stated, all financial information contained in this Annual Report on Form 10-K gives effect to this restatement. Information regarding the effect of the restatement on our financial position and results of operations is provided in Note 2 of Notes to Consolidated Financial Statements,</w:t>
      </w:r>
    </w:p>
    <w:p>
      <w:pPr>
        <w:sectPr>
          <w:pgSz w:w="11900" w:h="16838" w:orient="portrait"/>
          <w:cols w:equalWidth="0" w:num="1">
            <w:col w:w="11420"/>
          </w:cols>
          <w:pgMar w:left="240" w:top="125" w:right="239" w:bottom="0" w:gutter="0" w:footer="0" w:header="0"/>
        </w:sectPr>
      </w:pPr>
    </w:p>
    <w:bookmarkStart w:id="3" w:name="page4"/>
    <w:bookmarkEnd w:id="3"/>
    <w:p>
      <w:pPr>
        <w:spacing w:after="0" w:line="342" w:lineRule="auto"/>
        <w:rPr>
          <w:sz w:val="20"/>
          <w:szCs w:val="20"/>
          <w:color w:val="auto"/>
        </w:rPr>
      </w:pPr>
      <w:r>
        <w:rPr>
          <w:rFonts w:ascii="Arial" w:cs="Arial" w:eastAsia="Arial" w:hAnsi="Arial"/>
          <w:sz w:val="16"/>
          <w:szCs w:val="16"/>
          <w:color w:val="auto"/>
        </w:rPr>
        <w:t>included in Part IV, Item 15 of this Report. Financial information included in the previously filed reports on Form 10-K, Form 10-Q and Form 8-K, the related opinions of our independent registered public accounting firms, and all previously issued earnings press releases and similar communications, for all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periods ended on or before December 31, 2005 should not be relied upon and are superseded in their entirety by the information in this Annual Report on Form 10-K.</w:t>
      </w:r>
    </w:p>
    <w:p>
      <w:pPr>
        <w:spacing w:after="0" w:line="62" w:lineRule="exact"/>
        <w:rPr>
          <w:sz w:val="20"/>
          <w:szCs w:val="20"/>
          <w:color w:val="auto"/>
        </w:rPr>
      </w:pPr>
    </w:p>
    <w:p>
      <w:pPr>
        <w:ind w:right="620" w:firstLine="360"/>
        <w:spacing w:after="0" w:line="308" w:lineRule="auto"/>
        <w:rPr>
          <w:sz w:val="20"/>
          <w:szCs w:val="20"/>
          <w:color w:val="auto"/>
        </w:rPr>
      </w:pPr>
      <w:r>
        <w:rPr>
          <w:rFonts w:ascii="Arial" w:cs="Arial" w:eastAsia="Arial" w:hAnsi="Arial"/>
          <w:sz w:val="17"/>
          <w:szCs w:val="17"/>
          <w:color w:val="auto"/>
        </w:rPr>
        <w:t>In 2006 and 2007, we undertook a transformation strategy whereby we divested our wireless related businesses and chose to aggressively pursue business with the federal government. A more detailed description of our transformation strategy is included herein.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This Annual Report on Form 10-K (including the section regarding Management’s Discussion and Analysis of Financial Condition and Results of Operations) contains forward-looking statements regarding our business, financial condition, results of operations and prospects. Words such as “expects,” “anticipates,” “intends,” “plans,” “believes,” “seeks,” “estimates” and similar expressions or variations of such words are intended to identify forward-looking statements, but are not deemed to represent an all-inclusive means of identifying forward-looking statements as denoted in this Annual Report on Form 10-K. Additionally, statements concerning future matters are forward-looking statements.</w:t>
      </w:r>
    </w:p>
    <w:p>
      <w:pPr>
        <w:spacing w:after="0" w:line="80"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 xml:space="preserve">Although forward-looking statements in this Annual Report on Form 10-K reflect our good faith judgment,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in Item 1A—“Risks Factors” below, as well as those discussed elsewhere in this Annual Report on Form 10-K. Readers are urged not to place undue reliance on these forward-looking statements, which speak only as of the date of this Annual Report on Form 10-K. We file reports with the SEC. We make available on our website under “Investor Relations/SEC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Arial" w:cs="Arial" w:eastAsia="Arial" w:hAnsi="Arial"/>
          <w:sz w:val="17"/>
          <w:szCs w:val="17"/>
          <w:i w:val="1"/>
          <w:iCs w:val="1"/>
          <w:color w:val="auto"/>
        </w:rPr>
        <w:t>www.wfinet.com</w:t>
      </w:r>
      <w:r>
        <w:rPr>
          <w:rFonts w:ascii="Arial" w:cs="Arial" w:eastAsia="Arial" w:hAnsi="Arial"/>
          <w:sz w:val="17"/>
          <w:szCs w:val="17"/>
          <w:color w:val="auto"/>
        </w:rPr>
        <w:t>. You can also read and copy any materials we file with the SEC at the SEC’s Public Reference Room at 100 F Street, NE, Washington, DC 20549. You can obtain additional information about the operation of the Public Reference Room by calling the SEC at 1-800-SEC-0330. In addition, the SEC maintains an Internet site (</w:t>
      </w:r>
      <w:r>
        <w:rPr>
          <w:rFonts w:ascii="Arial" w:cs="Arial" w:eastAsia="Arial" w:hAnsi="Arial"/>
          <w:sz w:val="17"/>
          <w:szCs w:val="17"/>
          <w:i w:val="1"/>
          <w:iCs w:val="1"/>
          <w:color w:val="auto"/>
        </w:rPr>
        <w:t>www.sec.gov</w:t>
      </w:r>
      <w:r>
        <w:rPr>
          <w:rFonts w:ascii="Arial" w:cs="Arial" w:eastAsia="Arial" w:hAnsi="Arial"/>
          <w:sz w:val="17"/>
          <w:szCs w:val="17"/>
          <w:color w:val="auto"/>
        </w:rPr>
        <w:t>) that contains reports, proxy and information statements, and other information regarding issuers that file electronically with the SEC, including us.</w:t>
      </w:r>
    </w:p>
    <w:p>
      <w:pPr>
        <w:spacing w:after="0" w:line="72"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We undertake no obligation to revise or update any forward-looking statements in order to reflect any event or circumstance that may arise after the date of this Annual Report on Form 10-K. Readers are urged to carefully review and consider the various disclosures made throughout the entirety of this Annual Report, which attempt to advise interested parties of the risks and factors that may affect our business, financial condition, results of operations and prospects.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On November 7, 2006, our Board approved a change in the fiscal year end from the last Friday in December to December 31. Concurrently, the Board approved a change in the interim fiscal periods to provide that the last day of the fiscal quarter shall be the last day of the calendar month of each quarter. As a result, the end of fiscal 2006, which would have ended on December 29, 2006, ended as of December 31, 2006. Prior to this change in fiscal year, the Company operated and reported using a 52-53 week fiscal year ending the last Friday in December. As a result, a fifty-third week was added every five or six years. Under the prior reporting system, each 52 week fiscal year consisted of four equal quarters of 13 weeks each, and each 53 week fiscal year consists of three 13 week quarters and one 14 week quarter. The change in fiscal year and interim fiscal periods will not be applied to periods prior to the quarter ended September 30, 2006, and, consistent with prior reports, all prior fiscal periods presented or discussed in this report have been presented as ending on the last day of the nearest calendar month. In reliance on Exchange Act Release No. 26589, the Company will not file a transition report covering the transition period from December 30, 2006 to December 31, 2006.</w:t>
      </w:r>
    </w:p>
    <w:p>
      <w:pPr>
        <w:spacing w:after="0" w:line="74"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 We consummated our IPO on November 5, 1999. Our principal executive office is located at 4810 Eastgate Mall, San Diego, California 92121. Our telephone number is (858) 228-2000.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Structure</w:t>
      </w:r>
    </w:p>
    <w:p>
      <w:pPr>
        <w:spacing w:after="0" w:line="121" w:lineRule="exact"/>
        <w:rPr>
          <w:sz w:val="20"/>
          <w:szCs w:val="20"/>
          <w:color w:val="auto"/>
        </w:rPr>
      </w:pPr>
    </w:p>
    <w:p>
      <w:pPr>
        <w:ind w:right="320" w:firstLine="360"/>
        <w:spacing w:after="0" w:line="308" w:lineRule="auto"/>
        <w:rPr>
          <w:sz w:val="20"/>
          <w:szCs w:val="20"/>
          <w:color w:val="auto"/>
        </w:rPr>
      </w:pPr>
      <w:r>
        <w:rPr>
          <w:rFonts w:ascii="Arial" w:cs="Arial" w:eastAsia="Arial" w:hAnsi="Arial"/>
          <w:sz w:val="17"/>
          <w:szCs w:val="17"/>
          <w:color w:val="auto"/>
        </w:rPr>
        <w:t>In 2006, we were an independent provider of outsourced engineering and network deployment services, security systems engineering and integration services and other technical services for the wireless communications industry, the U.S. government, and enterprise customers.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Former Operating Segments</w:t>
      </w:r>
    </w:p>
    <w:p>
      <w:pPr>
        <w:spacing w:after="0" w:line="121"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In 2006, we had three operating segments which consisted of our Wireless Network Services (“WNS”) segment, our Enterprise Network Services (“ENS”) segment, and our Government Network Services segment, also known as WFI Government Services, Inc. The financial statements in this Annual Report on Form 10-K are presented in a manner consistent with this former operating structure. For additional information regarding our operating segments, see Note 14 of Notes to Consolidated Financial Statements, included in Part IV, Item 15 of this Report.</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Wireless Network Services Segment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Wireless Network Services segment consisted of two primary services: Wireless Engineering Services and Wireless Network Deployment Services.</w:t>
      </w:r>
    </w:p>
    <w:p>
      <w:pPr>
        <w:sectPr>
          <w:pgSz w:w="11900" w:h="16838" w:orient="portrait"/>
          <w:cols w:equalWidth="0" w:num="1">
            <w:col w:w="11420"/>
          </w:cols>
          <w:pgMar w:left="240" w:top="125" w:right="239" w:bottom="0" w:gutter="0" w:footer="0" w:header="0"/>
        </w:sect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Wireless Engineering Services</w:t>
      </w:r>
    </w:p>
    <w:p>
      <w:pPr>
        <w:sectPr>
          <w:pgSz w:w="11900" w:h="16838" w:orient="portrait"/>
          <w:cols w:equalWidth="0" w:num="1">
            <w:col w:w="11420"/>
          </w:cols>
          <w:pgMar w:left="240" w:top="125" w:right="239" w:bottom="0" w:gutter="0" w:footer="0" w:header="0"/>
          <w:type w:val="continuous"/>
        </w:sectPr>
      </w:pPr>
    </w:p>
    <w:bookmarkStart w:id="4" w:name="page5"/>
    <w:bookmarkEnd w:id="4"/>
    <w:p>
      <w:pPr>
        <w:ind w:right="80" w:firstLine="360"/>
        <w:spacing w:after="0" w:line="259" w:lineRule="auto"/>
        <w:rPr>
          <w:sz w:val="20"/>
          <w:szCs w:val="20"/>
          <w:color w:val="auto"/>
        </w:rPr>
      </w:pPr>
      <w:r>
        <w:rPr>
          <w:rFonts w:ascii="Arial" w:cs="Arial" w:eastAsia="Arial" w:hAnsi="Arial"/>
          <w:sz w:val="18"/>
          <w:szCs w:val="18"/>
          <w:color w:val="auto"/>
        </w:rPr>
        <w:t>Wireless Engineering Services provided network engineering and business consulting services for all pre-deployment planning for wireless carriers, including technology assessment, market analysis, and business plan development. This service area studied and analyzed the traffic patterns, population density, and topography and propagation environment in each market under consideration. It analyzed the financial, engineering, competitive and technology issues applicable to a proposed technology or network deployment project.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Wireless Deployment Services</w:t>
      </w:r>
    </w:p>
    <w:p>
      <w:pPr>
        <w:spacing w:after="0" w:line="117" w:lineRule="exact"/>
        <w:rPr>
          <w:sz w:val="20"/>
          <w:szCs w:val="20"/>
          <w:color w:val="auto"/>
        </w:rPr>
      </w:pPr>
    </w:p>
    <w:p>
      <w:pPr>
        <w:ind w:right="200" w:firstLine="360"/>
        <w:spacing w:after="0" w:line="342" w:lineRule="auto"/>
        <w:rPr>
          <w:sz w:val="20"/>
          <w:szCs w:val="20"/>
          <w:color w:val="auto"/>
        </w:rPr>
      </w:pPr>
      <w:r>
        <w:rPr>
          <w:rFonts w:ascii="Arial" w:cs="Arial" w:eastAsia="Arial" w:hAnsi="Arial"/>
          <w:sz w:val="16"/>
          <w:szCs w:val="16"/>
          <w:color w:val="auto"/>
        </w:rPr>
        <w:t>Wireless Deployment Services provided a range of services for the full design and deployment of wireless networks carrier customers. Such services included: Radio Frequency Engineering; Spectrum Relocation; Fixed Network Engineering; Site Development; and Installation and Optimization Services.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Enterprise Network Services Segment</w:t>
      </w:r>
    </w:p>
    <w:p>
      <w:pPr>
        <w:spacing w:after="0" w:line="117"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Our ENS segment, which we now call our non-federal business, provides system design, deployment, integration, monitoring and support services for enterprise networks. Enterprise networks have been traditionally segregated into systems such as voice, data, access control, video surveillance, temperature control and fire alarm. We provide services that combine such systems and offer integrated solutions on an Ethernet-based platform. We also offer solutions that combine voice, data, electronic security and building automation systems with fixed or wireless connectivity solutions. We aim to meet the needs of any business enterprise by understanding the needs of the particular entity, sifting through the multiple solutions and complex technologies available in the marketplace and designing, deploying, managing and maintaining a cost-effective and integrated solution that is capable of evolving as the needs of the client change with time. Our target markets are retail, healthcare, education, municipal government and public facilities. Our commitment to these markets and our proven ability to provide feature-rich, cost-effective solutions has allowed us to become one of the larger independent integrators for these types of systems.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Government Network Services Segment</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Our Government Network Services segment, which we now call our federal business, serves the federal engineering and information technology services market, which includes the design, development, deployment, integration and management of communications and information networks. This business is described in more detail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Transformation</w:t>
      </w:r>
    </w:p>
    <w:p>
      <w:pPr>
        <w:spacing w:after="0" w:line="121" w:lineRule="exact"/>
        <w:rPr>
          <w:sz w:val="20"/>
          <w:szCs w:val="20"/>
          <w:color w:val="auto"/>
        </w:rPr>
      </w:pPr>
    </w:p>
    <w:p>
      <w:pPr>
        <w:jc w:val="both"/>
        <w:ind w:right="520" w:firstLine="360"/>
        <w:spacing w:after="0" w:line="264" w:lineRule="auto"/>
        <w:rPr>
          <w:sz w:val="20"/>
          <w:szCs w:val="20"/>
          <w:color w:val="auto"/>
        </w:rPr>
      </w:pPr>
      <w:r>
        <w:rPr>
          <w:rFonts w:ascii="Arial" w:cs="Arial" w:eastAsia="Arial" w:hAnsi="Arial"/>
          <w:sz w:val="18"/>
          <w:szCs w:val="18"/>
          <w:color w:val="auto"/>
        </w:rPr>
        <w:t>In 2006 and 2007, we undertook a transformation strategy whereby we divested our wireless-related businesses and chose to aggressively pursue business with the federal government, primarily the U.S. Department of Defense, through strategic acquisitions. These divestitures and acquisitions are described in more detail below.</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Sale and Discontinuance of Significant Subsidiaries</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 December 2005, our Board made the decision to exit our Mexican operations and certain of our other deployment businesses in South America. Prior to this decision, these operations had been reported in our WNS segment. We determined that these operations met the criteria to be classified as held for sale. Accordingly, we reflected these operations as discontinued in accordance with SFAS No. 144, “Accounting for the Impairment or Disposal of Long-Lived Assets” in our financial statements as of and for the year ended 2005. The other South American operations were substantially shut down as of the end of December 2005.</w:t>
      </w:r>
    </w:p>
    <w:p>
      <w:pPr>
        <w:spacing w:after="0" w:line="80"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On February 17, 2006, we entered into an Equity Purchase Agreement to sell all of the stock of our wholly owned subsidiaries (i) WFI de Mexico, S. de R.L. de C.V., (ii) WFI de Mexico, Servicios de Adminstracion, S. de R.L. de C.V., (iii) WFI de Mexico, Servicios de Ingenieria, S. de R.L. de C.V., (iv) WFI Services de Mexico S.A. de C.V., (v) WFI Asesoria en Adminstracion, S.C; and (vi) WFI Asesoria en Telecomunicaciones, S.C. (the “Mexico Operations”) to Sakoki LLC. The transaction closed on March 10, 2006. Refer to Note 14 Related Party Transactions for further discussion of the purchaser, Sakoki, LLC.</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80" w:firstLine="360"/>
        <w:spacing w:after="0" w:line="308" w:lineRule="auto"/>
        <w:rPr>
          <w:sz w:val="20"/>
          <w:szCs w:val="20"/>
          <w:color w:val="auto"/>
        </w:rPr>
      </w:pPr>
      <w:r>
        <w:rPr>
          <w:rFonts w:ascii="Arial" w:cs="Arial" w:eastAsia="Arial" w:hAnsi="Arial"/>
          <w:sz w:val="17"/>
          <w:szCs w:val="17"/>
          <w:color w:val="auto"/>
        </w:rPr>
        <w:t>The Equity Purchase Agreement provided that we would receive total approximate consideration of $18.9 million, with $1.5 million in cash and the balance by a secured promissory note. As of December 31, 2006 we had received all installment payments due under the promissory note.</w:t>
      </w:r>
    </w:p>
    <w:p>
      <w:pPr>
        <w:spacing w:after="0" w:line="38"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The impact of the divestiture has been reflected in the consolidated balance sheets as of December 31, 2006. There was no gain or loss realized on the sale since the business was sold at its net carrying value.</w:t>
      </w:r>
    </w:p>
    <w:p>
      <w:pPr>
        <w:spacing w:after="0" w:line="62" w:lineRule="exact"/>
        <w:rPr>
          <w:sz w:val="20"/>
          <w:szCs w:val="20"/>
          <w:color w:val="auto"/>
        </w:rPr>
      </w:pPr>
    </w:p>
    <w:p>
      <w:pPr>
        <w:jc w:val="both"/>
        <w:ind w:right="120" w:firstLine="360"/>
        <w:spacing w:after="0" w:line="279" w:lineRule="auto"/>
        <w:rPr>
          <w:sz w:val="20"/>
          <w:szCs w:val="20"/>
          <w:color w:val="auto"/>
        </w:rPr>
      </w:pPr>
      <w:r>
        <w:rPr>
          <w:rFonts w:ascii="Arial" w:cs="Arial" w:eastAsia="Arial" w:hAnsi="Arial"/>
          <w:sz w:val="17"/>
          <w:szCs w:val="17"/>
          <w:color w:val="auto"/>
        </w:rPr>
        <w:t>On December 28, 2006, our Board approved a plan to divest portions of our business where critical mass had not been achieved. This plan involved the divestiture of our EMEA operations and remaining South American operations. We determined that these operations met the criteria to be classified as held for sale. Accordingly, we have reflected these operations as discontinued in accordance with SFAS No. 144, “Accounting for the Impairment or Disposal of Long-Lived Assets” in our financial statements as of and for the year ended December 31, 2006.</w:t>
      </w:r>
    </w:p>
    <w:p>
      <w:pPr>
        <w:spacing w:after="0" w:line="63"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On March 9, 2007, we completed the sale of our EMEA operations to LCC Wireless Engineering Services Limited, a wholly-owned subsidiary of LCC International, Inc. (“LCC”) in a cash for stock transaction valued at $4 million. The sale of EMEA generated a gain of $3.3 million which was recorded in the first quarter of 2007.</w:t>
      </w:r>
    </w:p>
    <w:p>
      <w:pPr>
        <w:spacing w:after="0" w:line="73"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On April 20, 2007, we completed the sale of all of the issued and outstanding equity interests of our wholly owned subsidiary WFI de Brazil Techlogia en Telecomunicaciones LTDA, to Strategic Project Services, LLC (SPS). The consideration included the assumption of substantially all outstanding liabilities of WFI Brazil, nominal cash consideration, and additional earn-out consideration based on 25% of net receivables collected subsequent to the closing date. We recorded an impairment charge in the fourth quarter of 2006 of approximately $5.2 million to reduce the current carrying value of the South American operations to their estimated fair value.</w:t>
      </w:r>
    </w:p>
    <w:p>
      <w:pPr>
        <w:spacing w:after="0" w:line="80" w:lineRule="exact"/>
        <w:rPr>
          <w:sz w:val="20"/>
          <w:szCs w:val="20"/>
          <w:color w:val="auto"/>
        </w:rPr>
      </w:pPr>
    </w:p>
    <w:p>
      <w:pPr>
        <w:ind w:right="280" w:firstLine="360"/>
        <w:spacing w:after="0" w:line="342" w:lineRule="auto"/>
        <w:rPr>
          <w:sz w:val="20"/>
          <w:szCs w:val="20"/>
          <w:color w:val="auto"/>
        </w:rPr>
      </w:pPr>
      <w:r>
        <w:rPr>
          <w:rFonts w:ascii="Arial" w:cs="Arial" w:eastAsia="Arial" w:hAnsi="Arial"/>
          <w:sz w:val="16"/>
          <w:szCs w:val="16"/>
          <w:color w:val="auto"/>
        </w:rPr>
        <w:t>For the year ended December 31, 2006, our discontinued operations in Latin America and EMEA had revenues of $27.0 million and net loss of $11.2 million. The prior year’s activities have been reclassified as discontinued operations in the accompanying consolidated statements of operations.</w:t>
      </w:r>
    </w:p>
    <w:p>
      <w:pPr>
        <w:sectPr>
          <w:pgSz w:w="11900" w:h="16838" w:orient="portrait"/>
          <w:cols w:equalWidth="0" w:num="1">
            <w:col w:w="11400"/>
          </w:cols>
          <w:pgMar w:left="240" w:top="125" w:right="259" w:bottom="0" w:gutter="0" w:footer="0" w:header="0"/>
        </w:sectPr>
      </w:pPr>
    </w:p>
    <w:bookmarkStart w:id="5" w:name="page6"/>
    <w:bookmarkEnd w:id="5"/>
    <w:p>
      <w:pPr>
        <w:ind w:right="80" w:firstLine="360"/>
        <w:spacing w:after="0" w:line="264" w:lineRule="auto"/>
        <w:rPr>
          <w:sz w:val="20"/>
          <w:szCs w:val="20"/>
          <w:color w:val="auto"/>
        </w:rPr>
      </w:pPr>
      <w:r>
        <w:rPr>
          <w:rFonts w:ascii="Arial" w:cs="Arial" w:eastAsia="Arial" w:hAnsi="Arial"/>
          <w:sz w:val="18"/>
          <w:szCs w:val="18"/>
          <w:color w:val="auto"/>
        </w:rPr>
        <w:t>On June 4, 2007, the Company completed the sale to LCC of the assets used in the conduct of the operation of the Company’s Wireless Engineering Services portion of the wireless network services segment that provides engineering services to the non-government wireless communications industry in the United States.</w:t>
      </w:r>
    </w:p>
    <w:p>
      <w:pPr>
        <w:spacing w:after="0" w:line="73"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aggregate consideration in connection with the sale was $46 million, subject to certain adjustments. LCC delivered a subordinated promissory note for the principal amount of $21.6 million subject to working capital adjustments, and paid $17 million in cash at the closing, and we have retained an estimated $7 million in net accounts receivable of the business, subject to working capital adjustments.</w:t>
      </w:r>
    </w:p>
    <w:p>
      <w:pPr>
        <w:spacing w:after="0" w:line="73"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On July 5, 2007, we sold the $21.6 million subordinated promissory note taken in the sale of assets to LCC. We received approximately $19.6 million in net cash proceeds, reflecting a discount from par value of less than five percent and aggregate transaction fees of approximately $1 million. The note was acquired by a fund affiliated with Silver Point Capital, L.P. We are not providing any guaranty for LCC’s payment obligations. Certain post closing adjustments that, under the terms of the sale of our U.S. Wireless Engineering business are expected to be made to the principal amount of the Note, may instead be made by payments between WFI and LCC or between Silver Point and WFI, as applicable.</w:t>
      </w:r>
    </w:p>
    <w:p>
      <w:pPr>
        <w:spacing w:after="0" w:line="64"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On August 10, 2007, in accordance with the terms of the agreement, we provided the closing balance sheet working capital calculation, which indicated a $2.6 million working capital adjustment was due to WFI as an increase to the balance of the Subordinated Promissory Note. LCC has 30 days to review the calculation and notify us of any dispute.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On July 24, 2007, we completed the sale to an affiliate of Platinum Equity of our Wireless Deployment services portion of the wireless network services segment. The total consideration for the acquisition was $24 million including $18 million in cash at closing, subject to typical post closing working capital adjustments, and an aggregate $6 million in a three-year earn-out arrangement through 2010. The deal includes a Transition Services Agreement for the transition of certain services for a period of six months and the deployment business employees will remain our employees until October 1, 2007; under an employee leasing arrangement with Platinum. The assets sold to Platinum Equity include all of our Wireless Deployment business, and the Wireless Facilities name.</w:t>
      </w:r>
    </w:p>
    <w:p>
      <w:pPr>
        <w:spacing w:after="0" w:line="85"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As a result of the Engineering and Deployment Services divestitures in 2007, the wireless network services segment will be classified as a discontinued operation in the second and third quarters of 2007, respectively.</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color w:val="auto"/>
        </w:rPr>
        <w:t>A representative list of our customers in our WNS segment during 2006, consisting of both Engineering and Deployment services, included (in alphabetical order) Cingular (now AT&amp;T), Clearwire, Fibertower, Huawei, Sprint, T-Mobile and Verizon Wireless and equipment vendors such as Motorola and Samsung. In our ENS segment, our customers in 2006 included General Electric, the Atlanta airport, Lockheed Martin, the City of Houston, Texas the Toyota Center, and Westfield Shopping Towns. Customers in our Government Network Services segment during 2006 included the U.S. Air Force, U.S. Army, U.S. Navy, Missile Defense Agency, the Department of Homeland Security, FMS and the U.S. Southern Command.</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December 31, 2006, our then continuing operations employed approximately 2,180 full-time employees, consultants and contractors worldwide.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 of our employees were represented by a labor union and we did not experience any work stoppage.</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Transition to New Company Name</w:t>
      </w:r>
    </w:p>
    <w:p>
      <w:pPr>
        <w:spacing w:after="0" w:line="121"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As noted above, the final wireless related divestiture of WFI’s Wireless Deployment business included the sale of the company’s name, Wireless Facilities, Inc. Accordingly, the Company announced that by December 31, 2007 it would change its corporate name and stock ticker symbol to reflect its new business focus.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presents our current business following the transformation actions that we made in 2007.</w:t>
      </w:r>
    </w:p>
    <w:p>
      <w:pPr>
        <w:spacing w:after="0" w:line="117"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We are an innovative provider of mission critical engineering, IT services and warfighter solutions. We work primarily for the U.S. federal government, but we also perform work for state and local agencies. Our principle services include, but are not limited to, Command, Control, Communications, Computing, Intelligence, Surveillance and Reconnaissance (C4ISR), weapon systems lifecycle support, military weapon range and technical services, network engineering services, advanced IT services, security and surveillance systems, and critical infrastructure design and integration services. We offer our customers solutions and expertise to support their mission-critical needs by leveraging the Company’s skills across our core service areas.</w:t>
      </w:r>
    </w:p>
    <w:p>
      <w:pPr>
        <w:spacing w:after="0" w:line="50"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We derive a substantial portion of our revenue from contracts performed for federal government agencies, with the majority of our revenue currently generated from the delivery of mission-critical war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fighter solutions, advanced engineering services, system integration and system sustainment services to defense and other government agencies. We believe our diversified and stable client base, strong client relationships, broad array of contracts, considerable employee base with possession of government security clearances, and significant management and operational capabilities position us for continued growth.</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have strong, long-term relationships with our clients, as evidenced by our record of retaining business. We have provided high-end engineering, weapons support and other solutions to customers within the U.S. Army, U.S. Air Force, U.S. Navy, National Aeronautics and Space Administration (NASA), Defense Logistics Agency (DLA), Defense Contract Management Agency (DCMA), U.S. Department of Homeland Security, and various strategic military bases and defense locations throughout the United States for more than twenty years.</w:t>
      </w:r>
    </w:p>
    <w:p>
      <w:pPr>
        <w:spacing w:after="0" w:line="79"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We believe our strong relationships are the result of our in-depth understanding of our client’s missions, the strength of our technical solutions, and the co-location of a number of our employees with our clients.</w:t>
      </w:r>
    </w:p>
    <w:p>
      <w:pPr>
        <w:sectPr>
          <w:pgSz w:w="11900" w:h="16838" w:orient="portrait"/>
          <w:cols w:equalWidth="0" w:num="1">
            <w:col w:w="11400"/>
          </w:cols>
          <w:pgMar w:left="240" w:top="125" w:right="259" w:bottom="0" w:gutter="0" w:footer="0" w:header="0"/>
        </w:sectPr>
      </w:pPr>
    </w:p>
    <w:bookmarkStart w:id="6" w:name="page7"/>
    <w:bookmarkEnd w:id="6"/>
    <w:p>
      <w:pPr>
        <w:ind w:right="60" w:firstLine="360"/>
        <w:spacing w:after="0" w:line="286" w:lineRule="auto"/>
        <w:rPr>
          <w:sz w:val="20"/>
          <w:szCs w:val="20"/>
          <w:color w:val="auto"/>
        </w:rPr>
      </w:pPr>
      <w:r>
        <w:rPr>
          <w:rFonts w:ascii="Arial" w:cs="Arial" w:eastAsia="Arial" w:hAnsi="Arial"/>
          <w:sz w:val="17"/>
          <w:szCs w:val="17"/>
          <w:color w:val="auto"/>
        </w:rPr>
        <w:t>We have made significant investments in our management, employees and infrastructure in support of our growth and profitability strategies. Our senior managers have more than 125 years of collective experience with federal government agencies, the U.S. military and federal government contractors. Members of our management team have extensive experience growing businesses organically, as well as through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Industry Terms</w:t>
      </w:r>
    </w:p>
    <w:p>
      <w:pPr>
        <w:spacing w:after="0" w:line="121"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 xml:space="preserve">We generally perform our services for federal government agencies pursuant to both contracts and task orders. A </w:t>
      </w:r>
      <w:r>
        <w:rPr>
          <w:rFonts w:ascii="Arial" w:cs="Arial" w:eastAsia="Arial" w:hAnsi="Arial"/>
          <w:sz w:val="18"/>
          <w:szCs w:val="18"/>
          <w:i w:val="1"/>
          <w:iCs w:val="1"/>
          <w:color w:val="auto"/>
        </w:rPr>
        <w:t>contract</w:t>
      </w:r>
      <w:r>
        <w:rPr>
          <w:rFonts w:ascii="Arial" w:cs="Arial" w:eastAsia="Arial" w:hAnsi="Arial"/>
          <w:sz w:val="18"/>
          <w:szCs w:val="18"/>
          <w:color w:val="auto"/>
        </w:rPr>
        <w:t xml:space="preserve"> may include specific work requirements for a particular job that is to be performed, or may instead provide a framework that defines the scope and terms under which work may be performed in the future, in which case any </w:t>
      </w:r>
      <w:r>
        <w:rPr>
          <w:rFonts w:ascii="Arial" w:cs="Arial" w:eastAsia="Arial" w:hAnsi="Arial"/>
          <w:sz w:val="18"/>
          <w:szCs w:val="18"/>
          <w:i w:val="1"/>
          <w:iCs w:val="1"/>
          <w:color w:val="auto"/>
        </w:rPr>
        <w:t>task orders</w:t>
      </w:r>
      <w:r>
        <w:rPr>
          <w:rFonts w:ascii="Arial" w:cs="Arial" w:eastAsia="Arial" w:hAnsi="Arial"/>
          <w:sz w:val="18"/>
          <w:szCs w:val="18"/>
          <w:color w:val="auto"/>
        </w:rPr>
        <w:t xml:space="preserve"> that may be issued from time to time under the contract set forth the specific work assignments that are to be performed under the contract. In this document, references to any contract include the task orders, if any, issued under that contract. Accordingly, information in this document regarding our revenue under government contracts includes revenue we receive under both contracts and task orders. We perform services as a </w:t>
      </w:r>
      <w:r>
        <w:rPr>
          <w:rFonts w:ascii="Arial" w:cs="Arial" w:eastAsia="Arial" w:hAnsi="Arial"/>
          <w:sz w:val="18"/>
          <w:szCs w:val="18"/>
          <w:i w:val="1"/>
          <w:iCs w:val="1"/>
          <w:color w:val="auto"/>
        </w:rPr>
        <w:t>prime contractor</w:t>
      </w:r>
      <w:r>
        <w:rPr>
          <w:rFonts w:ascii="Arial" w:cs="Arial" w:eastAsia="Arial" w:hAnsi="Arial"/>
          <w:sz w:val="18"/>
          <w:szCs w:val="18"/>
          <w:color w:val="auto"/>
        </w:rPr>
        <w:t xml:space="preserve"> under those contracts and task orders that are awarded to us directly by the federal government. We also perform services for the federal government as a </w:t>
      </w:r>
      <w:r>
        <w:rPr>
          <w:rFonts w:ascii="Arial" w:cs="Arial" w:eastAsia="Arial" w:hAnsi="Arial"/>
          <w:sz w:val="18"/>
          <w:szCs w:val="18"/>
          <w:i w:val="1"/>
          <w:iCs w:val="1"/>
          <w:color w:val="auto"/>
        </w:rPr>
        <w:t>subcontractor</w:t>
      </w:r>
      <w:r>
        <w:rPr>
          <w:rFonts w:ascii="Arial" w:cs="Arial" w:eastAsia="Arial" w:hAnsi="Arial"/>
          <w:sz w:val="18"/>
          <w:szCs w:val="18"/>
          <w:color w:val="auto"/>
        </w:rPr>
        <w:t xml:space="preserve"> to other companies that are awarded prime contracts. References in this prospectus regarding our </w:t>
      </w:r>
      <w:r>
        <w:rPr>
          <w:rFonts w:ascii="Arial" w:cs="Arial" w:eastAsia="Arial" w:hAnsi="Arial"/>
          <w:sz w:val="18"/>
          <w:szCs w:val="18"/>
          <w:i w:val="1"/>
          <w:iCs w:val="1"/>
          <w:color w:val="auto"/>
        </w:rPr>
        <w:t xml:space="preserve">engagements </w:t>
      </w:r>
      <w:r>
        <w:rPr>
          <w:rFonts w:ascii="Arial" w:cs="Arial" w:eastAsia="Arial" w:hAnsi="Arial"/>
          <w:sz w:val="18"/>
          <w:szCs w:val="18"/>
          <w:color w:val="auto"/>
        </w:rPr>
        <w:t>mean specific work that we have contracted to perform as a prime contractor or subcontractor pursuant to both contracts and task orders for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 client.</w:t>
      </w:r>
    </w:p>
    <w:p>
      <w:pPr>
        <w:spacing w:after="0" w:line="89"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 xml:space="preserve">Some of our contracts are </w:t>
      </w:r>
      <w:r>
        <w:rPr>
          <w:rFonts w:ascii="Arial" w:cs="Arial" w:eastAsia="Arial" w:hAnsi="Arial"/>
          <w:sz w:val="17"/>
          <w:szCs w:val="17"/>
          <w:i w:val="1"/>
          <w:iCs w:val="1"/>
          <w:color w:val="auto"/>
        </w:rPr>
        <w:t>multiple award contracts (MACs)</w:t>
      </w:r>
      <w:r>
        <w:rPr>
          <w:rFonts w:ascii="Arial" w:cs="Arial" w:eastAsia="Arial" w:hAnsi="Arial"/>
          <w:sz w:val="17"/>
          <w:szCs w:val="17"/>
          <w:color w:val="auto"/>
        </w:rPr>
        <w:t>. Multiple award contracts are vehicles pursuant to which the federal government may purchase goods or services from several different pre-qualified contractors. Such contracts include government-wide acquisition contracts (</w:t>
      </w:r>
      <w:r>
        <w:rPr>
          <w:rFonts w:ascii="Arial" w:cs="Arial" w:eastAsia="Arial" w:hAnsi="Arial"/>
          <w:sz w:val="17"/>
          <w:szCs w:val="17"/>
          <w:i w:val="1"/>
          <w:iCs w:val="1"/>
          <w:color w:val="auto"/>
        </w:rPr>
        <w:t>GWACs</w:t>
      </w:r>
      <w:r>
        <w:rPr>
          <w:rFonts w:ascii="Arial" w:cs="Arial" w:eastAsia="Arial" w:hAnsi="Arial"/>
          <w:sz w:val="17"/>
          <w:szCs w:val="17"/>
          <w:color w:val="auto"/>
        </w:rPr>
        <w:t xml:space="preserve"> ), blanket purchase agreements ( </w:t>
      </w:r>
      <w:r>
        <w:rPr>
          <w:rFonts w:ascii="Arial" w:cs="Arial" w:eastAsia="Arial" w:hAnsi="Arial"/>
          <w:sz w:val="17"/>
          <w:szCs w:val="17"/>
          <w:i w:val="1"/>
          <w:iCs w:val="1"/>
          <w:color w:val="auto"/>
        </w:rPr>
        <w:t>BPAs</w:t>
      </w:r>
      <w:r>
        <w:rPr>
          <w:rFonts w:ascii="Arial" w:cs="Arial" w:eastAsia="Arial" w:hAnsi="Arial"/>
          <w:sz w:val="17"/>
          <w:szCs w:val="17"/>
          <w:color w:val="auto"/>
        </w:rPr>
        <w:t xml:space="preserve"> ), </w:t>
      </w:r>
      <w:r>
        <w:rPr>
          <w:rFonts w:ascii="Arial" w:cs="Arial" w:eastAsia="Arial" w:hAnsi="Arial"/>
          <w:sz w:val="17"/>
          <w:szCs w:val="17"/>
          <w:i w:val="1"/>
          <w:iCs w:val="1"/>
          <w:color w:val="auto"/>
        </w:rPr>
        <w:t>GSA Schedule 70</w:t>
      </w:r>
      <w:r>
        <w:rPr>
          <w:rFonts w:ascii="Arial" w:cs="Arial" w:eastAsia="Arial" w:hAnsi="Arial"/>
          <w:sz w:val="17"/>
          <w:szCs w:val="17"/>
          <w:color w:val="auto"/>
        </w:rPr>
        <w:t xml:space="preserve"> and other Indefinite Delivery/Indefinite Quantity (</w:t>
      </w:r>
      <w:r>
        <w:rPr>
          <w:rFonts w:ascii="Arial" w:cs="Arial" w:eastAsia="Arial" w:hAnsi="Arial"/>
          <w:sz w:val="17"/>
          <w:szCs w:val="17"/>
          <w:i w:val="1"/>
          <w:iCs w:val="1"/>
          <w:color w:val="auto"/>
        </w:rPr>
        <w:t>ID/IQ</w:t>
      </w:r>
      <w:r>
        <w:rPr>
          <w:rFonts w:ascii="Arial" w:cs="Arial" w:eastAsia="Arial" w:hAnsi="Arial"/>
          <w:sz w:val="17"/>
          <w:szCs w:val="17"/>
          <w:color w:val="auto"/>
        </w:rPr>
        <w:t xml:space="preserve">) contracts. </w:t>
      </w:r>
      <w:r>
        <w:rPr>
          <w:rFonts w:ascii="Arial" w:cs="Arial" w:eastAsia="Arial" w:hAnsi="Arial"/>
          <w:sz w:val="17"/>
          <w:szCs w:val="17"/>
          <w:i w:val="1"/>
          <w:iCs w:val="1"/>
          <w:color w:val="auto"/>
        </w:rPr>
        <w:t>GWACs</w:t>
      </w:r>
      <w:r>
        <w:rPr>
          <w:rFonts w:ascii="Arial" w:cs="Arial" w:eastAsia="Arial" w:hAnsi="Arial"/>
          <w:sz w:val="17"/>
          <w:szCs w:val="17"/>
          <w:color w:val="auto"/>
        </w:rPr>
        <w:t xml:space="preserve"> are task-order or delivery-order contracts for goods and services established by one agency for government-wide use. </w:t>
      </w:r>
      <w:r>
        <w:rPr>
          <w:rFonts w:ascii="Arial" w:cs="Arial" w:eastAsia="Arial" w:hAnsi="Arial"/>
          <w:sz w:val="17"/>
          <w:szCs w:val="17"/>
          <w:i w:val="1"/>
          <w:iCs w:val="1"/>
          <w:color w:val="auto"/>
        </w:rPr>
        <w:t>BPAs</w:t>
      </w:r>
      <w:r>
        <w:rPr>
          <w:rFonts w:ascii="Arial" w:cs="Arial" w:eastAsia="Arial" w:hAnsi="Arial"/>
          <w:sz w:val="17"/>
          <w:szCs w:val="17"/>
          <w:color w:val="auto"/>
        </w:rPr>
        <w:t xml:space="preserve"> are a simplified method of filling repetitive needs or services by establishing “charge accounts” with qualified suppliers and eliminating the need for issuing individual purchase, invoice and payment documents. </w:t>
      </w:r>
      <w:r>
        <w:rPr>
          <w:rFonts w:ascii="Arial" w:cs="Arial" w:eastAsia="Arial" w:hAnsi="Arial"/>
          <w:sz w:val="17"/>
          <w:szCs w:val="17"/>
          <w:i w:val="1"/>
          <w:iCs w:val="1"/>
          <w:color w:val="auto"/>
        </w:rPr>
        <w:t>GSA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Schedule 70 </w:t>
      </w:r>
      <w:r>
        <w:rPr>
          <w:rFonts w:ascii="Arial" w:cs="Arial" w:eastAsia="Arial" w:hAnsi="Arial"/>
          <w:sz w:val="17"/>
          <w:szCs w:val="17"/>
          <w:color w:val="auto"/>
        </w:rPr>
        <w:t>is a contracting vehicle sponsored by the General Services Administration that is available to all federal government agencies for procuring</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technology services and products pursuant to contracts (</w:t>
      </w:r>
      <w:r>
        <w:rPr>
          <w:rFonts w:ascii="Arial" w:cs="Arial" w:eastAsia="Arial" w:hAnsi="Arial"/>
          <w:sz w:val="17"/>
          <w:szCs w:val="17"/>
          <w:i w:val="1"/>
          <w:iCs w:val="1"/>
          <w:color w:val="auto"/>
        </w:rPr>
        <w:t>GSA Schedule 70 Contracts</w:t>
      </w:r>
      <w:r>
        <w:rPr>
          <w:rFonts w:ascii="Arial" w:cs="Arial" w:eastAsia="Arial" w:hAnsi="Arial"/>
          <w:sz w:val="17"/>
          <w:szCs w:val="17"/>
          <w:color w:val="auto"/>
        </w:rPr>
        <w:t>) and task orders (</w:t>
      </w:r>
      <w:r>
        <w:rPr>
          <w:rFonts w:ascii="Arial" w:cs="Arial" w:eastAsia="Arial" w:hAnsi="Arial"/>
          <w:sz w:val="17"/>
          <w:szCs w:val="17"/>
          <w:i w:val="1"/>
          <w:iCs w:val="1"/>
          <w:color w:val="auto"/>
        </w:rPr>
        <w:t>GSA Schedule 70 Task Orders</w:t>
      </w:r>
      <w:r>
        <w:rPr>
          <w:rFonts w:ascii="Arial" w:cs="Arial" w:eastAsia="Arial" w:hAnsi="Arial"/>
          <w:sz w:val="17"/>
          <w:szCs w:val="17"/>
          <w:color w:val="auto"/>
        </w:rPr>
        <w:t xml:space="preserve">) awarded thereunder. Finally, </w:t>
      </w:r>
      <w:r>
        <w:rPr>
          <w:rFonts w:ascii="Arial" w:cs="Arial" w:eastAsia="Arial" w:hAnsi="Arial"/>
          <w:sz w:val="17"/>
          <w:szCs w:val="17"/>
          <w:i w:val="1"/>
          <w:iCs w:val="1"/>
          <w:color w:val="auto"/>
        </w:rPr>
        <w:t>ID/IQs</w:t>
      </w:r>
      <w:r>
        <w:rPr>
          <w:rFonts w:ascii="Arial" w:cs="Arial" w:eastAsia="Arial" w:hAnsi="Arial"/>
          <w:sz w:val="17"/>
          <w:szCs w:val="17"/>
          <w:color w:val="auto"/>
        </w:rPr>
        <w:t xml:space="preserve"> are contracts for goods or services which do not specify a firm quantity and that provide for issuance of orders for the performance of tasks during the contract period. Multiple award contracts typically have a </w:t>
      </w:r>
      <w:r>
        <w:rPr>
          <w:rFonts w:ascii="Arial" w:cs="Arial" w:eastAsia="Arial" w:hAnsi="Arial"/>
          <w:sz w:val="17"/>
          <w:szCs w:val="17"/>
          <w:i w:val="1"/>
          <w:iCs w:val="1"/>
          <w:color w:val="auto"/>
        </w:rPr>
        <w:t>ceiling</w:t>
      </w:r>
      <w:r>
        <w:rPr>
          <w:rFonts w:ascii="Arial" w:cs="Arial" w:eastAsia="Arial" w:hAnsi="Arial"/>
          <w:sz w:val="17"/>
          <w:szCs w:val="17"/>
          <w:color w:val="auto"/>
        </w:rPr>
        <w:t xml:space="preserve"> , which is the maximum amount the government is authorized to spend under the contract over the life of the contract. While the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government is permitted to spend up to the ceiling amount, there is no guarantee that it will do so or that any particular pre-qualified contractor will receive awards under the vehicle.</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 xml:space="preserve">Federal government contracts for our services include three types of pricing: time-and-materials; cost-plus; and fixed-price. </w:t>
      </w:r>
      <w:r>
        <w:rPr>
          <w:rFonts w:ascii="Arial" w:cs="Arial" w:eastAsia="Arial" w:hAnsi="Arial"/>
          <w:sz w:val="18"/>
          <w:szCs w:val="18"/>
          <w:i w:val="1"/>
          <w:iCs w:val="1"/>
          <w:color w:val="auto"/>
        </w:rPr>
        <w:t>Time-and-materials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t>
      </w:r>
      <w:r>
        <w:rPr>
          <w:rFonts w:ascii="Arial" w:cs="Arial" w:eastAsia="Arial" w:hAnsi="Arial"/>
          <w:sz w:val="18"/>
          <w:szCs w:val="18"/>
          <w:color w:val="auto"/>
        </w:rPr>
        <w:t>are contracts under which we are reimbursed for labor at fixed hourly rates and generally reimbursed separately for allowable materials, other direct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costs and out-of-pocket expenses. </w:t>
      </w:r>
      <w:r>
        <w:rPr>
          <w:rFonts w:ascii="Arial" w:cs="Arial" w:eastAsia="Arial" w:hAnsi="Arial"/>
          <w:sz w:val="18"/>
          <w:szCs w:val="18"/>
          <w:i w:val="1"/>
          <w:iCs w:val="1"/>
          <w:color w:val="auto"/>
        </w:rPr>
        <w:t>Cost-plus contracts</w:t>
      </w:r>
      <w:r>
        <w:rPr>
          <w:rFonts w:ascii="Arial" w:cs="Arial" w:eastAsia="Arial" w:hAnsi="Arial"/>
          <w:sz w:val="18"/>
          <w:szCs w:val="18"/>
          <w:color w:val="auto"/>
        </w:rPr>
        <w:t xml:space="preserve"> are contracts under which we are reimbursed for costs that are determined to be allowable and allocable to the contract and receive a fee, which represents our profit. </w:t>
      </w:r>
      <w:r>
        <w:rPr>
          <w:rFonts w:ascii="Arial" w:cs="Arial" w:eastAsia="Arial" w:hAnsi="Arial"/>
          <w:sz w:val="18"/>
          <w:szCs w:val="18"/>
          <w:i w:val="1"/>
          <w:iCs w:val="1"/>
          <w:color w:val="auto"/>
        </w:rPr>
        <w:t>Cost-plus fixed fee</w:t>
      </w:r>
      <w:r>
        <w:rPr>
          <w:rFonts w:ascii="Arial" w:cs="Arial" w:eastAsia="Arial" w:hAnsi="Arial"/>
          <w:sz w:val="18"/>
          <w:szCs w:val="18"/>
          <w:color w:val="auto"/>
        </w:rPr>
        <w:t xml:space="preserve"> contracts specify the contract fee in dollars. </w:t>
      </w:r>
      <w:r>
        <w:rPr>
          <w:rFonts w:ascii="Arial" w:cs="Arial" w:eastAsia="Arial" w:hAnsi="Arial"/>
          <w:sz w:val="18"/>
          <w:szCs w:val="18"/>
          <w:i w:val="1"/>
          <w:iCs w:val="1"/>
          <w:color w:val="auto"/>
        </w:rPr>
        <w:t>Cost-plus incentive fee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cost-plus award fee </w:t>
      </w:r>
      <w:r>
        <w:rPr>
          <w:rFonts w:ascii="Arial" w:cs="Arial" w:eastAsia="Arial" w:hAnsi="Arial"/>
          <w:sz w:val="18"/>
          <w:szCs w:val="18"/>
          <w:color w:val="auto"/>
        </w:rPr>
        <w:t>contracts provide for increases or decreases in the contract fee, within specified limits, based upon actual results as compared to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targets for factors such as cost, quality, schedule and performance. </w:t>
      </w:r>
      <w:r>
        <w:rPr>
          <w:rFonts w:ascii="Arial" w:cs="Arial" w:eastAsia="Arial" w:hAnsi="Arial"/>
          <w:sz w:val="18"/>
          <w:szCs w:val="18"/>
          <w:i w:val="1"/>
          <w:iCs w:val="1"/>
          <w:color w:val="auto"/>
        </w:rPr>
        <w:t>Fixed-price contracts</w:t>
      </w:r>
      <w:r>
        <w:rPr>
          <w:rFonts w:ascii="Arial" w:cs="Arial" w:eastAsia="Arial" w:hAnsi="Arial"/>
          <w:sz w:val="18"/>
          <w:szCs w:val="18"/>
          <w:color w:val="auto"/>
        </w:rPr>
        <w:t xml:space="preserve"> are contracts under which we perform specific tasks for a predetermined price.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Department of Defense Drives Strategic Priorities for the Company</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delivery and execution of our mission-critical engineering and support services are driven by the priorities of the U.S. Federal government. According to the U.S. Department of Defense (DoD) 2007 Fiscal Budget Priorities, the world has changed dramatically since the end of the last century, and the DoD is changing with it—refocusing America’s forces and capabilities for the future.</w:t>
      </w:r>
    </w:p>
    <w:p>
      <w:pPr>
        <w:spacing w:after="0" w:line="73" w:lineRule="exact"/>
        <w:rPr>
          <w:sz w:val="20"/>
          <w:szCs w:val="20"/>
          <w:color w:val="auto"/>
        </w:rPr>
      </w:pPr>
    </w:p>
    <w:p>
      <w:pPr>
        <w:ind w:right="260" w:firstLine="360"/>
        <w:spacing w:after="0" w:line="312" w:lineRule="auto"/>
        <w:rPr>
          <w:sz w:val="20"/>
          <w:szCs w:val="20"/>
          <w:color w:val="auto"/>
        </w:rPr>
      </w:pPr>
      <w:r>
        <w:rPr>
          <w:rFonts w:ascii="Arial" w:cs="Arial" w:eastAsia="Arial" w:hAnsi="Arial"/>
          <w:sz w:val="16"/>
          <w:szCs w:val="16"/>
          <w:color w:val="auto"/>
        </w:rPr>
        <w:t>The strategic priorities of the DoD are based in large part on the Quadrennial Defense Review, the first conducted in an era of global terrorism, which continues the shift in emphasis by identifying key strategic priorities. These priorities are currently focused on mission critical capabilities of our armed forces, and providing the support infrastructure necessary to sustain these forces in a time of heightened warfare readiness and deployment.</w:t>
      </w:r>
    </w:p>
    <w:p>
      <w:pPr>
        <w:spacing w:after="0" w:line="3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2007 Fiscal DoD Budget is $439.3 billion, an increase of $28.5 billion over Fiscal Year 2006. The budgetary increase is primarily a result of supporting Operation Iraqi Freedom with significant budgetary increases for the U.S. Army (+$12.7 billion), the U.S. Navy (+$4.1 billion) and the U.S. Marine Corps (+$0.8 billion), The U.S. Air Force (+$6.3 bilion), and Defense-wide increases of +$4.6 billion. The total budgetary increase of approximately 7% represents a significant opportunity to key federal government contractors in support of the DoD’s war fighter, information technology, and other operational priorities. We believe there will be significant market opportunities for providers of system sustainment, IT and engineering services and solutions to federal government agencies, particularly those in the defense and homeland security community, over the next several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Focus on Federal Government Transformation</w:t>
      </w:r>
    </w:p>
    <w:p>
      <w:pPr>
        <w:spacing w:after="0" w:line="117"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federal government, and the DoD in particular, is in the midst of a significant transformation that is driven by the federal government’s need to address the changing nature of global threats. A significant aspect of this transformation is the use of Command, Control, Communications, Computing, Intelligence, Surveillance and Reconnaissance (C4ISR), and information technology to increase the federal government’s effectiveness and efficiency. The result is increased federal government spending on information technology to upgrade networks and transform the federal government from separate, isolated organizations into larger, enterprise level, network-centric organizations capable of sharing information broadly and quickly. While the transformation initiative is driven by the need to prepare for new world threats, adopting these IT transformation initiatives will also improve efficiency and reduce infrastructure costs across all federal government agencies.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Competitive Strengths</w:t>
      </w:r>
    </w:p>
    <w:p>
      <w:pPr>
        <w:sectPr>
          <w:pgSz w:w="11900" w:h="16838" w:orient="portrait"/>
          <w:cols w:equalWidth="0" w:num="1">
            <w:col w:w="11400"/>
          </w:cols>
          <w:pgMar w:left="240" w:top="125" w:right="259" w:bottom="5" w:gutter="0" w:footer="0" w:header="0"/>
          <w:type w:val="continuous"/>
        </w:sectPr>
      </w:pPr>
    </w:p>
    <w:bookmarkStart w:id="7" w:name="page8"/>
    <w:bookmarkEnd w:id="7"/>
    <w:p>
      <w:pPr>
        <w:spacing w:after="0" w:line="44"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We believe we are well positioned to meet the rapidly evolving needs of federal government agencies for high-end engineering services and IT solutions because we possess the following key business strengths: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In-Depth Understanding of Client Missions</w:t>
      </w:r>
    </w:p>
    <w:p>
      <w:pPr>
        <w:spacing w:after="0" w:line="117"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We have a long history of providing mission-critical services and solutions to our clients, enabling us to develop an in-depth understanding of their missions and technical needs. In addition, a significant number of our employees are located at client sites, giving us valuable strategic insights into clients’ ongoing and future program requirements. Our in-depth understanding of our client missions, in conjunction with the strategic location of our employees, enables us to offer technical solutions tailored to our clients’ specific requirements and consistent with their evolving mission objectives.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Diverse Base of Key Contract Vehicles</w:t>
      </w:r>
    </w:p>
    <w:p>
      <w:pPr>
        <w:spacing w:after="0" w:line="117"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As a result of our business development focus on securing key contracts, we are a preferred contractor on numerous multi-year GWACs and MACs that provide us the opportunity to bid on hundreds of millions of dollars of business against a discrete number of other pre-qualified companies each year. These contracts include:</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Seaport-e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GSA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Passive RFID EPC-1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LOG World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Mobis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Millennia Lite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AMCOM Express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Acquisition of Professional Services (CAPS)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Support Services for Aviation, Air Defense &amp; Missile Systems (NAVSURFWARCENDIV)</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Systems Engineering and Technical Assistance Contract (SETAC)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Specialized Engineering, Development &amp; Test Articles/Models</w:t>
      </w:r>
    </w:p>
    <w:p>
      <w:pPr>
        <w:spacing w:after="0" w:line="103"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While the federal government is not obligated to make any awards under these vehicles, we believe that holding preferred positions on these contract vehicles provides us an advantage as we seek to expand the level of services we provide to our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Skilled Employees and an Experienced Management Team</w:t>
      </w:r>
    </w:p>
    <w:p>
      <w:pPr>
        <w:spacing w:after="0" w:line="117"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deliver our services through a highly skilled workforce of approximately 1,200 employees in our on-going business, as of August 1, 2007. Our senior managers have over 125 years of collective experience with federal government agencies, the U.S. military, and federal government contractors. Members of our management team have experience growing businesses organically, as well as through acquisitions.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objective is to aggressively grow our business as a leading provider of high-end engineering services and information technology solutions to federal government agencies while improving our profitability. To achieve our objective, we intend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 Internal Growth</w:t>
      </w:r>
    </w:p>
    <w:p>
      <w:pPr>
        <w:spacing w:after="0" w:line="117"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We intend to accelerate our internal growth rate by capitalizing on our current contract base, expanding services provided to our existing clients, expanding our client base and offering new, complementary services.</w:t>
      </w:r>
    </w:p>
    <w:p>
      <w:pPr>
        <w:spacing w:after="0" w:line="62"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i w:val="1"/>
          <w:iCs w:val="1"/>
          <w:color w:val="auto"/>
        </w:rPr>
        <w:t xml:space="preserve">Capitalize on Current Contract Base. </w:t>
      </w:r>
      <w:r>
        <w:rPr>
          <w:rFonts w:ascii="Arial" w:cs="Arial" w:eastAsia="Arial" w:hAnsi="Arial"/>
          <w:sz w:val="18"/>
          <w:szCs w:val="18"/>
          <w:color w:val="auto"/>
        </w:rPr>
        <w:t>We intend to aggressively pursue task orders under existing contract vehicles to maximize our revenue and</w:t>
      </w:r>
      <w:r>
        <w:rPr>
          <w:rFonts w:ascii="Arial" w:cs="Arial" w:eastAsia="Arial" w:hAnsi="Arial"/>
          <w:sz w:val="18"/>
          <w:szCs w:val="18"/>
          <w:i w:val="1"/>
          <w:iCs w:val="1"/>
          <w:color w:val="auto"/>
        </w:rPr>
        <w:t xml:space="preserve"> </w:t>
      </w:r>
      <w:r>
        <w:rPr>
          <w:rFonts w:ascii="Arial" w:cs="Arial" w:eastAsia="Arial" w:hAnsi="Arial"/>
          <w:sz w:val="18"/>
          <w:szCs w:val="18"/>
          <w:color w:val="auto"/>
        </w:rPr>
        <w:t>strengthen our client relationships, though there is no assurance that the federal government will make awards up to the ceiling amounts or that we will be awarded any task orders under these vehicles. We have developed several internal tools that facilitate our ability to track, prioritize and win task orders under these vehicles. Combining these tools with our technical expertise, our strong past performance record and our knowledge of our clients’ needs, should position us to win additional task orders.</w:t>
      </w:r>
    </w:p>
    <w:p>
      <w:pPr>
        <w:spacing w:after="0" w:line="80"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i w:val="1"/>
          <w:iCs w:val="1"/>
          <w:color w:val="auto"/>
        </w:rPr>
        <w:t xml:space="preserve">Expand Services Provided to Existing Clients. </w:t>
      </w:r>
      <w:r>
        <w:rPr>
          <w:rFonts w:ascii="Arial" w:cs="Arial" w:eastAsia="Arial" w:hAnsi="Arial"/>
          <w:sz w:val="17"/>
          <w:szCs w:val="17"/>
          <w:color w:val="auto"/>
        </w:rPr>
        <w:t>We intend to expand the services we provide to our current clients by leveraging our strong relationships,</w:t>
      </w:r>
      <w:r>
        <w:rPr>
          <w:rFonts w:ascii="Arial" w:cs="Arial" w:eastAsia="Arial" w:hAnsi="Arial"/>
          <w:sz w:val="17"/>
          <w:szCs w:val="17"/>
          <w:i w:val="1"/>
          <w:iCs w:val="1"/>
          <w:color w:val="auto"/>
        </w:rPr>
        <w:t xml:space="preserve"> </w:t>
      </w:r>
      <w:r>
        <w:rPr>
          <w:rFonts w:ascii="Arial" w:cs="Arial" w:eastAsia="Arial" w:hAnsi="Arial"/>
          <w:sz w:val="17"/>
          <w:szCs w:val="17"/>
          <w:color w:val="auto"/>
        </w:rPr>
        <w:t>technical capabilities and past performance record. We believe our understanding of client missions, processes and needs, in conjunction with our full lifecycle IT offerings, positions us to capture new work from existing clients as the federal government continues to increase the volume of IT services contracted to professional services providers. Moreover, we believe our strong past performance record positions us to expand the level of services we provide to our clients as the federal government places greater emphasis on past performance as a criterion for awarding contracts.</w:t>
      </w:r>
    </w:p>
    <w:p>
      <w:pPr>
        <w:spacing w:after="0" w:line="6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i w:val="1"/>
          <w:iCs w:val="1"/>
          <w:color w:val="auto"/>
        </w:rPr>
        <w:t xml:space="preserve">Expand Client Base. </w:t>
      </w:r>
      <w:r>
        <w:rPr>
          <w:rFonts w:ascii="Arial" w:cs="Arial" w:eastAsia="Arial" w:hAnsi="Arial"/>
          <w:sz w:val="18"/>
          <w:szCs w:val="18"/>
          <w:color w:val="auto"/>
        </w:rPr>
        <w:t>We also plan to expand our client base into areas with significant growth opportunities by leveraging our industry reputation, long-term client relationships and diverse contract base. We anticipate that this expansion will enable us both to pursue additional higher value work and to further diversify our revenue base across the federal government. Our long-term relationships with federal government agencies, together with our GWAC vehicles, give us opportunities to win contracts with new clients within these agencies.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Improve Operating Margins</w:t>
      </w:r>
    </w:p>
    <w:p>
      <w:pPr>
        <w:spacing w:after="0" w:line="117" w:lineRule="exact"/>
        <w:rPr>
          <w:sz w:val="20"/>
          <w:szCs w:val="20"/>
          <w:color w:val="auto"/>
        </w:rPr>
      </w:pPr>
    </w:p>
    <w:p>
      <w:pPr>
        <w:ind w:right="840" w:firstLine="360"/>
        <w:spacing w:after="0" w:line="277" w:lineRule="auto"/>
        <w:rPr>
          <w:sz w:val="20"/>
          <w:szCs w:val="20"/>
          <w:color w:val="auto"/>
        </w:rPr>
      </w:pPr>
      <w:r>
        <w:rPr>
          <w:rFonts w:ascii="Arial" w:cs="Arial" w:eastAsia="Arial" w:hAnsi="Arial"/>
          <w:sz w:val="18"/>
          <w:szCs w:val="18"/>
          <w:color w:val="auto"/>
        </w:rPr>
        <w:t>We believe that we have significant opportunities to increase our operating margins and improve profitability by capitalizing on our corporate infrastructure investments and internally developed tools, and concentrating on high value-added prime contracts.</w:t>
      </w:r>
    </w:p>
    <w:p>
      <w:pPr>
        <w:spacing w:after="0" w:line="62" w:lineRule="exact"/>
        <w:rPr>
          <w:sz w:val="20"/>
          <w:szCs w:val="20"/>
          <w:color w:val="auto"/>
        </w:rPr>
      </w:pPr>
    </w:p>
    <w:p>
      <w:pPr>
        <w:ind w:right="180" w:firstLine="360"/>
        <w:spacing w:after="0" w:line="291" w:lineRule="auto"/>
        <w:rPr>
          <w:sz w:val="20"/>
          <w:szCs w:val="20"/>
          <w:color w:val="auto"/>
        </w:rPr>
      </w:pPr>
      <w:r>
        <w:rPr>
          <w:rFonts w:ascii="Arial" w:cs="Arial" w:eastAsia="Arial" w:hAnsi="Arial"/>
          <w:sz w:val="16"/>
          <w:szCs w:val="16"/>
          <w:i w:val="1"/>
          <w:iCs w:val="1"/>
          <w:color w:val="auto"/>
        </w:rPr>
        <w:t xml:space="preserve">Capitalize on Corporate Infrastructure Investments. </w:t>
      </w:r>
      <w:r>
        <w:rPr>
          <w:rFonts w:ascii="Arial" w:cs="Arial" w:eastAsia="Arial" w:hAnsi="Arial"/>
          <w:sz w:val="16"/>
          <w:szCs w:val="16"/>
          <w:color w:val="auto"/>
        </w:rPr>
        <w:t>In recent periods, we have made significant investments in our senior management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in anticipation of future revenue growth. These investments included hiring senior executives with significant experience with federal</w:t>
      </w:r>
    </w:p>
    <w:p>
      <w:pPr>
        <w:ind w:right="20"/>
        <w:spacing w:after="0" w:line="273" w:lineRule="auto"/>
        <w:rPr>
          <w:sz w:val="20"/>
          <w:szCs w:val="20"/>
          <w:color w:val="auto"/>
        </w:rPr>
      </w:pPr>
      <w:r>
        <w:rPr>
          <w:rFonts w:ascii="Arial" w:cs="Arial" w:eastAsia="Arial" w:hAnsi="Arial"/>
          <w:sz w:val="17"/>
          <w:szCs w:val="17"/>
          <w:color w:val="auto"/>
        </w:rPr>
        <w:t>IT services companies, strengthening our internal controls over financial reporting and accounting staff in support of Sarbanes-Oxley compliance and public company reporting requirements and expanding our Sensitive Compartmented Information Facilities (SCIFs) and other corporate facilities. We believe our management experience and corporate infrastructure are more typical of a company with a much larger revenue base than ours. We therefore anticipate that as our revenue grows, we will be able to leverage this infrastructure base and increase our operating margins.</w:t>
      </w:r>
    </w:p>
    <w:p>
      <w:pPr>
        <w:sectPr>
          <w:pgSz w:w="11900" w:h="16882" w:orient="portrait"/>
          <w:cols w:equalWidth="0" w:num="1">
            <w:col w:w="11420"/>
          </w:cols>
          <w:pgMar w:left="240" w:top="125" w:right="239" w:bottom="0" w:gutter="0" w:footer="0" w:header="0"/>
        </w:sectPr>
      </w:pPr>
    </w:p>
    <w:bookmarkStart w:id="8" w:name="page9"/>
    <w:bookmarkEnd w:id="8"/>
    <w:p>
      <w:pPr>
        <w:ind w:right="40" w:firstLine="360"/>
        <w:spacing w:after="0" w:line="342" w:lineRule="auto"/>
        <w:rPr>
          <w:sz w:val="20"/>
          <w:szCs w:val="20"/>
          <w:color w:val="auto"/>
        </w:rPr>
      </w:pPr>
      <w:r>
        <w:rPr>
          <w:rFonts w:ascii="Arial" w:cs="Arial" w:eastAsia="Arial" w:hAnsi="Arial"/>
          <w:sz w:val="16"/>
          <w:szCs w:val="16"/>
          <w:i w:val="1"/>
          <w:iCs w:val="1"/>
          <w:color w:val="auto"/>
        </w:rPr>
        <w:t xml:space="preserve">Concentrate on High Value-Added Prime Contracts. </w:t>
      </w:r>
      <w:r>
        <w:rPr>
          <w:rFonts w:ascii="Arial" w:cs="Arial" w:eastAsia="Arial" w:hAnsi="Arial"/>
          <w:sz w:val="16"/>
          <w:szCs w:val="16"/>
          <w:color w:val="auto"/>
        </w:rPr>
        <w:t>We expect to improve our operating margins as we strive to increase the percentage of revenue we</w:t>
      </w:r>
      <w:r>
        <w:rPr>
          <w:rFonts w:ascii="Arial" w:cs="Arial" w:eastAsia="Arial" w:hAnsi="Arial"/>
          <w:sz w:val="16"/>
          <w:szCs w:val="16"/>
          <w:i w:val="1"/>
          <w:iCs w:val="1"/>
          <w:color w:val="auto"/>
        </w:rPr>
        <w:t xml:space="preserve"> </w:t>
      </w:r>
      <w:r>
        <w:rPr>
          <w:rFonts w:ascii="Arial" w:cs="Arial" w:eastAsia="Arial" w:hAnsi="Arial"/>
          <w:sz w:val="16"/>
          <w:szCs w:val="16"/>
          <w:color w:val="auto"/>
        </w:rPr>
        <w:t>derive from our work as a prime contractor and from engagements where contracts are awarded on a best value, rather than on a low cost, basis. The federal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government’s move toward performance-based contract awards to realize greater return on its investment has resulted in a shift to greater utilization of best value awards. We believe this shift will enable us to expand our operating margins as we are awarded more contracts of this nature.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Strategic Acquisitions</w:t>
      </w:r>
    </w:p>
    <w:p>
      <w:pPr>
        <w:spacing w:after="0" w:line="117"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We intend to supplement our organic growth by identifying, acquiring and integrating acquisitions that complement and broaden our existing client base and expand our primary service offerings. Our senior management team brings significant acquisition experience.</w:t>
      </w:r>
    </w:p>
    <w:p>
      <w:pPr>
        <w:spacing w:after="0" w:line="62"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In the fourth quarter of 2006, we acquired Madison Research Corporation (“MRC”), a Huntsville, Alabama based privately-held provider of high-end engineering, weapon systems support, and professional services to the U.S. Army, U.S. Air Force, and NASA. Through the MRC acquisition, we significantly expanded our customer footprint within the DoD, added an important new customer with the U.S. Army, and added a key service differentiator by including weapon systems life cycle sustainment operations and maintenance to our core competencies, which will help us achieve our long term growth objectives.</w:t>
      </w:r>
    </w:p>
    <w:p>
      <w:pPr>
        <w:spacing w:after="0" w:line="46"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We intend to pursue additional acquisition opportunities to continue to expand our customer base and to added new areas of differentiation to our business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08"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revenues have grown organically by establishing new business units with experienced senior executives who have the ability to grow these business units and expand our customer base. Our objective is to continue growing revenues organically and through strategic acquisitions. In order to assist in accomplishing this objective, we are focused on expanding new business development resources to build the necessary infrastructure to identify, bid on and win new business. Additionally, we plan to acquire businesses that meet our primary objective of providing us with enhanced capabilities in order to pursue a broader cross section of the DoD, DHS and other government markets, which at the same time, may enable us to achieve our secondary objective of broadening our customer base. We are currently evaluating potential targets. We anticipate that we will need to obtain additional financing through the sale of equity or debt securities to fund any such acquisitions. We also expect to re-compete on our existing engineering and management contracts. Our rate of revenue growth depends upon many factors, including, among others, our success in bidding on new contracts and re-competes of our existing contracts, the continuation of our existing programs, the funding levels for our contracts, our ability to meet demand for our services or products and our ability to make strategic acquisitions and to grow the businesses of our acquired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Organization</w:t>
      </w:r>
    </w:p>
    <w:p>
      <w:pPr>
        <w:spacing w:after="0" w:line="108"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We currently have two types of business operations: federal; and non-federal. We do not treat our on-going business operations as separate segments. Rather, we view our business as an integrated whole. Within our federal division, we have sectors of expertise: “Communications &amp; Technology Sector (CTS),” “Technical Resources Sector (TRS),” and “Engineering Design and Solutions Sector (EDSS).” Within our non-federal division, we maintain regional office locations, comprised of the Mid Atlantic Regional Office, Southeast Regional Office, and the Southwest Regional Office, where we are focused on security integration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Business</w:t>
      </w:r>
    </w:p>
    <w:p>
      <w:pPr>
        <w:spacing w:after="0" w:line="117"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Our federal business serves the federal information technology services market, which includes the design, development, deployment, integration and management of communications and information networks.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The fiscal year (FY) 2007 defense budget supports substantial investments in advanced technology to provide advantages over our enemies, particularly in remote sensing and high-performance computing. This includes investments in communications improving connectivity between troops and their commanders well beyond the field of battle. C4ISR capabilities, information communications and transformation are some of the key areas of focus for the DoD’s technology spending. We believe opportunities for growth can be found in the following areas:</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Weapon Systems Lifecycle Support</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C4ISR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Defense IT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Knowledge management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Systems integration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Outsourced engineering services</w:t>
      </w:r>
    </w:p>
    <w:p>
      <w:pPr>
        <w:spacing w:after="0" w:line="103"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We have historically targeted these areas for growth with our engineering service solutions, and in the past two years, we have begun to further supplement this growth by expanding our customer footprint in these areas through continued strategic acquisition. In particular, through our acquisition of MRC, we have added both service and product capabilities in: weapon systems support and maintenance; space programs; software and IT solutions; and advanced telecommunications programs.</w:t>
      </w:r>
    </w:p>
    <w:p>
      <w:pPr>
        <w:spacing w:after="0" w:line="79"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The growth in the government information technology market is being driven by a number of factors, including an overall desire on the part of the federal government to upgrade communication and information systems, the aging of the federal workforce, and an increase in the use of private sector outsourcing. In addition, market growth has been driven and will continue to be driven in large part by DoD information technology spending which has been increasing over the past two years at an even faster rate than the overall government information technology market.</w:t>
      </w:r>
    </w:p>
    <w:p>
      <w:pPr>
        <w:spacing w:after="0" w:line="63"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Our federal government business segment also focuses on the homeland security market with products and services aimed at providing first responders to emergency situations with a real time 3D image of the incident site.</w:t>
      </w:r>
    </w:p>
    <w:p>
      <w:pPr>
        <w:sectPr>
          <w:pgSz w:w="11900" w:h="16838" w:orient="portrait"/>
          <w:cols w:equalWidth="0" w:num="1">
            <w:col w:w="11400"/>
          </w:cols>
          <w:pgMar w:left="240" w:top="125" w:right="25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Non-Federal Business</w:t>
      </w:r>
    </w:p>
    <w:p>
      <w:pPr>
        <w:spacing w:after="0" w:line="117"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color w:val="auto"/>
        </w:rPr>
        <w:t>Our non-federal business provides system design, deployment, integration, monitoring and support services for non-federal, state, local and municipal governments and civilian networks. Non-federal networks have been traditionally segregated into systems such as voice, data, access control, video surveillance, temperature control and fire alarm. We provide services that combine such systems and offer integrated solutions on Ethernet-based and IP based platforms. We also offer solutions that combine safety, voice, data, electronic security and building automation systems with fixed or wireless connectivity solutions.</w:t>
      </w:r>
    </w:p>
    <w:p>
      <w:pPr>
        <w:spacing w:after="0" w:line="8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aim to meet the needs of any non-federal government customer by understanding the needs of the particular entity, sifting through the multiple solutions and complex technologies available in the marketplace and designing, deploying, managing and maintaining a cost-effective and integrated solution that is capable of evolving as the needs of the client change with time. Our target markets include opportunities at; military bases, retail, healthcare, education, and public facilities.</w:t>
      </w:r>
    </w:p>
    <w:p>
      <w:pPr>
        <w:spacing w:after="0" w:line="79"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Our commitment to these markets and our proven ability to provide feature-rich, cost-effective solutions has allowed us to become one of the larger independent civilian integrators for these types of systems.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Solutions</w:t>
      </w:r>
    </w:p>
    <w:p>
      <w:pPr>
        <w:spacing w:after="0" w:line="121" w:lineRule="exact"/>
        <w:rPr>
          <w:sz w:val="20"/>
          <w:szCs w:val="20"/>
          <w:color w:val="auto"/>
        </w:rPr>
      </w:pPr>
    </w:p>
    <w:p>
      <w:pPr>
        <w:ind w:right="40" w:firstLine="360"/>
        <w:spacing w:after="0" w:line="308" w:lineRule="auto"/>
        <w:rPr>
          <w:sz w:val="20"/>
          <w:szCs w:val="20"/>
          <w:color w:val="auto"/>
        </w:rPr>
      </w:pPr>
      <w:r>
        <w:rPr>
          <w:rFonts w:ascii="Arial" w:cs="Arial" w:eastAsia="Arial" w:hAnsi="Arial"/>
          <w:sz w:val="17"/>
          <w:szCs w:val="17"/>
          <w:color w:val="auto"/>
        </w:rPr>
        <w:t>We provide a range of integrated engineering, war fighter, security and information technology services and solutions by leveraging our five core service offerings: network engineering; engineering services; range and technical services; security systems integration; and IT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Weapons System Life Cycle Sustainment</w:t>
      </w:r>
    </w:p>
    <w:p>
      <w:pPr>
        <w:spacing w:after="0" w:line="117" w:lineRule="exact"/>
        <w:rPr>
          <w:sz w:val="20"/>
          <w:szCs w:val="20"/>
          <w:color w:val="auto"/>
        </w:rPr>
      </w:pPr>
    </w:p>
    <w:p>
      <w:pPr>
        <w:ind w:right="800" w:firstLine="360"/>
        <w:spacing w:after="0" w:line="277" w:lineRule="auto"/>
        <w:rPr>
          <w:sz w:val="20"/>
          <w:szCs w:val="20"/>
          <w:color w:val="auto"/>
        </w:rPr>
      </w:pPr>
      <w:r>
        <w:rPr>
          <w:rFonts w:ascii="Arial" w:cs="Arial" w:eastAsia="Arial" w:hAnsi="Arial"/>
          <w:sz w:val="18"/>
          <w:szCs w:val="18"/>
          <w:color w:val="auto"/>
        </w:rPr>
        <w:t>We provide weapons systems life cycle sustainment services for the Department of Defense and foreign governments. These services focus on maintaining, testing and repairing certain weapons systems for the war fighter.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services</w:t>
      </w:r>
    </w:p>
    <w:p>
      <w:pPr>
        <w:spacing w:after="0" w:line="117" w:lineRule="exact"/>
        <w:rPr>
          <w:sz w:val="20"/>
          <w:szCs w:val="20"/>
          <w:color w:val="auto"/>
        </w:rPr>
      </w:pPr>
    </w:p>
    <w:p>
      <w:pPr>
        <w:ind w:right="400" w:firstLine="360"/>
        <w:spacing w:after="0" w:line="264" w:lineRule="auto"/>
        <w:rPr>
          <w:sz w:val="20"/>
          <w:szCs w:val="20"/>
          <w:color w:val="auto"/>
        </w:rPr>
      </w:pPr>
      <w:r>
        <w:rPr>
          <w:rFonts w:ascii="Arial" w:cs="Arial" w:eastAsia="Arial" w:hAnsi="Arial"/>
          <w:sz w:val="18"/>
          <w:szCs w:val="18"/>
          <w:color w:val="auto"/>
        </w:rPr>
        <w:t>We have comprehensive experience providing engineering services at any phase of a project lifecycle including Program Management, Engineering Design, Systems Engineering, C4I System INCO, Operations &amp; Maintenance, Integrated Logistics, Test &amp; Evaluation, Security/Building Mapping, Propulsion R&amp;D, Advanced Telecommunications, and Warfare Systems Training.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Range &amp; Technical Services</w:t>
      </w:r>
    </w:p>
    <w:p>
      <w:pPr>
        <w:spacing w:after="0" w:line="117" w:lineRule="exact"/>
        <w:rPr>
          <w:sz w:val="20"/>
          <w:szCs w:val="20"/>
          <w:color w:val="auto"/>
        </w:rPr>
      </w:pPr>
    </w:p>
    <w:p>
      <w:pPr>
        <w:ind w:right="320" w:firstLine="360"/>
        <w:spacing w:after="0" w:line="279" w:lineRule="auto"/>
        <w:rPr>
          <w:sz w:val="20"/>
          <w:szCs w:val="20"/>
          <w:color w:val="auto"/>
        </w:rPr>
      </w:pPr>
      <w:r>
        <w:rPr>
          <w:rFonts w:ascii="Arial" w:cs="Arial" w:eastAsia="Arial" w:hAnsi="Arial"/>
          <w:sz w:val="17"/>
          <w:szCs w:val="17"/>
          <w:color w:val="auto"/>
        </w:rPr>
        <w:t>A key area of differentiation for us is within the range and technical service areas we offer. We have resources stationed at virtually all major range locations throughout the United States, including NAWC Pt. Magu, Hawaii Pacific Missile Range, Fort Bliss, Texas, and White Sands Missile Range, New Mexico. Our services include, Aerial Targets Operations &amp; Maintenance, Surface Targets Operations &amp; Maintenance, Missile Systems Operations &amp; Maintenance, Range Operations Planning &amp; Support, HAZMAT Management, Supply &amp; Logistics Support, and Manufacturing.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Systems Integration</w:t>
      </w:r>
    </w:p>
    <w:p>
      <w:pPr>
        <w:spacing w:after="0" w:line="11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We have broad experience integrating security services and solutions across a number of network and communications platforms. In particular, our non-federal business has long-standing experience and has developed vast customer relationships by providing best-in-class systems integration services on a variety of platforms including Digital (IP) Surveillance &amp; Security, Building Automation Systems &amp; Controls, Fire &amp; Life Safety Systems, Access Control &amp; Perimeter Protection, and Service &amp; Maintenance.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Network Engineering</w:t>
      </w:r>
    </w:p>
    <w:p>
      <w:pPr>
        <w:spacing w:after="0" w:line="117" w:lineRule="exact"/>
        <w:rPr>
          <w:sz w:val="20"/>
          <w:szCs w:val="20"/>
          <w:color w:val="auto"/>
        </w:rPr>
      </w:pPr>
    </w:p>
    <w:p>
      <w:pPr>
        <w:ind w:right="300" w:firstLine="360"/>
        <w:spacing w:after="0" w:line="273" w:lineRule="auto"/>
        <w:rPr>
          <w:sz w:val="20"/>
          <w:szCs w:val="20"/>
          <w:color w:val="auto"/>
        </w:rPr>
      </w:pPr>
      <w:r>
        <w:rPr>
          <w:rFonts w:ascii="Arial" w:cs="Arial" w:eastAsia="Arial" w:hAnsi="Arial"/>
          <w:sz w:val="17"/>
          <w:szCs w:val="17"/>
          <w:color w:val="auto"/>
        </w:rPr>
        <w:t>We offer a full lifecycle of network engineering services to our clients from the initial analysis of the requirements and design of the network through implementation and testing of the solution, including the design of disaster recovery contingency plans. Our network engineering capabilities include architecture development, design, implementation, configuration, and operation of Local Area Networks (LAN), Metropolitan Area Networks (MAN) and Wide Area Networks (WAN). Our extensive experience providing the following network engineering services for federal government clients allows us to rapidly identify potential bottlenecks, security threats and vulnerabilities, and address these potential issues with cost-effective solutions in Design, Architecture, Testing System, Integration, Deployment, Security Assessments, Recovery Plans, and Certification.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 Services</w:t>
      </w:r>
    </w:p>
    <w:p>
      <w:pPr>
        <w:spacing w:after="0" w:line="117"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We offer a range of IT services and solutions from conceptual network planning to system service and maintenance. We have extensive experience building complex and secure networks for the federal government, and we possess in-depth experience with network operations centers (NOCs). Our services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include Network Operations Centers (NOCs), Help Desks, System Maintenance, System Upgrades, Configuration Management, Data Warehousing, COTS Selection and Integration, and High Performance Computing.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Our primary customers include the U.S. Department of Defense, and various federal, state and local government agencies. Representative customers include: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Department of Defense (DoD)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Army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Navy</w:t>
      </w:r>
    </w:p>
    <w:p>
      <w:pPr>
        <w:sectPr>
          <w:pgSz w:w="11900" w:h="16838" w:orient="portrait"/>
          <w:cols w:equalWidth="0" w:num="1">
            <w:col w:w="11420"/>
          </w:cols>
          <w:pgMar w:left="240" w:top="125" w:right="239" w:bottom="0" w:gutter="0" w:footer="0" w:header="0"/>
        </w:sectPr>
      </w:pPr>
    </w:p>
    <w:bookmarkStart w:id="10" w:name="page11"/>
    <w:bookmarkEnd w:id="10"/>
    <w:p>
      <w:pPr>
        <w:ind w:left="360"/>
        <w:spacing w:after="0"/>
        <w:rPr>
          <w:sz w:val="20"/>
          <w:szCs w:val="20"/>
          <w:color w:val="auto"/>
        </w:rPr>
      </w:pPr>
      <w:r>
        <w:rPr>
          <w:rFonts w:ascii="Arial" w:cs="Arial" w:eastAsia="Arial" w:hAnsi="Arial"/>
          <w:sz w:val="18"/>
          <w:szCs w:val="18"/>
          <w:color w:val="auto"/>
        </w:rPr>
        <w:t>Foreign Military Services (FMS)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Department of Energy (DOE)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Defense Logistics Agency (DLA)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Defense Contract Management Agency (DCMA)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Defense Commissary Agency (DeCA)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Defense Information Systems Agency (DISA)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Space and Naval Warfare (SPAWAR) Systems Center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Joint Interagency Task Force-South (JIATF-South)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National Aeronautics and Space Administration (NASA)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0" w:firstLine="360"/>
        <w:spacing w:after="0" w:line="308" w:lineRule="auto"/>
        <w:rPr>
          <w:sz w:val="20"/>
          <w:szCs w:val="20"/>
          <w:color w:val="auto"/>
        </w:rPr>
      </w:pPr>
      <w:r>
        <w:rPr>
          <w:rFonts w:ascii="Arial" w:cs="Arial" w:eastAsia="Arial" w:hAnsi="Arial"/>
          <w:sz w:val="17"/>
          <w:szCs w:val="17"/>
          <w:color w:val="auto"/>
        </w:rPr>
        <w:t>Our market is competitive, and includes the full range of federal and non-federal engineering and IT service providers. Many of the companies that we compete against have significantly greater financial, technical and marketing resources, and generate greater revenues than we do.</w:t>
      </w:r>
    </w:p>
    <w:p>
      <w:pPr>
        <w:spacing w:after="0" w:line="38"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Competition in the federal business segment includes tier one, large federal government contractors, such as Northrop Grumman, SAIC, ITT Industries, Inc., Computer Sciences Corporation, ARINC, Raytheon Corporation, BAE, CACI. While we view government contractors as competitors, we often team with these companies in joint proposals or in the delivery of our services for customers. Tier two competitors include NCI, Inc., Stanley, Inc., MTC Technologies, SYS Technologies, and Dynamics Research Corp.</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Competition in the non-federal business segment includes Siemens Building Technology, Johnson Controls, Ingersoll Rand and Convergent.</w:t>
      </w:r>
    </w:p>
    <w:p>
      <w:pPr>
        <w:spacing w:after="0" w:line="12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We believe that the principal competitive factors in our ability to win new business include past performance, qualifications, domain and technology expertise, the ability to replace contract vehicles, the ability to deliver results within budget (time and cost), reputation, accountability, staffing flexibility, and project management expertise. We believe our ability to compete also depends on a number of additional factors including the ability of our customers to perform the services themselves, and competitive pricing for similar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As of August 1, 2007 we employed in our on-going business approximately 1,200 full-time employees, consultants and contractors worldwide. As of the date of this report, approximately 25 employees are represented by a labor union, and we have not experienced any work stoppages. This employee count does not include the deployment business employees on our payroll until October 1, 2007, who are currently being leased by Platinum Equity.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20" w:firstLine="360"/>
        <w:spacing w:after="0" w:line="276" w:lineRule="auto"/>
        <w:rPr>
          <w:sz w:val="20"/>
          <w:szCs w:val="20"/>
          <w:color w:val="auto"/>
        </w:rPr>
      </w:pPr>
      <w:r>
        <w:rPr>
          <w:rFonts w:ascii="Arial" w:cs="Arial" w:eastAsia="Arial" w:hAnsi="Arial"/>
          <w:sz w:val="17"/>
          <w:szCs w:val="17"/>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unaudited consolidated financial statements and related notes.</w:t>
      </w:r>
    </w:p>
    <w:p>
      <w:pPr>
        <w:spacing w:after="0" w:line="173"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The matters relating to our internal review of our stock option granting practices and the restatement of our financial statements have exposed us to civil litigation claims, regulatory proceedings and government proceedings which could burden the Company and have a material adverse effect on us.</w:t>
      </w:r>
    </w:p>
    <w:p>
      <w:pPr>
        <w:spacing w:after="0" w:line="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current executive management team, which has been in place since 2004, initiated the Equity Award Review in the summer of 2006 in reaction to media reports regarding stock option granting practices of public companies. The Equity Award Review was conducted with oversight from the Board and assistance from our outside counsel, Morrison &amp; Foerster. In February 2007, the Board appointed a Special Committee of the Board to review the adequacy of the Equity Award Review and the recommendations of management regarding historical option granting practices, and to make recommendations and findings regarding those practices and individual conduct. The Special Committee was not charged with making, and did not make, any evaluation of the accounting determinations or tax adjustments. The Special Committee was comprised of a non-employee director who had not served on our Compensation Committee before 2005.</w:t>
      </w:r>
    </w:p>
    <w:p>
      <w:pPr>
        <w:spacing w:after="0" w:line="81"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The Equity Award Review encompassed all grants of options to purchase shares of our common stock and other equity awards made since two months prior to our IPO in November 1999 through December 2006. We also reviewed all option grants that were entered into our stock option database (Equity Edge) after our IPO with a grant date before November 1999, as well as other substantial grants issued prior to our IPO, consisting of more than 14,000 grants. We further reviewed all option grants with a grant date that preceded an employee’s date of hire. As part of the review, interviews of 18 current and former officers, directors, employees and attorneys were conducted, and more than 40 million pages of electronic and hard copy documents were searched for relevant information. The Special Committee also conducted its own separate review of the option granting practices during the tenure of current executive management team through additional interviews and document collection and review with the assistance of its own separate counsel, Pillsbury Winthrop, and FTI Consulting.</w:t>
      </w:r>
    </w:p>
    <w:p>
      <w:pPr>
        <w:spacing w:after="0" w:line="84"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The Equity Award Review established the absence of contemporaneous evidence supporting a substantial number of the previously-recorded option grants, substantially all of which were made in the period from 1998 through late 2003. During this period of time, in some instances, documents, data and interviews suggest that option grants were prepared or finalized days or, in some cases, weeks or months after the option grant date recorded in our books. The affected grants include options issued to certain newly-hired employees but dated prior to their employment start dates and options issued to non-employees, including advisors to the Board erroneously designated as employees. The Special Committee also concluded that certain former employees and former officers participated in making improper option grants, including the selection of grant dates with the benefit of hindsight and in the deferral of the recording of otherwise approved option grants.</w:t>
      </w:r>
    </w:p>
    <w:p>
      <w:pPr>
        <w:spacing w:after="0" w:line="81"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In light of the Equity Award Review, the Audit Committee of our Board concluded that our prior financial statements for periods from 1998 through our filing of interim financial statements for the period ended September 30, 2006, can no longer be relied upon and must be restated. Our management</w:t>
      </w:r>
    </w:p>
    <w:p>
      <w:pPr>
        <w:sectPr>
          <w:pgSz w:w="11900" w:h="16838" w:orient="portrait"/>
          <w:cols w:equalWidth="0" w:num="1">
            <w:col w:w="11420"/>
          </w:cols>
          <w:pgMar w:left="240" w:top="125" w:right="239" w:bottom="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0" w:gutter="0" w:footer="0" w:header="0"/>
          <w:type w:val="continuous"/>
        </w:sectPr>
      </w:pPr>
    </w:p>
    <w:bookmarkStart w:id="11" w:name="page12"/>
    <w:bookmarkEnd w:id="11"/>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ind w:right="40"/>
        <w:spacing w:after="0" w:line="259" w:lineRule="auto"/>
        <w:rPr>
          <w:sz w:val="20"/>
          <w:szCs w:val="20"/>
          <w:color w:val="auto"/>
        </w:rPr>
      </w:pPr>
      <w:r>
        <w:rPr>
          <w:rFonts w:ascii="Arial" w:cs="Arial" w:eastAsia="Arial" w:hAnsi="Arial"/>
          <w:sz w:val="18"/>
          <w:szCs w:val="18"/>
          <w:color w:val="auto"/>
        </w:rPr>
        <w:t>determined that, from fiscal year 1998 through fiscal year 2005, we had unrecorded non-cash equity-based compensation charges associated with our equity incentive plans. These charges are material to our financial statements for the years ended December 31, 1998 through 2005, the periods to which such charges would have related. Previously filed annual reports on Form 10-K and quarterly reports on Form 10-Q affected by the restatements have not been and will not be amended and should not be relied upon.</w:t>
      </w:r>
    </w:p>
    <w:p>
      <w:pPr>
        <w:spacing w:after="0" w:line="79"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Our past stock option granting practices and the restatement of our prior financial statements have exposed and may continue to expose us to greater risks associated with litigation, regulatory proceedings and government inquiries and enforcement actions. As described in Part I, Item 3, “Legal Proceedings,” several derivative complaints have been filed in state and federal courts against our current directors, some of our former directors and some of our current and former executive officers pertaining to allegations relating to stock option grants. The SEC has initiated an informal inquiry into our historical stock option granting practices and we received a subpoena from the United States Attorney’s Office for the Southern District of California for the production of documents relating to our historical stock option granting practices, which could result in civil and/or criminal actions seeking, among other things, injunctions against us and the payment of significant fines and penalties by us. We are cooperating with the SEC and the United States Attorney’s Office for the Southern District of California, and expect to continue to do so.</w:t>
      </w:r>
    </w:p>
    <w:p>
      <w:pPr>
        <w:spacing w:after="0" w:line="179"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have not been in compliance with The Nasdaq Stock Market’s continued listing requirements and remain subject to the risk of our stock being delisted from The Nasdaq Global Select Market, which would have a material adverse effect on us and our stockholders.</w:t>
      </w:r>
    </w:p>
    <w:p>
      <w:pPr>
        <w:spacing w:after="0" w:line="38"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Due to the Equity Award Review and resulting restatements, we could not timely file with the SEC our Annual Report on Form 10-K for the year ended December 31, 2006 or our Quarterly Reports on Form 10-Q for the periods ended March 31, 2007 and June 30, 2007. As a result, and as described in Part I, Item 3, “Legal Proceedings,” we were not in compliance with the filing requirements for continued listing on The Nasdaq Global Select Market as set forth in Marketplace Rule 4310(c)(14) and were subject to delisting from The Nasdaq Global Select Market. Until we file our Quarterly Reports on Form 10-Q for the periods ended March 31, 2007, and June 30, 2007, we will continue to be in non-compliance with Marketplace Rule 4310(c)(14), and our common stock may be delisted from The Nasdaq Select Global Market. If our stock is delisted, it would be uncertain when, if ever, our common stock would be relisted. If a delisting did happen, the price of our stock and the ability of our stockholders to trade in our stock could be adversely affected and, depending on the duration of the delisting, some institutions whose charters disallow holding securities in unlisted companies might sell our shares, which could have a further adverse effect on the price of our stock.</w:t>
      </w:r>
    </w:p>
    <w:p>
      <w:pPr>
        <w:spacing w:after="0" w:line="18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process of restating our financial statements, making the associated disclosures, and complying with SEC requirements are subject to uncertainty and evolving requirements.</w:t>
      </w:r>
    </w:p>
    <w:p>
      <w:pPr>
        <w:spacing w:after="0" w:line="62" w:lineRule="exact"/>
        <w:rPr>
          <w:sz w:val="20"/>
          <w:szCs w:val="20"/>
          <w:color w:val="auto"/>
        </w:rPr>
      </w:pPr>
    </w:p>
    <w:p>
      <w:pPr>
        <w:ind w:right="160" w:firstLine="360"/>
        <w:spacing w:after="0" w:line="276" w:lineRule="auto"/>
        <w:rPr>
          <w:sz w:val="20"/>
          <w:szCs w:val="20"/>
          <w:color w:val="auto"/>
        </w:rPr>
      </w:pPr>
      <w:r>
        <w:rPr>
          <w:rFonts w:ascii="Arial" w:cs="Arial" w:eastAsia="Arial" w:hAnsi="Arial"/>
          <w:sz w:val="17"/>
          <w:szCs w:val="17"/>
          <w:color w:val="auto"/>
        </w:rPr>
        <w:t>We have worked with our outside legal counsel and our independent registered public accounting firms to make our filings comply with all related requirements. Nevertheless the issues surrounding our historical stock option grant practices are complex and the regulatory guidelines or requirements continue to evolve. There can be no assurance that further SEC and other requirements will not evolve and that we will not be required to further amend this and other filings. In addition to the cost and time to amend financial reports, such amendments may have a material adverse affect on investors and common stock price and could result in a delisting of our common stock from The Nasdaq Global Select Market.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A number of our current and former executive officers and directors have been named as parties to several derivative action lawsuits arising from our internal option review, and there is a possibility of additional lawsuits, all of which could require significant management time and attention and result in significant legal expenses.</w:t>
      </w:r>
    </w:p>
    <w:p>
      <w:pPr>
        <w:spacing w:after="0" w:line="60"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We are subject to a number of lawsuits purportedly on behalf of Wireless Facilities, Inc. against certain of our current and former executive officers and board members, and we may become the subject of additional private lawsuits. Subject to certain limitations, we are obligated to indemnify our current and former directors, officers and employees in connection with the investigation of our historical stock option practices and such lawsuits. The expenses associated with these lawsuits may be significant, the amount of time to resolve these lawsuits is unpredictable and defending these lawsuits may divert management’s attention from the day-to-day operations of our business, which could have a material adverse effect on our financial condition, business, results of operations and cash flows.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Ongoing government inquiries relating to our past stock option practices may be time consuming and expensive and could result in injunctions, fines and penalties that may have a material adverse effect on our financial condition and results of operations.</w:t>
      </w:r>
    </w:p>
    <w:p>
      <w:pPr>
        <w:spacing w:after="0" w:line="49"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The inquiries by the Department of Justice (“DOJ”) and the SEC into our past stock option practices are ongoing. We have cooperated with the DOJ and the SEC and expect to continue to do so. The period of time necessary to resolve these inquiries is uncertain, and we cannot predict the outcome of these inquiries or whether we will face additional government inquiries, investigations or other actions related to our historical stock option grant practices. Subject to certain limitations, we are obligated to indemnify our current and former directors, officers and employees in connection with the investigation of our historical stock option practices, these DOJ and SEC inquiries and any future government inquiries, investigations or actions. These inquiries could require us to expend significant management time and incur significant legal and other expenses, and could result in civil and criminal actions seeking, among other things, injunctions against us and the payment of significant fines and penalties by us, which could have a material adverse effect on our financial condition, business, results of operations and cash flow.</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62"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These competitors may have greater financial, technical, marketing and public relations resources, larger client bases and greater brand or name recognition than we do. These competitors could, among other things:</w:t>
      </w:r>
    </w:p>
    <w:p>
      <w:pPr>
        <w:spacing w:after="0" w:line="67" w:lineRule="exact"/>
        <w:rPr>
          <w:sz w:val="20"/>
          <w:szCs w:val="20"/>
          <w:color w:val="auto"/>
        </w:rPr>
      </w:pPr>
    </w:p>
    <w:p>
      <w:pPr>
        <w:ind w:left="540" w:right="40" w:hanging="17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48"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ectPr>
          <w:pgSz w:w="11900" w:h="16860" w:orient="portrait"/>
          <w:cols w:equalWidth="0" w:num="1">
            <w:col w:w="11420"/>
          </w:cols>
          <w:pgMar w:left="240" w:top="868" w:right="239" w:bottom="0" w:gutter="0" w:footer="0" w:header="0"/>
        </w:sectPr>
      </w:pPr>
    </w:p>
    <w:bookmarkStart w:id="12" w:name="page13"/>
    <w:bookmarkEnd w:id="12"/>
    <w:p>
      <w:pPr>
        <w:ind w:left="540" w:hanging="17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in which we are the incumbent.</w:t>
      </w:r>
    </w:p>
    <w:p>
      <w:pPr>
        <w:spacing w:after="0" w:line="49"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 In addition, we may face competition from our subcontractors who, from time-to-time, seek to obtain prime contractor status on contracts for which they currently serve as a subcontractor to us. If one or more of our current subcontractors are awarded prime contractor status on such contracts in the future, it could divert sales from us or could force us to charge lower prices, which could cause our margins to suffer.</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as a result of factors outside of our control, which could cause the market price of our common stock to decline.</w:t>
      </w:r>
    </w:p>
    <w:p>
      <w:pPr>
        <w:spacing w:after="0" w:line="62" w:lineRule="exact"/>
        <w:rPr>
          <w:sz w:val="20"/>
          <w:szCs w:val="20"/>
          <w:color w:val="auto"/>
        </w:rPr>
      </w:pPr>
    </w:p>
    <w:p>
      <w:pPr>
        <w:ind w:right="380" w:firstLine="360"/>
        <w:spacing w:after="0" w:line="264" w:lineRule="auto"/>
        <w:rPr>
          <w:sz w:val="20"/>
          <w:szCs w:val="20"/>
          <w:color w:val="auto"/>
        </w:rPr>
      </w:pPr>
      <w:r>
        <w:rPr>
          <w:rFonts w:ascii="Arial" w:cs="Arial" w:eastAsia="Arial" w:hAnsi="Arial"/>
          <w:sz w:val="18"/>
          <w:szCs w:val="18"/>
          <w:color w:val="auto"/>
        </w:rPr>
        <w:t>We expect our revenue and operating results to vary from quarter to quarter. As a result, our operating results may fall below the expectations of securities analysts and investors, which could cause the price of our common stock to decline. Factors that may affect our operating results include those listed in this “Risk Factors” section and others such as:</w:t>
      </w:r>
    </w:p>
    <w:p>
      <w:pPr>
        <w:spacing w:after="0" w:line="73" w:lineRule="exact"/>
        <w:rPr>
          <w:sz w:val="20"/>
          <w:szCs w:val="20"/>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revenue recognized on contracts;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117" w:lineRule="exact"/>
        <w:rPr>
          <w:rFonts w:ascii="Arial" w:cs="Arial" w:eastAsia="Arial" w:hAnsi="Arial"/>
          <w:sz w:val="18"/>
          <w:szCs w:val="18"/>
          <w:color w:val="auto"/>
        </w:rPr>
      </w:pPr>
    </w:p>
    <w:p>
      <w:pPr>
        <w:ind w:left="540" w:right="24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purchasing patterns under the GSA Schedule 70 Contracts, government wide acquisition contracts (GWACs), blanket purchase agreements and other Indefinite Delivery/Indefinite Quantity (ID/IQ) contracts;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federal government shutdowns or temporary facility closings;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demand for outsourced network services or engineering services;</w:t>
      </w:r>
    </w:p>
    <w:p>
      <w:pPr>
        <w:spacing w:after="0" w:line="117" w:lineRule="exact"/>
        <w:rPr>
          <w:rFonts w:ascii="Arial" w:cs="Arial" w:eastAsia="Arial" w:hAnsi="Arial"/>
          <w:sz w:val="18"/>
          <w:szCs w:val="18"/>
          <w:color w:val="auto"/>
        </w:rPr>
      </w:pPr>
    </w:p>
    <w:p>
      <w:pPr>
        <w:ind w:left="540" w:right="30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117" w:lineRule="exact"/>
        <w:rPr>
          <w:sz w:val="20"/>
          <w:szCs w:val="20"/>
          <w:color w:val="auto"/>
        </w:rPr>
      </w:pPr>
    </w:p>
    <w:p>
      <w:pPr>
        <w:ind w:right="100" w:firstLine="360"/>
        <w:spacing w:after="0" w:line="312" w:lineRule="auto"/>
        <w:rPr>
          <w:sz w:val="20"/>
          <w:szCs w:val="20"/>
          <w:color w:val="auto"/>
        </w:rPr>
      </w:pPr>
      <w:r>
        <w:rPr>
          <w:rFonts w:ascii="Arial" w:cs="Arial" w:eastAsia="Arial" w:hAnsi="Arial"/>
          <w:sz w:val="16"/>
          <w:szCs w:val="16"/>
          <w:color w:val="auto"/>
        </w:rPr>
        <w:t>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expire, are terminated or are not renewed.</w:t>
      </w:r>
    </w:p>
    <w:p>
      <w:pPr>
        <w:spacing w:after="0" w:line="39"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In addition, payments due to us from federal government agencies may be delayed due to billing cycles or as a result of failures of government budgets to gain congressional and administration approval in a timely manner. The federal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that year or the first quarter of the subsequent year. The federal government’s fiscal year end can also trigger increased purchase requests from clients for equipment and materials. Any increased purchase requests we receive as a result of the federal government’s fiscal year end would serve to increase our third or fourth quarter revenue, but will generally decrease profit margins for that quarter, as these activities generally are not as profitable as our typical offerings.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changes in budgetary priorities of the Federal Government.</w:t>
      </w:r>
    </w:p>
    <w:p>
      <w:pPr>
        <w:spacing w:after="0" w:line="117"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Because we derive a significant portion of our revenue from contracts with the Federal Government, we believe that the success and development of our business will continue to depend on our successful participation in Federal Government contract programs. Changes in Federal Government budgetary priorities could directly affect our financial performance. A significant decline in government expenditures, a shift of expenditures away from programs that call for the types of services that we provide, or a change in Federal Government contracting policies could cause Federal Governmental agencies to reduce their expenditures under contracts, to exercise their right to terminate contracts at any time without penalty, not to exercise options to extend contracts, or to delay or not enter into new contracts. Any of those actions could seriously harm our business, prospects, financial condition or operating results. Moreover, although our contracts with governmental agencies often contemplate that our services will be performed over a period of several years, Congress usually must approve funds for a given program each government fiscal year and may significantly reduce or eliminate funding for a program. Significant reductions in these appropriations by Congress could have a material adverse effect on our business. Additional factors that could have a serious adverse effect on our Federal Government contracting business include:</w:t>
      </w:r>
    </w:p>
    <w:p>
      <w:pPr>
        <w:spacing w:after="0" w:line="70" w:lineRule="exact"/>
        <w:rPr>
          <w:sz w:val="20"/>
          <w:szCs w:val="20"/>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w:t>
      </w:r>
    </w:p>
    <w:p>
      <w:pPr>
        <w:spacing w:after="0" w:line="117" w:lineRule="exact"/>
        <w:rPr>
          <w:rFonts w:ascii="Arial" w:cs="Arial" w:eastAsia="Arial" w:hAnsi="Arial"/>
          <w:sz w:val="18"/>
          <w:szCs w:val="18"/>
          <w:color w:val="auto"/>
        </w:rPr>
      </w:pPr>
    </w:p>
    <w:p>
      <w:pPr>
        <w:ind w:left="540" w:right="120" w:hanging="17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budgetary priorities limiting or delaying Federal Government spending generally, or by specific departments or agencies in particular, and changes in fiscal policies or available funding, including potential governmental shutdowns;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reduction in the Federal Government’s use of technology and/or professional services &amp; solutions firms; and</w:t>
      </w:r>
    </w:p>
    <w:p>
      <w:pPr>
        <w:sectPr>
          <w:pgSz w:w="11900" w:h="16838" w:orient="portrait"/>
          <w:cols w:equalWidth="0" w:num="1">
            <w:col w:w="11380"/>
          </w:cols>
          <w:pgMar w:left="240" w:top="125" w:right="279" w:bottom="0" w:gutter="0" w:footer="0" w:header="0"/>
        </w:sectPr>
      </w:pPr>
    </w:p>
    <w:bookmarkStart w:id="13" w:name="page14"/>
    <w:bookmarkEnd w:id="13"/>
    <w:p>
      <w:pPr>
        <w:ind w:left="360"/>
        <w:spacing w:after="0"/>
        <w:rPr>
          <w:sz w:val="20"/>
          <w:szCs w:val="20"/>
          <w:color w:val="auto"/>
        </w:rPr>
      </w:pPr>
      <w:r>
        <w:rPr>
          <w:rFonts w:ascii="Arial" w:cs="Arial" w:eastAsia="Arial" w:hAnsi="Arial"/>
          <w:sz w:val="16"/>
          <w:szCs w:val="16"/>
          <w:color w:val="auto"/>
        </w:rPr>
        <w:t>· an increase in the number of contracts reserved for small businesses which could result in our inability to compete directly for these prime contracts.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contracts with the Federal Government may be terminated or adversely modified prior to completion, which could adversely affect our business.</w:t>
      </w:r>
    </w:p>
    <w:p>
      <w:pPr>
        <w:spacing w:after="0" w:line="140" w:lineRule="exact"/>
        <w:rPr>
          <w:sz w:val="20"/>
          <w:szCs w:val="20"/>
          <w:color w:val="auto"/>
        </w:rPr>
      </w:pPr>
    </w:p>
    <w:p>
      <w:pPr>
        <w:ind w:right="640" w:firstLine="360"/>
        <w:spacing w:after="0" w:line="308" w:lineRule="auto"/>
        <w:rPr>
          <w:sz w:val="20"/>
          <w:szCs w:val="20"/>
          <w:color w:val="auto"/>
        </w:rPr>
      </w:pPr>
      <w:r>
        <w:rPr>
          <w:rFonts w:ascii="Arial" w:cs="Arial" w:eastAsia="Arial" w:hAnsi="Arial"/>
          <w:sz w:val="17"/>
          <w:szCs w:val="17"/>
          <w:color w:val="auto"/>
        </w:rPr>
        <w:t>Federal Government contracts generally contain provisions, and are subject to laws and regulations, that give the Federal Government rights and remedies not typically found in commercial contracts, including provisions permitting the Federal Government to:</w:t>
      </w:r>
    </w:p>
    <w:p>
      <w:pPr>
        <w:spacing w:after="0" w:line="38" w:lineRule="exact"/>
        <w:rPr>
          <w:sz w:val="20"/>
          <w:szCs w:val="20"/>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Federal Government or with any specific government agency;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117" w:lineRule="exact"/>
        <w:rPr>
          <w:rFonts w:ascii="Arial" w:cs="Arial" w:eastAsia="Arial" w:hAnsi="Arial"/>
          <w:sz w:val="18"/>
          <w:szCs w:val="18"/>
          <w:color w:val="auto"/>
        </w:rPr>
      </w:pPr>
    </w:p>
    <w:p>
      <w:pPr>
        <w:jc w:val="both"/>
        <w:ind w:left="540" w:right="60" w:hanging="172"/>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the award of some contracts to protest or challenge by competitors, which may require the contracting federal agency or department to suspend our performance pending the outcome of the protest or challenge and which may also require the government to solicit new proposals for the contract or result in the termination, reduction or modification of the awarded contract;</w:t>
      </w:r>
    </w:p>
    <w:p>
      <w:pPr>
        <w:spacing w:after="0" w:line="73"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suspend work under existing multiple year contracts and related task orders if the necessary funds are not appropriated by Congress;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117"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The Federal Government may terminate a contract with us either “for convenience” (for instance, due to a change in its perceived needs or its desire to consolidate work under another contract) or if we default by failing to perform under the contract. If the Federal Government terminates a contract with us for convenience, we generally would be entitled to recover only our incurred or committed costs, settlement expenses and profit on the work completed prior to termination. If the Federal Government terminates a contract with us based upon our default, we generally would be denied any recovery for undelivered work, and instead may be liable for excess costs incurred by the Federal Government in procuring undelivered items from an alternative source and other damages as authorized by law. As is common with government contractors, we have experienced and continue to experience occasional performance issues under some of our contracts. We may in the future receive show-cause or cure notices under contracts that, if not addressed to the Federal Government’s satisfaction, could give the government the right to terminate those contracts for default or to cease procuring our services under those contracts.</w:t>
      </w:r>
    </w:p>
    <w:p>
      <w:pPr>
        <w:spacing w:after="0" w:line="58"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Federal Government contracts typically have terms of one or more base years and one or more option years. Many of the option periods cover more than half of the contract’s potential term. Federal governmental agencies generally have the right not to exercise options to extend a contract. A decision to terminate or not to exercise options to extend our existing contracts could have a material adverse effect on our business, prospects, financial condition and results of operations.</w:t>
      </w:r>
    </w:p>
    <w:p>
      <w:pPr>
        <w:spacing w:after="0" w:line="7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Certain of our Federal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entities and agencies, our ability to successfully bid for new business may be adversely affected.</w:t>
      </w:r>
    </w:p>
    <w:p>
      <w:pPr>
        <w:spacing w:after="0" w:line="62"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To develop new business opportunities, we primarily rely on establishing and maintaining relationships with various government entities and agencies. We may be unable to successfully maintain our relationships with government entities and agencies, and any failure to do so could materially adversely affect our ability to compete successfully for new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strong relationships with other government contractors could result in a decline in our revenue.</w:t>
      </w:r>
    </w:p>
    <w:p>
      <w:pPr>
        <w:spacing w:after="0" w:line="117" w:lineRule="exact"/>
        <w:rPr>
          <w:sz w:val="20"/>
          <w:szCs w:val="20"/>
          <w:color w:val="auto"/>
        </w:rPr>
      </w:pPr>
    </w:p>
    <w:p>
      <w:pPr>
        <w:ind w:right="200" w:firstLine="360"/>
        <w:spacing w:after="0" w:line="255" w:lineRule="auto"/>
        <w:rPr>
          <w:sz w:val="20"/>
          <w:szCs w:val="20"/>
          <w:color w:val="auto"/>
        </w:rPr>
      </w:pPr>
      <w:r>
        <w:rPr>
          <w:rFonts w:ascii="Arial" w:cs="Arial" w:eastAsia="Arial" w:hAnsi="Arial"/>
          <w:sz w:val="18"/>
          <w:szCs w:val="18"/>
          <w:color w:val="auto"/>
        </w:rPr>
        <w:t>In our federal business we often act as a subcontractor or in “teaming” arrangements in which we and other contractors bid together on particular contracts or programs. As a subcontractor or team member, we often lack control over fulfillment of a contract, and poor performance on the contract could tarnish our reputation, even when we perform as required. We expect to continue to depend on relationships with other contractors for a portion of our revenue in the foreseeable future. Moreover, our revenue and operating results could be materially adversely affected if any prime contractor or teammate chooses to offer a client services of the type that we provide or if any prime contractor or teammate teams with other companies to independently provide those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guarantee that our contracts will result in actual revenue.</w:t>
      </w:r>
    </w:p>
    <w:p>
      <w:pPr>
        <w:spacing w:after="0" w:line="117"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There can be no assurance that our contracts will result in actual revenue in any particular period, or at all, or that any contract will be profitable. The actual receipt and timing of any revenue is subject 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various contingencies, many of which are beyond our control. The actual receipt of revenue on contracts may never occur or may change because a program schedule could change, the program could be canceled, a contract could be reduced, modified or terminated early, or an option that we had assumed would be exercised not being exercised. Further, while many of our federal government contracts require performance over a period of years, Congress often appropriates funds for these contracts for only one year at a time. Consequently, our contracts typically are only partially funded at any point during their</w:t>
      </w:r>
    </w:p>
    <w:p>
      <w:pPr>
        <w:sectPr>
          <w:pgSz w:w="11900" w:h="16838" w:orient="portrait"/>
          <w:cols w:equalWidth="0" w:num="1">
            <w:col w:w="11420"/>
          </w:cols>
          <w:pgMar w:left="240" w:top="125" w:right="239" w:bottom="0" w:gutter="0" w:footer="0" w:header="0"/>
        </w:sectPr>
      </w:pPr>
    </w:p>
    <w:bookmarkStart w:id="14" w:name="page15"/>
    <w:bookmarkEnd w:id="14"/>
    <w:p>
      <w:pPr>
        <w:jc w:val="both"/>
        <w:ind w:right="200"/>
        <w:spacing w:after="0" w:line="312" w:lineRule="auto"/>
        <w:rPr>
          <w:sz w:val="20"/>
          <w:szCs w:val="20"/>
          <w:color w:val="auto"/>
        </w:rPr>
      </w:pPr>
      <w:r>
        <w:rPr>
          <w:rFonts w:ascii="Arial" w:cs="Arial" w:eastAsia="Arial" w:hAnsi="Arial"/>
          <w:sz w:val="16"/>
          <w:szCs w:val="16"/>
          <w:color w:val="auto"/>
        </w:rPr>
        <w:t>term, and all or some of the work intended to be performed under the contracts will remain unfunded pending subsequent Congressional appropriations and the obligation of additional funds to the contract by the procuring agency. Our estimates of contract value are based on our experience under such contracts and similar contracts. However, there can be no assurances that all, or any, of such estimated contract value will be recognized as revenue.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117"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We are a prime contractor under several GSA contracts and GWAC schedule contracts. We believe that our ability to continue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security clearances, we might not be able to perform under our contracts or win new business.</w:t>
      </w:r>
    </w:p>
    <w:p>
      <w:pPr>
        <w:spacing w:after="0" w:line="62"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The growth of our business and revenue depends in large part upon our ability to attract and retain sufficient numbers of highly qualified individuals who have advanced information technology and/or engineering skills. These employees are in great demand and are likely to remain a limited resource in the foreseeable future. Further, obtaining and maintaining security clearances for employees involves a lengthy process, and it is difficult to identify, recruit and retain employees who already hold security clearances. If we are unable to recruit and retain a sufficient number of these employees, our ability to maintain and grow our business could be limited. In a tight labor market, our direct labor costs could increase or we may be required to engage large numbers of subcontractor personnel, which could cause our profit margins to suffer. In addition, some of our contracts contain provisions requiring us to staff an engagement with personnel that the client considers key to our successful performance under the contract. In the event we are unable to provide these key personnel or acceptable substitutions, the client may terminate the contract and we may lose revenue.</w:t>
      </w:r>
    </w:p>
    <w:p>
      <w:pPr>
        <w:spacing w:after="0" w:line="71"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In addition, certain federal government contracts require us, and some of our employees, to maintain security clearances. If our employees lose or are unable to obtain security clearances, or if we are unable to hire employees with the appropriate security clearances, the client may terminate the contract or decide not to renew the contract upon its expiration. As a result, we may not derive the revenue anticipated from the contract, which, if not replaced with revenue from other contracts, could seriously harm our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maintain appropriate staffing levels could adversely affect our business.</w:t>
      </w:r>
    </w:p>
    <w:p>
      <w:pPr>
        <w:spacing w:after="0" w:line="117" w:lineRule="exact"/>
        <w:rPr>
          <w:sz w:val="20"/>
          <w:szCs w:val="20"/>
          <w:color w:val="auto"/>
        </w:rPr>
      </w:pPr>
    </w:p>
    <w:p>
      <w:pPr>
        <w:ind w:right="200" w:firstLine="360"/>
        <w:spacing w:after="0" w:line="342" w:lineRule="auto"/>
        <w:rPr>
          <w:sz w:val="20"/>
          <w:szCs w:val="20"/>
          <w:color w:val="auto"/>
        </w:rPr>
      </w:pPr>
      <w:r>
        <w:rPr>
          <w:rFonts w:ascii="Arial" w:cs="Arial" w:eastAsia="Arial" w:hAnsi="Arial"/>
          <w:sz w:val="16"/>
          <w:szCs w:val="16"/>
          <w:color w:val="auto"/>
        </w:rPr>
        <w:t>We can not be certain that we will be able to hire the requisite number of experienced and skilled personnel when necessary in order to service a major contract, particularly if the market for related personnel becomes competitive. Conversely, if we maintain or increase our staffing levels in anticipation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one or more projects and the projects are delayed, reduced or terminated, we may underutilize the additional personnel, which would increase our general and administrative expenses, reduce our earnings and possibly harm our results of operations. If we are unable to obtain major contracts or effectively complete such contracts due to staffing deficiencies, our revenues may decline and our business may be harmed.</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subcontractors fail to perform their contractual obligations, our performance and reputation as a prime contractor and our ability to obtain future business could suffer.</w:t>
      </w:r>
    </w:p>
    <w:p>
      <w:pPr>
        <w:spacing w:after="0" w:line="62"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As a prime contractor, we often rely significantly upon other companies as subcontractors to perform work we are obligated to perform for our clients. As we secure more work under our GWAC vehicles, we expect to require an increasing level of support from subcontractors that provide complementary and supplementary services to our offerings. Depending on labor market conditions, we may not be able to identify, hire and retain sufficient numbers of qualified employees to perform the task orders we expect to win. In such cases, we will need to rely on subcontracts with unrelated companies. Moreover, even in favorable labor market conditions, we anticipate entering into more subcontracts in the future as we expand our work under our GWACs. We are responsible for the work performed by our subcontractors, even though in some cases we have limited involvement in that work.</w:t>
      </w:r>
    </w:p>
    <w:p>
      <w:pPr>
        <w:spacing w:after="0" w:line="5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If one or more of our subcontractors fail to satisfactorily perform the agreed-upon services on a timely basis or violate federal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 including liability for the agency’s costs of reprocurement, could damage our reputation and could hurt our ability to compete for future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experience systems or service failure, our reputation could be harmed and our clients could assert claims against us for damages or refunds.</w:t>
      </w:r>
    </w:p>
    <w:p>
      <w:pPr>
        <w:spacing w:after="0" w:line="140"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We create, implement and maintain IT solutions that are often critical to our clients’ operations. We have experienced, and may in the future experience, some systems and service failures, schedule or delivery delays and other problems in connection with our work. If we experience these problems, we may:</w:t>
      </w:r>
    </w:p>
    <w:p>
      <w:pPr>
        <w:spacing w:after="0" w:line="16" w:lineRule="exact"/>
        <w:rPr>
          <w:sz w:val="20"/>
          <w:szCs w:val="20"/>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117"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In addition to any costs resulting from product or service warranties, contract performance or required corrective action, these failures may result in increased costs or loss of revenue if clients postpone subsequently scheduled work or cancel, or fail to renew, contracts.</w:t>
      </w:r>
    </w:p>
    <w:p>
      <w:pPr>
        <w:spacing w:after="0" w:line="62"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While many of our contracts limit our liability for consequential damages that may arise from negligence in rendering services to our clients, we cannot assure you that these contractual provisions will be legally sufficient to protect us if we are sued.</w:t>
      </w:r>
    </w:p>
    <w:p>
      <w:pPr>
        <w:spacing w:after="0" w:line="62"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addition, our errors and omissions and product liability insurance coverage may not continue to be available on reasonable terms or in sufficient amounts to cover one or more large claims, or the insurer may disclaim coverage as to some types of future claims. As we continue to grow and expand our business into new areas, our insurance coverage may not be adequate. The successful assertion of any large claim</w:t>
      </w:r>
    </w:p>
    <w:p>
      <w:pPr>
        <w:sectPr>
          <w:pgSz w:w="11900" w:h="16838" w:orient="portrait"/>
          <w:cols w:equalWidth="0" w:num="1">
            <w:col w:w="11420"/>
          </w:cols>
          <w:pgMar w:left="240" w:top="125" w:right="239" w:bottom="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against us could seriously harm our business. Even if not successful, these claims could result in significant legal and other costs, may be a distraction to our management and may harm our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breaches in sensitive federal government systems could result in the loss of clients and negative publicity.</w:t>
      </w:r>
    </w:p>
    <w:p>
      <w:pPr>
        <w:spacing w:after="0" w:line="117"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Many of the systems we develop, install and maintain involve managing and protecting information involved in intelligence, national security and other sensitive or classified federal government functions. A security breach in one of these systems could cause serious harm to our business, damage our reputation and prevent us from being eligible for further work on sensitive or classified systems for federal government clients. We could incur losses from such a security breach that could exceed the policy limits under our errors and omissions and product liability insurance. Damage to our reputation or limitations on our eligibility for additional work resulting from a security breach in one of the systems we develop, install and maintain could materially reduce our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other improper activities, which could cause us to lose contracts.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are exposed to the risk that employee fraud or other misconduct could occur. Misconduct by employees could include intentional failures to comply with federal government procurement regulations, engaging in unauthorized activities or falsifying time records. Employee misconduct could also involve the improper use of our clients’ sensitive or classified information, which could result in regulatory sanctions against us and serious harm to our reputation and could result in a loss of contracts and a reduction in revenues. It is not always possible to deter employee misconduct, and the precautions we take to prevent and detect this activity may not be effective in controlling unknown or unmanaged risks or losses, which could cause us to lose contracts or cause a reduction in revenues.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successful in identifying acquisition candidates and if we undertake acquisitions, they could increase our costs or liabilities and impair our revenue and operating results.</w:t>
      </w:r>
    </w:p>
    <w:p>
      <w:pPr>
        <w:spacing w:after="0" w:line="62"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One of our strategies is to pursue growth through acquisitions. We may not be able to identify suitable acquisition candidates at prices that we consider appropriate. If we do identify an appropriate acquisition candidate, we may not be able to successfully negotiate the terms of the acquisition or finance the acquisition on terms that are satisfactory to us. Negotiations of potential acquisitions and the integration of acquired business operations could disrupt our business by diverting management attention from day-to-day operations. Acquisitions of businesses or other material operations may require additional debt or equity financing, resulting in additional leverage or dilution of ownership. We may encounter increased competition for acquisitions, which may increase the price of our acquisitions.</w:t>
      </w:r>
    </w:p>
    <w:p>
      <w:pPr>
        <w:spacing w:after="0" w:line="85" w:lineRule="exact"/>
        <w:rPr>
          <w:sz w:val="20"/>
          <w:szCs w:val="20"/>
          <w:color w:val="auto"/>
        </w:rPr>
      </w:pPr>
    </w:p>
    <w:p>
      <w:pPr>
        <w:ind w:right="180" w:firstLine="360"/>
        <w:spacing w:after="0" w:line="290" w:lineRule="auto"/>
        <w:rPr>
          <w:sz w:val="20"/>
          <w:szCs w:val="20"/>
          <w:color w:val="auto"/>
        </w:rPr>
      </w:pPr>
      <w:r>
        <w:rPr>
          <w:rFonts w:ascii="Arial" w:cs="Arial" w:eastAsia="Arial" w:hAnsi="Arial"/>
          <w:sz w:val="16"/>
          <w:szCs w:val="16"/>
          <w:color w:val="auto"/>
        </w:rPr>
        <w:t>We have completed several acquisitions of complementary businesses in recent years, and we continually evaluate opportunities to acquire new businesses as part of our ongoing strategy. On October 2, 2006, we acquired MRC as an expansion of our Government Network Services segment, and we cannot assure you that we will obtain the anticipated benefits of this acquisition. Further, our integration of historic and future acquisitions, including MRC, will require significant management time and financial resources because we will need to integrate dispersed operations with distinct corporate cultures. We also may continue to expand our operations through business acquisitions over time. Our failure to properly integrate businesses we acquire and to manage future acquisitions successfully could seriously harm our operating results. In addition, acquired companies may not perform as well as we expect, and we may fail to realize anticipated benefits. We may issue common stock that would dilute our current stockholders’ ownership and incur debt and other costs in connection with future acquisitions which may cause our quarterly operating results to vary significantly.</w:t>
      </w:r>
    </w:p>
    <w:p>
      <w:pPr>
        <w:spacing w:after="0" w:line="58"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If we are unable to successfully integrate companies we may acquire in the future, our revenue and operating results could suffer. The integration of such businesses into our operations may result in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unforeseen operating difficulties (including incompatible accounting and information management systems), may absorb significant management attention and may require significant financial resources that would otherwise be available for the ongoing development or expansion of our business. These difficulties of integration may require us to coordinate geographically dispersed organizations, integrate personnel with disparate business backgrounds and reconcile different corporate cultures. In certain acquisitions, federal acquisition regulations may require us to enter into government novation agreements, a potentially time-consuming process. In addition, we may not be successful in achieving the anticipated synergies from these acquisitions, including our strategy of offering our services to clients of acquired companies to increase our revenue. We may experience increased attrition, including, but not limited to, key employees of the acquired companies, during and following the integration of acquired companies that could reduce our future revenue.</w:t>
      </w:r>
    </w:p>
    <w:p>
      <w:pPr>
        <w:spacing w:after="0" w:line="59"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In addition, we may need to record write-downs from future impairments of identified intangible assets and goodwill, which could reduce our future reported earnings. Acquired companies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federal government or other clients, we, as the successor owner, may be financially responsible for these violations and failures and may suffer reputational harm or otherwise be adversely affected. The discovery of any material liabilities associated with our acquisitions could cause us to incur additional expenses and cause a reduction in our operating profits.</w:t>
      </w:r>
    </w:p>
    <w:p>
      <w:pPr>
        <w:spacing w:after="0" w:line="70"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Additionally, the Small Business Administration (SBA) is enacting new regulations which will require small businesses to recertify their size standard within thirty days of any sale or merger. It is highly likely that any company we may look to acquire will have some component of small business contracts. These new regulations may impact our ability to retain all of the contracts after the acquisition.</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federal government clients and disrupt the management of our business.</w:t>
      </w:r>
    </w:p>
    <w:p>
      <w:pPr>
        <w:spacing w:after="0" w:line="62"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federal government personnel contribute to our ability to maintain strong client relationships and to identify new business opportunities. We do not have any employment agreements providing for a specific term of employment with</w:t>
      </w:r>
    </w:p>
    <w:p>
      <w:pPr>
        <w:sectPr>
          <w:pgSz w:w="11900" w:h="16838" w:orient="portrait"/>
          <w:cols w:equalWidth="0" w:num="1">
            <w:col w:w="11420"/>
          </w:cols>
          <w:pgMar w:left="240" w:top="125" w:right="239" w:bottom="0" w:gutter="0" w:footer="0" w:header="0"/>
        </w:sectPr>
      </w:pPr>
    </w:p>
    <w:bookmarkStart w:id="16" w:name="page17"/>
    <w:bookmarkEnd w:id="16"/>
    <w:p>
      <w:pPr>
        <w:ind w:right="220"/>
        <w:spacing w:after="0" w:line="277" w:lineRule="auto"/>
        <w:rPr>
          <w:sz w:val="20"/>
          <w:szCs w:val="20"/>
          <w:color w:val="auto"/>
        </w:rPr>
      </w:pPr>
      <w:r>
        <w:rPr>
          <w:rFonts w:ascii="Arial" w:cs="Arial" w:eastAsia="Arial" w:hAnsi="Arial"/>
          <w:sz w:val="18"/>
          <w:szCs w:val="18"/>
          <w:color w:val="auto"/>
        </w:rPr>
        <w:t>any member of our senior management. The loss of any member of our senior management could impair our ability to identify and secure new contracts, to maintain good client relations and to otherwise manage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could be adversely affected.</w:t>
      </w:r>
    </w:p>
    <w:p>
      <w:pPr>
        <w:spacing w:after="0" w:line="117"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fixed-price contracts in our total contract mix.</w:t>
      </w:r>
    </w:p>
    <w:p>
      <w:pPr>
        <w:spacing w:after="0" w:line="62"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Although fixed-price contracts entail a greater risk of a reduced profit or financial loss on a contract compared to other types of contracts we enter into, fixed-price contracts typically provide higher profit opportunities because we receive the benefit of cost savings. In contrast, cost-plus-fee contracts are subject to statutory limits on profit margins, and generally are the least profitable of our contract types. Our federal government customers typically determine what type of contract we enter into. Cost-plus-fee and fixed-price contracts in our federal business accounted for approximately 31% and 37%, respectively, of our federal business revenues for the fiscal year ended December 31, 2006. To the extent that we enter into more cost-plus-fee or less fixed-price contracts in proportion to our total contract mix in the future, our margins and operating results may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provide various professional services and sometimes procure equipment and materials on behalf of our federal government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harmed by intellectual property infringement claims and our failure to protect our intellectual property could enable competitors to market products and services with similar features.</w:t>
      </w:r>
    </w:p>
    <w:p>
      <w:pPr>
        <w:spacing w:after="0" w:line="62"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 solutions to our clients, but we also license technology from other vendors. If our employees, vendors, or other third parties assert claims that we or our clients are infringing on their intellectual property rights, we could incur substantial costs to defend those claims. In addition, if any of these infringement claims are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70"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In addition, if we are unable to protect our intellectual property, our competitors could market services or products similar to our services and products, which could reduce demand for our offerings.</w:t>
      </w:r>
    </w:p>
    <w:p>
      <w:pPr>
        <w:spacing w:after="0" w:line="62"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We may be unable to prevent unauthorized parties from attempting to copy or otherwise obtain and use our technology. Policing unauthorized use of our technology is difficult, and we may not be able to prevent misappropriation of our technology, particularly in foreign countries where the laws may not protect our intellectual property as fully as those in the United States. Others, including our employees, may circumvent the trade secrets and other intellectual property that we own. Litigation may be necessary to enforce our intellectual property rights, to protect our trade secrets and to determine the validity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scope of the proprietary rights of others. Any litigation could result in substantial costs and diversion of resources, with no assurance of success.</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 preference for minority-owned, small and small disadvantaged businesses could impact our ability to be a prime contractor on certain governmental procurements.</w:t>
      </w:r>
    </w:p>
    <w:p>
      <w:pPr>
        <w:spacing w:after="0" w:line="62"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As a result of the SBA set-aside program, the federal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SBA set-aside program may impact our ability to bid on new procurements as a prime contractor or restrict our ability to recompete on incumbent work that is placed in the set-aside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 significant portion of our revenues from a limited number of customers.</w:t>
      </w:r>
    </w:p>
    <w:p>
      <w:pPr>
        <w:spacing w:after="0" w:line="11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We have derived, and believe that we will continue to derive, a significant portion of our revenues from a limited number of customers. To the extent that any significant customer uses less of our services or terminates its relationship with us, our revenues could decline significantly. As a result, the loss of any significant client could seriously harm our business. For the fiscal year ended December 31, 2006, in our federal business two customers comprised approximately 55% of our federal business revenues, and our five largest customers accounted for approximately 80% of our total federal business revenues. None of our customers are obligated to purchase additional services from us. As a result, the volume of work that we perform for a specific customer is likely to vary from period to period, and a significant client in one period may not use our services in a subsequent period.</w:t>
      </w:r>
    </w:p>
    <w:p>
      <w:pPr>
        <w:sectPr>
          <w:pgSz w:w="11900" w:h="16838" w:orient="portrait"/>
          <w:cols w:equalWidth="0" w:num="1">
            <w:col w:w="11420"/>
          </w:cols>
          <w:pgMar w:left="240" w:top="125"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If our customers do not receive sufficient financing or fail to pay us for services performed, our business may be harmed.</w:t>
      </w:r>
    </w:p>
    <w:p>
      <w:pPr>
        <w:spacing w:after="0" w:line="117"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 few of our customers in our non-federal business rely upon outside financing to pay the costs of the services we provide. These customers may fail to obtain adequate financing or experience delays in receiving financing and they may choose the services of our competitors if our competitors are willing and able to provide project financing. In addition, we have historically taken significant write-offs of our accounts receivable. While the vast majority of our customers today are large federal customers and large enterprises, it is possible that in some instances we may not receive payment for services we have already performed. If our customers do not receive adequate financing or if we are required to write off significant amounts of our accounts receivables, then our net income will decline, and our business will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117"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will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properly manage projects may result in costs or claims.</w:t>
      </w:r>
    </w:p>
    <w:p>
      <w:pPr>
        <w:spacing w:after="0" w:line="11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our financial results or prevent fraud.</w:t>
      </w:r>
    </w:p>
    <w:p>
      <w:pPr>
        <w:spacing w:after="0" w:line="129"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As previously disclosed in the Explanatory Note preceding Part I and in Note 2 of our consolidated financial statements of this Form 10-K, in 2006 the Company commenced an internal review of the Company’s past practices for granting and pricing stock options and other equity awards. The findings of this review and a separate review of historical stock option practices and related matters performed by a Special Committee of our Board, required restatement of the Company’s previously issued financial statements for periods from 1998 through the Company’s last filing of interim financial statements for the period ended September 30, 2006. Due to the duration of the stock option review that precluded the Company from filing its financial information with the SEC in a timely manner, and after discussion with our external auditors regarding varying accounting positions resulting in the recording in 2001 of a material adjustment related to the cancellation of stock options, we determined that a material weakness in our internal controls and procedures (see Item 9A, “Controls and Procedures”) exists as of December 31, 2006. In addition, as of December 31, 2006 after consultation with our external auditors, we recorded a material adjustment to reduce the valuation of deferred tax assets to reflect the risks and uncertainties related to our future ability to realize and utilize our deferred tax assets. A “material weakness”, by itself or in combination with other control deficiencies, results in a more than remote likelihood that a material misstatement in our financial statements will not be prevented or detected by our employees in the normal course of performing their assigned functions.</w:t>
      </w:r>
    </w:p>
    <w:p>
      <w:pPr>
        <w:spacing w:after="0" w:line="72"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 addition, from time to time we acquire businesses which could have limited infrastructure and systems of internal controls. Performing assessments of internal controls, implementing necessary changes, and maintaining an effective internal controls process is costly and requires considerable management attention, particularly in the case of newly acquired entities. Internal control systems are designed in part upon assumptions about the likelihood of future events, and all such systems, however well designed and operated, can provide only reasonable, and not absolute, assurance that the objectives of the system are met.</w:t>
      </w:r>
    </w:p>
    <w:p>
      <w:pPr>
        <w:spacing w:after="0" w:line="80" w:lineRule="exact"/>
        <w:rPr>
          <w:sz w:val="20"/>
          <w:szCs w:val="20"/>
          <w:color w:val="auto"/>
        </w:rPr>
      </w:pPr>
    </w:p>
    <w:p>
      <w:pPr>
        <w:ind w:right="260" w:firstLine="360"/>
        <w:spacing w:after="0" w:line="273" w:lineRule="auto"/>
        <w:rPr>
          <w:sz w:val="20"/>
          <w:szCs w:val="20"/>
          <w:color w:val="auto"/>
        </w:rPr>
      </w:pPr>
      <w:r>
        <w:rPr>
          <w:rFonts w:ascii="Arial" w:cs="Arial" w:eastAsia="Arial" w:hAnsi="Arial"/>
          <w:sz w:val="17"/>
          <w:szCs w:val="17"/>
          <w:color w:val="auto"/>
        </w:rPr>
        <w:t>Because of these and other inherent limitations of control systems, there can be no assurance that any design will succeed in achieving its stated goals under all potential future conditions. We also cannot assure you that we will implement and maintain adequate controls over our financial processes and reporting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lose confidence in our reported financial information, which could have a negative effect on the trading price of our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in the future to fund the growth of our business, and financing may not be available.</w:t>
      </w:r>
    </w:p>
    <w:p>
      <w:pPr>
        <w:spacing w:after="0" w:line="117" w:lineRule="exact"/>
        <w:rPr>
          <w:sz w:val="20"/>
          <w:szCs w:val="20"/>
          <w:color w:val="auto"/>
        </w:rPr>
      </w:pPr>
    </w:p>
    <w:p>
      <w:pPr>
        <w:jc w:val="both"/>
        <w:ind w:right="100" w:firstLine="360"/>
        <w:spacing w:after="0" w:line="259" w:lineRule="auto"/>
        <w:rPr>
          <w:sz w:val="20"/>
          <w:szCs w:val="20"/>
          <w:color w:val="auto"/>
        </w:rPr>
      </w:pPr>
      <w:r>
        <w:rPr>
          <w:rFonts w:ascii="Arial" w:cs="Arial" w:eastAsia="Arial" w:hAnsi="Arial"/>
          <w:sz w:val="18"/>
          <w:szCs w:val="18"/>
          <w:color w:val="auto"/>
        </w:rPr>
        <w:t>We currently anticipate that our available capital resources, including our line of credit, and operating cash flows will be sufficient to meet our expected working capital and capital expenditure requirements for at least the next 12 months. However, we cannot assure you that such resources will be sufficient to fund the long-term growth of our business. In particular, we may experience a negative operating cash flow due to billing milestones and project timelines in certain of our contracts.</w:t>
      </w:r>
    </w:p>
    <w:p>
      <w:pPr>
        <w:spacing w:after="0" w:line="79" w:lineRule="exact"/>
        <w:rPr>
          <w:sz w:val="20"/>
          <w:szCs w:val="20"/>
          <w:color w:val="auto"/>
        </w:rPr>
      </w:pPr>
    </w:p>
    <w:p>
      <w:pPr>
        <w:jc w:val="both"/>
        <w:ind w:right="340" w:firstLine="360"/>
        <w:spacing w:after="0" w:line="312" w:lineRule="auto"/>
        <w:rPr>
          <w:sz w:val="20"/>
          <w:szCs w:val="20"/>
          <w:color w:val="auto"/>
        </w:rPr>
      </w:pPr>
      <w:r>
        <w:rPr>
          <w:rFonts w:ascii="Arial" w:cs="Arial" w:eastAsia="Arial" w:hAnsi="Arial"/>
          <w:sz w:val="16"/>
          <w:szCs w:val="16"/>
          <w:color w:val="auto"/>
        </w:rPr>
        <w:t>We may raise additional funds through public or private debt or equity financings if such financings become available on favorable terms or we may expand the senior credit facility we entered into on October 2, 2006 to fund future acquisitions and for general corporate purposes. However, we have not been in compliance with the terms of that credit facility as a result of our failure to timely file our annual and quarterly financial statements, and we can</w:t>
      </w:r>
    </w:p>
    <w:p>
      <w:pPr>
        <w:sectPr>
          <w:pgSz w:w="11900" w:h="16838" w:orient="portrait"/>
          <w:cols w:equalWidth="0" w:num="1">
            <w:col w:w="11400"/>
          </w:cols>
          <w:pgMar w:left="240" w:top="125" w:right="259" w:bottom="0" w:gutter="0" w:footer="0" w:header="0"/>
        </w:sectPr>
      </w:pPr>
    </w:p>
    <w:bookmarkStart w:id="18" w:name="page19"/>
    <w:bookmarkEnd w:id="18"/>
    <w:p>
      <w:pPr>
        <w:ind w:right="280"/>
        <w:spacing w:after="0" w:line="342" w:lineRule="auto"/>
        <w:rPr>
          <w:sz w:val="20"/>
          <w:szCs w:val="20"/>
          <w:color w:val="auto"/>
        </w:rPr>
      </w:pPr>
      <w:r>
        <w:rPr>
          <w:rFonts w:ascii="Arial" w:cs="Arial" w:eastAsia="Arial" w:hAnsi="Arial"/>
          <w:sz w:val="16"/>
          <w:szCs w:val="16"/>
          <w:color w:val="auto"/>
        </w:rPr>
        <w:t>provide no assurance that the lender would agree to extend additional or continuing credit under that facility. We believe that, with the filing of this Report and our Quarterly Reports on Form 10-Q for the periods ended March 31, 2007 and June 30, 2007, we are no longer in default under this facility.</w:t>
      </w:r>
    </w:p>
    <w:p>
      <w:pPr>
        <w:spacing w:after="0" w:line="16"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Any new financing or offerings would likely dilute our stockholders’ equity ownership. In addition, we cannot assure you that any additional financing we may need will be available on terms favorable to us, or at all. If adequate funds are not available or are not available on acceptable terms, we may not be able to take advantage of unanticipated opportunities, develop new products or otherwise respond to competitive pressures. In any such case, our business, operating results or financial condition could be materially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harm our business or otherwise distract our management.</w:t>
      </w:r>
    </w:p>
    <w:p>
      <w:pPr>
        <w:spacing w:after="0" w:line="117"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Substantial, complex or extended litigation could cause us to incur large expenditures and distract our management. For example, lawsuits by employees, stockholders or customers could be very costly and substantially disrupt our business. Disputes from time to time with such companies or individuals are not uncommon, and we cannot assure you that that we will always be able to resolve such disputes on terms favorable to us.</w:t>
      </w:r>
    </w:p>
    <w:p>
      <w:pPr>
        <w:spacing w:after="0" w:line="5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addition, we and certain of our current and former officers and directors have been named defendants in class action and derivative lawsuits. While we believe that allegations lack merit and we intend to vigorously defend all claims asserted, we are unable to estimate what our liability in these matters may be. We may be required to pay judgments or settlements and incur expenses in connection with such matters in aggregate amounts that could have a material adverse effect on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trade secrets could aid our competitors.</w:t>
      </w:r>
    </w:p>
    <w:p>
      <w:pPr>
        <w:spacing w:after="0" w:line="117"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our trade secrets become known we may lose our competitive position.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which may result in lawsuits against us and our officers and directors.</w:t>
      </w:r>
    </w:p>
    <w:p>
      <w:pPr>
        <w:spacing w:after="0" w:line="117"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The stock market in general and the stock prices of government services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79" w:lineRule="exact"/>
        <w:rPr>
          <w:sz w:val="20"/>
          <w:szCs w:val="20"/>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impact of litigation;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11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Companies that have experienced volatility in the market price of their stock have frequently been the object of securities class action litigation. We and certain of our current and former officers and directors have been named defendants in class action and derivative lawsuits. These matters and any other securities class action litigation, in which we may be involved, could result in substantial costs to us and a diversion of our management’s attention and resources, which could materially harm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may deter potential acquirers and may depress our stock price.</w:t>
      </w:r>
    </w:p>
    <w:p>
      <w:pPr>
        <w:spacing w:after="0" w:line="117"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62" w:lineRule="exact"/>
        <w:rPr>
          <w:sz w:val="20"/>
          <w:szCs w:val="20"/>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117" w:lineRule="exact"/>
        <w:rPr>
          <w:rFonts w:ascii="Arial" w:cs="Arial" w:eastAsia="Arial" w:hAnsi="Arial"/>
          <w:sz w:val="18"/>
          <w:szCs w:val="18"/>
          <w:color w:val="auto"/>
        </w:rPr>
      </w:pPr>
    </w:p>
    <w:p>
      <w:pPr>
        <w:ind w:left="540" w:right="60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62" w:lineRule="exact"/>
        <w:rPr>
          <w:rFonts w:ascii="Arial" w:cs="Arial" w:eastAsia="Arial" w:hAnsi="Arial"/>
          <w:sz w:val="18"/>
          <w:szCs w:val="18"/>
          <w:color w:val="auto"/>
        </w:rPr>
      </w:pPr>
    </w:p>
    <w:p>
      <w:pPr>
        <w:ind w:left="540" w:right="34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number of our executives have agreements with us that entitle them to payments in certain circumstances following a change in control.</w:t>
      </w:r>
    </w:p>
    <w:p>
      <w:pPr>
        <w:spacing w:after="0" w:line="129"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In addition, on December 16, 2004, we adopted a stockholder rights plan (“Rights Plan”). Pursuant to the Rights Plan, our Board declared a dividend distribution of one preferred share purchase right</w:t>
      </w:r>
    </w:p>
    <w:p>
      <w:pPr>
        <w:sectPr>
          <w:pgSz w:w="11900" w:h="16838" w:orient="portrait"/>
          <w:cols w:equalWidth="0" w:num="1">
            <w:col w:w="11420"/>
          </w:cols>
          <w:pgMar w:left="240" w:top="125" w:right="239" w:bottom="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(“Right”) on each outstanding share of our common stock. Each Right will entitle stockholders to buy one one-hundredth of a share of newly created Series C Preferred Stock at an exercise price of $54, subject to adjustment, in the event that the Rights become exercisable. Subject to limited exceptions, the Rights will become exercisable if a person or group acquires 15% or more of our common stock or announces a tender offer for 15% or more of the common stock. If we are acquired in a merger or other business combination transaction which has not been approved by our Board, each Right will entitle its holder to purchase, at the Rights then-current exercise price, a number of the acquiring company’s common shares having a market value at the time of twice the Rights exercise price. These provisions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non-federal business arena in which we operate has relatively low barriers to entry and increased competition could result in margin erosion, which would make profitability even more difficult to sustain.</w:t>
      </w:r>
    </w:p>
    <w:p>
      <w:pPr>
        <w:spacing w:after="0" w:line="62"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Other than the technical skills required in our non-federal business, the barriers to entry in our non-federal business are relatively low. We do not have any intellectual property rights in this segment of our business to protect our methods and business start-up costs do not pose a significant barrier to entry. The success of our non-federal business is dependent on our employees, customer relations and the successful performance of our services. If we face increased competition as a result of new entrants in our markets, we could experience reduced operating margins and loss of market share and brand recognition.</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our non-federal customers do not invest in security systems and other new in-building technologies such as wireless local area networks and/or IP-based networks, our business will suffer.</w:t>
      </w:r>
    </w:p>
    <w:p>
      <w:pPr>
        <w:spacing w:after="0" w:line="6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intend to devote significant resources to developing our enterprise-based WLAN (Wireless Local Area Networks), but we cannot predict that we will achieve widespread market acceptance amongst the enterprises we identify as potential customers. It is possible that some enterprises will determine that capital constraints and other factors outweigh their need for WLAN systems. As a result, we may be affected by a significant delay in the adoption of WLAN by enterprises, which would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goodwill impairment charges in our reporting entities which could harm our profitability.</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accordance with Statement of Financial Accounting Standards, or SFAS, No. 142, “Goodwill and Other Intangible Assets,” we periodically review the carrying values of our goodwill to determine whether such carrying values exceed the fair market value. Our 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 which could reduce our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and operating profits could be adversely affected by significant changes in the contracting or fiscal policies of the federal government.</w:t>
      </w:r>
    </w:p>
    <w:p>
      <w:pPr>
        <w:spacing w:after="0" w:line="14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We depend on continued federal government expenditures on intelligence, defense and other programs that we support. Accordingly, changes in federal government contracting policies could directly affect our financial performance. In addition, a change in presidential administrations, congressional majorities or in other senior federal government officials may negatively affect the rate at which the federal government purchases IT services. The overall U.S. defense budget declined from time-to-time in the late 1980s and the early 1990s. While spending authorizations for intelligence and defense-related programs by the federal government have increased in recent years, future levels of expenditures and authorizations for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those programs may decrease, remain constant or shift to programs in areas where we do not currently provide services. Among the factors that could materially adversely affect us are:</w:t>
      </w:r>
    </w:p>
    <w:p>
      <w:pPr>
        <w:spacing w:after="0" w:line="62" w:lineRule="exact"/>
        <w:rPr>
          <w:sz w:val="20"/>
          <w:szCs w:val="20"/>
          <w:color w:val="auto"/>
        </w:rPr>
      </w:pPr>
    </w:p>
    <w:p>
      <w:pPr>
        <w:ind w:left="540" w:right="8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budgetary constraints affecting federal government spending generally, or specific departments or agencies in particular, and changes in fiscal policies or available funding;</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curtailment of the federal government’s use of professional services providers;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adoption of new laws or regulations;</w:t>
      </w:r>
    </w:p>
    <w:p>
      <w:pPr>
        <w:spacing w:after="0" w:line="117" w:lineRule="exact"/>
        <w:rPr>
          <w:rFonts w:ascii="Arial" w:cs="Arial" w:eastAsia="Arial" w:hAnsi="Arial"/>
          <w:sz w:val="18"/>
          <w:szCs w:val="18"/>
          <w:color w:val="auto"/>
        </w:rPr>
      </w:pPr>
    </w:p>
    <w:p>
      <w:pPr>
        <w:ind w:left="540" w:right="48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governmental shutdowns (such as that which occurred during the federal government’s 1996 fiscal year) and other potential delays in the government appropriations process;</w:t>
      </w:r>
    </w:p>
    <w:p>
      <w:pPr>
        <w:spacing w:after="0" w:line="62" w:lineRule="exact"/>
        <w:rPr>
          <w:rFonts w:ascii="Arial" w:cs="Arial" w:eastAsia="Arial" w:hAnsi="Arial"/>
          <w:sz w:val="18"/>
          <w:szCs w:val="18"/>
          <w:color w:val="auto"/>
        </w:rPr>
      </w:pPr>
    </w:p>
    <w:p>
      <w:pPr>
        <w:ind w:left="540" w:right="24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payment of our invoices by federal government payment offices due to problems with, or upgrades to, federal government information systems, or for other reasons;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and consolidation in the IT industry;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117" w:lineRule="exact"/>
        <w:rPr>
          <w:rFonts w:ascii="Arial" w:cs="Arial" w:eastAsia="Arial" w:hAnsi="Arial"/>
          <w:sz w:val="18"/>
          <w:szCs w:val="18"/>
          <w:color w:val="auto"/>
        </w:rPr>
      </w:pPr>
    </w:p>
    <w:p>
      <w:pPr>
        <w:ind w:left="540" w:right="4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reduction in spending or shift of expenditures from existing programs, and a failure of Congress to pass adequate supplemental appropriations to pay for an international conflict or related reconstruction efforts;</w:t>
      </w:r>
    </w:p>
    <w:p>
      <w:pPr>
        <w:spacing w:after="0" w:line="62"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These or other factors could cause federal governmental agencies, or prime contractors for which we are acting as a subcontractor, to reduce their purchases under contracts, to exercise their right to terminate contracts or not to exercise options to renew contracts, any of which could cause our revenue and operating profits to decline.</w:t>
      </w:r>
    </w:p>
    <w:p>
      <w:pPr>
        <w:sectPr>
          <w:pgSz w:w="11900" w:h="16838" w:orient="portrait"/>
          <w:cols w:equalWidth="0" w:num="1">
            <w:col w:w="11400"/>
          </w:cols>
          <w:pgMar w:left="240" w:top="125" w:right="259" w:bottom="0" w:gutter="0" w:footer="0" w:header="0"/>
        </w:sectPr>
      </w:pP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Many of our federal government clients spend their procurement budgets through multiple award contracts under which we are required to compete for post-award orders or for which we may not be eligible to compete and could limit our ability to win new contracts and grow revenue.</w:t>
      </w:r>
    </w:p>
    <w:p>
      <w:pPr>
        <w:sectPr>
          <w:pgSz w:w="11900" w:h="16838" w:orient="portrait"/>
          <w:cols w:equalWidth="0" w:num="1">
            <w:col w:w="11400"/>
          </w:cols>
          <w:pgMar w:left="240" w:top="125" w:right="259" w:bottom="0" w:gutter="0" w:footer="0" w:header="0"/>
          <w:type w:val="continuous"/>
        </w:sectPr>
      </w:pPr>
    </w:p>
    <w:bookmarkStart w:id="20" w:name="page21"/>
    <w:bookmarkEnd w:id="20"/>
    <w:p>
      <w:pPr>
        <w:ind w:right="40" w:firstLine="360"/>
        <w:spacing w:after="0" w:line="290" w:lineRule="auto"/>
        <w:rPr>
          <w:sz w:val="20"/>
          <w:szCs w:val="20"/>
          <w:color w:val="auto"/>
        </w:rPr>
      </w:pPr>
      <w:r>
        <w:rPr>
          <w:rFonts w:ascii="Arial" w:cs="Arial" w:eastAsia="Arial" w:hAnsi="Arial"/>
          <w:sz w:val="16"/>
          <w:szCs w:val="16"/>
          <w:color w:val="auto"/>
        </w:rPr>
        <w:t>Budgetary pressures and reforms in the procurement process have caused many federal government clients to increasingly purchase goods and services through ID/IQ contracts, the GSA Schedule 70 Contracts and other multiple award and/or GWAC vehicles. These contract vehicles have resulted in increased competition and pricing pressure, requiring us to make sustained post-award efforts to realize revenue under the relevant contract vehicle. The federal government’s ability to select multiple winners under multiple award schedule contracts, GWACs, blanket purchase agreements and other ID/IQ contracts, as well as its right to award subsequent task orders among such multiple winners, means that there is no assurance that these multiple award contracts will result in the actual orders equal to the ceiling value, or result in any actual orders. We are only eligible to compete for work (task orders and delivery orders) as a prime contractor pursuant to GWACs already awarded to us. Our failure to compete effectively in this procurement environment could reduce our revenue. If the federal government elects to use a contract vehicle that we do not hold we will not be able to compete as a prime contractor.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140" w:lineRule="exact"/>
        <w:rPr>
          <w:sz w:val="20"/>
          <w:szCs w:val="20"/>
          <w:color w:val="auto"/>
        </w:rPr>
      </w:pPr>
    </w:p>
    <w:p>
      <w:pPr>
        <w:jc w:val="both"/>
        <w:ind w:right="640" w:firstLine="360"/>
        <w:spacing w:after="0" w:line="342" w:lineRule="auto"/>
        <w:rPr>
          <w:sz w:val="20"/>
          <w:szCs w:val="20"/>
          <w:color w:val="auto"/>
        </w:rPr>
      </w:pPr>
      <w:r>
        <w:rPr>
          <w:rFonts w:ascii="Arial" w:cs="Arial" w:eastAsia="Arial" w:hAnsi="Arial"/>
          <w:sz w:val="16"/>
          <w:szCs w:val="16"/>
          <w:color w:val="auto"/>
        </w:rPr>
        <w:t>We must comply with and are affected by laws and regulations relating to the formation, administration and performance of federal government contracts, which affect how we do business with our clients and may impose added costs on us. Among the most significant laws and regulations are:</w:t>
      </w:r>
    </w:p>
    <w:p>
      <w:pPr>
        <w:spacing w:after="0" w:line="16" w:lineRule="exact"/>
        <w:rPr>
          <w:sz w:val="20"/>
          <w:szCs w:val="20"/>
          <w:color w:val="auto"/>
        </w:rPr>
      </w:pPr>
    </w:p>
    <w:p>
      <w:pPr>
        <w:ind w:left="540" w:right="40" w:hanging="17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Acquisition Regulations, and agency regulations supplemental to the Federal Acquisition Regulations, which comprehensively regulate the formation, administration and performance of federal government contracts;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Truth in Negotiations Act, which requires certification and disclosure of all cost and pricing data in connection with contract negotiations;</w:t>
      </w:r>
    </w:p>
    <w:p>
      <w:pPr>
        <w:spacing w:after="0" w:line="128" w:lineRule="exact"/>
        <w:rPr>
          <w:rFonts w:ascii="Arial" w:cs="Arial" w:eastAsia="Arial" w:hAnsi="Arial"/>
          <w:sz w:val="17"/>
          <w:szCs w:val="17"/>
          <w:color w:val="auto"/>
        </w:rPr>
      </w:pPr>
    </w:p>
    <w:p>
      <w:pPr>
        <w:ind w:left="540" w:right="80" w:hanging="17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Accounting Standards and Cost Principles, which impose accounting requirements that govern our right to reimbursement under certain cost-based federal government contracts; and</w:t>
      </w:r>
    </w:p>
    <w:p>
      <w:pPr>
        <w:spacing w:after="0" w:line="62" w:lineRule="exact"/>
        <w:rPr>
          <w:rFonts w:ascii="Arial" w:cs="Arial" w:eastAsia="Arial" w:hAnsi="Arial"/>
          <w:sz w:val="18"/>
          <w:szCs w:val="18"/>
          <w:color w:val="auto"/>
        </w:rPr>
      </w:pPr>
    </w:p>
    <w:p>
      <w:pPr>
        <w:ind w:left="540" w:right="200" w:hanging="17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 of certain products and technical data.</w:t>
      </w:r>
    </w:p>
    <w:p>
      <w:pPr>
        <w:spacing w:after="0" w:line="62"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Moreover, we are subject to industrial security regulations of the DoD and other federal agencies that are designed to safeguard against foreigners’ access to classified information. If we were to come under foreign ownership, control or influence, our federal government clients could terminate or decide not to renew our contracts, and our ability to obtain new contracts could be impaired.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government may revise its procurement or other practices in a manner adverse to us.</w:t>
      </w:r>
    </w:p>
    <w:p>
      <w:pPr>
        <w:spacing w:after="0" w:line="117"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federal government may revise its procurement practices or adopt new contracting rules and regulations, such as cost accounting standards. It could also adopt new contracting methods relating to GSA contracts, GWACs or other government-wide contracts, or adopt new standards for contract awards intended to achieve certain social or other policy objectives, such as establishing new set-aside programs for small or minority-owned businesses. In addition, the federal government may face restrictions from new legislation or regulations, as well as pressure from government employees and their unions, on the nature and amount of services the federal government may obtain from private contractors. These changes could impair our ability to obtain new contracts or contracts under which we currently perform when those contracts are put up for recompetition bids. Any new contracting methods could be costly or administratively difficult for us to implement, and, as a result, could harm our operating results.</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derive significant revenue from contracts awarded through a competitive procurement process, which may require significant upfront bid and proposal costs that could negatively affect our operating results.</w:t>
      </w:r>
    </w:p>
    <w:p>
      <w:pPr>
        <w:spacing w:after="0" w:line="62"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We derive significant revenue from federal government contracts that are awarded through a competitive procurement process. We expect that most of the federal government business we seek in the foreseeable future will be awarded through competitive processes. Competitive procurements impose substantial costs and present a number of risks, including:</w:t>
      </w:r>
    </w:p>
    <w:p>
      <w:pPr>
        <w:spacing w:after="0" w:line="73" w:lineRule="exact"/>
        <w:rPr>
          <w:sz w:val="20"/>
          <w:szCs w:val="20"/>
          <w:color w:val="auto"/>
        </w:rPr>
      </w:pPr>
    </w:p>
    <w:p>
      <w:pPr>
        <w:ind w:left="540" w:right="160" w:hanging="17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substantial cost and managerial time and effort that we spend to prepare bids and proposals for contracts that may not be awarded to us and could reduce our profitability; and</w:t>
      </w:r>
    </w:p>
    <w:p>
      <w:pPr>
        <w:spacing w:after="0" w:line="62" w:lineRule="exact"/>
        <w:rPr>
          <w:rFonts w:ascii="Arial" w:cs="Arial" w:eastAsia="Arial" w:hAnsi="Arial"/>
          <w:sz w:val="18"/>
          <w:szCs w:val="18"/>
          <w:color w:val="auto"/>
        </w:rPr>
      </w:pPr>
    </w:p>
    <w:p>
      <w:pPr>
        <w:ind w:left="540" w:right="40" w:hanging="172"/>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expense and delay that we may face if our competitors protest or challenge contract awards made to us pursuant to competitive procedures, and the risk that any such protest or challenge could result in the resubmission of offers, or in termination, reduction or modification of the awarded contract, which could result in increased cost and reduced profitability.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firstLine="360"/>
        <w:spacing w:after="0" w:line="312" w:lineRule="auto"/>
        <w:rPr>
          <w:sz w:val="20"/>
          <w:szCs w:val="20"/>
          <w:color w:val="auto"/>
        </w:rPr>
      </w:pPr>
      <w:r>
        <w:rPr>
          <w:rFonts w:ascii="Arial" w:cs="Arial" w:eastAsia="Arial" w:hAnsi="Arial"/>
          <w:sz w:val="16"/>
          <w:szCs w:val="16"/>
          <w:color w:val="auto"/>
        </w:rPr>
        <w:t>In addition, most federal government contract awards are subject to protest by competitors. If specified legal requirements are satisfied, these protests require the federal government agency to suspend the contractor’s performance of the newly awarded contract pending the outcome of the protest. These protests could also result in a requirement to resubmit bids for the contract or in the termination, reduction or modification of the awarded contract.</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Unfavorable federal government audit results could subject us to a variety of penalties and sanctions, and could harm our reputation and relationships with our clients and impair our ability to win new contracts.</w:t>
      </w:r>
    </w:p>
    <w:p>
      <w:pPr>
        <w:spacing w:after="0" w:line="62"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federal government, including the Defense Contract Audit Agency (DCAA), audits and reviews our performance on contracts, pricing practices, cost structure and compliance with applicable laws, regulations and standards. The DCAA reviews a contractor’s internal control systems and policies, including the contractor’s purchasing, property, estimating, compensation and management information systems, and the contractor’s compliance with such policies. Any costs found to be improperly allocated to a specific contract will not be reimbursed, while such costs already reimbursed must be refunded. Adverse findings in a DCAA audit could materially affect our competitive position and result in a substantial adjustment to our revenue and profit.</w:t>
      </w:r>
    </w:p>
    <w:p>
      <w:pPr>
        <w:spacing w:after="0" w:line="50"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If a federal government audit uncovers improper or illegal activities, we may be subject to civil and criminal penalties and administrative sanctions, including termination of contracts, forfeiture of profits, suspension of payments, fines and suspension or debarment from doing business with federal government agencies.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 business with us or significantly decreased the amount of business it does with us, our revenue and operating profit would decline.</w:t>
      </w:r>
    </w:p>
    <w:p>
      <w:pPr>
        <w:sectPr>
          <w:pgSz w:w="11900" w:h="16838" w:orient="portrait"/>
          <w:cols w:equalWidth="0" w:num="1">
            <w:col w:w="11400"/>
          </w:cols>
          <w:pgMar w:left="240" w:top="125" w:right="259" w:bottom="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Changes in interest rates could adversely affect the profitability of the Company.</w:t>
      </w:r>
    </w:p>
    <w:p>
      <w:pPr>
        <w:spacing w:after="0" w:line="117"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Our outstanding borrowings on our Credit Facility of $51.0 million as of December 31, 2006 are subject to changes in short-term interest rates. If interest rates increase in the future, there can be no assurance that future increases in interest expense will not reduce our overall profitability.</w:t>
      </w:r>
    </w:p>
    <w:p>
      <w:pPr>
        <w:spacing w:after="0" w:line="14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Our principal executive offices for all business segments are located in approximately 93,000 square feet of office space in San Diego, California. The lease for such space expires in April 2010. Other corporate resource offices are located in the following locations: Marietta, Georgia; Newport, Delaware; Houston, Texas; Huntsville, Alabama, Reston, Virginia, Haryana, India and Beijing, China. The Company also leases office space to support engineering and design and deployment services in various regions throughout the United States. The leases on these spaces expire at various times through February 2015. We have leases on spaces related to discontinued operations in Sao Paulo, Brazil; Stockholm, Sweden; and London, U.K. that have been assigned to the buyers of the businesses or terminated with immaterial penalties. We continually evaluate our current and future space capacity in relation to current and projected future staffing levels. We believe that our existing facilities are suitable and adequate to meet our current business requirements.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117"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 xml:space="preserve">Beginning in June 2001, WFI and certain of its officers and directors were named as defendants in several parallel class action shareholder complaints filed in the United States District Court for the Southern District of New York, now consolidated under the caption, </w:t>
      </w:r>
      <w:r>
        <w:rPr>
          <w:rFonts w:ascii="Arial" w:cs="Arial" w:eastAsia="Arial" w:hAnsi="Arial"/>
          <w:sz w:val="16"/>
          <w:szCs w:val="16"/>
          <w:i w:val="1"/>
          <w:iCs w:val="1"/>
          <w:color w:val="auto"/>
        </w:rPr>
        <w:t>In re Wireless Facilities, Inc. Initial</w:t>
      </w:r>
      <w:r>
        <w:rPr>
          <w:rFonts w:ascii="Arial" w:cs="Arial" w:eastAsia="Arial" w:hAnsi="Arial"/>
          <w:sz w:val="16"/>
          <w:szCs w:val="16"/>
          <w:color w:val="auto"/>
        </w:rPr>
        <w:t xml:space="preserve"> </w:t>
      </w:r>
      <w:r>
        <w:rPr>
          <w:rFonts w:ascii="Arial" w:cs="Arial" w:eastAsia="Arial" w:hAnsi="Arial"/>
          <w:sz w:val="16"/>
          <w:szCs w:val="16"/>
          <w:i w:val="1"/>
          <w:iCs w:val="1"/>
          <w:color w:val="auto"/>
        </w:rPr>
        <w:t>Public Offering Securities Litigation</w:t>
      </w:r>
      <w:r>
        <w:rPr>
          <w:rFonts w:ascii="Arial" w:cs="Arial" w:eastAsia="Arial" w:hAnsi="Arial"/>
          <w:sz w:val="16"/>
          <w:szCs w:val="16"/>
          <w:color w:val="auto"/>
        </w:rPr>
        <w:t>, Case No. 01-CV-4779. In the amended complaint, the plaintiffs allege that WFI, certain of its officers and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underwriters of WFI’s IPO violated section 11 of the Securities Act of 1933 and section 10(b) of the Securities Exchange Act of 1934 based on allegations that WFI’s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June 2004, the Issuers (including WFI) executed a settlement agreement with the plaintiffs that would, among other things, result in the dismissal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prejudice of all claims against the Issuers and their officers and directors and the assignment of certain potential Issuer claims to the plaintiffs.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15, 2005, the court issued a decision certifying a class action for settlement purposes and granting preliminary approval of the settlement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modification of certain bar orders contemplated by the settlement. On August 31, 2005, the court reaffirmed class certification and preliminary approval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modified settlement in a comprehensive Order. On February 24, 2006, the court dismissed litigation filed against certain underwriters in connection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 certain claims to be assigned under the settlement. On April 24, 2006, the court held a Final Fairness Hearing to determine whether to grant final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approval of the settlement. On December 5, 2006, the Second Circuit Court of Appeals vacated the lower court’s earlier decision certifying as class actions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six IPO Cases designated as “focus cases.” Thereafter, the District Court ordered a stay of all proceedings in all of the IPO Cases pending the outcome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plaintiffs’ petition to the Second Circuit for rehearing en banc and resolution of the class certification issue. On April 6, 2007, the Second Circuit denied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plaintiffs’ rehearing petition, but clarified that the plaintiffs may seek to certify a more limited class in the District Court. Accordingly, the stay remains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place and the plaintiffs and Issuers have stated that they are prepared to discuss how the settlement might be amended or renegotiated to comply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Circuit’s decision. Plaintiffs filed amended complaints in the six focus cases on or about August 14, 2007. The court has not yet set a deadline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plaintiffs to file amended complaints in the other IPO lawsuits. Due to the inherent uncertainties of litigation, and because the settlement may not receive final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approval from the Court, the ultimate outcome of this matter cannot be predicted. In accordance with FASB No. 5, </w:t>
      </w:r>
      <w:r>
        <w:rPr>
          <w:rFonts w:ascii="Arial" w:cs="Arial" w:eastAsia="Arial" w:hAnsi="Arial"/>
          <w:sz w:val="17"/>
          <w:szCs w:val="17"/>
          <w:i w:val="1"/>
          <w:iCs w:val="1"/>
          <w:color w:val="auto"/>
        </w:rPr>
        <w:t>“Accounting for Contingencies”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WFI believes any contingent liability related to this claim is not probable or estimable and therefore no amounts have been accrued in regards to this matter.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Securities Litigation</w:t>
      </w:r>
    </w:p>
    <w:p>
      <w:pPr>
        <w:spacing w:after="0" w:line="117" w:lineRule="exact"/>
        <w:rPr>
          <w:sz w:val="20"/>
          <w:szCs w:val="20"/>
          <w:color w:val="auto"/>
        </w:rPr>
      </w:pPr>
    </w:p>
    <w:p>
      <w:pPr>
        <w:ind w:right="220" w:firstLine="360"/>
        <w:spacing w:after="0" w:line="273" w:lineRule="auto"/>
        <w:rPr>
          <w:sz w:val="20"/>
          <w:szCs w:val="20"/>
          <w:color w:val="auto"/>
        </w:rPr>
      </w:pPr>
      <w:r>
        <w:rPr>
          <w:rFonts w:ascii="Arial" w:cs="Arial" w:eastAsia="Arial" w:hAnsi="Arial"/>
          <w:sz w:val="17"/>
          <w:szCs w:val="17"/>
          <w:color w:val="auto"/>
        </w:rPr>
        <w:t>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levels. Based on these allegations, the lawsuits allege that Defendants violated the Securities Exchange Act of 1934, and the plaintiffs seek unspecified damages. These actions have been consolidated into a single action—</w:t>
      </w:r>
      <w:r>
        <w:rPr>
          <w:rFonts w:ascii="Arial" w:cs="Arial" w:eastAsia="Arial" w:hAnsi="Arial"/>
          <w:sz w:val="16"/>
          <w:szCs w:val="16"/>
          <w:i w:val="1"/>
          <w:iCs w:val="1"/>
          <w:color w:val="auto"/>
        </w:rPr>
        <w:t>In re Wireless Facilities, Inc. Securities Litigation,</w:t>
      </w:r>
      <w:r>
        <w:rPr>
          <w:rFonts w:ascii="Arial" w:cs="Arial" w:eastAsia="Arial" w:hAnsi="Arial"/>
          <w:sz w:val="16"/>
          <w:szCs w:val="16"/>
          <w:color w:val="auto"/>
        </w:rPr>
        <w:t xml:space="preserve"> Master File No.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w:t>
      </w:r>
    </w:p>
    <w:p>
      <w:pPr>
        <w:spacing w:after="0" w:line="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w:t>
      </w:r>
    </w:p>
    <w:p>
      <w:pPr>
        <w:sectPr>
          <w:pgSz w:w="11900" w:h="16838" w:orient="portrait"/>
          <w:cols w:equalWidth="0" w:num="1">
            <w:col w:w="11420"/>
          </w:cols>
          <w:pgMar w:left="240" w:top="125" w:right="239" w:bottom="0" w:gutter="0" w:footer="0" w:header="0"/>
        </w:sectPr>
      </w:pPr>
    </w:p>
    <w:bookmarkStart w:id="22" w:name="page23"/>
    <w:bookmarkEnd w:id="22"/>
    <w:p>
      <w:pPr>
        <w:spacing w:after="0" w:line="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contingent liability associated with this legal proceeding based on the Company’s belief that a liability, while possible, is not probable and any range of potential future charge cannot be reasonably estimated at this time.</w:t>
      </w:r>
    </w:p>
    <w:p>
      <w:pPr>
        <w:spacing w:after="0" w:line="62" w:lineRule="exact"/>
        <w:rPr>
          <w:sz w:val="20"/>
          <w:szCs w:val="20"/>
          <w:color w:val="auto"/>
        </w:rPr>
      </w:pPr>
    </w:p>
    <w:p>
      <w:pPr>
        <w:ind w:firstLine="360"/>
        <w:spacing w:after="0" w:line="267" w:lineRule="auto"/>
        <w:rPr>
          <w:sz w:val="20"/>
          <w:szCs w:val="20"/>
          <w:color w:val="auto"/>
        </w:rPr>
      </w:pPr>
      <w:r>
        <w:rPr>
          <w:rFonts w:ascii="Arial" w:cs="Arial" w:eastAsia="Arial" w:hAnsi="Arial"/>
          <w:sz w:val="17"/>
          <w:szCs w:val="17"/>
          <w:color w:val="auto"/>
        </w:rPr>
        <w:t xml:space="preserve">In 2004, two derivative lawsuits were filed in the United States District Court for the Southern District of California against certain of the Company’s current and former officers and directors: </w:t>
      </w:r>
      <w:r>
        <w:rPr>
          <w:rFonts w:ascii="Arial" w:cs="Arial" w:eastAsia="Arial" w:hAnsi="Arial"/>
          <w:sz w:val="17"/>
          <w:szCs w:val="17"/>
          <w:i w:val="1"/>
          <w:iCs w:val="1"/>
          <w:color w:val="auto"/>
        </w:rPr>
        <w:t>Pedicini v. Wireless Facilities, Inc.,</w:t>
      </w:r>
      <w:r>
        <w:rPr>
          <w:rFonts w:ascii="Arial" w:cs="Arial" w:eastAsia="Arial" w:hAnsi="Arial"/>
          <w:sz w:val="17"/>
          <w:szCs w:val="17"/>
          <w:color w:val="auto"/>
        </w:rPr>
        <w:t xml:space="preserve"> Case No. 04CV1663; and </w:t>
      </w:r>
      <w:r>
        <w:rPr>
          <w:rFonts w:ascii="Arial" w:cs="Arial" w:eastAsia="Arial" w:hAnsi="Arial"/>
          <w:sz w:val="17"/>
          <w:szCs w:val="17"/>
          <w:i w:val="1"/>
          <w:iCs w:val="1"/>
          <w:color w:val="auto"/>
        </w:rPr>
        <w:t>Roth v. Wireless Facilities, Inc.,</w:t>
      </w:r>
      <w:r>
        <w:rPr>
          <w:rFonts w:ascii="Arial" w:cs="Arial" w:eastAsia="Arial" w:hAnsi="Arial"/>
          <w:sz w:val="17"/>
          <w:szCs w:val="17"/>
          <w:color w:val="auto"/>
        </w:rPr>
        <w:t xml:space="preserve"> Case No. 04CV1810. These actions were consolidated into a single action in </w:t>
      </w:r>
      <w:r>
        <w:rPr>
          <w:rFonts w:ascii="Arial" w:cs="Arial" w:eastAsia="Arial" w:hAnsi="Arial"/>
          <w:sz w:val="17"/>
          <w:szCs w:val="17"/>
          <w:i w:val="1"/>
          <w:iCs w:val="1"/>
          <w:color w:val="auto"/>
        </w:rPr>
        <w:t>In re Wireless Facilities, Inc. Derivative Litigation</w:t>
      </w:r>
      <w:r>
        <w:rPr>
          <w:rFonts w:ascii="Arial" w:cs="Arial" w:eastAsia="Arial" w:hAnsi="Arial"/>
          <w:sz w:val="17"/>
          <w:szCs w:val="17"/>
          <w:color w:val="auto"/>
        </w:rPr>
        <w:t>, Lead 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WFI’s stock option granting practices. Basically, plaintiffs allege that WFI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That motion is set to be heard on November 5, 2007. Once the court has decided the issue of personal jurisdiction, WFI, along with any remaining individual defendant found subject to the court’s jurisdiction, may again move to dismiss the complaint as to them.</w:t>
      </w:r>
    </w:p>
    <w:p>
      <w:pPr>
        <w:spacing w:after="0" w:line="85"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07-CV-0680 BTM(RBB) (the “Hameed Action”), against several of WFI’s current and former officers and directors. The allegations in this new derivative complaint mirror the amended allegations in the 2004 federal derivative action. Pursuant to a Court order and agreement between the parties, the defendants need not respond to the complaint in the Hameed Action until the Court rules on the motion to dismiss for lack of personal jurisdiction currently pending in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2004 derivative litigation. Once the court in that matter has decided the issue of personal jurisdiction, the parties will meet and confer regarding defendants’ response to the Hameed Action. At this time, we are unable to form a professional judgment that an unfavorable outcome is either probable or remote. Moreover, if an unfavorable outcome should eventually occur, we are not at this time able to estimate the amount or range of possible loss.”</w:t>
      </w:r>
    </w:p>
    <w:p>
      <w:pPr>
        <w:spacing w:after="0" w:line="39"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w:t>
      </w:r>
      <w:r>
        <w:rPr>
          <w:rFonts w:ascii="Arial" w:cs="Arial" w:eastAsia="Arial" w:hAnsi="Arial"/>
          <w:sz w:val="16"/>
          <w:szCs w:val="16"/>
          <w:i w:val="1"/>
          <w:iCs w:val="1"/>
          <w:color w:val="auto"/>
        </w:rPr>
        <w:t>In re Wireless Facilities, Inc.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 Litigation, </w:t>
      </w:r>
      <w:r>
        <w:rPr>
          <w:rFonts w:ascii="Arial" w:cs="Arial" w:eastAsia="Arial" w:hAnsi="Arial"/>
          <w:sz w:val="16"/>
          <w:szCs w:val="16"/>
          <w:color w:val="auto"/>
        </w:rPr>
        <w:t>California Superior Court, San Diego County, Lead Case No. GIC 834253. The plaintiffs filed a Consolidated Shareholder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on October 14, 2004. This action has been stayed pending a decision in federal court on a motion to dismiss the federal derivative lawsuits. The parties will appear before the judge in October 2007 to apprise the court of the status of the federal action.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Securities Litigation</w:t>
      </w:r>
    </w:p>
    <w:p>
      <w:pPr>
        <w:spacing w:after="0" w:line="117"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In March and April 2007, there were three federal class actions filed in the United States District Court for the Southern District of California against WFI and several of its current and former officers and directors. These class action lawsuits followed WFI's March 12, 2007 public announcement that it is conducting a voluntary internal review of its stock option granting processes. These actions have been consolidated into a single action, In re Wireless Facilities, Inc. Securities Litigation II, Master File No. 07-CV-0482-BTM-NLS. A consolidated class action complaint has not been filed. At this time, we are unable to form a professional judgment that an unfavorable outcome is either probable or remote. Moreover, if an unfavorable outcome should eventually occur, we are not at this time able to estimate the amount or range of possible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$0.3 million for his back wages, vacation pay and certain other benefits. The Company filed an appeal in the matter on July 20, 2006 and challenged the basis for the award on several theories. The Company has accrued approximately $0.3 million as of December 31, 2006 related to this matter.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 The Company is unable to determine the ultimate outcome of this matter.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On March 28, 2007, three plaintiffs, on behalf of a purported class of similarly situated employees and contractors, filed a lawsuit against the Company in the Superior Court of the State of California, Alameda County. The suit alleges various violations of the California Labor Code and seeks payments for allegedly unpaid straight time and overtime, meal period pay and associated penalties. The Company and the plaintiffs have agreed to venue for the suit in San Diego County. Based on our research to date, the Company has not concluded that it has any liability in the case. The Company believes that the allegations lack merit and intends to vigorously defend all claims asserted. It is impossible at this time to assess whether or not the outcome of these</w:t>
      </w:r>
    </w:p>
    <w:p>
      <w:pPr>
        <w:sectPr>
          <w:pgSz w:w="11900" w:h="16887" w:orient="portrait"/>
          <w:cols w:equalWidth="0" w:num="1">
            <w:col w:w="11400"/>
          </w:cols>
          <w:pgMar w:left="240" w:top="125" w:right="259" w:bottom="0" w:gutter="0" w:footer="0" w:header="0"/>
        </w:sectPr>
      </w:pPr>
    </w:p>
    <w:bookmarkStart w:id="23" w:name="page24"/>
    <w:bookmarkEnd w:id="23"/>
    <w:p>
      <w:pPr>
        <w:ind w:right="60"/>
        <w:spacing w:after="0" w:line="264" w:lineRule="auto"/>
        <w:rPr>
          <w:sz w:val="20"/>
          <w:szCs w:val="20"/>
          <w:color w:val="auto"/>
        </w:rPr>
      </w:pPr>
      <w:r>
        <w:rPr>
          <w:rFonts w:ascii="Arial" w:cs="Arial" w:eastAsia="Arial" w:hAnsi="Arial"/>
          <w:sz w:val="18"/>
          <w:szCs w:val="18"/>
          <w:color w:val="auto"/>
        </w:rPr>
        <w:t>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73"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On May 3, 2007, the Company announced that it has a filed a lawsuit against a former employee, Vencent Donlan, who previously served as its stock option administrator and left the Company in mid-2004, and his spouse. The lawsuit seeks to recover damages resulting from the theft by Donlan of WFI stock options and common stock valued in excess of $6.3 million. The thefts, which appear to have taken place during 2002 and 2003, were discovered through the Company’s review of its past practices related to the granting and pricing of employee stock options with the assistance of its outside counsel and forensic computer consultants. The complaint also alleges that Donlan attempted to cover up the scheme by, among other things, deleting entries from the Company’s records. WFI had promptly reported this discovery to the SEC in March 2007 when the theft was discovered. The SEC commenced an enforcement action against Donlan, and the U.S. Attorney’s Office forwarded a grand jury subpoena to the company seeking records related to Donlan and our historical option granting practices. The SEC filed a federal lawsuit and obtained a temporary restraining order and asset freeze against Donlan and his spouse. The U.S. Attorney’s Office indicted Donlan for the theft and he plead guilty to the federal criminal charges. The Company has cooperated with, and intends to continue to cooperate with both the SEC and the U.S. Attorney’s Office on this matter and otherwise.</w:t>
      </w:r>
    </w:p>
    <w:p>
      <w:pPr>
        <w:spacing w:after="0" w:line="6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218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“WFII” and has traded since November 5, 1999.</w:t>
      </w:r>
    </w:p>
    <w:p>
      <w:pPr>
        <w:spacing w:after="0" w:line="117" w:lineRule="exact"/>
        <w:rPr>
          <w:sz w:val="20"/>
          <w:szCs w:val="20"/>
          <w:color w:val="auto"/>
        </w:rPr>
      </w:pPr>
    </w:p>
    <w:p>
      <w:pPr>
        <w:ind w:right="200" w:firstLine="360"/>
        <w:spacing w:after="0" w:line="308" w:lineRule="auto"/>
        <w:rPr>
          <w:sz w:val="20"/>
          <w:szCs w:val="20"/>
          <w:color w:val="auto"/>
        </w:rPr>
      </w:pPr>
      <w:r>
        <w:rPr>
          <w:rFonts w:ascii="Arial" w:cs="Arial" w:eastAsia="Arial" w:hAnsi="Arial"/>
          <w:sz w:val="17"/>
          <w:szCs w:val="17"/>
          <w:color w:val="auto"/>
        </w:rPr>
        <w:t>The following table sets forth the high and low sales prices for our Common Stock for the periods indicated, as reported by NASDAQ. Such quotation represents inter-dealer prices without retail markup, markdown or commission and may not necessarily represent actual transactions.</w:t>
      </w:r>
    </w:p>
    <w:p>
      <w:pPr>
        <w:spacing w:after="0" w:line="125" w:lineRule="exact"/>
        <w:rPr>
          <w:sz w:val="20"/>
          <w:szCs w:val="20"/>
          <w:color w:val="auto"/>
        </w:rPr>
      </w:pPr>
    </w:p>
    <w:tbl>
      <w:tblPr>
        <w:tblLayout w:type="fixed"/>
        <w:tblInd w:w="192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High</w:t>
            </w: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Low</w:t>
            </w: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2006:</w:t>
            </w: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$ 2.88</w:t>
            </w: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$ 2.00</w:t>
            </w:r>
          </w:p>
        </w:tc>
        <w:tc>
          <w:tcPr>
            <w:tcW w:w="6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$ 2.83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$ 1.91</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$ 4.53</w:t>
            </w: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$ 2.85</w:t>
            </w:r>
          </w:p>
        </w:tc>
        <w:tc>
          <w:tcPr>
            <w:tcW w:w="6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$ 5.52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$ 3.88</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Year Ended December 31, 2005: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$ 6.86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$ 5.10</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$ 6.67</w:t>
            </w: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$ 4.95</w:t>
            </w:r>
          </w:p>
        </w:tc>
        <w:tc>
          <w:tcPr>
            <w:tcW w:w="6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$ 6.43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$ 5.13</w:t>
            </w:r>
          </w:p>
        </w:tc>
        <w:tc>
          <w:tcPr>
            <w:tcW w:w="60" w:type="dxa"/>
            <w:vAlign w:val="bottom"/>
            <w:shd w:val="clear" w:color="auto" w:fill="CCEEFF"/>
          </w:tcPr>
          <w:p>
            <w:pPr>
              <w:spacing w:after="0"/>
              <w:rPr>
                <w:sz w:val="18"/>
                <w:szCs w:val="18"/>
                <w:color w:val="auto"/>
              </w:rPr>
            </w:pP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$ 9.54</w:t>
            </w:r>
          </w:p>
        </w:tc>
        <w:tc>
          <w:tcPr>
            <w:tcW w:w="22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$ 6.25</w:t>
            </w:r>
          </w:p>
        </w:tc>
        <w:tc>
          <w:tcPr>
            <w:tcW w:w="60" w:type="dxa"/>
            <w:vAlign w:val="bottom"/>
          </w:tcPr>
          <w:p>
            <w:pPr>
              <w:spacing w:after="0"/>
              <w:rPr>
                <w:sz w:val="20"/>
                <w:szCs w:val="20"/>
                <w:color w:val="auto"/>
              </w:rPr>
            </w:pPr>
          </w:p>
        </w:tc>
      </w:tr>
    </w:tbl>
    <w:p>
      <w:pPr>
        <w:spacing w:after="0" w:line="241"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On September 6, 2007, the last sale price of our Common Stock as reported by NASDAQ was $2.74 per share. On September 6, 2007, there were 210 shareholders of record of our Common Stock.</w:t>
      </w:r>
    </w:p>
    <w:p>
      <w:pPr>
        <w:spacing w:after="0" w:line="62"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Any future determination to pay cash dividends will be at the discretion of our Board and will be dependent upon the future financial condition, results of operations, capital requirements, general business conditions and other relevant factors as determined by our Board.</w:t>
      </w:r>
    </w:p>
    <w:p>
      <w:pPr>
        <w:spacing w:after="0" w:line="79"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On December 16, 2004, we adopted our Rights Plan. Pursuant to the Rights Plan, our Board declared a dividend distribution of one preferred share purchase right (“Right”) on each outstanding share of our common stock. Each Right will entitle stockholders to buy one one-hundredth of a share of newly created Series C Preferred Stock at an exercise price of $54, subject to adjustment, in the event that the Rights become exercisable. Subject to limited exceptions, the Rights will become exercisable if a person or group acquires 15% or more of our common stock or announces a tender offer for 15% or more of the common stock. If we are acquired in a merger or other business combination transaction which has not been approved by our Board, each Right will entitle its holder to purchase, at the Right’s then-current exercise price, a number of the acquiring company’s common shares having a market value at the time of twice the Right’s exercise price.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about our equity compensation plans as of December 31, 2006 was as follows (shares in thousands):</w:t>
      </w:r>
    </w:p>
    <w:p>
      <w:pPr>
        <w:sectPr>
          <w:pgSz w:w="11900" w:h="16838" w:orient="portrait"/>
          <w:cols w:equalWidth="0" w:num="1">
            <w:col w:w="11400"/>
          </w:cols>
          <w:pgMar w:left="240" w:top="125" w:right="259" w:bottom="653"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Securities</w:t>
            </w: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to be Issued</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tcPr>
          <w:p>
            <w:pPr>
              <w:jc w:val="center"/>
              <w:ind w:right="400"/>
              <w:spacing w:after="0" w:line="135" w:lineRule="exact"/>
              <w:rPr>
                <w:sz w:val="20"/>
                <w:szCs w:val="20"/>
                <w:color w:val="auto"/>
              </w:rPr>
            </w:pPr>
            <w:r>
              <w:rPr>
                <w:rFonts w:ascii="Arial" w:cs="Arial" w:eastAsia="Arial" w:hAnsi="Arial"/>
                <w:sz w:val="14"/>
                <w:szCs w:val="14"/>
                <w:b w:val="1"/>
                <w:bCs w:val="1"/>
                <w:color w:val="auto"/>
                <w:w w:val="94"/>
              </w:rPr>
              <w:t>Upon</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Exercise</w:t>
            </w:r>
          </w:p>
        </w:tc>
        <w:tc>
          <w:tcPr>
            <w:tcW w:w="9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Exercise of</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Price of</w:t>
            </w:r>
          </w:p>
        </w:tc>
        <w:tc>
          <w:tcPr>
            <w:tcW w:w="96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Outstanding</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Outstanding</w:t>
            </w:r>
          </w:p>
        </w:tc>
        <w:tc>
          <w:tcPr>
            <w:tcW w:w="96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tcPr>
          <w:p>
            <w:pPr>
              <w:jc w:val="center"/>
              <w:ind w:right="400"/>
              <w:spacing w:after="0" w:line="135" w:lineRule="exact"/>
              <w:rPr>
                <w:sz w:val="20"/>
                <w:szCs w:val="20"/>
                <w:color w:val="auto"/>
              </w:rPr>
            </w:pPr>
            <w:r>
              <w:rPr>
                <w:rFonts w:ascii="Arial" w:cs="Arial" w:eastAsia="Arial" w:hAnsi="Arial"/>
                <w:sz w:val="14"/>
                <w:szCs w:val="14"/>
                <w:b w:val="1"/>
                <w:bCs w:val="1"/>
                <w:color w:val="auto"/>
                <w:w w:val="95"/>
              </w:rPr>
              <w:t>Options,</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Options,</w:t>
            </w:r>
          </w:p>
        </w:tc>
        <w:tc>
          <w:tcPr>
            <w:tcW w:w="96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35"/>
        </w:trPr>
        <w:tc>
          <w:tcPr>
            <w:tcW w:w="6360" w:type="dxa"/>
            <w:vAlign w:val="bottom"/>
            <w:gridSpan w:val="4"/>
            <w:vMerge w:val="restart"/>
          </w:tcPr>
          <w:p>
            <w:pPr>
              <w:ind w:left="1840"/>
              <w:spacing w:after="0"/>
              <w:rPr>
                <w:sz w:val="20"/>
                <w:szCs w:val="20"/>
                <w:color w:val="auto"/>
              </w:rPr>
            </w:pPr>
            <w:r>
              <w:rPr>
                <w:rFonts w:ascii="Arial" w:cs="Arial" w:eastAsia="Arial" w:hAnsi="Arial"/>
                <w:sz w:val="14"/>
                <w:szCs w:val="14"/>
                <w:b w:val="1"/>
                <w:bCs w:val="1"/>
                <w:color w:val="auto"/>
              </w:rPr>
              <w:t>Plan Category</w:t>
            </w:r>
          </w:p>
        </w:tc>
        <w:tc>
          <w:tcPr>
            <w:tcW w:w="112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Warrants and</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Warrants and</w:t>
            </w:r>
          </w:p>
        </w:tc>
        <w:tc>
          <w:tcPr>
            <w:tcW w:w="140" w:type="dxa"/>
            <w:vAlign w:val="bottom"/>
          </w:tcPr>
          <w:p>
            <w:pPr>
              <w:spacing w:after="0"/>
              <w:rPr>
                <w:sz w:val="11"/>
                <w:szCs w:val="11"/>
                <w:color w:val="auto"/>
              </w:rPr>
            </w:pPr>
          </w:p>
        </w:tc>
        <w:tc>
          <w:tcPr>
            <w:tcW w:w="8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62"/>
        </w:trPr>
        <w:tc>
          <w:tcPr>
            <w:tcW w:w="63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Rights</w:t>
            </w:r>
          </w:p>
        </w:tc>
        <w:tc>
          <w:tcPr>
            <w:tcW w:w="14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4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2"/>
              </w:rPr>
              <w:t>Equity Compensation Plans Approved by Shareholders(1)</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$ 6.28</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5,841(3)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452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4520" w:type="dxa"/>
            <w:vAlign w:val="bottom"/>
            <w:gridSpan w:val="3"/>
          </w:tcPr>
          <w:p>
            <w:pPr>
              <w:ind w:left="180"/>
              <w:spacing w:after="0"/>
              <w:rPr>
                <w:sz w:val="20"/>
                <w:szCs w:val="20"/>
                <w:color w:val="auto"/>
              </w:rPr>
            </w:pPr>
            <w:r>
              <w:rPr>
                <w:rFonts w:ascii="Arial" w:cs="Arial" w:eastAsia="Arial" w:hAnsi="Arial"/>
                <w:sz w:val="18"/>
                <w:szCs w:val="18"/>
                <w:color w:val="auto"/>
              </w:rPr>
              <w:t>Shareholders(2)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2,357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$ 5.30</w:t>
            </w:r>
          </w:p>
        </w:tc>
        <w:tc>
          <w:tcPr>
            <w:tcW w:w="220" w:type="dxa"/>
            <w:vAlign w:val="bottom"/>
          </w:tcPr>
          <w:p>
            <w:pPr>
              <w:spacing w:after="0"/>
              <w:rPr>
                <w:sz w:val="20"/>
                <w:szCs w:val="20"/>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w w:val="88"/>
              </w:rPr>
              <w:t>1,071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452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11,634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6,912</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1997 Stock Option Plan, 1999 and 2005 Equity Incentive Plan and 1999 Employee Stock Purchase Plan</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2000 Non-Statutory Stock Option Plan</w:t>
      </w:r>
    </w:p>
    <w:p>
      <w:pPr>
        <w:spacing w:after="0" w:line="117" w:lineRule="exact"/>
        <w:rPr>
          <w:rFonts w:ascii="Arial" w:cs="Arial" w:eastAsia="Arial" w:hAnsi="Arial"/>
          <w:sz w:val="18"/>
          <w:szCs w:val="18"/>
          <w:color w:val="auto"/>
        </w:rPr>
      </w:pPr>
    </w:p>
    <w:p>
      <w:pPr>
        <w:ind w:left="360" w:hanging="352"/>
        <w:spacing w:after="0" w:line="440" w:lineRule="auto"/>
        <w:tabs>
          <w:tab w:leader="none" w:pos="34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352,000 shares reserved for issuance under the Employee Stock Purchase Plan which was suspended in 2006 but has been re-activated for 2007. For more detailed information regarding our equity compensation plans, see Note 10 to our consolidated financial statements.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220" w:firstLine="360"/>
        <w:spacing w:after="0" w:line="279" w:lineRule="auto"/>
        <w:rPr>
          <w:sz w:val="20"/>
          <w:szCs w:val="20"/>
          <w:color w:val="auto"/>
        </w:rPr>
      </w:pPr>
      <w:r>
        <w:rPr>
          <w:rFonts w:ascii="Arial" w:cs="Arial" w:eastAsia="Arial" w:hAnsi="Arial"/>
          <w:sz w:val="17"/>
          <w:szCs w:val="17"/>
          <w:color w:val="auto"/>
        </w:rPr>
        <w:t>The following performance graph is a comparison of the five year cumulative stockholder return on our common stock against the cumulative total return of the NASDAQ Composite Index and the NASDAQ Telecommunications Index for the period commencing December 31, 2001 and ending December 31, 2006. The performance graph assumes an initial investment of $100 in our common stock and in each of the indices. The performance graph and related text are based on historical data and are not necessarily indicative of future performance.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Among Wireless Facilities, Inc., The NASDAQ Composite Index</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062980" cy="1929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6298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5160" w:firstLine="8"/>
        <w:spacing w:after="0" w:line="27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invested on 12/31/01 in stock of index-including reinvestment of dividends. Fiscal year ending December 31.</w:t>
      </w:r>
    </w:p>
    <w:p>
      <w:pPr>
        <w:spacing w:after="0" w:line="62" w:lineRule="exact"/>
        <w:rPr>
          <w:sz w:val="20"/>
          <w:szCs w:val="20"/>
          <w:color w:val="auto"/>
        </w:rPr>
      </w:pPr>
    </w:p>
    <w:p>
      <w:pPr>
        <w:ind w:right="340" w:firstLine="360"/>
        <w:spacing w:after="0" w:line="312" w:lineRule="auto"/>
        <w:rPr>
          <w:sz w:val="20"/>
          <w:szCs w:val="20"/>
          <w:color w:val="auto"/>
        </w:rPr>
      </w:pPr>
      <w:r>
        <w:rPr>
          <w:rFonts w:ascii="Arial" w:cs="Arial" w:eastAsia="Arial" w:hAnsi="Arial"/>
          <w:sz w:val="16"/>
          <w:szCs w:val="16"/>
          <w:color w:val="auto"/>
        </w:rPr>
        <w:t>The performance graph above and related text are being furnished solely to accompany this annual report on Form 10-K pursuant to Item 201(e) of Regulation S-K, and are not being filed for purposes of Section 18 of the Securities Exchange Act of 1934, as amended, and are not to be incorporated by reference into any filing of ours, whether made before or after the date hereof, regardless of any general incorporation language in such filing.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21"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We recently completed a voluntary review of our equity award practices. The voluntary review, which covered all option grants and other equity awards made since two months prior to our IPO in November 1999, as well as other substantial grants issued prior to our IPO, was initiated by the current executive management team, which has been in place since 2004, under the direction of our Board, with the assistance of outside counsel and forensic accountants. We also reviewed all option grants input into our stock option database (Equity Edge) subsequent to our IPO date of November 1999 but with a grant date prior to November 1999 and all option grants that preceded an employee’s date of hire.</w:t>
      </w:r>
    </w:p>
    <w:p>
      <w:pPr>
        <w:spacing w:after="0" w:line="64"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Based on the results of the review, the Audit Committee concluded that, pursuant to APB 25 and related interpretations, the accounting measurement dates for certain stock option grants awarded between March 1998 and December 2003, covering options to purchase 15.2 million shares of our common stock, differed from the measurement dates previously used for such awards. As a result, revised measurement dates were applied to the affected option grants and WFI has recorded a total of $75.0 million in additional deferred compensation, with substantially all of the increase relating to option grants issued prior to December 31, 2003. WFI has recorded $58.2 million in additional stock-based compensation for the years 1998 through 2005, reflecting the amortization of deferred compensation over the relevant vesting periods, which is typically over four years. After related tax adjustments of $9.6 million, the restatement resulted in total net adjustments of $48.6 million. This amount is net of forfeitures related to employee terminations. The additional stock-based compensation expense is being amortized over the service period relating to each option, typically four years, with approximately 92% of the expense being recorded in years prior to 2004.</w:t>
      </w:r>
    </w:p>
    <w:p>
      <w:pPr>
        <w:sectPr>
          <w:pgSz w:w="11900" w:h="16838" w:orient="portrait"/>
          <w:cols w:equalWidth="0" w:num="1">
            <w:col w:w="11400"/>
          </w:cols>
          <w:pgMar w:left="240" w:top="87" w:right="259" w:bottom="0" w:gutter="0" w:footer="0" w:header="0"/>
        </w:sectPr>
      </w:pPr>
    </w:p>
    <w:bookmarkStart w:id="25" w:name="page26"/>
    <w:bookmarkEnd w:id="25"/>
    <w:p>
      <w:pPr>
        <w:ind w:right="60" w:firstLine="360"/>
        <w:spacing w:after="0" w:line="286" w:lineRule="auto"/>
        <w:rPr>
          <w:sz w:val="20"/>
          <w:szCs w:val="20"/>
          <w:color w:val="auto"/>
        </w:rPr>
      </w:pPr>
      <w:r>
        <w:rPr>
          <w:rFonts w:ascii="Arial" w:cs="Arial" w:eastAsia="Arial" w:hAnsi="Arial"/>
          <w:sz w:val="17"/>
          <w:szCs w:val="17"/>
          <w:color w:val="auto"/>
        </w:rPr>
        <w:t>During the course of the Equity Award Review, we discovered that a former stock option administrator had engaged in a fraudulent scheme by which he misappropriated options to purchase more than 700,000 shares of stock. Ill-gotten gains from this scheme exceeded $6.3 million, and we have recorded an unauthorized issuance of common stock charge of $0.6 million and $5.7 million in 2002 and 2003, respectively, related to this theft.</w:t>
      </w:r>
    </w:p>
    <w:p>
      <w:pPr>
        <w:spacing w:after="0" w:line="57"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The aggregate financial impact of the Equity Award Review including the unauthorized issuance of common stock charge was $64.5 million. After aggregate other tax adjustments and income tax adjustments of $9.6 million, the restatement resulted in total net adjustments to net income (loss) of $54.9 million for the years 1998 through 2005.</w:t>
      </w:r>
    </w:p>
    <w:p>
      <w:pPr>
        <w:spacing w:after="0" w:line="73"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The selected consolidated financial data has been restated as a result of the above matters. See the Explanatory Note included before Part I, Item 1 of this Report, the discussion included in “Management’s Discussion and Analysis of Financial Condition and Results of Operations” included in Part II, Item 7 of this Report, and Note 2 of Notes to Consolidated Financial Statements, included in Part IV, Item 15 of this Report.</w:t>
      </w:r>
    </w:p>
    <w:p>
      <w:pPr>
        <w:spacing w:after="0" w:line="57"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The following selected consolidated financial data should be read in conjunction with our consolidated financial statements and related notes thereto and with “Management’s Discussion and Analysis of Financial Condition and Results of Operations” which are incorporated in Item 7 or included elsewhere in this Annual Report on Form 10-K. Our historical results are not necessarily indicative of operating results to be expected in the future.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In December 2005, our Board made the decision to exit our Mexican and South American deployment businesses. In December 2006, our Board made the decision to exit our EMEA and Brazilian businesses. Accordingly, all results of operations for these businesses have been reflected as discontinued operations for all years presented.</w:t>
      </w:r>
    </w:p>
    <w:p>
      <w:pPr>
        <w:spacing w:after="0" w:line="159" w:lineRule="exact"/>
        <w:rPr>
          <w:sz w:val="20"/>
          <w:szCs w:val="20"/>
          <w:color w:val="auto"/>
        </w:rPr>
      </w:pPr>
    </w:p>
    <w:tbl>
      <w:tblPr>
        <w:tblLayout w:type="fixed"/>
        <w:tblInd w:w="14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10"/>
          </w:tcPr>
          <w:p>
            <w:pPr>
              <w:jc w:val="center"/>
              <w:ind w:left="133"/>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bottom w:val="single" w:sz="8" w:color="auto"/>
            </w:tcBorders>
          </w:tcPr>
          <w:p>
            <w:pPr>
              <w:jc w:val="right"/>
              <w:ind w:right="7"/>
              <w:spacing w:after="0" w:line="129" w:lineRule="exact"/>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w w:val="96"/>
              </w:rPr>
              <w:t>2003</w:t>
            </w:r>
          </w:p>
        </w:tc>
        <w:tc>
          <w:tcPr>
            <w:tcW w:w="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1"/>
              <w:spacing w:after="0" w:line="129" w:lineRule="exact"/>
              <w:rPr>
                <w:sz w:val="20"/>
                <w:szCs w:val="20"/>
                <w:color w:val="auto"/>
              </w:rPr>
            </w:pPr>
            <w:r>
              <w:rPr>
                <w:rFonts w:ascii="Arial" w:cs="Arial" w:eastAsia="Arial" w:hAnsi="Arial"/>
                <w:sz w:val="14"/>
                <w:szCs w:val="14"/>
                <w:b w:val="1"/>
                <w:bCs w:val="1"/>
                <w:color w:val="auto"/>
                <w:w w:val="89"/>
              </w:rPr>
              <w:t>2004</w:t>
            </w:r>
          </w:p>
        </w:tc>
        <w:tc>
          <w:tcPr>
            <w:tcW w:w="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132"/>
              <w:spacing w:after="0" w:line="129"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1"/>
              <w:spacing w:after="0" w:line="129"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right"/>
              <w:ind w:right="60"/>
              <w:spacing w:after="0" w:line="102" w:lineRule="exact"/>
              <w:rPr>
                <w:sz w:val="20"/>
                <w:szCs w:val="20"/>
                <w:color w:val="auto"/>
              </w:rPr>
            </w:pPr>
            <w:r>
              <w:rPr>
                <w:rFonts w:ascii="Arial" w:cs="Arial" w:eastAsia="Arial" w:hAnsi="Arial"/>
                <w:sz w:val="11"/>
                <w:szCs w:val="11"/>
                <w:b w:val="1"/>
                <w:bCs w:val="1"/>
                <w:color w:val="auto"/>
              </w:rPr>
              <w:t>(Restated)</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3"/>
          </w:tcPr>
          <w:p>
            <w:pPr>
              <w:jc w:val="right"/>
              <w:ind w:right="60"/>
              <w:spacing w:after="0" w:line="102" w:lineRule="exact"/>
              <w:rPr>
                <w:sz w:val="20"/>
                <w:szCs w:val="20"/>
                <w:color w:val="auto"/>
              </w:rPr>
            </w:pPr>
            <w:r>
              <w:rPr>
                <w:rFonts w:ascii="Arial" w:cs="Arial" w:eastAsia="Arial" w:hAnsi="Arial"/>
                <w:sz w:val="11"/>
                <w:szCs w:val="11"/>
                <w:b w:val="1"/>
                <w:bCs w:val="1"/>
                <w:color w:val="auto"/>
              </w:rPr>
              <w:t>(Restated)</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(Restated)</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(Restated)</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16"/>
          </w:tcPr>
          <w:p>
            <w:pPr>
              <w:jc w:val="center"/>
              <w:ind w:right="60"/>
              <w:spacing w:after="0"/>
              <w:rPr>
                <w:sz w:val="20"/>
                <w:szCs w:val="20"/>
                <w:color w:val="auto"/>
              </w:rPr>
            </w:pPr>
            <w:r>
              <w:rPr>
                <w:rFonts w:ascii="Arial" w:cs="Arial" w:eastAsia="Arial" w:hAnsi="Arial"/>
                <w:sz w:val="14"/>
                <w:szCs w:val="14"/>
                <w:b w:val="1"/>
                <w:bCs w:val="1"/>
                <w:color w:val="auto"/>
                <w:w w:val="92"/>
              </w:rPr>
              <w:t>(All amounts except per share data in millions)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Consolidated Statements of Operations Financial</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Data:</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Revenues</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$ 155.7</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$ 205.1</w:t>
            </w: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$ 296.2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w w:val="96"/>
              </w:rPr>
              <w:t>$ 337.7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327.8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4"/>
        </w:trPr>
        <w:tc>
          <w:tcPr>
            <w:tcW w:w="20" w:type="dxa"/>
            <w:vAlign w:val="bottom"/>
          </w:tcPr>
          <w:p>
            <w:pPr>
              <w:spacing w:after="0"/>
              <w:rPr>
                <w:sz w:val="24"/>
                <w:szCs w:val="24"/>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76.3</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Operating income (loss)</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(benefit) for income taxes</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(46.7)</w:t>
            </w:r>
          </w:p>
        </w:tc>
        <w:tc>
          <w:tcPr>
            <w:tcW w:w="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360"/>
              <w:spacing w:after="0"/>
              <w:rPr>
                <w:sz w:val="20"/>
                <w:szCs w:val="20"/>
                <w:color w:val="auto"/>
              </w:rPr>
            </w:pPr>
            <w:r>
              <w:rPr>
                <w:rFonts w:ascii="Arial" w:cs="Arial" w:eastAsia="Arial" w:hAnsi="Arial"/>
                <w:sz w:val="18"/>
                <w:szCs w:val="18"/>
                <w:color w:val="auto"/>
              </w:rPr>
              <w:t>principle</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84"/>
        </w:trPr>
        <w:tc>
          <w:tcPr>
            <w:tcW w:w="20" w:type="dxa"/>
            <w:vAlign w:val="bottom"/>
          </w:tcPr>
          <w:p>
            <w:pPr>
              <w:spacing w:after="0"/>
              <w:rPr>
                <w:sz w:val="24"/>
                <w:szCs w:val="24"/>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(85.6)</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24"/>
                <w:szCs w:val="24"/>
                <w:color w:val="auto"/>
              </w:rPr>
            </w:pPr>
          </w:p>
        </w:tc>
      </w:tr>
      <w:tr>
        <w:trPr>
          <w:trHeight w:val="26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Income (loss) from continuing operations per</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common share</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(0.57)</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(0.64)</w:t>
            </w:r>
          </w:p>
        </w:tc>
        <w:tc>
          <w:tcPr>
            <w:tcW w:w="20" w:type="dxa"/>
            <w:vAlign w:val="bottom"/>
          </w:tcPr>
          <w:p>
            <w:pPr>
              <w:spacing w:after="0"/>
              <w:rPr>
                <w:sz w:val="18"/>
                <w:szCs w:val="18"/>
                <w:color w:val="auto"/>
              </w:rPr>
            </w:pPr>
          </w:p>
        </w:tc>
      </w:tr>
      <w:tr>
        <w:trPr>
          <w:trHeight w:val="284"/>
        </w:trPr>
        <w:tc>
          <w:tcPr>
            <w:tcW w:w="2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 (0.57)</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(0.64)</w:t>
            </w:r>
          </w:p>
        </w:tc>
        <w:tc>
          <w:tcPr>
            <w:tcW w:w="2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per</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 (0.88)</w:t>
            </w:r>
          </w:p>
        </w:tc>
        <w:tc>
          <w:tcPr>
            <w:tcW w:w="940" w:type="dxa"/>
            <w:vAlign w:val="bottom"/>
            <w:gridSpan w:val="5"/>
          </w:tcPr>
          <w:p>
            <w:pPr>
              <w:jc w:val="right"/>
              <w:ind w:right="40"/>
              <w:spacing w:after="0"/>
              <w:rPr>
                <w:sz w:val="20"/>
                <w:szCs w:val="20"/>
                <w:color w:val="auto"/>
              </w:rPr>
            </w:pPr>
            <w:r>
              <w:rPr>
                <w:rFonts w:ascii="Arial" w:cs="Arial" w:eastAsia="Arial" w:hAnsi="Arial"/>
                <w:sz w:val="18"/>
                <w:szCs w:val="18"/>
                <w:color w:val="auto"/>
              </w:rPr>
              <w:t>$ (0.12)</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(0.13)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8"/>
                <w:szCs w:val="18"/>
                <w:color w:val="auto"/>
              </w:rPr>
            </w:pPr>
          </w:p>
        </w:tc>
      </w:tr>
      <w:tr>
        <w:trPr>
          <w:trHeight w:val="284"/>
        </w:trPr>
        <w:tc>
          <w:tcPr>
            <w:tcW w:w="20" w:type="dxa"/>
            <w:vAlign w:val="bottom"/>
          </w:tcPr>
          <w:p>
            <w:pPr>
              <w:spacing w:after="0"/>
              <w:rPr>
                <w:sz w:val="24"/>
                <w:szCs w:val="24"/>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(0.88)</w:t>
            </w: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(0.11)</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(0.13)</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24"/>
                <w:szCs w:val="24"/>
                <w:color w:val="auto"/>
              </w:rPr>
            </w:pPr>
          </w:p>
        </w:tc>
      </w:tr>
      <w:tr>
        <w:trPr>
          <w:trHeight w:val="284"/>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Net income (loss) per common share</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(1.78)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(0.79)</w:t>
            </w:r>
          </w:p>
        </w:tc>
        <w:tc>
          <w:tcPr>
            <w:tcW w:w="20" w:type="dxa"/>
            <w:vAlign w:val="bottom"/>
          </w:tcPr>
          <w:p>
            <w:pPr>
              <w:spacing w:after="0"/>
              <w:rPr>
                <w:sz w:val="18"/>
                <w:szCs w:val="18"/>
                <w:color w:val="auto"/>
              </w:rPr>
            </w:pPr>
          </w:p>
        </w:tc>
      </w:tr>
      <w:tr>
        <w:trPr>
          <w:trHeight w:val="284"/>
        </w:trPr>
        <w:tc>
          <w:tcPr>
            <w:tcW w:w="2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 (1.78)</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(0.79)</w:t>
            </w:r>
          </w:p>
        </w:tc>
        <w:tc>
          <w:tcPr>
            <w:tcW w:w="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4"/>
        </w:trPr>
        <w:tc>
          <w:tcPr>
            <w:tcW w:w="20" w:type="dxa"/>
            <w:vAlign w:val="bottom"/>
          </w:tcPr>
          <w:p>
            <w:pPr>
              <w:spacing w:after="0"/>
              <w:rPr>
                <w:sz w:val="24"/>
                <w:szCs w:val="24"/>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9"/>
          </w:tcPr>
          <w:p>
            <w:pPr>
              <w:ind w:left="420"/>
              <w:spacing w:after="0"/>
              <w:rPr>
                <w:sz w:val="20"/>
                <w:szCs w:val="20"/>
                <w:color w:val="auto"/>
              </w:rPr>
            </w:pPr>
            <w:r>
              <w:rPr>
                <w:rFonts w:ascii="Arial" w:cs="Arial" w:eastAsia="Arial" w:hAnsi="Arial"/>
                <w:sz w:val="14"/>
                <w:szCs w:val="14"/>
                <w:b w:val="1"/>
                <w:bCs w:val="1"/>
                <w:color w:val="auto"/>
                <w:w w:val="98"/>
              </w:rPr>
              <w:t>As of December 31,</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70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1"/>
                <w:szCs w:val="11"/>
                <w:color w:val="auto"/>
              </w:rPr>
            </w:pPr>
          </w:p>
        </w:tc>
        <w:tc>
          <w:tcPr>
            <w:tcW w:w="880" w:type="dxa"/>
            <w:vAlign w:val="bottom"/>
            <w:gridSpan w:val="4"/>
          </w:tcPr>
          <w:p>
            <w:pPr>
              <w:jc w:val="right"/>
              <w:ind w:right="173"/>
              <w:spacing w:after="0" w:line="129"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1"/>
                <w:szCs w:val="11"/>
                <w:color w:val="auto"/>
              </w:rPr>
            </w:pPr>
          </w:p>
        </w:tc>
        <w:tc>
          <w:tcPr>
            <w:tcW w:w="860" w:type="dxa"/>
            <w:vAlign w:val="bottom"/>
            <w:gridSpan w:val="4"/>
          </w:tcPr>
          <w:p>
            <w:pPr>
              <w:jc w:val="center"/>
              <w:ind w:left="51"/>
              <w:spacing w:after="0" w:line="129" w:lineRule="exact"/>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center"/>
              <w:ind w:right="172"/>
              <w:spacing w:after="0" w:line="129"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51"/>
              <w:spacing w:after="0" w:line="129"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700" w:type="dxa"/>
            <w:vAlign w:val="bottom"/>
            <w:tcBorders>
              <w:top w:val="single" w:sz="8" w:color="auto"/>
            </w:tcBorders>
            <w:gridSpan w:val="2"/>
          </w:tcPr>
          <w:p>
            <w:pPr>
              <w:jc w:val="right"/>
              <w:spacing w:after="0" w:line="102" w:lineRule="exact"/>
              <w:rPr>
                <w:sz w:val="20"/>
                <w:szCs w:val="20"/>
                <w:color w:val="auto"/>
              </w:rPr>
            </w:pPr>
            <w:r>
              <w:rPr>
                <w:rFonts w:ascii="Arial" w:cs="Arial" w:eastAsia="Arial" w:hAnsi="Arial"/>
                <w:sz w:val="11"/>
                <w:szCs w:val="11"/>
                <w:b w:val="1"/>
                <w:bCs w:val="1"/>
                <w:color w:val="auto"/>
              </w:rPr>
              <w:t>(Restated)</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gridSpan w:val="3"/>
          </w:tcPr>
          <w:p>
            <w:pPr>
              <w:ind w:left="80"/>
              <w:spacing w:after="0" w:line="102" w:lineRule="exact"/>
              <w:rPr>
                <w:sz w:val="20"/>
                <w:szCs w:val="20"/>
                <w:color w:val="auto"/>
              </w:rPr>
            </w:pPr>
            <w:r>
              <w:rPr>
                <w:rFonts w:ascii="Arial" w:cs="Arial" w:eastAsia="Arial" w:hAnsi="Arial"/>
                <w:sz w:val="11"/>
                <w:szCs w:val="11"/>
                <w:b w:val="1"/>
                <w:bCs w:val="1"/>
                <w:color w:val="auto"/>
              </w:rPr>
              <w:t>(Restated)</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(Restated)</w:t>
            </w:r>
          </w:p>
        </w:tc>
        <w:tc>
          <w:tcPr>
            <w:tcW w:w="220" w:type="dxa"/>
            <w:vAlign w:val="bottom"/>
            <w:gridSpan w:val="2"/>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rPr>
              <w:t>(Restated)</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10"/>
          </w:tcPr>
          <w:p>
            <w:pPr>
              <w:jc w:val="right"/>
              <w:ind w:right="36"/>
              <w:spacing w:after="0"/>
              <w:rPr>
                <w:sz w:val="20"/>
                <w:szCs w:val="20"/>
                <w:color w:val="auto"/>
              </w:rPr>
            </w:pPr>
            <w:r>
              <w:rPr>
                <w:rFonts w:ascii="Arial" w:cs="Arial" w:eastAsia="Arial" w:hAnsi="Arial"/>
                <w:sz w:val="14"/>
                <w:szCs w:val="14"/>
                <w:b w:val="1"/>
                <w:bCs w:val="1"/>
                <w:color w:val="auto"/>
              </w:rPr>
              <w:t>(All amounts in millions)</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tcPr>
          <w:p>
            <w:pPr>
              <w:jc w:val="right"/>
              <w:ind w:right="7"/>
              <w:spacing w:after="0"/>
              <w:rPr>
                <w:sz w:val="20"/>
                <w:szCs w:val="20"/>
                <w:color w:val="auto"/>
              </w:rPr>
            </w:pPr>
            <w:r>
              <w:rPr>
                <w:rFonts w:ascii="Arial" w:cs="Arial" w:eastAsia="Arial" w:hAnsi="Arial"/>
                <w:sz w:val="18"/>
                <w:szCs w:val="18"/>
                <w:color w:val="auto"/>
              </w:rPr>
              <w:t>$  97.0</w:t>
            </w:r>
          </w:p>
        </w:tc>
        <w:tc>
          <w:tcPr>
            <w:tcW w:w="140" w:type="dxa"/>
            <w:vAlign w:val="bottom"/>
          </w:tcPr>
          <w:p>
            <w:pPr>
              <w:spacing w:after="0"/>
              <w:rPr>
                <w:sz w:val="18"/>
                <w:szCs w:val="18"/>
                <w:color w:val="auto"/>
              </w:rPr>
            </w:pPr>
          </w:p>
        </w:tc>
        <w:tc>
          <w:tcPr>
            <w:tcW w:w="3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8"/>
                <w:szCs w:val="18"/>
                <w:color w:val="auto"/>
              </w:rPr>
            </w:pPr>
          </w:p>
        </w:tc>
        <w:tc>
          <w:tcPr>
            <w:tcW w:w="4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w w:val="96"/>
              </w:rPr>
              <w:t>50.4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Working capital</w:t>
            </w:r>
          </w:p>
        </w:tc>
        <w:tc>
          <w:tcPr>
            <w:tcW w:w="700" w:type="dxa"/>
            <w:vAlign w:val="bottom"/>
            <w:gridSpan w:val="2"/>
          </w:tcPr>
          <w:p>
            <w:pPr>
              <w:jc w:val="right"/>
              <w:ind w:right="7"/>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w w:val="84"/>
              </w:rPr>
              <w:t>132.5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w w:val="96"/>
              </w:rPr>
              <w:t>98.6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7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221.3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4"/>
              </w:rPr>
              <w:t>279.3</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1"/>
              <w:spacing w:after="0"/>
              <w:rPr>
                <w:sz w:val="20"/>
                <w:szCs w:val="20"/>
                <w:color w:val="auto"/>
              </w:rPr>
            </w:pPr>
            <w:r>
              <w:rPr>
                <w:rFonts w:ascii="Arial" w:cs="Arial" w:eastAsia="Arial" w:hAnsi="Arial"/>
                <w:sz w:val="18"/>
                <w:szCs w:val="18"/>
                <w:color w:val="auto"/>
              </w:rPr>
              <w:t>330.7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Total debt</w:t>
            </w:r>
          </w:p>
        </w:tc>
        <w:tc>
          <w:tcPr>
            <w:tcW w:w="700" w:type="dxa"/>
            <w:vAlign w:val="bottom"/>
            <w:gridSpan w:val="2"/>
          </w:tcPr>
          <w:p>
            <w:pPr>
              <w:jc w:val="right"/>
              <w:ind w:right="7"/>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7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140.0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4"/>
              </w:rPr>
              <w:t>191.9</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1"/>
              <w:spacing w:after="0"/>
              <w:rPr>
                <w:sz w:val="20"/>
                <w:szCs w:val="20"/>
                <w:color w:val="auto"/>
              </w:rPr>
            </w:pPr>
            <w:r>
              <w:rPr>
                <w:rFonts w:ascii="Arial" w:cs="Arial" w:eastAsia="Arial" w:hAnsi="Arial"/>
                <w:sz w:val="18"/>
                <w:szCs w:val="18"/>
                <w:color w:val="auto"/>
              </w:rPr>
              <w:t>219.6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70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The following table presents details of the total stock-based compensation expense resulting from our Equity Award Review as well as previously</w:t>
      </w:r>
    </w:p>
    <w:p>
      <w:pPr>
        <w:spacing w:after="0" w:line="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recorded stock-based compensation expense and unauthorized issuance of stock expense that is included within the functional line items in the consolidated</w:t>
      </w:r>
    </w:p>
    <w:p>
      <w:pPr>
        <w:sectPr>
          <w:pgSz w:w="11900" w:h="16838" w:orient="portrait"/>
          <w:cols w:equalWidth="0" w:num="1">
            <w:col w:w="11400"/>
          </w:cols>
          <w:pgMar w:left="240" w:top="125" w:right="259" w:bottom="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statements of operations data above. The expense below does not include the related tax adjustments.</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2"/>
              </w:rPr>
              <w:t>As of December 31,</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4320" w:type="dxa"/>
            <w:vAlign w:val="bottom"/>
          </w:tcPr>
          <w:p>
            <w:pPr>
              <w:spacing w:after="0"/>
              <w:rPr>
                <w:sz w:val="11"/>
                <w:szCs w:val="11"/>
                <w:color w:val="auto"/>
              </w:rPr>
            </w:pPr>
          </w:p>
        </w:tc>
        <w:tc>
          <w:tcPr>
            <w:tcW w:w="56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2003</w:t>
            </w: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2004</w:t>
            </w:r>
          </w:p>
        </w:tc>
        <w:tc>
          <w:tcPr>
            <w:tcW w:w="1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1"/>
                <w:szCs w:val="11"/>
                <w:color w:val="auto"/>
              </w:rPr>
            </w:pPr>
          </w:p>
        </w:tc>
      </w:tr>
      <w:tr>
        <w:trPr>
          <w:trHeight w:val="102"/>
        </w:trPr>
        <w:tc>
          <w:tcPr>
            <w:tcW w:w="4320" w:type="dxa"/>
            <w:vAlign w:val="bottom"/>
          </w:tcPr>
          <w:p>
            <w:pPr>
              <w:spacing w:after="0"/>
              <w:rPr>
                <w:sz w:val="8"/>
                <w:szCs w:val="8"/>
                <w:color w:val="auto"/>
              </w:rPr>
            </w:pPr>
          </w:p>
        </w:tc>
        <w:tc>
          <w:tcPr>
            <w:tcW w:w="700" w:type="dxa"/>
            <w:vAlign w:val="bottom"/>
            <w:gridSpan w:val="4"/>
          </w:tcPr>
          <w:p>
            <w:pPr>
              <w:ind w:left="20"/>
              <w:spacing w:after="0" w:line="102" w:lineRule="exact"/>
              <w:rPr>
                <w:sz w:val="20"/>
                <w:szCs w:val="20"/>
                <w:color w:val="auto"/>
              </w:rPr>
            </w:pPr>
            <w:r>
              <w:rPr>
                <w:rFonts w:ascii="Arial" w:cs="Arial" w:eastAsia="Arial" w:hAnsi="Arial"/>
                <w:sz w:val="11"/>
                <w:szCs w:val="11"/>
                <w:b w:val="1"/>
                <w:bCs w:val="1"/>
                <w:color w:val="auto"/>
              </w:rPr>
              <w:t>(Restated)</w:t>
            </w:r>
          </w:p>
        </w:tc>
        <w:tc>
          <w:tcPr>
            <w:tcW w:w="220" w:type="dxa"/>
            <w:vAlign w:val="bottom"/>
          </w:tcPr>
          <w:p>
            <w:pPr>
              <w:spacing w:after="0"/>
              <w:rPr>
                <w:sz w:val="8"/>
                <w:szCs w:val="8"/>
                <w:color w:val="auto"/>
              </w:rPr>
            </w:pPr>
          </w:p>
        </w:tc>
        <w:tc>
          <w:tcPr>
            <w:tcW w:w="720" w:type="dxa"/>
            <w:vAlign w:val="bottom"/>
            <w:gridSpan w:val="4"/>
          </w:tcPr>
          <w:p>
            <w:pPr>
              <w:ind w:left="40"/>
              <w:spacing w:after="0" w:line="102" w:lineRule="exact"/>
              <w:rPr>
                <w:sz w:val="20"/>
                <w:szCs w:val="20"/>
                <w:color w:val="auto"/>
              </w:rPr>
            </w:pPr>
            <w:r>
              <w:rPr>
                <w:rFonts w:ascii="Arial" w:cs="Arial" w:eastAsia="Arial" w:hAnsi="Arial"/>
                <w:sz w:val="11"/>
                <w:szCs w:val="11"/>
                <w:b w:val="1"/>
                <w:bCs w:val="1"/>
                <w:color w:val="auto"/>
              </w:rPr>
              <w:t>(Restated)</w:t>
            </w:r>
          </w:p>
        </w:tc>
        <w:tc>
          <w:tcPr>
            <w:tcW w:w="220" w:type="dxa"/>
            <w:vAlign w:val="bottom"/>
          </w:tcPr>
          <w:p>
            <w:pPr>
              <w:spacing w:after="0"/>
              <w:rPr>
                <w:sz w:val="8"/>
                <w:szCs w:val="8"/>
                <w:color w:val="auto"/>
              </w:rPr>
            </w:pPr>
          </w:p>
        </w:tc>
        <w:tc>
          <w:tcPr>
            <w:tcW w:w="72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(Restated)</w:t>
            </w:r>
          </w:p>
        </w:tc>
        <w:tc>
          <w:tcPr>
            <w:tcW w:w="240" w:type="dxa"/>
            <w:vAlign w:val="bottom"/>
          </w:tcPr>
          <w:p>
            <w:pPr>
              <w:spacing w:after="0"/>
              <w:rPr>
                <w:sz w:val="8"/>
                <w:szCs w:val="8"/>
                <w:color w:val="auto"/>
              </w:rPr>
            </w:pPr>
          </w:p>
        </w:tc>
        <w:tc>
          <w:tcPr>
            <w:tcW w:w="74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(Restated)</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62"/>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11"/>
          </w:tcPr>
          <w:p>
            <w:pPr>
              <w:jc w:val="center"/>
              <w:ind w:right="680"/>
              <w:spacing w:after="0"/>
              <w:rPr>
                <w:sz w:val="20"/>
                <w:szCs w:val="20"/>
                <w:color w:val="auto"/>
              </w:rPr>
            </w:pPr>
            <w:r>
              <w:rPr>
                <w:rFonts w:ascii="Arial" w:cs="Arial" w:eastAsia="Arial" w:hAnsi="Arial"/>
                <w:sz w:val="14"/>
                <w:szCs w:val="14"/>
                <w:b w:val="1"/>
                <w:bCs w:val="1"/>
                <w:color w:val="auto"/>
                <w:w w:val="93"/>
              </w:rPr>
              <w:t>(All amounts in millions)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2"/>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Supplemental Data on Stock-Based Compensation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Unauthorized Issuance of Stock Expense:</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84"/>
        </w:trPr>
        <w:tc>
          <w:tcPr>
            <w:tcW w:w="43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2.9</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$ 1.5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$ 1.7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r>
      <w:tr>
        <w:trPr>
          <w:trHeight w:val="284"/>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24"/>
                <w:szCs w:val="24"/>
                <w:color w:val="auto"/>
              </w:rPr>
            </w:pPr>
          </w:p>
        </w:tc>
      </w:tr>
      <w:tr>
        <w:trPr>
          <w:trHeight w:val="284"/>
        </w:trPr>
        <w:tc>
          <w:tcPr>
            <w:tcW w:w="4320" w:type="dxa"/>
            <w:vAlign w:val="bottom"/>
          </w:tcPr>
          <w:p>
            <w:pPr>
              <w:ind w:left="180"/>
              <w:spacing w:after="0"/>
              <w:rPr>
                <w:sz w:val="20"/>
                <w:szCs w:val="20"/>
                <w:color w:val="auto"/>
              </w:rPr>
            </w:pPr>
            <w:r>
              <w:rPr>
                <w:rFonts w:ascii="Arial" w:cs="Arial" w:eastAsia="Arial" w:hAnsi="Arial"/>
                <w:sz w:val="18"/>
                <w:szCs w:val="18"/>
                <w:color w:val="auto"/>
              </w:rPr>
              <w:t>Unauthorized issuance of stock</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0.6</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84"/>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0.6</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r>
      <w:tr>
        <w:trPr>
          <w:trHeight w:val="277"/>
        </w:trPr>
        <w:tc>
          <w:tcPr>
            <w:tcW w:w="432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6.7</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15.8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$ 2.4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$ 2.8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24"/>
                <w:szCs w:val="24"/>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following table presents the detail of the non-income tax payroll related adjustments resulting from the Equity Award Review that is included within the functional line items in the consolidated statements of operations data above.</w:t>
      </w:r>
    </w:p>
    <w:p>
      <w:pPr>
        <w:spacing w:after="0" w:line="149" w:lineRule="exact"/>
        <w:rPr>
          <w:sz w:val="20"/>
          <w:szCs w:val="20"/>
          <w:color w:val="auto"/>
        </w:rPr>
      </w:pPr>
    </w:p>
    <w:tbl>
      <w:tblPr>
        <w:tblLayout w:type="fixed"/>
        <w:tblInd w:w="140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2"/>
              </w:rPr>
              <w:t>As of December 31,</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9"/>
        </w:trPr>
        <w:tc>
          <w:tcPr>
            <w:tcW w:w="4320" w:type="dxa"/>
            <w:vAlign w:val="bottom"/>
          </w:tcPr>
          <w:p>
            <w:pPr>
              <w:spacing w:after="0"/>
              <w:rPr>
                <w:sz w:val="11"/>
                <w:szCs w:val="11"/>
                <w:color w:val="auto"/>
              </w:rPr>
            </w:pPr>
          </w:p>
        </w:tc>
        <w:tc>
          <w:tcPr>
            <w:tcW w:w="5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2002</w:t>
            </w:r>
          </w:p>
        </w:tc>
        <w:tc>
          <w:tcPr>
            <w:tcW w:w="1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2003</w:t>
            </w: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2004</w:t>
            </w: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2006</w:t>
            </w:r>
          </w:p>
        </w:tc>
        <w:tc>
          <w:tcPr>
            <w:tcW w:w="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2"/>
        </w:trPr>
        <w:tc>
          <w:tcPr>
            <w:tcW w:w="4320" w:type="dxa"/>
            <w:vAlign w:val="bottom"/>
          </w:tcPr>
          <w:p>
            <w:pPr>
              <w:spacing w:after="0"/>
              <w:rPr>
                <w:sz w:val="8"/>
                <w:szCs w:val="8"/>
                <w:color w:val="auto"/>
              </w:rPr>
            </w:pPr>
          </w:p>
        </w:tc>
        <w:tc>
          <w:tcPr>
            <w:tcW w:w="70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(Restated)</w:t>
            </w:r>
          </w:p>
        </w:tc>
        <w:tc>
          <w:tcPr>
            <w:tcW w:w="220" w:type="dxa"/>
            <w:vAlign w:val="bottom"/>
          </w:tcPr>
          <w:p>
            <w:pPr>
              <w:spacing w:after="0"/>
              <w:rPr>
                <w:sz w:val="8"/>
                <w:szCs w:val="8"/>
                <w:color w:val="auto"/>
              </w:rPr>
            </w:pPr>
          </w:p>
        </w:tc>
        <w:tc>
          <w:tcPr>
            <w:tcW w:w="700" w:type="dxa"/>
            <w:vAlign w:val="bottom"/>
            <w:gridSpan w:val="3"/>
          </w:tcPr>
          <w:p>
            <w:pPr>
              <w:jc w:val="right"/>
              <w:spacing w:after="0" w:line="102" w:lineRule="exact"/>
              <w:rPr>
                <w:sz w:val="20"/>
                <w:szCs w:val="20"/>
                <w:color w:val="auto"/>
              </w:rPr>
            </w:pPr>
            <w:r>
              <w:rPr>
                <w:rFonts w:ascii="Arial" w:cs="Arial" w:eastAsia="Arial" w:hAnsi="Arial"/>
                <w:sz w:val="11"/>
                <w:szCs w:val="11"/>
                <w:b w:val="1"/>
                <w:bCs w:val="1"/>
                <w:color w:val="auto"/>
              </w:rPr>
              <w:t>(Restated)</w:t>
            </w:r>
          </w:p>
        </w:tc>
        <w:tc>
          <w:tcPr>
            <w:tcW w:w="220" w:type="dxa"/>
            <w:vAlign w:val="bottom"/>
          </w:tcPr>
          <w:p>
            <w:pPr>
              <w:spacing w:after="0"/>
              <w:rPr>
                <w:sz w:val="8"/>
                <w:szCs w:val="8"/>
                <w:color w:val="auto"/>
              </w:rPr>
            </w:pPr>
          </w:p>
        </w:tc>
        <w:tc>
          <w:tcPr>
            <w:tcW w:w="720" w:type="dxa"/>
            <w:vAlign w:val="bottom"/>
            <w:gridSpan w:val="4"/>
          </w:tcPr>
          <w:p>
            <w:pPr>
              <w:jc w:val="right"/>
              <w:spacing w:after="0" w:line="102" w:lineRule="exact"/>
              <w:rPr>
                <w:sz w:val="20"/>
                <w:szCs w:val="20"/>
                <w:color w:val="auto"/>
              </w:rPr>
            </w:pPr>
            <w:r>
              <w:rPr>
                <w:rFonts w:ascii="Arial" w:cs="Arial" w:eastAsia="Arial" w:hAnsi="Arial"/>
                <w:sz w:val="11"/>
                <w:szCs w:val="11"/>
                <w:b w:val="1"/>
                <w:bCs w:val="1"/>
                <w:color w:val="auto"/>
              </w:rPr>
              <w:t>(Restated)</w:t>
            </w:r>
          </w:p>
        </w:tc>
        <w:tc>
          <w:tcPr>
            <w:tcW w:w="240" w:type="dxa"/>
            <w:vAlign w:val="bottom"/>
          </w:tcPr>
          <w:p>
            <w:pPr>
              <w:spacing w:after="0"/>
              <w:rPr>
                <w:sz w:val="8"/>
                <w:szCs w:val="8"/>
                <w:color w:val="auto"/>
              </w:rPr>
            </w:pPr>
          </w:p>
        </w:tc>
        <w:tc>
          <w:tcPr>
            <w:tcW w:w="720" w:type="dxa"/>
            <w:vAlign w:val="bottom"/>
            <w:gridSpan w:val="3"/>
          </w:tcPr>
          <w:p>
            <w:pPr>
              <w:jc w:val="right"/>
              <w:spacing w:after="0" w:line="102" w:lineRule="exact"/>
              <w:rPr>
                <w:sz w:val="20"/>
                <w:szCs w:val="20"/>
                <w:color w:val="auto"/>
              </w:rPr>
            </w:pPr>
            <w:r>
              <w:rPr>
                <w:rFonts w:ascii="Arial" w:cs="Arial" w:eastAsia="Arial" w:hAnsi="Arial"/>
                <w:sz w:val="11"/>
                <w:szCs w:val="11"/>
                <w:b w:val="1"/>
                <w:bCs w:val="1"/>
                <w:color w:val="auto"/>
              </w:rPr>
              <w:t>(Restated)</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62"/>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13"/>
          </w:tcPr>
          <w:p>
            <w:pPr>
              <w:jc w:val="center"/>
              <w:ind w:right="640"/>
              <w:spacing w:after="0"/>
              <w:rPr>
                <w:sz w:val="20"/>
                <w:szCs w:val="20"/>
                <w:color w:val="auto"/>
              </w:rPr>
            </w:pPr>
            <w:r>
              <w:rPr>
                <w:rFonts w:ascii="Arial" w:cs="Arial" w:eastAsia="Arial" w:hAnsi="Arial"/>
                <w:sz w:val="14"/>
                <w:szCs w:val="14"/>
                <w:b w:val="1"/>
                <w:bCs w:val="1"/>
                <w:color w:val="auto"/>
                <w:w w:val="93"/>
              </w:rPr>
              <w:t>(All amounts in millions)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2"/>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Supplemental Data on Non-Income Tax Payroll Related</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 (Credit)</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ind w:right="4"/>
              <w:spacing w:after="0"/>
              <w:rPr>
                <w:sz w:val="20"/>
                <w:szCs w:val="20"/>
                <w:color w:val="auto"/>
              </w:rPr>
            </w:pPr>
            <w:r>
              <w:rPr>
                <w:rFonts w:ascii="Arial" w:cs="Arial" w:eastAsia="Arial" w:hAnsi="Arial"/>
                <w:sz w:val="18"/>
                <w:szCs w:val="18"/>
                <w:color w:val="auto"/>
              </w:rPr>
              <w:t>$ (0.2)</w:t>
            </w: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(0.4)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w w:val="96"/>
              </w:rPr>
              <w:t>$ —</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tcPr>
          <w:p>
            <w:pPr>
              <w:spacing w:after="0"/>
              <w:rPr>
                <w:sz w:val="18"/>
                <w:szCs w:val="18"/>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$ 0.9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(0.4</w:t>
            </w:r>
          </w:p>
        </w:tc>
        <w:tc>
          <w:tcPr>
            <w:tcW w:w="140" w:type="dxa"/>
            <w:vAlign w:val="bottom"/>
            <w:tcBorders>
              <w:top w:val="single" w:sz="8" w:color="CCEEFF"/>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(0.6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consolidated statement of operations data set forth above for the years ended December 31, 2005 and 2004 and the consolidated balance sheet data as of December 31, 2005, are derived from, and qualified by reference to, the audited restated financial statements appearing elsewhere in this Report. The consolidated statement of operations data for the years ended December 31, 2003 and 2002, and the consolidated balance sheet data as of December 31, 2004, 2003, and 2002, are derived from unaudited financial statements not included herein and have also been restated to reflect the results of the Equity Award Review.</w:t>
      </w:r>
    </w:p>
    <w:p>
      <w:pPr>
        <w:spacing w:after="0" w:line="80" w:lineRule="exact"/>
        <w:rPr>
          <w:sz w:val="20"/>
          <w:szCs w:val="20"/>
          <w:color w:val="auto"/>
        </w:rPr>
      </w:pPr>
    </w:p>
    <w:p>
      <w:pPr>
        <w:ind w:right="220" w:firstLine="360"/>
        <w:spacing w:after="0" w:line="286" w:lineRule="auto"/>
        <w:rPr>
          <w:sz w:val="20"/>
          <w:szCs w:val="20"/>
          <w:color w:val="auto"/>
        </w:rPr>
      </w:pPr>
      <w:r>
        <w:rPr>
          <w:rFonts w:ascii="Arial" w:cs="Arial" w:eastAsia="Arial" w:hAnsi="Arial"/>
          <w:sz w:val="17"/>
          <w:szCs w:val="17"/>
          <w:color w:val="auto"/>
        </w:rPr>
        <w:t>See “Impact of the Additional Stock-Based Compensation Expense-Related Adjustments on the Consolidated Financial Statements” included in, ‘‘Management’s Discussion and Analysis of Financial Condition and Results of Operations,” included in Part II, Item 7 of this Report, for tables presenting the adjustments to our previously-reported consolidated statements of operations for the four years ended December 31, 2005.</w:t>
      </w:r>
    </w:p>
    <w:p>
      <w:pPr>
        <w:spacing w:after="0" w:line="5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information that has been previously filed or otherwise reported in our Quarterly Reports on Form 10-Q or any of our Annual Reports on Form 10-K for the periods affected by the restatement is superseded by the information in this Report, and the previously filed financial statements and related financial information and opinions of our independent registered public accounting firm contained in such reports can no longer be relied upon. The restated consolidated financial statements include unaudited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financial information for interim periods of 2005 consistent with Article 10-01 of Regulation S-X. That information is presented in Note 2 to Notes to Consolidated Financial Statements, included in Part IV, Item 15 of this Report.</w:t>
      </w:r>
    </w:p>
    <w:p>
      <w:pPr>
        <w:spacing w:after="0" w:line="62"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Certain amounts in the selected consolidated financial data above have been reclassified to conform to the 2006 presentation. See Note 1 of Notes to Consolidated Financial Statements, included in Part IV, Item 15 of this Report.</w:t>
      </w:r>
    </w:p>
    <w:p>
      <w:pPr>
        <w:spacing w:after="0" w:line="62"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You should read this selected consolidated financial data together with the Explanatory Note and Consolidated Financial Statements and related Notes contained in this Report and in our subsequent reports filed with the SEC, as well as the section of this Report and our other reports entitled “Management’s Discussion and Analysis of Financial Condition and Results of Operations.”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 (“MD&amp;A”)</w:t>
      </w:r>
    </w:p>
    <w:p>
      <w:pPr>
        <w:spacing w:after="0" w:line="81"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by the U.S. DoD which could cause delays or cancellations of key government contracts; slowdowns in telecommunications infrastructure spending in the United States and globally, which could delay network deployment and reduce demand for our services; the timing, rescheduling or cancellation of significant customer contracts and agreements, or consolidation by or the loss of key customers; failure to successfully consummate acquisitions or integrate acquired operations; the rate of adoption of telecom outsourcing by network carriers and equipment suppliers; the rate of growth of adoption of WLAN and wireless security systems by enterprises; and competition in the marketplace which could reduce revenues and profit margins.</w:t>
      </w:r>
    </w:p>
    <w:p>
      <w:pPr>
        <w:sectPr>
          <w:pgSz w:w="11900" w:h="16838" w:orient="portrait"/>
          <w:cols w:equalWidth="0" w:num="1">
            <w:col w:w="11420"/>
          </w:cols>
          <w:pgMar w:left="240" w:top="125" w:right="239" w:bottom="0" w:gutter="0" w:footer="0" w:header="0"/>
        </w:sectPr>
      </w:pPr>
    </w:p>
    <w:p>
      <w:pPr>
        <w:spacing w:after="0" w:line="33"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w:t>
      </w:r>
    </w:p>
    <w:p>
      <w:pPr>
        <w:sectPr>
          <w:pgSz w:w="11900" w:h="16838" w:orient="portrait"/>
          <w:cols w:equalWidth="0" w:num="1">
            <w:col w:w="11420"/>
          </w:cols>
          <w:pgMar w:left="240" w:top="125" w:right="239" w:bottom="0" w:gutter="0" w:footer="0" w:header="0"/>
          <w:type w:val="continuous"/>
        </w:sectPr>
      </w:pPr>
    </w:p>
    <w:bookmarkStart w:id="27" w:name="page28"/>
    <w:bookmarkEnd w:id="27"/>
    <w:p>
      <w:pPr>
        <w:ind w:right="580"/>
        <w:spacing w:after="0" w:line="277" w:lineRule="auto"/>
        <w:rPr>
          <w:sz w:val="20"/>
          <w:szCs w:val="20"/>
          <w:color w:val="auto"/>
        </w:rPr>
      </w:pPr>
      <w:r>
        <w:rPr>
          <w:rFonts w:ascii="Arial" w:cs="Arial" w:eastAsia="Arial" w:hAnsi="Arial"/>
          <w:sz w:val="18"/>
          <w:szCs w:val="18"/>
          <w:i w:val="1"/>
          <w:iCs w:val="1"/>
          <w:color w:val="auto"/>
        </w:rPr>
        <w:t>looking statements. We are under no obligation to update any of the forward-looking statements after the filing of this Annual Report on Form 10-K to conform such statements to actual results or to changes in our expectations.</w:t>
      </w:r>
    </w:p>
    <w:p>
      <w:pPr>
        <w:spacing w:after="0" w:line="22" w:lineRule="exact"/>
        <w:rPr>
          <w:sz w:val="20"/>
          <w:szCs w:val="20"/>
          <w:color w:val="auto"/>
        </w:rPr>
      </w:pPr>
    </w:p>
    <w:p>
      <w:pPr>
        <w:ind w:right="180" w:firstLine="360"/>
        <w:spacing w:after="0" w:line="291" w:lineRule="auto"/>
        <w:rPr>
          <w:sz w:val="20"/>
          <w:szCs w:val="20"/>
          <w:color w:val="auto"/>
        </w:rPr>
      </w:pPr>
      <w:r>
        <w:rPr>
          <w:rFonts w:ascii="Arial" w:cs="Arial" w:eastAsia="Arial" w:hAnsi="Arial"/>
          <w:sz w:val="16"/>
          <w:szCs w:val="16"/>
          <w:i w:val="1"/>
          <w:iCs w:val="1"/>
          <w:color w:val="auto"/>
        </w:rPr>
        <w:t>Certain of the information set forth herein, including costs and expenses that exclude the impact of stock compensation expense in 2006, may be considered non-GAAP financial measures. We believe this information is useful to investors because it provides a basis for measuring the operating performance of our business and our cash flow, excluding the effect of stock compensation expense that would normally be included in the most directly comparable measures calculated and presented in accordance with Generally Accepted Accounting Principles.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we report may not be comparable to similarly titled amounts reported by other companies.</w:t>
      </w:r>
    </w:p>
    <w:p>
      <w:pPr>
        <w:spacing w:after="0" w:line="5"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our audited consolidated financial statements and the related notes and other financial information appearing elsewhere in this Form 10-K and other reports and filings made with the Securities and Exchange Commission.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and And Item 1A—Risk Factors.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Review</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Background and Scope of Review</w:t>
      </w:r>
    </w:p>
    <w:p>
      <w:pPr>
        <w:spacing w:after="0" w:line="63"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Our current executive management team, which has been in place since 2004, initiated an internal review of our historical practices related to granting stock option awards and other equity awards (the “</w:t>
      </w:r>
      <w:r>
        <w:rPr>
          <w:rFonts w:ascii="Arial" w:cs="Arial" w:eastAsia="Arial" w:hAnsi="Arial"/>
          <w:sz w:val="16"/>
          <w:szCs w:val="16"/>
          <w:i w:val="1"/>
          <w:iCs w:val="1"/>
          <w:color w:val="auto"/>
        </w:rPr>
        <w:t>Equity Award Review</w:t>
      </w:r>
      <w:r>
        <w:rPr>
          <w:rFonts w:ascii="Arial" w:cs="Arial" w:eastAsia="Arial" w:hAnsi="Arial"/>
          <w:sz w:val="16"/>
          <w:szCs w:val="16"/>
          <w:color w:val="auto"/>
        </w:rPr>
        <w:t>”) in the summer of 2006 in reaction to media reports regarding stock option granting practices of public companies. In February 2007, the Board appointed a Special Committee of the Board to review the adequacy of the Equity Award Review and the recommendations of management regarding historical option granting practices, and to make recommendations and findings regarding those practices and individual conduct. The Special Committee was not charged with making, and did not make, any evaluation of the accounting determinations and related tax adjustments. The accounting determinations and related tax adjustments were evaluated by Management and the Audit Committee of the Board of Directors. The Special Committee was comprised of a non-employee director who had not served on our Compensation Committee before 2005.</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The Equity Award Review encompassed all grants of options to purchase shares of our common stock and other equity awards made since two months prior to our IPO in November 1999 through December 2006. We also reviewed all option grants that were entered into our stock option database (Equity Edge) after our IPO with a grant date before November 1999, as well as other substantial grants issued prior to our IPO. The total number of grants reviewed in the Equity Award Review exceeded 14,000 individual grants. We further reviewed all option grants with a grant date that preceded an employee’s date of hire. As part of the review, interviews of 18 current and former officers, directors, employees and attorneys were conducted, and more than 40 million pages of electronic and hard copy documents were searched for relevant information. The Special Committee also conducted its own separate review of the option granting practices during the tenure of current executive management team through additional interviews and document collection and review with the assistance of its own separate counsel, Pillsbury Winthrop Shaw Pittman and FTI Consulting.</w:t>
      </w:r>
    </w:p>
    <w:p>
      <w:pPr>
        <w:spacing w:after="0" w:line="30"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Special Committee completed its evaluation of the Equity Award Review in August 2007 after considering the information gathered by management and Morrison &amp; Foerster, along with testing and data gathering by Pillsbury Winthrop and FTI Consulting. The Special Committee concluded that the Equity Award Review was complete and worthy of reliance. Our Board has also concluded that the scope and thoroughness of the Equity Award Review was complete and appropriate.</w:t>
      </w:r>
    </w:p>
    <w:p>
      <w:pPr>
        <w:spacing w:after="0" w:line="38" w:lineRule="exact"/>
        <w:rPr>
          <w:sz w:val="20"/>
          <w:szCs w:val="20"/>
          <w:color w:val="auto"/>
        </w:rPr>
      </w:pPr>
    </w:p>
    <w:p>
      <w:pPr>
        <w:ind w:right="180" w:firstLine="360"/>
        <w:spacing w:after="0" w:line="272" w:lineRule="auto"/>
        <w:rPr>
          <w:sz w:val="20"/>
          <w:szCs w:val="20"/>
          <w:color w:val="auto"/>
        </w:rPr>
      </w:pPr>
      <w:r>
        <w:rPr>
          <w:rFonts w:ascii="Arial" w:cs="Arial" w:eastAsia="Arial" w:hAnsi="Arial"/>
          <w:sz w:val="17"/>
          <w:szCs w:val="17"/>
          <w:color w:val="auto"/>
        </w:rPr>
        <w:t>The Equity Award Review demonstrated the absence of contemporaneous evidence supporting a substantial number of the previously-recorded option grants, substantially all of which were made in the period from 1998 through late 2003. During this period of time, in some instances, documents, data and interviews suggest that option grants were prepared or finalized days or, in some cases, weeks or months after the option grant date recorded in our accounting records. The affected grants include options issued to certain newly-hired employees using measurement dates prior to their employment start dates and options issued to non-employees, including advisors to the Board of Directors, erroneously designated as employees. The Special Committee also concluded that certain former employees and former officers participated in making improper option grants, including the selection of grant dates with the benefit of hindsight and in the delay in dating of otherwise approved option grants.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Impact on Previously Issued Reports and Financial Statements</w:t>
      </w:r>
    </w:p>
    <w:p>
      <w:pPr>
        <w:spacing w:after="0" w:line="63"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light of the Equity Award Review and the Special Committee’s findings described below, the Audit Committee of our Board concluded that our prior financial statements for periods from 1998 through our filing of interim financial statements for the period ended September 30, 2006 must be restated. Our management determined that, from fiscal year 1998 through fiscal year 2005, the Company did not properly recognize non-cash equity-based compensation charges. These charges are material to our financial statements for the years ended December 31, 1998 through 2005, the periods to which such charges would have related. Previously filed annual reports on Form 10-K and quarterly reports on Form 10-Q affected by the restatements have not been and will not be amended and should not be relied upon.</w:t>
      </w:r>
    </w:p>
    <w:p>
      <w:pPr>
        <w:spacing w:after="0" w:line="31"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Consistent with the relevant accounting standards and recent guidance from the SEC as part of the Equity Award Review, the grants during the relevant period were organized into categories based on grant type and process by which the grant was finalized. We analyzed the evidence related to grants in each category as part of the Equity Award Review. This evidence included, but was not limited to, electronic and physical documents, document metadata, and witness interviews. The controlling accounting standards were applied to the relevant facts and circumstances, in a manner consistent with recent guidance from the SEC, to determine the proper measurement date for every grant within each category. If the measurement date was not the same as the originally assigned grant date, accounting adjustments were made as required, resulting in stock-based compensation expense and related income tax effects, as detailed below.</w:t>
      </w:r>
    </w:p>
    <w:p>
      <w:pPr>
        <w:spacing w:after="0" w:line="27"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 xml:space="preserve">Based on the results of the Equity Award Review, we concluded that, pursuant to Accounting Principles Board Opinion No. 25, </w:t>
      </w:r>
      <w:r>
        <w:rPr>
          <w:rFonts w:ascii="Arial" w:cs="Arial" w:eastAsia="Arial" w:hAnsi="Arial"/>
          <w:sz w:val="18"/>
          <w:szCs w:val="18"/>
          <w:i w:val="1"/>
          <w:iCs w:val="1"/>
          <w:color w:val="auto"/>
        </w:rPr>
        <w:t>Accounting for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Issued to Employees </w:t>
      </w:r>
      <w:r>
        <w:rPr>
          <w:rFonts w:ascii="Arial" w:cs="Arial" w:eastAsia="Arial" w:hAnsi="Arial"/>
          <w:sz w:val="18"/>
          <w:szCs w:val="18"/>
          <w:color w:val="auto"/>
        </w:rPr>
        <w:t>(“</w:t>
      </w:r>
      <w:r>
        <w:rPr>
          <w:rFonts w:ascii="Arial" w:cs="Arial" w:eastAsia="Arial" w:hAnsi="Arial"/>
          <w:sz w:val="18"/>
          <w:szCs w:val="18"/>
          <w:i w:val="1"/>
          <w:iCs w:val="1"/>
          <w:color w:val="auto"/>
        </w:rPr>
        <w:t>APB 25</w:t>
      </w:r>
      <w:r>
        <w:rPr>
          <w:rFonts w:ascii="Arial" w:cs="Arial" w:eastAsia="Arial" w:hAnsi="Arial"/>
          <w:sz w:val="18"/>
          <w:szCs w:val="18"/>
          <w:color w:val="auto"/>
        </w:rPr>
        <w:t>”), and relevant</w:t>
      </w:r>
    </w:p>
    <w:p>
      <w:pPr>
        <w:sectPr>
          <w:pgSz w:w="11900" w:h="16838" w:orient="portrait"/>
          <w:cols w:equalWidth="0" w:num="1">
            <w:col w:w="11420"/>
          </w:cols>
          <w:pgMar w:left="240" w:top="125" w:right="239" w:bottom="73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730" w:gutter="0" w:footer="0" w:header="0"/>
          <w:type w:val="continuous"/>
        </w:sectPr>
      </w:pPr>
    </w:p>
    <w:bookmarkStart w:id="28" w:name="page29"/>
    <w:bookmarkEnd w:id="28"/>
    <w:p>
      <w:pPr>
        <w:ind w:right="20"/>
        <w:spacing w:after="0" w:line="286" w:lineRule="auto"/>
        <w:rPr>
          <w:sz w:val="20"/>
          <w:szCs w:val="20"/>
          <w:color w:val="auto"/>
        </w:rPr>
      </w:pPr>
      <w:r>
        <w:rPr>
          <w:rFonts w:ascii="Arial" w:cs="Arial" w:eastAsia="Arial" w:hAnsi="Arial"/>
          <w:sz w:val="16"/>
          <w:szCs w:val="16"/>
          <w:color w:val="auto"/>
        </w:rPr>
        <w:t>interpretations, revised accounting measurement dates should be applied to a substantial number of the stock option grants covering options for the purchase of 15.2 million shares of our common stock that were awarded primarily between March 1998 and December 2003. The use of the revised measurement dates for the affected option grants required us to record a total of $75.0 million in additional deferred compensation, with substantially all of the increase relating to option grants made before December 31, 2003. We have also recorded $58.2 million in additional deferred compensation for the years 1998 through 2005, reflecting the amortization of stock-based compensation expense over the relevant vesting periods, which was typically over four years. After aggregate payroll tax adjustments and income tax adjustments of $9.6 million, the restatement resulted in total net adjustments to net income (loss) of $48.6 million for the years 1998 through 2005. This amount is net of forfeitures related to employee terminations and cancellations of approximately $16.8 million. These amounts do not include the unauthorized issuance of common stock charge of $0.6 million and $5.7 million in 2002 and 2003 related to misappropriated options by the Company’s former stock administrator described herein. The aggregate amount of the Equity Award Review including the misappropriated options is $64.5 million comprised of the $58.2 million in additional stock-based compensation expense and $6.3 million of a charge for unauthorized issuance of common stock. After aggregate other tax adjustments and income tax adjustments of $9.6 million, the restatement resulted in total net adjustments to net income (loss) of $54.9 million for the years 1998 through 2005. Approximately $26.6 million of the stock-based compensation expense was recorded in 2001, which was primarily due to cancellations from our Stock Option Cancel/Re-grant Program, as described below, which resulted in the remaining unamortized deferred compensation being expensed upon the cancellation in March 2001.</w:t>
      </w:r>
    </w:p>
    <w:p>
      <w:pPr>
        <w:spacing w:after="0" w:line="23"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 xml:space="preserve">As a consequence of these adjustments, our audited consolidated financial statements and related disclosures for the years ended December 31, 2004 and 2005 and our consolidated statements of operations and consolidated balance sheet data for the four years ended December 31, 2005, included in “Selected Consolidated Financial Data” in Part II, Item 6 of this Report, have been restated. Additionally, the unaudited quarterly financial information for interim periods of 2005, included in “Management’s Discussion and Analysis of Financial Condition and Results of Operations” in Part II, Item 7 of this Report, have been amended. We have also restated the stock-based compensation expense footnote information calculated under Statement of Financial Accounting Standards, or SFAS,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or SFAS 123</w:t>
      </w:r>
      <w:r>
        <w:rPr>
          <w:rFonts w:ascii="Arial" w:cs="Arial" w:eastAsia="Arial" w:hAnsi="Arial"/>
          <w:sz w:val="17"/>
          <w:szCs w:val="17"/>
          <w:i w:val="1"/>
          <w:iCs w:val="1"/>
          <w:color w:val="auto"/>
        </w:rPr>
        <w:t>,</w:t>
      </w:r>
      <w:r>
        <w:rPr>
          <w:rFonts w:ascii="Arial" w:cs="Arial" w:eastAsia="Arial" w:hAnsi="Arial"/>
          <w:sz w:val="17"/>
          <w:szCs w:val="17"/>
          <w:color w:val="auto"/>
        </w:rPr>
        <w:t xml:space="preserve"> and SFAS No. 148,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Transition and Disclosure</w:t>
      </w:r>
      <w:r>
        <w:rPr>
          <w:rFonts w:ascii="Arial" w:cs="Arial" w:eastAsia="Arial" w:hAnsi="Arial"/>
          <w:sz w:val="17"/>
          <w:szCs w:val="17"/>
          <w:color w:val="auto"/>
        </w:rPr>
        <w:t>, or SFAS 148, under the disclosure-only alternatives of those pronouncements for the years 2004 and 2005 and for interim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of 2005. The restated footnote information has been included in “Management’s Discussion and Analysis of Financial Condition and Results of Operations” as well as in the Consolidated Financial Statements in Part II, Item 15 of this Report.</w:t>
      </w:r>
    </w:p>
    <w:p>
      <w:pPr>
        <w:spacing w:after="0" w:line="20"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None of the adjustments resulting from the Equity Award Review affected our previously-reported revenue, cash, cash equivalents or marketable securities balances in any prior periods.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Former Stock Option Administrator</w:t>
      </w:r>
    </w:p>
    <w:p>
      <w:pPr>
        <w:spacing w:after="0" w:line="77"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During the course of the Equity Award Review, we discovered that Vencent Donlan, a former stock option administrator, had engaged in a fraudulent scheme by which he misappropriated options to purchase more than 700,000 shares of stock. Ill-gotten gains from this scheme exceeded $6.3 million. We have brought an action against Donlan seeking return of the fraudulently obtained stock option proceeds. We also promptly alerted the SEC of our discovery in March 2007. The SEC commenced an enforcement action against Donlan, and the U.S. Attorney’s Office forwarded a grand jury subpoena to us seeking records related to Donlan and our historical option granting practices. We have cooperated with, and intend to continue to cooperate with, both the SEC and the U.S. Attorney’s Office in their actions against Donlan and otherwise. Donlan has consented to an injunction brought by the SEC and has plead guilty to federal criminal charges brought against him by the U.S. Attorney’s Office. We have recorded an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unauthorized issuance of common stock charge of $0.6 million and $5.7 million in 2002 and 2003, respectively, related to this theft.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Historical Option Grant Approval Processes</w:t>
      </w:r>
    </w:p>
    <w:p>
      <w:pPr>
        <w:spacing w:after="0" w:line="77"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Before our IPO, there was no formal policy or process covering granting or approval of stock option grants. As of December 1999, the Compensation Committee, which was comprised of three non-employee members of our Board, delegated authority to our then chief executive officer (“</w:t>
      </w:r>
      <w:r>
        <w:rPr>
          <w:rFonts w:ascii="Arial" w:cs="Arial" w:eastAsia="Arial" w:hAnsi="Arial"/>
          <w:sz w:val="17"/>
          <w:szCs w:val="17"/>
          <w:i w:val="1"/>
          <w:iCs w:val="1"/>
          <w:color w:val="auto"/>
        </w:rPr>
        <w:t>CEO</w:t>
      </w:r>
      <w:r>
        <w:rPr>
          <w:rFonts w:ascii="Arial" w:cs="Arial" w:eastAsia="Arial" w:hAnsi="Arial"/>
          <w:sz w:val="17"/>
          <w:szCs w:val="17"/>
          <w:color w:val="auto"/>
        </w:rPr>
        <w:t>”) to grant options covering the purchase of up to 10,000 shares of our common stock per non-executive officer employee per year (“</w:t>
      </w:r>
      <w:r>
        <w:rPr>
          <w:rFonts w:ascii="Arial" w:cs="Arial" w:eastAsia="Arial" w:hAnsi="Arial"/>
          <w:sz w:val="17"/>
          <w:szCs w:val="17"/>
          <w:i w:val="1"/>
          <w:iCs w:val="1"/>
          <w:color w:val="auto"/>
        </w:rPr>
        <w:t>CEO Award Grants</w:t>
      </w:r>
      <w:r>
        <w:rPr>
          <w:rFonts w:ascii="Arial" w:cs="Arial" w:eastAsia="Arial" w:hAnsi="Arial"/>
          <w:sz w:val="17"/>
          <w:szCs w:val="17"/>
          <w:color w:val="auto"/>
        </w:rPr>
        <w:t>”). Since our IPO, our policies required Compensation Committee approval of option grants that exceeded the limits of the CEO Award Grants and all option grants to executive officers, as defined in Rule 16a-1(f) promulgated under the Securities Exchange Act of 1934, as amended (“</w:t>
      </w:r>
      <w:r>
        <w:rPr>
          <w:rFonts w:ascii="Arial" w:cs="Arial" w:eastAsia="Arial" w:hAnsi="Arial"/>
          <w:sz w:val="17"/>
          <w:szCs w:val="17"/>
          <w:i w:val="1"/>
          <w:iCs w:val="1"/>
          <w:color w:val="auto"/>
        </w:rPr>
        <w:t>Executive Officers</w:t>
      </w:r>
      <w:r>
        <w:rPr>
          <w:rFonts w:ascii="Arial" w:cs="Arial" w:eastAsia="Arial" w:hAnsi="Arial"/>
          <w:sz w:val="17"/>
          <w:szCs w:val="17"/>
          <w:color w:val="auto"/>
        </w:rPr>
        <w:t>”). As a result of the information considered in the Equity Award Review, we have concluded that, from our IPO in November 1999 through October 2003, our option grant processes and procedures were not consistently followed.</w:t>
      </w:r>
    </w:p>
    <w:p>
      <w:pPr>
        <w:spacing w:after="0" w:line="43"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Compensation Committee approved stock option grants using two different forms of authorizations. First, on occasion, the Compensation Committee approved stock option grants at formal meetings of the Compensation Committee. After our IPO, these meetings were typically held quarterly. Second and more often, the Compensation Committee members held informal discussions with our then CEO—typically telephonically or via email—to determine whether option grants should be approved. The approval of option grants determined by the Compensation Committee was documented through the use of unanimous written consent actions. The unanimous written consent actions granted the options “as of” the date the committee members informally approved the grant, which was almost always a date earlier than the date on which the formal unanimous written consent actions were prepared and signed.</w:t>
      </w:r>
    </w:p>
    <w:p>
      <w:pPr>
        <w:spacing w:after="0" w:line="16"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In March 2001, our Board approved a voluntary stock option cancel and re-grant program for employees (the “</w:t>
      </w:r>
      <w:r>
        <w:rPr>
          <w:rFonts w:ascii="Arial" w:cs="Arial" w:eastAsia="Arial" w:hAnsi="Arial"/>
          <w:sz w:val="18"/>
          <w:szCs w:val="18"/>
          <w:i w:val="1"/>
          <w:iCs w:val="1"/>
          <w:color w:val="auto"/>
        </w:rPr>
        <w:t>Cancel/Re-grant Program</w:t>
      </w:r>
      <w:r>
        <w:rPr>
          <w:rFonts w:ascii="Arial" w:cs="Arial" w:eastAsia="Arial" w:hAnsi="Arial"/>
          <w:sz w:val="18"/>
          <w:szCs w:val="18"/>
          <w:color w:val="auto"/>
        </w:rPr>
        <w:t>”). The Cancel/Re-grant Program provided employees with the opportunity to cancel all of their existing and outstanding stock options granted to them on or after September 30, 2000 and before March 30, 2001, and some or all of their existing and outstanding stock options granted to them prior to September 30, 2000, in exchange for a new option grant for an equal number of shares granted at a future date. The new options were issued six months and one day after the cancellation date, March 30, 2001, and the exercise price of the new options was based on the trading price of our common stock on the date of the new option grants.</w:t>
      </w:r>
    </w:p>
    <w:p>
      <w:pPr>
        <w:spacing w:after="0" w:line="45"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One of the objectives of the Equity Award Review was to verify whether the unanimous written consent actions accurately identified the dates on which the Compensation Committee informally approved the option awards. For a number of the unanimous written consent actions, we were able to verify that the date reflected in the document was the date on which the Compensation Committee members informally approved the option grant. However, as to some of the unanimous written consent actions, we were unable to verify that the grant dates reflected in the approval documentation was the date for which the approval had occurred. When we could not verify the grant date reflected in a unanimous written consent action was the date on which it was approved through contemporaneous documents, we made measurement date adjustments based on the best available evidence such as fax dates on unanimous written consents and e-mail correspondence that supported the proper measurement date. This resulted in measurement date changes to 17 grant dates.</w:t>
      </w:r>
    </w:p>
    <w:p>
      <w:pPr>
        <w:spacing w:after="0" w:line="32"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In November 2003, our current CEO, Eric DeMarco, commenced employment as the President of WFI. Shortly thereafter, in December 2003, our former Chief Financial Officer, Terry Ashwill, left the Company. In April 2004, Mr. DeMarco became CEO and the prior CEO, Masood Tayebi, became the Executive Chairman of our Board of Directors. In April 2004, the additional members of our executive team were hired, which included a new Chief Financial Officer, Deanna Lund, and new General Counsel, James Edwards. Shortly thereafter, other positions such as Corporate Controller, Vice President of</w:t>
      </w:r>
    </w:p>
    <w:p>
      <w:pPr>
        <w:sectPr>
          <w:pgSz w:w="11900" w:h="16838" w:orient="portrait"/>
          <w:cols w:equalWidth="0" w:num="1">
            <w:col w:w="11420"/>
          </w:cols>
          <w:pgMar w:left="240" w:top="125" w:right="239" w:bottom="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Human Resources, and Stock Administrator were also hired, replacing the former employees in those positions.</w:t>
      </w:r>
    </w:p>
    <w:p>
      <w:pPr>
        <w:spacing w:after="0" w:line="77"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The new executive management team engaged in an overall review of our processes and controls and made improvements where deemed necessary. Our stock option granting processes and procedures were among the areas to which the new management team made improvements. Thus, shortly after</w:t>
      </w:r>
    </w:p>
    <w:p>
      <w:pPr>
        <w:ind w:right="320"/>
        <w:spacing w:after="0" w:line="261" w:lineRule="auto"/>
        <w:rPr>
          <w:sz w:val="20"/>
          <w:szCs w:val="20"/>
          <w:color w:val="auto"/>
        </w:rPr>
      </w:pPr>
      <w:r>
        <w:rPr>
          <w:rFonts w:ascii="Arial" w:cs="Arial" w:eastAsia="Arial" w:hAnsi="Arial"/>
          <w:sz w:val="18"/>
          <w:szCs w:val="18"/>
          <w:color w:val="auto"/>
        </w:rPr>
        <w:t>April 2004, the processes were formalized and a consistent procedure was implemented for the CEO Award Grants and grants made by the Compensation Committee.</w:t>
      </w:r>
    </w:p>
    <w:p>
      <w:pPr>
        <w:spacing w:after="0" w:line="22"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We believe that the Equity Award Review has confirmed that our equity granting processes and practices in effect since April 2004 are sound and have been consistently followed. The Equity Award Review did not identify any measurement date adjustments required under APB 25 for grants made since November 2003, although it did find minor administrative errors that have resulted in immaterial adjustments aggregating approximately $50,000 for grants during the period from 2004 through 2006.</w:t>
      </w:r>
    </w:p>
    <w:p>
      <w:pPr>
        <w:spacing w:after="0" w:line="25" w:lineRule="exact"/>
        <w:rPr>
          <w:sz w:val="20"/>
          <w:szCs w:val="20"/>
          <w:color w:val="auto"/>
        </w:rPr>
      </w:pPr>
    </w:p>
    <w:p>
      <w:pPr>
        <w:ind w:right="420" w:firstLine="360"/>
        <w:spacing w:after="0" w:line="342" w:lineRule="auto"/>
        <w:rPr>
          <w:sz w:val="20"/>
          <w:szCs w:val="20"/>
          <w:color w:val="auto"/>
        </w:rPr>
      </w:pPr>
      <w:r>
        <w:rPr>
          <w:rFonts w:ascii="Arial" w:cs="Arial" w:eastAsia="Arial" w:hAnsi="Arial"/>
          <w:sz w:val="16"/>
          <w:szCs w:val="16"/>
          <w:color w:val="auto"/>
        </w:rPr>
        <w:t>In January 2007, for various business reasons, we made the decision to discontinue the issuance of stock options as a broad-based form of incentive compensation. Instead, we have begun using other forms of equity-based incentives such as restricted stock or restricted stock units on a limited basis.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Adjustments to Measurement Dates</w:t>
      </w:r>
    </w:p>
    <w:p>
      <w:pPr>
        <w:spacing w:after="0" w:line="63"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As a result of the Equity Award Review, we determined under the criteria set forth in APB 25 that option grants covering a total of 15.2 million of the shares of our common stock require measurement date adjustments. For reasons that fell into four categories, we concluded that the measurement dates originally used for those option grants did not meet the criteria to establish a measurement date, as set forth in APB 25. For some of those grants, more than one reason applied. The four categories are:</w:t>
      </w:r>
    </w:p>
    <w:p>
      <w:pPr>
        <w:spacing w:after="0" w:line="25" w:lineRule="exact"/>
        <w:rPr>
          <w:sz w:val="20"/>
          <w:szCs w:val="20"/>
          <w:color w:val="auto"/>
        </w:rPr>
      </w:pPr>
    </w:p>
    <w:p>
      <w:pPr>
        <w:ind w:right="140" w:firstLine="368"/>
        <w:spacing w:after="0" w:line="270" w:lineRule="auto"/>
        <w:tabs>
          <w:tab w:leader="none" w:pos="49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Lack of Contemporaneous Documentation. </w:t>
      </w:r>
      <w:r>
        <w:rPr>
          <w:rFonts w:ascii="Arial" w:cs="Arial" w:eastAsia="Arial" w:hAnsi="Arial"/>
          <w:sz w:val="17"/>
          <w:szCs w:val="17"/>
          <w:color w:val="auto"/>
        </w:rPr>
        <w:t>The Equity Award Review identified a number of grants for which we have been unable to locate</w:t>
      </w:r>
      <w:r>
        <w:rPr>
          <w:rFonts w:ascii="Arial" w:cs="Arial" w:eastAsia="Arial" w:hAnsi="Arial"/>
          <w:sz w:val="17"/>
          <w:szCs w:val="17"/>
          <w:i w:val="1"/>
          <w:iCs w:val="1"/>
          <w:color w:val="auto"/>
        </w:rPr>
        <w:t xml:space="preserve"> </w:t>
      </w:r>
      <w:r>
        <w:rPr>
          <w:rFonts w:ascii="Arial" w:cs="Arial" w:eastAsia="Arial" w:hAnsi="Arial"/>
          <w:sz w:val="17"/>
          <w:szCs w:val="17"/>
          <w:color w:val="auto"/>
        </w:rPr>
        <w:t>contemporaneous documentation confirming that either a Compensation Committee approval occurred or the CEO Award Grants occurred on the indicated grant date. We identified grants requiring measurement date adjustments under the criteria of APB 25 when we were unable to locate contemporaneous documentation confirming that (1) a meeting occurred on the grant date, (2) the CEO approved the grant on the grant date, (3) the Compensation Committee approved the grant on the grant date or (4) the identification of employee-recipients and grant amounts were finalized by the grant date. The affected grants involved options allowing the purchase of 3.7 million shares of our common stock. Of these options, options to purchase 0.5 million shares were granted to Executive Officers, options to purchase 60,000 shares were granted to three of our current Directors and options to purchase 3.1 million shares were granted to other employees. Adjustments to the APB 25 measurement dates for the grants covered by these grants resulted in the recording of additional deferred compensation of $25.9 million, and amortization of stock-based compensation expense of $22.4 million, with the remaining $3.5 million eliminated due to forfeitures and terminations.</w:t>
      </w:r>
    </w:p>
    <w:p>
      <w:pPr>
        <w:spacing w:after="0" w:line="15" w:lineRule="exact"/>
        <w:rPr>
          <w:rFonts w:ascii="Arial" w:cs="Arial" w:eastAsia="Arial" w:hAnsi="Arial"/>
          <w:sz w:val="17"/>
          <w:szCs w:val="17"/>
          <w:color w:val="auto"/>
        </w:rPr>
      </w:pPr>
    </w:p>
    <w:p>
      <w:pPr>
        <w:ind w:firstLine="368"/>
        <w:spacing w:after="0" w:line="254"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Date Selection/Indications of Other Dates. </w:t>
      </w:r>
      <w:r>
        <w:rPr>
          <w:rFonts w:ascii="Arial" w:cs="Arial" w:eastAsia="Arial" w:hAnsi="Arial"/>
          <w:sz w:val="18"/>
          <w:szCs w:val="18"/>
          <w:color w:val="auto"/>
        </w:rPr>
        <w:t>For twelve grant dates, the Equity Award Review identified documents that indicated that the grant date</w:t>
      </w:r>
      <w:r>
        <w:rPr>
          <w:rFonts w:ascii="Arial" w:cs="Arial" w:eastAsia="Arial" w:hAnsi="Arial"/>
          <w:sz w:val="18"/>
          <w:szCs w:val="18"/>
          <w:i w:val="1"/>
          <w:iCs w:val="1"/>
          <w:color w:val="auto"/>
        </w:rPr>
        <w:t xml:space="preserve"> </w:t>
      </w:r>
      <w:r>
        <w:rPr>
          <w:rFonts w:ascii="Arial" w:cs="Arial" w:eastAsia="Arial" w:hAnsi="Arial"/>
          <w:sz w:val="18"/>
          <w:szCs w:val="18"/>
          <w:color w:val="auto"/>
        </w:rPr>
        <w:t>for some options was selected with the benefit of hindsight after the date indicated on the unanimous written consent or after the CEO authorization form documenting the approval of those options. The affected awards on these twelve grant dates involved option grants covering 7.0 million shares. Of these option grants, options to purchase 1.3 million shares were granted to Executive Officers and options to purchase 5.7 million shares were granted to other employees. Adjustments to the APB 25 measurement dates for these grants resulted in the recording of additional deferred compensation of $13.1 million and amortization of stock-based compensation expense of $9.9 million, with the remaining $3.2 million eliminated due to forfeitures and terminations. Each of the twelve grant dates were on dates when the closing price of our common stock was at or near the lowest price experienced during the previous 7 weeks or earlier.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8"/>
        <w:spacing w:after="0" w:line="269" w:lineRule="auto"/>
        <w:tabs>
          <w:tab w:leader="none" w:pos="495"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Subsequent Allocations. </w:t>
      </w:r>
      <w:r>
        <w:rPr>
          <w:rFonts w:ascii="Arial" w:cs="Arial" w:eastAsia="Arial" w:hAnsi="Arial"/>
          <w:sz w:val="16"/>
          <w:szCs w:val="16"/>
          <w:color w:val="auto"/>
        </w:rPr>
        <w:t>In 1999, 2000, 2001, 2002 and 2003, we made large, broad-based grants of stock options covering a substantial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employees. With respect to seven of the broad-based grant dates, the Equity Award Review identified that we had not completed allocations of options to individual employees by the time the grant was approved by Compensation Committee. The affected awards on these seven grant dates involved option grants covering 4.2 million shares. Of these option awards, options to purchase 0.2 million shares were granted to Executive Officers and options to purchase</w:t>
      </w:r>
    </w:p>
    <w:p>
      <w:pPr>
        <w:spacing w:after="0" w:line="1" w:lineRule="exact"/>
        <w:rPr>
          <w:rFonts w:ascii="Arial" w:cs="Arial" w:eastAsia="Arial" w:hAnsi="Arial"/>
          <w:sz w:val="16"/>
          <w:szCs w:val="16"/>
          <w:color w:val="auto"/>
        </w:rPr>
      </w:pPr>
    </w:p>
    <w:p>
      <w:pPr>
        <w:ind w:right="140"/>
        <w:spacing w:after="0" w:line="239" w:lineRule="auto"/>
        <w:rPr>
          <w:rFonts w:ascii="Arial" w:cs="Arial" w:eastAsia="Arial" w:hAnsi="Arial"/>
          <w:sz w:val="16"/>
          <w:szCs w:val="16"/>
          <w:color w:val="auto"/>
        </w:rPr>
      </w:pPr>
      <w:r>
        <w:rPr>
          <w:rFonts w:ascii="Arial" w:cs="Arial" w:eastAsia="Arial" w:hAnsi="Arial"/>
          <w:sz w:val="18"/>
          <w:szCs w:val="18"/>
          <w:color w:val="auto"/>
        </w:rPr>
        <w:t>4.0 million shares were granted to other employees. Adjustments to the APB 25 measurement dates for these grants resulted in the recording of additional deferred compensation of $23.8 million and amortization of stock-based compensation expense of $17.5 million, with the remaining $6.3 million eliminated due to forfeitures and terminations.</w:t>
      </w:r>
    </w:p>
    <w:p>
      <w:pPr>
        <w:spacing w:after="0" w:line="54" w:lineRule="exact"/>
        <w:rPr>
          <w:rFonts w:ascii="Arial" w:cs="Arial" w:eastAsia="Arial" w:hAnsi="Arial"/>
          <w:sz w:val="16"/>
          <w:szCs w:val="16"/>
          <w:color w:val="auto"/>
        </w:rPr>
      </w:pPr>
    </w:p>
    <w:p>
      <w:pPr>
        <w:ind w:right="100" w:firstLine="368"/>
        <w:spacing w:after="0" w:line="259" w:lineRule="auto"/>
        <w:tabs>
          <w:tab w:leader="none" w:pos="495"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Pre-Hire Grants. </w:t>
      </w:r>
      <w:r>
        <w:rPr>
          <w:rFonts w:ascii="Arial" w:cs="Arial" w:eastAsia="Arial" w:hAnsi="Arial"/>
          <w:sz w:val="17"/>
          <w:szCs w:val="17"/>
          <w:color w:val="auto"/>
        </w:rPr>
        <w:t>We made certain grants in connection with offers of employment to new employees were made on grant dates that preceded the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hire date. These grants involved options to purchase a total of 0.7 million shares. Of these option grants, options to purchase 0.2 million shares were granted to Executive Officers and options to purchase 0.5 million shares were granted to other employees. Adjustments to the APB 25 measurement dates for these grants resulted in the recording of additional deferred compensation of $7.9 million and amortization of stock-based compensation expense of $3.9 million, with the remaining $4.0 million eliminated due to forfeitures and terminations.</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Adjustments</w:t>
      </w:r>
    </w:p>
    <w:p>
      <w:pPr>
        <w:spacing w:after="0" w:line="77" w:lineRule="exact"/>
        <w:rPr>
          <w:sz w:val="20"/>
          <w:szCs w:val="20"/>
          <w:color w:val="auto"/>
        </w:rPr>
      </w:pPr>
    </w:p>
    <w:p>
      <w:pPr>
        <w:ind w:right="40" w:firstLine="360"/>
        <w:spacing w:after="0" w:line="262" w:lineRule="auto"/>
        <w:rPr>
          <w:sz w:val="20"/>
          <w:szCs w:val="20"/>
          <w:color w:val="auto"/>
        </w:rPr>
      </w:pPr>
      <w:r>
        <w:rPr>
          <w:rFonts w:ascii="Arial" w:cs="Arial" w:eastAsia="Arial" w:hAnsi="Arial"/>
          <w:sz w:val="18"/>
          <w:szCs w:val="18"/>
          <w:color w:val="auto"/>
        </w:rPr>
        <w:t>During the course of the Equity Award Review, we identified some instances in which adjustments to deferred compensation were required that were not related to changes in measurement dates for the following reasons:</w:t>
      </w:r>
    </w:p>
    <w:p>
      <w:pPr>
        <w:spacing w:after="0" w:line="34" w:lineRule="exact"/>
        <w:rPr>
          <w:sz w:val="20"/>
          <w:szCs w:val="20"/>
          <w:color w:val="auto"/>
        </w:rPr>
      </w:pPr>
    </w:p>
    <w:p>
      <w:pPr>
        <w:ind w:right="20" w:firstLine="368"/>
        <w:spacing w:after="0" w:line="276" w:lineRule="auto"/>
        <w:tabs>
          <w:tab w:leader="none" w:pos="495"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Non-Employee Grants. </w:t>
      </w:r>
      <w:r>
        <w:rPr>
          <w:rFonts w:ascii="Arial" w:cs="Arial" w:eastAsia="Arial" w:hAnsi="Arial"/>
          <w:sz w:val="16"/>
          <w:szCs w:val="16"/>
          <w:color w:val="auto"/>
        </w:rPr>
        <w:t>Certain grants made to consultants and board advisors under our incentive stock option plan, which allowed only grants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These grants were accounted for under APB 25 as if they were proper incentive stock option awards. In some instances, individuals were added to our payroll, even though they were not employees. The affected awards involved options to purchase 0.3 million shares, of which options to purchase 75,000 shares were issued to one of our Directors prior to his joining our Board. To correctly account for these grants in accordance with SFAS 123 and EITF 96-18, “Accounting for Equity Instruments That Are Issued to Other Than Employees for Acquiring, or in conjunction with Selling, Goods or Services”, we recorded $3.6 million in additional deferred compensation during 1998 through 2003 and amortization of stock-based compensation expense of $3.6 million.</w:t>
      </w:r>
    </w:p>
    <w:p>
      <w:pPr>
        <w:spacing w:after="0" w:line="27" w:lineRule="exact"/>
        <w:rPr>
          <w:rFonts w:ascii="Arial" w:cs="Arial" w:eastAsia="Arial" w:hAnsi="Arial"/>
          <w:sz w:val="16"/>
          <w:szCs w:val="16"/>
          <w:color w:val="auto"/>
        </w:rPr>
      </w:pPr>
    </w:p>
    <w:p>
      <w:pPr>
        <w:ind w:right="60" w:firstLine="368"/>
        <w:spacing w:after="0" w:line="279" w:lineRule="auto"/>
        <w:tabs>
          <w:tab w:leader="none" w:pos="495"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Modifications of Existing Grants</w:t>
      </w:r>
      <w:r>
        <w:rPr>
          <w:rFonts w:ascii="Arial" w:cs="Arial" w:eastAsia="Arial" w:hAnsi="Arial"/>
          <w:sz w:val="16"/>
          <w:szCs w:val="16"/>
          <w:color w:val="auto"/>
        </w:rPr>
        <w:t>. With respect to 0.3 million option grants, modifications were made to employee stock options that were not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in accordance with APB 25. The modifications included the extension of the post-service exercise period for vested stock options of terminated employees and the acceleration of vesting for an Executive Officer, which resulted in $0.1 million of additional deferred compensation and amortization of stock-based compensation expense. Adjustments to reflect the modification of terms in accordance with APB 25 resulted in the recording of $1.3 million in additional deferred compensation and amortization of stock-based compensation expense of $1.3 million, to properly account for these modifications.</w:t>
      </w:r>
    </w:p>
    <w:p>
      <w:pPr>
        <w:spacing w:after="0" w:line="25" w:lineRule="exact"/>
        <w:rPr>
          <w:sz w:val="20"/>
          <w:szCs w:val="20"/>
          <w:color w:val="auto"/>
        </w:rPr>
      </w:pPr>
    </w:p>
    <w:p>
      <w:pPr>
        <w:ind w:right="160" w:firstLine="360"/>
        <w:spacing w:after="0" w:line="324" w:lineRule="auto"/>
        <w:rPr>
          <w:sz w:val="20"/>
          <w:szCs w:val="20"/>
          <w:color w:val="auto"/>
        </w:rPr>
      </w:pPr>
      <w:r>
        <w:rPr>
          <w:rFonts w:ascii="Arial" w:cs="Arial" w:eastAsia="Arial" w:hAnsi="Arial"/>
          <w:sz w:val="16"/>
          <w:szCs w:val="16"/>
          <w:color w:val="auto"/>
        </w:rPr>
        <w:t>We previously recorded stock-based compensation expenses in prior periods for certain former employees for whom, in connection with their terminations, the post-service exercise period for vested stock options was extended or of the vesting period of stock options was accelerated. Those charges</w:t>
      </w:r>
    </w:p>
    <w:p>
      <w:pPr>
        <w:sectPr>
          <w:pgSz w:w="11900" w:h="16838" w:orient="portrait"/>
          <w:cols w:equalWidth="0" w:num="1">
            <w:col w:w="11420"/>
          </w:cols>
          <w:pgMar w:left="240" w:top="125" w:right="239" w:bottom="0" w:gutter="0" w:footer="0" w:header="0"/>
        </w:sectPr>
      </w:pPr>
    </w:p>
    <w:bookmarkStart w:id="30" w:name="page31"/>
    <w:bookmarkEnd w:id="30"/>
    <w:p>
      <w:pPr>
        <w:ind w:right="1020"/>
        <w:spacing w:after="0" w:line="262" w:lineRule="auto"/>
        <w:rPr>
          <w:sz w:val="20"/>
          <w:szCs w:val="20"/>
          <w:color w:val="auto"/>
        </w:rPr>
      </w:pPr>
      <w:r>
        <w:rPr>
          <w:rFonts w:ascii="Arial" w:cs="Arial" w:eastAsia="Arial" w:hAnsi="Arial"/>
          <w:sz w:val="18"/>
          <w:szCs w:val="18"/>
          <w:color w:val="auto"/>
        </w:rPr>
        <w:t>were accounted for correctly pursuant to APB 25. However, as a result of adjustments made in the restatement, the previously-recorded deferred compensation charge was reduced by $0.4 million.</w:t>
      </w:r>
    </w:p>
    <w:p>
      <w:pPr>
        <w:spacing w:after="0" w:line="34" w:lineRule="exact"/>
        <w:rPr>
          <w:sz w:val="20"/>
          <w:szCs w:val="20"/>
          <w:color w:val="auto"/>
        </w:rPr>
      </w:pPr>
    </w:p>
    <w:p>
      <w:pPr>
        <w:ind w:right="80" w:firstLine="360"/>
        <w:spacing w:after="0" w:line="324" w:lineRule="auto"/>
        <w:rPr>
          <w:sz w:val="20"/>
          <w:szCs w:val="20"/>
          <w:color w:val="auto"/>
        </w:rPr>
      </w:pPr>
      <w:r>
        <w:rPr>
          <w:rFonts w:ascii="Arial" w:cs="Arial" w:eastAsia="Arial" w:hAnsi="Arial"/>
          <w:sz w:val="16"/>
          <w:szCs w:val="16"/>
          <w:color w:val="auto"/>
        </w:rPr>
        <w:t>During the course of the Equity Award Review, we discovered that a former stock option administrator had engaged in a fraudulent scheme by which he misappropriated options to purchase more than 700,000 shares of stock. Ill-gotten gains from this scheme approximated $6.3 million, and we have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recorded an unauthorized issuance of common stock charge of $0.6 million and $5.7 million in 2002 and 2003, respectively, related to this theft.</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Measurement Date Adjustments to Grants to Former Executive Officers and Related Party</w:t>
      </w:r>
    </w:p>
    <w:p>
      <w:pPr>
        <w:spacing w:after="0" w:line="117" w:lineRule="exact"/>
        <w:rPr>
          <w:sz w:val="20"/>
          <w:szCs w:val="20"/>
          <w:color w:val="auto"/>
        </w:rPr>
      </w:pPr>
    </w:p>
    <w:p>
      <w:pPr>
        <w:ind w:right="180" w:firstLine="360"/>
        <w:spacing w:after="0" w:line="312" w:lineRule="auto"/>
        <w:rPr>
          <w:sz w:val="20"/>
          <w:szCs w:val="20"/>
          <w:color w:val="auto"/>
        </w:rPr>
      </w:pPr>
      <w:r>
        <w:rPr>
          <w:rFonts w:ascii="Arial" w:cs="Arial" w:eastAsia="Arial" w:hAnsi="Arial"/>
          <w:sz w:val="16"/>
          <w:szCs w:val="16"/>
          <w:color w:val="auto"/>
        </w:rPr>
        <w:t>The Equity Award Review identified option grants to former Executive Officers covering an aggregate of 2.2 million shares that required measurement date adjustments. The resulting aggregate gross increase in deferred compensation associated with these grants was $7.7 million, and the aggregate amortization of stock-based expense associated with these grants was $7.2 million, with the difference of $0.7 million eliminated due to forfeitures.</w:t>
      </w:r>
    </w:p>
    <w:p>
      <w:pPr>
        <w:spacing w:after="0" w:line="39"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Neither of our co-founders, Dr. Massih Tayebi and Dr. Masood Tayebi, was awarded any grants of stock options. Throughout the periods covered by the Equity Award Review, the Tayebi family (including Massih and Masood Tayebi), owned between 30 percent to 40 percent of our outstanding capital stock. Thus, none of the grants requiring measurement date adjustments was made to our co-founders. However, there were grants requiring measurement date adjustments that were issued to the brother of our co-founders, Jay Tayebi, who was the former general manager of our Mexican operation. Options to purchase 530,597 shares that were granted to Jay Tayebi required measurement date adjustments, resulting in increased gross deferred compensation of $6.3 million and amortization of stock-based compensation expense of $5.4 million, with the difference of $0.9 million eliminated due to forfeitures. A total of 2,640 of the shares requiring measurement date adjustments were sold by Mr. Tayebi, of which $9,000 of the profit realized from the sale of those shares was related to the difference in the remeasured price compared to the original option grant price.</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 impact of measurement date adjustments to grants to former Executive Officers is as follows:</w:t>
      </w:r>
    </w:p>
    <w:p>
      <w:pPr>
        <w:spacing w:after="0" w:line="117" w:lineRule="exact"/>
        <w:rPr>
          <w:sz w:val="20"/>
          <w:szCs w:val="20"/>
          <w:color w:val="auto"/>
        </w:rPr>
      </w:pPr>
    </w:p>
    <w:p>
      <w:pPr>
        <w:ind w:left="540" w:hanging="172"/>
        <w:spacing w:after="0" w:line="297"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Terry Ashwill, former Executive Vice President and Chief Financial Officer (September 2000 to December 2003)—grants that in the aggregate allowed the purchase of 562,330 shares were found to require measurement date adjustments resulting in increased gross deferred compensation of $1.0 million and amortization of stock-based compensation expense of $0.6 million, with the difference of $0.3 million eliminated due to forfeitures. A total of 404,448 of the shares requiring measurement date adjustments were sold by Mr. Ashwill, of which $0.7 million of the profit realized from the sale of those shares was related to the difference in the remeasured price compared to the original option grant price.</w:t>
      </w:r>
    </w:p>
    <w:p>
      <w:pPr>
        <w:spacing w:after="0" w:line="50" w:lineRule="exact"/>
        <w:rPr>
          <w:rFonts w:ascii="Arial" w:cs="Arial" w:eastAsia="Arial" w:hAnsi="Arial"/>
          <w:sz w:val="16"/>
          <w:szCs w:val="16"/>
          <w:color w:val="auto"/>
        </w:rPr>
      </w:pPr>
    </w:p>
    <w:p>
      <w:pPr>
        <w:ind w:left="540" w:right="180" w:hanging="172"/>
        <w:spacing w:after="0" w:line="25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Frankie Farjood, former Senior Vice President Deployment (November 1999 to July 2004)—grants that in the aggregate allowed the purchase of 287,743 shares were found to require measurement date adjustments resulting in increased gross deferred compensation of $1.0 million and amortization of stock based compensation of $1.0 million. A total of 170,000 of the shares requiring measurement date adjustments were sold by Mr. Farjood, of which $0.5 million of the profit realized from the sale of those shares was related to the difference in the remeasured price compared to the original option grant price.</w:t>
      </w:r>
    </w:p>
    <w:p>
      <w:pPr>
        <w:spacing w:after="0" w:line="80" w:lineRule="exact"/>
        <w:rPr>
          <w:rFonts w:ascii="Arial" w:cs="Arial" w:eastAsia="Arial" w:hAnsi="Arial"/>
          <w:sz w:val="18"/>
          <w:szCs w:val="18"/>
          <w:color w:val="auto"/>
        </w:rPr>
      </w:pPr>
    </w:p>
    <w:p>
      <w:pPr>
        <w:ind w:left="540" w:right="20" w:hanging="172"/>
        <w:spacing w:after="0" w:line="25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Scott Fox, former President Network Management and Operations (May 1999 to June 2002)—(part time employee June 2002—April 2005) grants that in the aggregate allowed the purchase of 55,014 shares were found to require measurement date adjustments resulting in increased gross deferred compensation of $0.1 million and amortization of stock based compensation of $0.1 million. A total of 53,621 of the shares requiring measurement date adjustments was sold by Mr. Fox, of which $40,000 of the profit realized from the sale of those shares was related to the difference in the remeasured price compared to the original option grant price.</w:t>
      </w:r>
    </w:p>
    <w:p>
      <w:pPr>
        <w:spacing w:after="0" w:line="80" w:lineRule="exact"/>
        <w:rPr>
          <w:rFonts w:ascii="Arial" w:cs="Arial" w:eastAsia="Arial" w:hAnsi="Arial"/>
          <w:sz w:val="18"/>
          <w:szCs w:val="18"/>
          <w:color w:val="auto"/>
        </w:rPr>
      </w:pPr>
    </w:p>
    <w:p>
      <w:pPr>
        <w:ind w:left="540" w:right="100" w:hanging="17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Farzad Ghassemi, former President of Wireless Network Services (February 1998 to June 2007)—grants that in the aggregate allowed the purchase of 194,591 shares were found to require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100"/>
        <w:spacing w:after="0" w:line="312" w:lineRule="auto"/>
        <w:rPr>
          <w:sz w:val="20"/>
          <w:szCs w:val="20"/>
          <w:color w:val="auto"/>
        </w:rPr>
      </w:pPr>
      <w:r>
        <w:rPr>
          <w:rFonts w:ascii="Arial" w:cs="Arial" w:eastAsia="Arial" w:hAnsi="Arial"/>
          <w:sz w:val="16"/>
          <w:szCs w:val="16"/>
          <w:color w:val="auto"/>
        </w:rPr>
        <w:t>measurement date adjustments resulting in increased gross deferred compensation of $0.3 million and amortization of stock based compensation of $0.3 million. A total of 117,000 of the shares requiring measurement date adjustments were sold by Mr. Ghassemi, of which $0.1 million of the profit realized from the sale of those shares was related to the difference in the remeasured price compared to the original option grant price.</w:t>
      </w:r>
    </w:p>
    <w:p>
      <w:pPr>
        <w:spacing w:after="0" w:line="39" w:lineRule="exact"/>
        <w:rPr>
          <w:sz w:val="20"/>
          <w:szCs w:val="20"/>
          <w:color w:val="auto"/>
        </w:rPr>
      </w:pPr>
    </w:p>
    <w:p>
      <w:pPr>
        <w:ind w:left="540" w:right="80" w:hanging="172"/>
        <w:spacing w:after="0" w:line="259"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Greg Jacobssen, former Executive Vice President of Wireless Network Services (July 2002 to January 2004)—grants that in the aggregate allowed the purchase of 60,000 shares were found to require measurement date adjustments resulting in increased gross deferred compensation of $40,000 and amortization of stock based compensation of $10,000, with the difference of $30,000 eliminated due to forefeitures. Mr. Jacobssen did not sell any of the options requiring measurement date adjustments.</w:t>
      </w:r>
    </w:p>
    <w:p>
      <w:pPr>
        <w:spacing w:after="0" w:line="78" w:lineRule="exact"/>
        <w:rPr>
          <w:rFonts w:ascii="Arial" w:cs="Arial" w:eastAsia="Arial" w:hAnsi="Arial"/>
          <w:sz w:val="18"/>
          <w:szCs w:val="18"/>
          <w:color w:val="auto"/>
        </w:rPr>
      </w:pPr>
    </w:p>
    <w:p>
      <w:pPr>
        <w:ind w:left="540" w:right="20" w:hanging="172"/>
        <w:spacing w:after="0" w:line="312"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David Knutson, former Executive Vice President of Wireless Network Services (July 2003 to February 2006)—grants that in the aggregate allowed the purchase of 300,000 shares were found to require measurement date adjustments resulting in increased gross deferred compensation of $1.3 million and amortization of stock based compensation of $1.3 million. Mr. Knutson did not sell any of the options requiring measurement date adjustments.</w:t>
      </w:r>
    </w:p>
    <w:p>
      <w:pPr>
        <w:spacing w:after="0" w:line="38" w:lineRule="exact"/>
        <w:rPr>
          <w:rFonts w:ascii="Arial" w:cs="Arial" w:eastAsia="Arial" w:hAnsi="Arial"/>
          <w:sz w:val="16"/>
          <w:szCs w:val="16"/>
          <w:color w:val="auto"/>
        </w:rPr>
      </w:pPr>
    </w:p>
    <w:p>
      <w:pPr>
        <w:ind w:left="540" w:right="20" w:hanging="172"/>
        <w:spacing w:after="0" w:line="25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Thomas Munro, former Chief Financial Officer (July 1997 to September 2000) and former President (September 2000 to December 2002)—grants that in the aggregate allowed the purchase of 510,890 shares were found to require measurement date adjustments resulting in increased gross deferred compensation of $3.1 million and amortization of stock based compensation of $3.1 million. A total of 88,890 of the shares requiring measurement date adjustments were sold by Mr. Munro, of which $0.1 million of the profit realized from the sale of those shares was related to the difference in the remeasured price compared to the original option grant price.</w:t>
      </w:r>
    </w:p>
    <w:p>
      <w:pPr>
        <w:spacing w:after="0" w:line="80" w:lineRule="exact"/>
        <w:rPr>
          <w:rFonts w:ascii="Arial" w:cs="Arial" w:eastAsia="Arial" w:hAnsi="Arial"/>
          <w:sz w:val="18"/>
          <w:szCs w:val="18"/>
          <w:color w:val="auto"/>
        </w:rPr>
      </w:pPr>
    </w:p>
    <w:p>
      <w:pPr>
        <w:ind w:left="540" w:right="60" w:hanging="172"/>
        <w:spacing w:after="0" w:line="276"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William Brad Weller, former General Counsel and Vice President Legal Affairs (September 1999 to December 2002)—grants that in the aggregate allowed the purchase of 153,636 shares were found to require measurement date adjustments resulting in increased gross deferred compensation of $1.0 million and amortization of stock based compensation of $0.8 million, with the difference of $0.3 million eliminated due to forfeitures. A total of 60,865 of the shares requiring measurement date adjustments were sold by Mr. Weller, of which $0.1 million of the profit realized from the sale of those shares was related to the difference in the remeasured price compared to the original option grant price.</w:t>
      </w:r>
    </w:p>
    <w:p>
      <w:pPr>
        <w:sectPr>
          <w:pgSz w:w="11900" w:h="16838" w:orient="portrait"/>
          <w:cols w:equalWidth="0" w:num="1">
            <w:col w:w="11420"/>
          </w:cols>
          <w:pgMar w:left="240" w:top="125" w:right="239" w:bottom="0" w:gutter="0" w:footer="0" w:header="0"/>
        </w:sectPr>
      </w:pPr>
    </w:p>
    <w:p>
      <w:pPr>
        <w:spacing w:after="0" w:line="17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No Affected Grants to Current Executive Officers</w:t>
      </w:r>
    </w:p>
    <w:p>
      <w:pPr>
        <w:sectPr>
          <w:pgSz w:w="11900" w:h="16838" w:orient="portrait"/>
          <w:cols w:equalWidth="0" w:num="1">
            <w:col w:w="11420"/>
          </w:cols>
          <w:pgMar w:left="240" w:top="125" w:right="239" w:bottom="0" w:gutter="0" w:footer="0" w:header="0"/>
          <w:type w:val="continuous"/>
        </w:sectPr>
      </w:pPr>
    </w:p>
    <w:bookmarkStart w:id="31" w:name="page32"/>
    <w:bookmarkEnd w:id="31"/>
    <w:p>
      <w:pPr>
        <w:ind w:firstLine="360"/>
        <w:spacing w:after="0" w:line="277" w:lineRule="auto"/>
        <w:rPr>
          <w:sz w:val="20"/>
          <w:szCs w:val="20"/>
          <w:color w:val="auto"/>
        </w:rPr>
      </w:pPr>
      <w:r>
        <w:rPr>
          <w:rFonts w:ascii="Arial" w:cs="Arial" w:eastAsia="Arial" w:hAnsi="Arial"/>
          <w:sz w:val="18"/>
          <w:szCs w:val="18"/>
          <w:color w:val="auto"/>
        </w:rPr>
        <w:t>The Equity Award Review examined all option grants to current Executive Officers and concluded that no measurement date adjustments related to those option grants was required.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Aggregate Financial Statement Impact of the Measurement Date and Other Adjustments Identified in the Equity Award Review</w:t>
      </w:r>
    </w:p>
    <w:p>
      <w:pPr>
        <w:spacing w:after="0" w:line="11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 xml:space="preserve">The aggregate gross additional deferred compensation that we recorded for the years 1998 through 2003 as a result of information identified in the Equity Award Review is $75.0 million. The aggregate gross additional deferred compensation that we recorded for the years 2004 through 2005 of approximately $0.5 million was primarily as a result of reductions in deferred compensation to reflect reductions in our stock price for option grants that were repriced and required variable accounting treatment for grants that were issued prior to 2004. The aggregate </w:t>
      </w:r>
      <w:r>
        <w:rPr>
          <w:rFonts w:ascii="Arial" w:cs="Arial" w:eastAsia="Arial" w:hAnsi="Arial"/>
          <w:sz w:val="18"/>
          <w:szCs w:val="18"/>
          <w:i w:val="1"/>
          <w:iCs w:val="1"/>
          <w:color w:val="auto"/>
        </w:rPr>
        <w:t>gross</w:t>
      </w:r>
      <w:r>
        <w:rPr>
          <w:rFonts w:ascii="Arial" w:cs="Arial" w:eastAsia="Arial" w:hAnsi="Arial"/>
          <w:sz w:val="18"/>
          <w:szCs w:val="18"/>
          <w:color w:val="auto"/>
        </w:rPr>
        <w:t xml:space="preserve"> additional deferred compensation for the years 1998 through 2005 does not reflect the elimination of $16.8 million in deferred compensation due to subsequent forfeitures related to employee terminations. In addition, the remaining amount of deferred compensation totaling $0.1 million at December 31, 2005 was eliminated in accordance with the provisions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123R, which we adopted effective January 1, 2006. After these reductions, we recorded </w:t>
      </w:r>
      <w:r>
        <w:rPr>
          <w:rFonts w:ascii="Arial" w:cs="Arial" w:eastAsia="Arial" w:hAnsi="Arial"/>
          <w:sz w:val="17"/>
          <w:szCs w:val="17"/>
          <w:i w:val="1"/>
          <w:iCs w:val="1"/>
          <w:color w:val="auto"/>
        </w:rPr>
        <w:t>net</w:t>
      </w:r>
      <w:r>
        <w:rPr>
          <w:rFonts w:ascii="Arial" w:cs="Arial" w:eastAsia="Arial" w:hAnsi="Arial"/>
          <w:sz w:val="17"/>
          <w:szCs w:val="17"/>
          <w:color w:val="auto"/>
        </w:rPr>
        <w:t xml:space="preserve"> additional stock-based compensation expense of $58.2 million for the years 1998 through 2005 in connection with our Equity Award Review. After related tax adjustments of $9.6 million, the restatement resulted in total net adjustments to net income (loss) of $48.6 million for the years 1998 through 2005. These amounts do not include the unauthorized issuance of common stock charge of $0.6 million and $5.7 million in 2002 and 2003, respectively, related to misappropriated options by the Company’s former stock administrator described herein. The aggregate amount of the Equity Award Review including the misappropriated options is $64.5 million comprised of the $58.2 million in additional stock-based compensation expense and $6.3 million of a charge for unauthorized issuance of common stock. After aggregate other tax adjustments and income tax adjustments of $9.6 million, the restatement resulted in total net adjustments to net income (loss) of $54.9 million for the years 1998 through 2005. The adjustments did not affect our previously-reported revenue, cash, cash equivalents or marketable securities balances in any prior period.</w:t>
      </w:r>
    </w:p>
    <w:p>
      <w:pPr>
        <w:spacing w:after="0" w:line="74"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As stated previously, we made measurement date adjustments based on the best available evidence such as fax dates on unanimous written consents and e-mail correspondence that supported what management believes to be the appropriate measurement date. However, we also prepared sensitivity analyses using alternative measurement dates for certain grants that had less certain evidence to support a measurement date. If the alternative measurement dates were used, an aggregate $47.7 million of additional stock-based compensation expense would have been recorded compared to the $58.2 million we recorded.</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Related Tax Adjustments</w:t>
      </w:r>
    </w:p>
    <w:p>
      <w:pPr>
        <w:spacing w:after="0" w:line="104" w:lineRule="exact"/>
        <w:rPr>
          <w:sz w:val="20"/>
          <w:szCs w:val="20"/>
          <w:color w:val="auto"/>
        </w:rPr>
      </w:pPr>
    </w:p>
    <w:p>
      <w:pPr>
        <w:ind w:right="40" w:firstLine="360"/>
        <w:spacing w:after="0" w:line="283" w:lineRule="auto"/>
        <w:rPr>
          <w:sz w:val="20"/>
          <w:szCs w:val="20"/>
          <w:color w:val="auto"/>
        </w:rPr>
      </w:pPr>
      <w:r>
        <w:rPr>
          <w:rFonts w:ascii="Arial" w:cs="Arial" w:eastAsia="Arial" w:hAnsi="Arial"/>
          <w:sz w:val="16"/>
          <w:szCs w:val="16"/>
          <w:color w:val="auto"/>
        </w:rPr>
        <w:t>In our restated financial statements for 1998, 1999, 2000 and 2001, we recorded income tax benefits of $0.5 million, $1.6 million, $3.5 million, and $7.3 million, respectively, with respect to additional stock-based compensation expense relating to U.S.-based income. At December 31, 2002, we had no additional net deferred tax assets for additional stock-based compensation expense as such amounts were offset by a valuation allowance. No tax benefits were recorded for additional stock-based compensation expense recorded during 2002 as such amounts were offset by a valuation allowance because we did not believe such additional deferred tax assets were more likely than not to be realized. At December 31, 2002, we concluded that a full valuation allowance against our deferred tax assets was appropriate as a result of our cumulative losses as of December 31, 2002, which caused a presumption that any deferred tax assets would be difficult to realize, and reversed the $4.2 million of deferred tax assets recognized in prior periods which were yet to be realized for tax purposes, thereby increasing tax expense by $4.2 million. We recorded an income tax benefit of $1.5 million in 2003 related to income tax benefits realized from employee stock option exercises in 2003 that reduced our tax liabilities. Prior to the restatement, such income tax benefits were credited to additional paid-in capital because there was no associated stock-based compensation expense related to such employee stock options. No income tax benefits were recorded for additional stock-based compensation in 2004 and 2005 because of our domestic tax losses prior to deductions related to employee stock options. As a result, the cumulative net income tax benefit we recorded through December 31, 2005 was $10.2 million. We also recorded net other non-income tax payroll adjustments of $0.6 million, resulting in total related tax adjustments of 9.6 million. The other non-income tax payroll expenses recorded were</w:t>
      </w:r>
    </w:p>
    <w:p>
      <w:pPr>
        <w:spacing w:after="0" w:line="3"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$1.0 million, $10.3 million, $1.6 million and $0.9 million for 1999, 2000, 2001, and 2002, respectively. As a result of the expiration of certain statutory periods, previously recorded non-income tax payroll expenses were reduced by $0.4 million, $12.2 million and $0.6 million in 2003, 2004, and 2005, respectively.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Conduct Review</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Background and Scope of Review</w:t>
      </w:r>
    </w:p>
    <w:p>
      <w:pPr>
        <w:spacing w:after="0" w:line="104"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As described above, in February 2007, the Board appointed a Special Committee of the Board (the “</w:t>
      </w:r>
      <w:r>
        <w:rPr>
          <w:rFonts w:ascii="Arial" w:cs="Arial" w:eastAsia="Arial" w:hAnsi="Arial"/>
          <w:sz w:val="16"/>
          <w:szCs w:val="16"/>
          <w:i w:val="1"/>
          <w:iCs w:val="1"/>
          <w:color w:val="auto"/>
        </w:rPr>
        <w:t>Committee</w:t>
      </w:r>
      <w:r>
        <w:rPr>
          <w:rFonts w:ascii="Arial" w:cs="Arial" w:eastAsia="Arial" w:hAnsi="Arial"/>
          <w:sz w:val="16"/>
          <w:szCs w:val="16"/>
          <w:color w:val="auto"/>
        </w:rPr>
        <w:t>”) to review the adequacy of the Equity Award Review and the recommendations of management regarding historical option granting practices, and to make recommendations and findings regarding those practices and individual conduct. The Committee was not charged with making, and did not make, any evaluation of the accounting determinations or tax adjustments. The accounting determinations and related tax adjustments were evaluated by management and the Audit Committee of the Board of Directors. The Committee was comprised of a non-employee director who had not served on our Compensation Committee before 2005.</w:t>
      </w:r>
    </w:p>
    <w:p>
      <w:pPr>
        <w:spacing w:after="0" w:line="37" w:lineRule="exact"/>
        <w:rPr>
          <w:sz w:val="20"/>
          <w:szCs w:val="20"/>
          <w:color w:val="auto"/>
        </w:rPr>
      </w:pPr>
    </w:p>
    <w:p>
      <w:pPr>
        <w:ind w:right="120" w:firstLine="360"/>
        <w:spacing w:after="0" w:line="297" w:lineRule="auto"/>
        <w:rPr>
          <w:sz w:val="20"/>
          <w:szCs w:val="20"/>
          <w:color w:val="auto"/>
        </w:rPr>
      </w:pPr>
      <w:r>
        <w:rPr>
          <w:rFonts w:ascii="Arial" w:cs="Arial" w:eastAsia="Arial" w:hAnsi="Arial"/>
          <w:sz w:val="16"/>
          <w:szCs w:val="16"/>
          <w:color w:val="auto"/>
        </w:rPr>
        <w:t>In connection with its review of the individual conduct of persons involved in the historical option granting practices (the “</w:t>
      </w:r>
      <w:r>
        <w:rPr>
          <w:rFonts w:ascii="Arial" w:cs="Arial" w:eastAsia="Arial" w:hAnsi="Arial"/>
          <w:sz w:val="16"/>
          <w:szCs w:val="16"/>
          <w:i w:val="1"/>
          <w:iCs w:val="1"/>
          <w:color w:val="auto"/>
        </w:rPr>
        <w:t>Conduct Review</w:t>
      </w:r>
      <w:r>
        <w:rPr>
          <w:rFonts w:ascii="Arial" w:cs="Arial" w:eastAsia="Arial" w:hAnsi="Arial"/>
          <w:sz w:val="16"/>
          <w:szCs w:val="16"/>
          <w:color w:val="auto"/>
        </w:rPr>
        <w:t>”), the Committee’s counsel considered information developed in the Equity Award Review, which it reviewed and tested. In addition, the Committee conducted its own separate review of the option granting practices during the tenure of current executive management team through additional interviews and document collection and review. The Committee also reported on other matters, including areas for further improvements in the stock option granting process and the controls surrounding that process. The Conduct Review was accomplished with the full support and cooperation of our Board, management and employees.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Conduct of Certain Former Executive Officers and Former Employees</w:t>
      </w:r>
    </w:p>
    <w:p>
      <w:pPr>
        <w:spacing w:after="0" w:line="90" w:lineRule="exact"/>
        <w:rPr>
          <w:sz w:val="20"/>
          <w:szCs w:val="20"/>
          <w:color w:val="auto"/>
        </w:rPr>
      </w:pPr>
    </w:p>
    <w:p>
      <w:pPr>
        <w:ind w:right="220" w:firstLine="360"/>
        <w:spacing w:after="0" w:line="302" w:lineRule="auto"/>
        <w:rPr>
          <w:sz w:val="20"/>
          <w:szCs w:val="20"/>
          <w:color w:val="auto"/>
        </w:rPr>
      </w:pPr>
      <w:r>
        <w:rPr>
          <w:rFonts w:ascii="Arial" w:cs="Arial" w:eastAsia="Arial" w:hAnsi="Arial"/>
          <w:sz w:val="16"/>
          <w:szCs w:val="16"/>
          <w:color w:val="auto"/>
        </w:rPr>
        <w:t>Upon completion of the Conduct Review, the Committee concluded that certain former Executive Officers and other former employees participated in making improper option grants, including the selection of grant dates with the benefit of hindsight and in the delay in dating of otherwise approved option grants. The Committee concluded that certain of the former Executive Officers and other former employees appreciated the legal and accounting consequences of their actions. The Committee further recommended that we consider pursuing available remedies against the former Executive Officers,</w:t>
      </w:r>
    </w:p>
    <w:p>
      <w:pPr>
        <w:sectPr>
          <w:pgSz w:w="11900" w:h="16838" w:orient="portrait"/>
          <w:cols w:equalWidth="0" w:num="1">
            <w:col w:w="11400"/>
          </w:cols>
          <w:pgMar w:left="240" w:top="125" w:right="259" w:bottom="0" w:gutter="0" w:footer="0" w:header="0"/>
        </w:sectPr>
      </w:pPr>
    </w:p>
    <w:bookmarkStart w:id="32" w:name="page33"/>
    <w:bookmarkEnd w:id="32"/>
    <w:p>
      <w:pPr>
        <w:ind w:right="320"/>
        <w:spacing w:after="0" w:line="259" w:lineRule="auto"/>
        <w:rPr>
          <w:sz w:val="20"/>
          <w:szCs w:val="20"/>
          <w:color w:val="auto"/>
        </w:rPr>
      </w:pPr>
      <w:r>
        <w:rPr>
          <w:rFonts w:ascii="Arial" w:cs="Arial" w:eastAsia="Arial" w:hAnsi="Arial"/>
          <w:sz w:val="18"/>
          <w:szCs w:val="18"/>
          <w:color w:val="auto"/>
        </w:rPr>
        <w:t>including potentially seeking disgorgement of option exercise proceeds related to options with adjusted measurement dates from certain former Executive Officers. None of the former Executive Officers or former employees identified by the Committee as having participated in grant date selection were employed by us at the time of the Committee’s findings, as all of them had previously resigned for reasons unrelated to the Equity Award Review or the Conduct Review.</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Conduct of Current Executive Officers and Employees</w:t>
      </w:r>
    </w:p>
    <w:p>
      <w:pPr>
        <w:spacing w:after="0" w:line="104"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Upon completion of the Conduct Review, the Committee concluded that none of the current Executive Officers or other current employees had participated in making improper option grants. To the contrary, the Special Committee concluded that current management proactively improved the processes of approving and granting stock options on its own initiative from the beginning of its tenure in 2004, and that the Committee has confidence in the integrity of current management. The Committee concluded that, although at times there were minor administrative errors and delays in option grants from 2004 through 2006 resulting in cumulative immaterial adjustments of approximately $50,000, there was no evidence that any members of current management had engaged in or benefited from any inappropriate option granting practices.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Conduct of the Compensation Committee</w:t>
      </w:r>
    </w:p>
    <w:p>
      <w:pPr>
        <w:spacing w:after="0" w:line="90"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Since our IPO, the Compensation Committee has consisted at various times of two or three non-employee members of the Board. The members of the Compensation Committee with their respective periods of service were: Scott Anderson (August 1999—February 2002); Scot Jarvis (August 1999 to present); David Lee (June 2001 to February 2002); Bandal Carano (August 1999 to June 2001,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September 2001 to present); William Hoglund (May 2005 to present). Messrs. Anderson, Jarvis, Carano and Hoglund continue to serve on our Board.</w:t>
      </w:r>
    </w:p>
    <w:p>
      <w:pPr>
        <w:spacing w:after="0" w:line="115"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As described above, the Compensation Committee approved stock option grants using two forms of authorization. First, on occasion, the Committee approved stock option grants at formal Committee meetings which typically were held quarterly. Second and more often, the Compensation Committee members held informal discussions with our then CEO—usually telephonically or via email—to determine whether option grants should be approved. Approval was documented through the use of unanimous written consent action forms which were prepared by management and transmitted to the Committee members, who signed them and returned them to then management. The unanimous written consent actions granted the options “as of” the date the Committee members informally approved the grants, which almost always was a date earlier than the date on which the forms were prepared and signed. Before November 2003, as demonstrated by a comparison of the “as of dates” on the unanimous written consent action forms and the fax header lines reflecting the dates on which the signed forms were returned: (1) the consent forms generally were sent to the Compensation Committee members for signature within days or, in some cases, weeks or months after the option grant date recorded in our books; (2) the consent forms occasionally were sent to and returned by the Committee members out of sequence; and (3) in 2001, grants reflecting an “as of” date that resulted in option awards priced at the lowest price in our history up to that point were approved in three separate unanimous written consent actions awarding grants to different individuals that followed the “as of” date of the grant by two weeks to three months. On one occasion this included a consent action form signed by an individual who was not a Compensation Committee member on the “as of” date of the grant. From November 2003 through 2006, the Compensation Committee continued to approve option grants informally and, later, document that approval in a unanimous written consent action, but the time lag between the date of the approval—the “as of date”—and the execution of the unanimous written consent actions was reduced to days rather than weeks or months. After considering all of the information presented to the Special Committee, the Committee concluded that the members of the Compensation Committee were entitled to rely upon our option granting processes and that the Committee has confidence in their ability to continue to serve on our Board and any committees thereof.</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Conclusion</w:t>
      </w:r>
    </w:p>
    <w:p>
      <w:pPr>
        <w:spacing w:after="0" w:line="104"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With the completion of the review by the Committee, we are evaluating our available remedies arising from the inappropriate granting practices, but we have not yet made any decisions in that regard.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Our Consolidated Financial Statements</w:t>
      </w:r>
    </w:p>
    <w:p>
      <w:pPr>
        <w:spacing w:after="0" w:line="94" w:lineRule="exact"/>
        <w:rPr>
          <w:sz w:val="20"/>
          <w:szCs w:val="20"/>
          <w:color w:val="auto"/>
        </w:rPr>
      </w:pPr>
    </w:p>
    <w:p>
      <w:pPr>
        <w:ind w:right="220" w:firstLine="360"/>
        <w:spacing w:after="0" w:line="293" w:lineRule="auto"/>
        <w:rPr>
          <w:sz w:val="20"/>
          <w:szCs w:val="20"/>
          <w:color w:val="auto"/>
        </w:rPr>
      </w:pPr>
      <w:r>
        <w:rPr>
          <w:rFonts w:ascii="Arial" w:cs="Arial" w:eastAsia="Arial" w:hAnsi="Arial"/>
          <w:sz w:val="16"/>
          <w:szCs w:val="16"/>
          <w:color w:val="auto"/>
        </w:rPr>
        <w:t>As a result of the findings of Equity Award Review, our consolidated financial statements for the years ended December 31, 2004 and 2005 have been restated. The restated consolidated financial statements include unaudited financial information for interim periods of 2005 consistent with Article 10-01 of Regulation S-X. We also recorded additional stock-based compensation expense and associated tax adjustments affecting our previously-reported financial statements for 1998 through 2003, the effects of which are summarized in cumulative adjustments to our additional paid-in capital, deferred compensation and accumulated deficit accounts as of December 31, 2003, in the amounts of $56.1 million, $6.6 million and $62.9 million, respectively, all of which are recorded in the Consolidated Statements of Shareholders’ Equity, included in Part IV, Item 15 of this Report.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following table summarizes the additional deferred compensation recorded on an annual basis as a result of the equity award review, categorized by each of the three reasons that led to the determination that particular option grants failed to meet the measurement date criteria of APB 25, together with the other adjustments made that were not related to changes in measurement dates:</w:t>
      </w:r>
    </w:p>
    <w:p>
      <w:pPr>
        <w:spacing w:after="0" w:line="8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Cumulative</w:t>
            </w:r>
          </w:p>
        </w:tc>
        <w:tc>
          <w:tcPr>
            <w:tcW w:w="1180" w:type="dxa"/>
            <w:vAlign w:val="bottom"/>
            <w:gridSpan w:val="7"/>
            <w:vMerge w:val="restart"/>
          </w:tcPr>
          <w:p>
            <w:pPr>
              <w:jc w:val="center"/>
              <w:ind w:right="200"/>
              <w:spacing w:after="0"/>
              <w:rPr>
                <w:sz w:val="20"/>
                <w:szCs w:val="20"/>
                <w:color w:val="auto"/>
              </w:rPr>
            </w:pPr>
            <w:r>
              <w:rPr>
                <w:rFonts w:ascii="Arial" w:cs="Arial" w:eastAsia="Arial" w:hAnsi="Arial"/>
                <w:sz w:val="14"/>
                <w:szCs w:val="14"/>
                <w:b w:val="1"/>
                <w:bCs w:val="1"/>
                <w:color w:val="auto"/>
                <w:w w:val="88"/>
              </w:rPr>
              <w:t>Years ended</w:t>
            </w: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gridSpan w:val="10"/>
            <w:vMerge w:val="restart"/>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5"/>
          </w:tcPr>
          <w:p>
            <w:pPr>
              <w:jc w:val="center"/>
              <w:ind w:right="180"/>
              <w:spacing w:after="0" w:line="135" w:lineRule="exact"/>
              <w:rPr>
                <w:sz w:val="20"/>
                <w:szCs w:val="20"/>
                <w:color w:val="auto"/>
              </w:rPr>
            </w:pPr>
            <w:r>
              <w:rPr>
                <w:rFonts w:ascii="Arial" w:cs="Arial" w:eastAsia="Arial" w:hAnsi="Arial"/>
                <w:sz w:val="14"/>
                <w:szCs w:val="14"/>
                <w:b w:val="1"/>
                <w:bCs w:val="1"/>
                <w:color w:val="auto"/>
                <w:w w:val="98"/>
              </w:rPr>
              <w:t>Amount</w:t>
            </w:r>
          </w:p>
        </w:tc>
        <w:tc>
          <w:tcPr>
            <w:tcW w:w="1180" w:type="dxa"/>
            <w:vAlign w:val="bottom"/>
            <w:gridSpan w:val="7"/>
            <w:vMerge w:val="continue"/>
          </w:tcPr>
          <w:p>
            <w:pPr>
              <w:spacing w:after="0"/>
              <w:rPr>
                <w:sz w:val="11"/>
                <w:szCs w:val="11"/>
                <w:color w:val="auto"/>
              </w:rPr>
            </w:pPr>
          </w:p>
        </w:tc>
        <w:tc>
          <w:tcPr>
            <w:tcW w:w="104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39"/>
        </w:trPr>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10"/>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5"/>
          </w:tcPr>
          <w:p>
            <w:pPr>
              <w:jc w:val="center"/>
              <w:ind w:right="180"/>
              <w:spacing w:after="0" w:line="139" w:lineRule="exact"/>
              <w:rPr>
                <w:sz w:val="20"/>
                <w:szCs w:val="20"/>
                <w:color w:val="auto"/>
              </w:rPr>
            </w:pPr>
            <w:r>
              <w:rPr>
                <w:rFonts w:ascii="Arial" w:cs="Arial" w:eastAsia="Arial" w:hAnsi="Arial"/>
                <w:sz w:val="14"/>
                <w:szCs w:val="14"/>
                <w:b w:val="1"/>
                <w:bCs w:val="1"/>
                <w:color w:val="auto"/>
                <w:w w:val="92"/>
              </w:rPr>
              <w:t>December 31,</w:t>
            </w:r>
          </w:p>
        </w:tc>
        <w:tc>
          <w:tcPr>
            <w:tcW w:w="1180" w:type="dxa"/>
            <w:vAlign w:val="bottom"/>
            <w:gridSpan w:val="7"/>
          </w:tcPr>
          <w:p>
            <w:pPr>
              <w:jc w:val="center"/>
              <w:ind w:right="180"/>
              <w:spacing w:after="0" w:line="139" w:lineRule="exact"/>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4"/>
          </w:tcPr>
          <w:p>
            <w:pPr>
              <w:jc w:val="center"/>
              <w:ind w:right="60"/>
              <w:spacing w:after="0" w:line="13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gridSpan w:val="3"/>
            <w:vMerge w:val="restart"/>
          </w:tcPr>
          <w:p>
            <w:pPr>
              <w:jc w:val="center"/>
              <w:ind w:left="288"/>
              <w:spacing w:after="0"/>
              <w:rPr>
                <w:sz w:val="20"/>
                <w:szCs w:val="20"/>
                <w:color w:val="auto"/>
              </w:rPr>
            </w:pPr>
            <w:r>
              <w:rPr>
                <w:rFonts w:ascii="Arial" w:cs="Arial" w:eastAsia="Arial" w:hAnsi="Arial"/>
                <w:sz w:val="14"/>
                <w:szCs w:val="14"/>
                <w:b w:val="1"/>
                <w:bCs w:val="1"/>
                <w:color w:val="auto"/>
                <w:w w:val="89"/>
              </w:rPr>
              <w:t>2003</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vMerge w:val="restart"/>
          </w:tcPr>
          <w:p>
            <w:pPr>
              <w:jc w:val="center"/>
              <w:ind w:left="208"/>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1998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1999</w:t>
            </w:r>
          </w:p>
        </w:tc>
        <w:tc>
          <w:tcPr>
            <w:tcW w:w="12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2000</w:t>
            </w:r>
          </w:p>
        </w:tc>
        <w:tc>
          <w:tcPr>
            <w:tcW w:w="12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2001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2003</w:t>
            </w:r>
          </w:p>
        </w:tc>
        <w:tc>
          <w:tcPr>
            <w:tcW w:w="7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(in</w:t>
            </w:r>
          </w:p>
        </w:tc>
        <w:tc>
          <w:tcPr>
            <w:tcW w:w="100" w:type="dxa"/>
            <w:vAlign w:val="bottom"/>
          </w:tcPr>
          <w:p>
            <w:pPr>
              <w:spacing w:after="0"/>
              <w:rPr>
                <w:sz w:val="10"/>
                <w:szCs w:val="10"/>
                <w:color w:val="auto"/>
              </w:rPr>
            </w:pPr>
          </w:p>
        </w:tc>
        <w:tc>
          <w:tcPr>
            <w:tcW w:w="94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millions)</w:t>
            </w: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Deferred Compensation</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Adjustments:</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No contemporaneous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documentation</w:t>
            </w:r>
          </w:p>
        </w:tc>
        <w:tc>
          <w:tcPr>
            <w:tcW w:w="320" w:type="dxa"/>
            <w:vAlign w:val="bottom"/>
          </w:tcPr>
          <w:p>
            <w:pPr>
              <w:jc w:val="right"/>
              <w:spacing w:after="0"/>
              <w:rPr>
                <w:sz w:val="20"/>
                <w:szCs w:val="20"/>
                <w:color w:val="auto"/>
              </w:rPr>
            </w:pPr>
            <w:r>
              <w:rPr>
                <w:rFonts w:ascii="Arial" w:cs="Arial" w:eastAsia="Arial" w:hAnsi="Arial"/>
                <w:sz w:val="14"/>
                <w:szCs w:val="14"/>
                <w:color w:val="auto"/>
                <w:w w:val="89"/>
              </w:rPr>
              <w:t>$ 3.2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$ 4.6</w:t>
            </w: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2"/>
              </w:rPr>
              <w:t>$ 17.4</w:t>
            </w:r>
          </w:p>
        </w:tc>
        <w:tc>
          <w:tcPr>
            <w:tcW w:w="1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$ 0.0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4"/>
                <w:szCs w:val="14"/>
                <w:color w:val="auto"/>
              </w:rPr>
              <w:t>$ —</w:t>
            </w:r>
          </w:p>
        </w:tc>
        <w:tc>
          <w:tcPr>
            <w:tcW w:w="400" w:type="dxa"/>
            <w:vAlign w:val="bottom"/>
          </w:tcPr>
          <w:p>
            <w:pPr>
              <w:jc w:val="right"/>
              <w:spacing w:after="0"/>
              <w:rPr>
                <w:sz w:val="20"/>
                <w:szCs w:val="20"/>
                <w:color w:val="auto"/>
              </w:rPr>
            </w:pPr>
            <w:r>
              <w:rPr>
                <w:rFonts w:ascii="Arial" w:cs="Arial" w:eastAsia="Arial" w:hAnsi="Arial"/>
                <w:sz w:val="14"/>
                <w:szCs w:val="14"/>
                <w:color w:val="auto"/>
              </w:rPr>
              <w:t>$ 0.7</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$ 25.9</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$ 0.0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$ 0.0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$ 25.9</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Date selection/Indication of other</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(0.2</w:t>
            </w: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(0.3</w:t>
            </w: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date</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Subsequent allocation</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4"/>
                <w:szCs w:val="14"/>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5.8</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23.8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23.8</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Start date issues</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Other adjustments(a)</w:t>
            </w:r>
          </w:p>
        </w:tc>
        <w:tc>
          <w:tcPr>
            <w:tcW w:w="320" w:type="dxa"/>
            <w:vAlign w:val="bottom"/>
          </w:tcPr>
          <w:p>
            <w:pPr>
              <w:jc w:val="right"/>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0.3</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3.7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0" w:type="dxa"/>
            <w:vAlign w:val="bottom"/>
            <w:tcBorders>
              <w:top w:val="single" w:sz="8" w:color="CCEEFF"/>
            </w:tcBorders>
            <w:gridSpan w:val="2"/>
            <w:shd w:val="clear" w:color="auto" w:fill="CCEEFF"/>
          </w:tcPr>
          <w:p>
            <w:pPr>
              <w:ind w:left="140"/>
              <w:spacing w:after="0" w:line="155" w:lineRule="exact"/>
              <w:rPr>
                <w:sz w:val="20"/>
                <w:szCs w:val="20"/>
                <w:color w:val="auto"/>
              </w:rPr>
            </w:pPr>
            <w:r>
              <w:rPr>
                <w:rFonts w:ascii="Arial" w:cs="Arial" w:eastAsia="Arial" w:hAnsi="Arial"/>
                <w:sz w:val="14"/>
                <w:szCs w:val="14"/>
                <w:b w:val="1"/>
                <w:bCs w:val="1"/>
                <w:color w:val="auto"/>
              </w:rPr>
              <w:t>Subtotal</w:t>
            </w:r>
          </w:p>
        </w:tc>
        <w:tc>
          <w:tcPr>
            <w:tcW w:w="3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89"/>
              </w:rPr>
              <w:t>$ 3.5</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2"/>
              </w:rPr>
              <w:t>$ 12.9</w:t>
            </w:r>
          </w:p>
        </w:tc>
        <w:tc>
          <w:tcPr>
            <w:tcW w:w="1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2"/>
              </w:rPr>
              <w:t>$ 43.3</w:t>
            </w: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$ 3.1</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$ 3.5</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$ 8.2</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2"/>
              </w:rPr>
              <w:t>$ 74.5</w:t>
            </w: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$ 0.4</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$ 0.1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$ 75.0</w:t>
            </w: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3" w:name="page34"/>
    <w:bookmarkEnd w:id="33"/>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3"/>
          </w:tcPr>
          <w:p>
            <w:pPr>
              <w:ind w:left="1340"/>
              <w:spacing w:after="0"/>
              <w:rPr>
                <w:sz w:val="20"/>
                <w:szCs w:val="20"/>
                <w:color w:val="auto"/>
              </w:rPr>
            </w:pPr>
            <w:r>
              <w:rPr>
                <w:rFonts w:ascii="Arial" w:cs="Arial" w:eastAsia="Arial" w:hAnsi="Arial"/>
                <w:sz w:val="14"/>
                <w:szCs w:val="14"/>
                <w:b w:val="1"/>
                <w:bCs w:val="1"/>
                <w:color w:val="auto"/>
              </w:rPr>
              <w:t>Unauthorized issuance of stock by</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85"/>
        </w:trPr>
        <w:tc>
          <w:tcPr>
            <w:tcW w:w="1340" w:type="dxa"/>
            <w:vAlign w:val="bottom"/>
          </w:tcPr>
          <w:p>
            <w:pPr>
              <w:spacing w:after="0"/>
              <w:rPr>
                <w:sz w:val="16"/>
                <w:szCs w:val="16"/>
                <w:color w:val="auto"/>
              </w:rPr>
            </w:pPr>
          </w:p>
        </w:tc>
        <w:tc>
          <w:tcPr>
            <w:tcW w:w="2400" w:type="dxa"/>
            <w:vAlign w:val="bottom"/>
            <w:gridSpan w:val="2"/>
          </w:tcPr>
          <w:p>
            <w:pPr>
              <w:ind w:left="140"/>
              <w:spacing w:after="0"/>
              <w:rPr>
                <w:sz w:val="20"/>
                <w:szCs w:val="20"/>
                <w:color w:val="auto"/>
              </w:rPr>
            </w:pPr>
            <w:r>
              <w:rPr>
                <w:rFonts w:ascii="Arial" w:cs="Arial" w:eastAsia="Arial" w:hAnsi="Arial"/>
                <w:sz w:val="14"/>
                <w:szCs w:val="14"/>
                <w:b w:val="1"/>
                <w:bCs w:val="1"/>
                <w:color w:val="auto"/>
              </w:rPr>
              <w:t>administrator</w:t>
            </w: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 —</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320" w:type="dxa"/>
            <w:vAlign w:val="bottom"/>
          </w:tcPr>
          <w:p>
            <w:pPr>
              <w:jc w:val="right"/>
              <w:spacing w:after="0"/>
              <w:rPr>
                <w:sz w:val="20"/>
                <w:szCs w:val="20"/>
                <w:color w:val="auto"/>
              </w:rPr>
            </w:pPr>
            <w:r>
              <w:rPr>
                <w:rFonts w:ascii="Arial" w:cs="Arial" w:eastAsia="Arial" w:hAnsi="Arial"/>
                <w:sz w:val="14"/>
                <w:szCs w:val="14"/>
                <w:color w:val="auto"/>
                <w:w w:val="96"/>
              </w:rPr>
              <w:t>$ 0.6</w:t>
            </w: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$ 5.7</w:t>
            </w:r>
          </w:p>
        </w:tc>
        <w:tc>
          <w:tcPr>
            <w:tcW w:w="3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$ 6.3</w:t>
            </w:r>
          </w:p>
        </w:tc>
        <w:tc>
          <w:tcPr>
            <w:tcW w:w="440" w:type="dxa"/>
            <w:vAlign w:val="bottom"/>
          </w:tcPr>
          <w:p>
            <w:pPr>
              <w:spacing w:after="0"/>
              <w:rPr>
                <w:sz w:val="16"/>
                <w:szCs w:val="16"/>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 —</w:t>
            </w:r>
          </w:p>
        </w:tc>
        <w:tc>
          <w:tcPr>
            <w:tcW w:w="860" w:type="dxa"/>
            <w:vAlign w:val="bottom"/>
            <w:gridSpan w:val="2"/>
          </w:tcPr>
          <w:p>
            <w:pPr>
              <w:jc w:val="right"/>
              <w:ind w:right="500"/>
              <w:spacing w:after="0"/>
              <w:rPr>
                <w:sz w:val="20"/>
                <w:szCs w:val="20"/>
                <w:color w:val="auto"/>
              </w:rPr>
            </w:pPr>
            <w:r>
              <w:rPr>
                <w:rFonts w:ascii="Arial" w:cs="Arial" w:eastAsia="Arial" w:hAnsi="Arial"/>
                <w:sz w:val="14"/>
                <w:szCs w:val="14"/>
                <w:color w:val="auto"/>
              </w:rPr>
              <w:t>$ —</w:t>
            </w:r>
          </w:p>
        </w:tc>
        <w:tc>
          <w:tcPr>
            <w:tcW w:w="420" w:type="dxa"/>
            <w:vAlign w:val="bottom"/>
          </w:tcPr>
          <w:p>
            <w:pPr>
              <w:jc w:val="right"/>
              <w:spacing w:after="0"/>
              <w:rPr>
                <w:sz w:val="20"/>
                <w:szCs w:val="20"/>
                <w:color w:val="auto"/>
              </w:rPr>
            </w:pPr>
            <w:r>
              <w:rPr>
                <w:rFonts w:ascii="Arial" w:cs="Arial" w:eastAsia="Arial" w:hAnsi="Arial"/>
                <w:sz w:val="14"/>
                <w:szCs w:val="14"/>
                <w:color w:val="auto"/>
              </w:rPr>
              <w:t>$ 6.3</w:t>
            </w:r>
          </w:p>
        </w:tc>
        <w:tc>
          <w:tcPr>
            <w:tcW w:w="340" w:type="dxa"/>
            <w:vAlign w:val="bottom"/>
          </w:tcPr>
          <w:p>
            <w:pPr>
              <w:spacing w:after="0"/>
              <w:rPr>
                <w:sz w:val="16"/>
                <w:szCs w:val="16"/>
                <w:color w:val="auto"/>
              </w:rPr>
            </w:pPr>
          </w:p>
        </w:tc>
      </w:tr>
      <w:tr>
        <w:trPr>
          <w:trHeight w:val="156"/>
        </w:trPr>
        <w:tc>
          <w:tcPr>
            <w:tcW w:w="1340" w:type="dxa"/>
            <w:vAlign w:val="bottom"/>
          </w:tcPr>
          <w:p>
            <w:pPr>
              <w:spacing w:after="0"/>
              <w:rPr>
                <w:sz w:val="13"/>
                <w:szCs w:val="13"/>
                <w:color w:val="auto"/>
              </w:rPr>
            </w:pPr>
          </w:p>
        </w:tc>
        <w:tc>
          <w:tcPr>
            <w:tcW w:w="2400" w:type="dxa"/>
            <w:vAlign w:val="bottom"/>
            <w:tcBorders>
              <w:top w:val="single" w:sz="8" w:color="CCEEFF"/>
              <w:bottom w:val="single" w:sz="8" w:color="CCEEFF"/>
            </w:tcBorders>
            <w:gridSpan w:val="2"/>
            <w:shd w:val="clear" w:color="auto" w:fill="CCEEFF"/>
          </w:tcPr>
          <w:p>
            <w:pPr>
              <w:ind w:left="140"/>
              <w:spacing w:after="0" w:line="155" w:lineRule="exact"/>
              <w:rPr>
                <w:sz w:val="20"/>
                <w:szCs w:val="20"/>
                <w:color w:val="auto"/>
              </w:rPr>
            </w:pPr>
            <w:r>
              <w:rPr>
                <w:rFonts w:ascii="Arial" w:cs="Arial" w:eastAsia="Arial" w:hAnsi="Arial"/>
                <w:sz w:val="14"/>
                <w:szCs w:val="14"/>
                <w:b w:val="1"/>
                <w:bCs w:val="1"/>
                <w:color w:val="auto"/>
              </w:rPr>
              <w:t>Total</w:t>
            </w:r>
          </w:p>
        </w:tc>
        <w:tc>
          <w:tcPr>
            <w:tcW w:w="3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89"/>
              </w:rPr>
              <w:t>$ 3.5</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2"/>
              </w:rPr>
              <w:t>$ 12.9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2"/>
              </w:rPr>
              <w:t>$ 43.3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$ 3.1</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$ 4.1</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2"/>
              </w:rPr>
              <w:t>$ 13.9</w:t>
            </w: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2"/>
              </w:rPr>
              <w:t>$ 80.8</w:t>
            </w: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$ 0.4</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$ 0.1</w:t>
            </w:r>
          </w:p>
        </w:tc>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$ 81.3</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89"/>
        </w:trPr>
        <w:tc>
          <w:tcPr>
            <w:tcW w:w="13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r>
    </w:tbl>
    <w:p>
      <w:pPr>
        <w:spacing w:after="0" w:line="89" w:lineRule="exact"/>
        <w:rPr>
          <w:sz w:val="20"/>
          <w:szCs w:val="20"/>
          <w:color w:val="auto"/>
        </w:rPr>
      </w:pPr>
    </w:p>
    <w:p>
      <w:pPr>
        <w:ind w:left="360" w:right="540" w:hanging="352"/>
        <w:spacing w:after="0" w:line="253" w:lineRule="auto"/>
        <w:tabs>
          <w:tab w:leader="none" w:pos="349"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adjustments related to modifications that were made to employee stock options which included the extension of the post-service exercise period for vested stock options of terminated employees and the acceleration of vesting.</w:t>
      </w:r>
    </w:p>
    <w:p>
      <w:pPr>
        <w:spacing w:after="0" w:line="70"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The following table summarizes the activity in additional deferred compensation as well as additional stock-based compensation expense and related tax adjustments on an annual basis. This table does not include previously-recorded activity in deferred compensation or stock-based compensation expense: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Years Ended</w:t>
            </w: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8"/>
            <w:vMerge w:val="restart"/>
          </w:tcPr>
          <w:p>
            <w:pPr>
              <w:jc w:val="right"/>
              <w:ind w:right="280"/>
              <w:spacing w:after="0"/>
              <w:rPr>
                <w:sz w:val="20"/>
                <w:szCs w:val="20"/>
                <w:color w:val="auto"/>
              </w:rPr>
            </w:pPr>
            <w:r>
              <w:rPr>
                <w:rFonts w:ascii="Arial" w:cs="Arial" w:eastAsia="Arial" w:hAnsi="Arial"/>
                <w:sz w:val="14"/>
                <w:szCs w:val="14"/>
                <w:b w:val="1"/>
                <w:bCs w:val="1"/>
                <w:color w:val="auto"/>
                <w:w w:val="99"/>
              </w:rPr>
              <w:t>Years Ended December 31,</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Amount</w:t>
            </w:r>
          </w:p>
        </w:tc>
        <w:tc>
          <w:tcPr>
            <w:tcW w:w="1020" w:type="dxa"/>
            <w:vAlign w:val="bottom"/>
            <w:gridSpan w:val="4"/>
            <w:vMerge w:val="continue"/>
          </w:tcPr>
          <w:p>
            <w:pPr>
              <w:spacing w:after="0"/>
              <w:rPr>
                <w:sz w:val="11"/>
                <w:szCs w:val="11"/>
                <w:color w:val="auto"/>
              </w:rPr>
            </w:pPr>
          </w:p>
        </w:tc>
        <w:tc>
          <w:tcPr>
            <w:tcW w:w="104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39"/>
        </w:trPr>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8"/>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December 31,</w:t>
            </w:r>
          </w:p>
        </w:tc>
        <w:tc>
          <w:tcPr>
            <w:tcW w:w="1020" w:type="dxa"/>
            <w:vAlign w:val="bottom"/>
            <w:gridSpan w:val="4"/>
          </w:tcPr>
          <w:p>
            <w:pPr>
              <w:jc w:val="center"/>
              <w:ind w:right="120"/>
              <w:spacing w:after="0" w:line="139" w:lineRule="exact"/>
              <w:rPr>
                <w:sz w:val="20"/>
                <w:szCs w:val="20"/>
                <w:color w:val="auto"/>
              </w:rPr>
            </w:pPr>
            <w:r>
              <w:rPr>
                <w:rFonts w:ascii="Arial" w:cs="Arial" w:eastAsia="Arial" w:hAnsi="Arial"/>
                <w:sz w:val="14"/>
                <w:szCs w:val="14"/>
                <w:b w:val="1"/>
                <w:bCs w:val="1"/>
                <w:color w:val="auto"/>
                <w:w w:val="90"/>
              </w:rPr>
              <w:t>December 31,</w:t>
            </w:r>
          </w:p>
        </w:tc>
        <w:tc>
          <w:tcPr>
            <w:tcW w:w="1040" w:type="dxa"/>
            <w:vAlign w:val="bottom"/>
            <w:gridSpan w:val="4"/>
          </w:tcPr>
          <w:p>
            <w:pPr>
              <w:jc w:val="center"/>
              <w:ind w:right="80"/>
              <w:spacing w:after="0" w:line="13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restart"/>
          </w:tcPr>
          <w:p>
            <w:pPr>
              <w:jc w:val="center"/>
              <w:ind w:left="168"/>
              <w:spacing w:after="0"/>
              <w:rPr>
                <w:sz w:val="20"/>
                <w:szCs w:val="20"/>
                <w:color w:val="auto"/>
              </w:rPr>
            </w:pPr>
            <w:r>
              <w:rPr>
                <w:rFonts w:ascii="Arial" w:cs="Arial" w:eastAsia="Arial" w:hAnsi="Arial"/>
                <w:sz w:val="14"/>
                <w:szCs w:val="14"/>
                <w:b w:val="1"/>
                <w:bCs w:val="1"/>
                <w:color w:val="auto"/>
                <w:w w:val="96"/>
              </w:rPr>
              <w:t>2003</w:t>
            </w: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vMerge w:val="restart"/>
          </w:tcPr>
          <w:p>
            <w:pPr>
              <w:jc w:val="center"/>
              <w:ind w:left="168"/>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1998</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1999</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rPr>
              <w:t>2000</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rPr>
              <w:t>2001</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2002</w:t>
            </w: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2003</w:t>
            </w: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5"/>
          </w:tcPr>
          <w:p>
            <w:pPr>
              <w:jc w:val="right"/>
              <w:ind w:right="640"/>
              <w:spacing w:after="0" w:line="129" w:lineRule="exact"/>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Activity in Deferred Compensation</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20" w:type="dxa"/>
            <w:vAlign w:val="bottom"/>
          </w:tcPr>
          <w:p>
            <w:pPr>
              <w:spacing w:after="0"/>
              <w:rPr>
                <w:sz w:val="11"/>
                <w:szCs w:val="11"/>
                <w:color w:val="auto"/>
              </w:rPr>
            </w:pPr>
          </w:p>
        </w:tc>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Deferred compensation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2560" w:type="dxa"/>
            <w:vAlign w:val="bottom"/>
            <w:gridSpan w:val="2"/>
          </w:tcPr>
          <w:p>
            <w:pPr>
              <w:ind w:left="140"/>
              <w:spacing w:after="0"/>
              <w:rPr>
                <w:sz w:val="20"/>
                <w:szCs w:val="20"/>
                <w:color w:val="auto"/>
              </w:rPr>
            </w:pPr>
            <w:r>
              <w:rPr>
                <w:rFonts w:ascii="Arial" w:cs="Arial" w:eastAsia="Arial" w:hAnsi="Arial"/>
                <w:sz w:val="14"/>
                <w:szCs w:val="14"/>
                <w:color w:val="auto"/>
              </w:rPr>
              <w:t>adjustment—beginning balance</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400" w:type="dxa"/>
            <w:vAlign w:val="bottom"/>
          </w:tcPr>
          <w:p>
            <w:pPr>
              <w:jc w:val="right"/>
              <w:spacing w:after="0"/>
              <w:rPr>
                <w:sz w:val="20"/>
                <w:szCs w:val="20"/>
                <w:color w:val="auto"/>
              </w:rPr>
            </w:pPr>
            <w:r>
              <w:rPr>
                <w:rFonts w:ascii="Arial" w:cs="Arial" w:eastAsia="Arial" w:hAnsi="Arial"/>
                <w:sz w:val="14"/>
                <w:szCs w:val="14"/>
                <w:color w:val="auto"/>
              </w:rPr>
              <w:t>$ 2.2</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$ 10.2</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$ 38.3</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$ 7.0</w:t>
            </w: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6"/>
              </w:rPr>
              <w:t>$ 2.9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  —</w:t>
            </w:r>
          </w:p>
        </w:tc>
        <w:tc>
          <w:tcPr>
            <w:tcW w:w="440" w:type="dxa"/>
            <w:vAlign w:val="bottom"/>
          </w:tcPr>
          <w:p>
            <w:pPr>
              <w:jc w:val="right"/>
              <w:spacing w:after="0"/>
              <w:rPr>
                <w:sz w:val="20"/>
                <w:szCs w:val="20"/>
                <w:color w:val="auto"/>
              </w:rPr>
            </w:pPr>
            <w:r>
              <w:rPr>
                <w:rFonts w:ascii="Arial" w:cs="Arial" w:eastAsia="Arial" w:hAnsi="Arial"/>
                <w:sz w:val="14"/>
                <w:szCs w:val="14"/>
                <w:color w:val="auto"/>
              </w:rPr>
              <w:t>$ 6.6</w:t>
            </w: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$ 3.2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30"/>
        </w:trPr>
        <w:tc>
          <w:tcPr>
            <w:tcW w:w="1420" w:type="dxa"/>
            <w:vAlign w:val="bottom"/>
          </w:tcPr>
          <w:p>
            <w:pPr>
              <w:spacing w:after="0"/>
              <w:rPr>
                <w:sz w:val="11"/>
                <w:szCs w:val="11"/>
                <w:color w:val="auto"/>
              </w:rPr>
            </w:pPr>
          </w:p>
        </w:tc>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Additional deferred compensation</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2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recorded</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420" w:type="dxa"/>
            <w:vAlign w:val="bottom"/>
          </w:tcPr>
          <w:p>
            <w:pPr>
              <w:spacing w:after="0"/>
              <w:rPr>
                <w:sz w:val="11"/>
                <w:szCs w:val="11"/>
                <w:color w:val="auto"/>
              </w:rPr>
            </w:pPr>
          </w:p>
        </w:tc>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Additional stock-based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2560" w:type="dxa"/>
            <w:vAlign w:val="bottom"/>
            <w:gridSpan w:val="2"/>
          </w:tcPr>
          <w:p>
            <w:pPr>
              <w:ind w:left="140"/>
              <w:spacing w:after="0"/>
              <w:rPr>
                <w:sz w:val="20"/>
                <w:szCs w:val="20"/>
                <w:color w:val="auto"/>
              </w:rPr>
            </w:pPr>
            <w:r>
              <w:rPr>
                <w:rFonts w:ascii="Arial" w:cs="Arial" w:eastAsia="Arial" w:hAnsi="Arial"/>
                <w:sz w:val="14"/>
                <w:szCs w:val="14"/>
                <w:color w:val="auto"/>
                <w:w w:val="99"/>
              </w:rPr>
              <w:t>compensation expense amortization(a)</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(4.4)</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(11.3)</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(26.6)</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(6.1)</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(3.7)</w:t>
            </w:r>
          </w:p>
        </w:tc>
        <w:tc>
          <w:tcPr>
            <w:tcW w:w="1040" w:type="dxa"/>
            <w:vAlign w:val="bottom"/>
            <w:gridSpan w:val="3"/>
          </w:tcPr>
          <w:p>
            <w:pPr>
              <w:jc w:val="right"/>
              <w:ind w:right="300"/>
              <w:spacing w:after="0"/>
              <w:rPr>
                <w:sz w:val="20"/>
                <w:szCs w:val="20"/>
                <w:color w:val="auto"/>
              </w:rPr>
            </w:pPr>
            <w:r>
              <w:rPr>
                <w:rFonts w:ascii="Arial" w:cs="Arial" w:eastAsia="Arial" w:hAnsi="Arial"/>
                <w:sz w:val="14"/>
                <w:szCs w:val="14"/>
                <w:color w:val="auto"/>
              </w:rPr>
              <w:t>(53.4)</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(2.2)</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(58.2)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Elimination due to employee terminations</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10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(14.5)</w:t>
            </w:r>
          </w:p>
        </w:tc>
        <w:tc>
          <w:tcPr>
            <w:tcW w:w="5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(1.6)</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560" w:type="dxa"/>
            <w:vAlign w:val="bottom"/>
            <w:gridSpan w:val="2"/>
            <w:vMerge w:val="restart"/>
          </w:tcPr>
          <w:p>
            <w:pPr>
              <w:spacing w:after="0" w:line="130" w:lineRule="exact"/>
              <w:rPr>
                <w:sz w:val="20"/>
                <w:szCs w:val="20"/>
                <w:color w:val="auto"/>
              </w:rPr>
            </w:pPr>
            <w:r>
              <w:rPr>
                <w:rFonts w:ascii="Arial" w:cs="Arial" w:eastAsia="Arial" w:hAnsi="Arial"/>
                <w:sz w:val="14"/>
                <w:szCs w:val="14"/>
                <w:color w:val="auto"/>
              </w:rPr>
              <w:t>Additional deferred</w:t>
            </w: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420" w:type="dxa"/>
            <w:vAlign w:val="bottom"/>
          </w:tcPr>
          <w:p>
            <w:pPr>
              <w:spacing w:after="0"/>
              <w:rPr>
                <w:sz w:val="9"/>
                <w:szCs w:val="9"/>
                <w:color w:val="auto"/>
              </w:rPr>
            </w:pPr>
          </w:p>
        </w:tc>
        <w:tc>
          <w:tcPr>
            <w:tcW w:w="2560" w:type="dxa"/>
            <w:vAlign w:val="bottom"/>
            <w:gridSpan w:val="2"/>
            <w:vMerge w:val="continue"/>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$ 2.2</w:t>
            </w: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$ 10.2</w:t>
            </w:r>
          </w:p>
        </w:tc>
        <w:tc>
          <w:tcPr>
            <w:tcW w:w="10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$ 38.3</w:t>
            </w:r>
          </w:p>
        </w:tc>
        <w:tc>
          <w:tcPr>
            <w:tcW w:w="10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$ 7.0</w:t>
            </w:r>
          </w:p>
        </w:tc>
        <w:tc>
          <w:tcPr>
            <w:tcW w:w="10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$ 2.9</w:t>
            </w:r>
          </w:p>
        </w:tc>
        <w:tc>
          <w:tcPr>
            <w:tcW w:w="12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$ 6.6</w:t>
            </w:r>
          </w:p>
        </w:tc>
        <w:tc>
          <w:tcPr>
            <w:tcW w:w="80" w:type="dxa"/>
            <w:vAlign w:val="bottom"/>
          </w:tcPr>
          <w:p>
            <w:pPr>
              <w:spacing w:after="0"/>
              <w:rPr>
                <w:sz w:val="9"/>
                <w:szCs w:val="9"/>
                <w:color w:val="auto"/>
              </w:rPr>
            </w:pPr>
          </w:p>
        </w:tc>
        <w:tc>
          <w:tcPr>
            <w:tcW w:w="260" w:type="dxa"/>
            <w:vAlign w:val="bottom"/>
            <w:vMerge w:val="restart"/>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$ 6.6</w:t>
            </w:r>
          </w:p>
        </w:tc>
        <w:tc>
          <w:tcPr>
            <w:tcW w:w="34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$ 3.2</w:t>
            </w:r>
          </w:p>
        </w:tc>
        <w:tc>
          <w:tcPr>
            <w:tcW w:w="120" w:type="dxa"/>
            <w:vAlign w:val="bottom"/>
          </w:tcPr>
          <w:p>
            <w:pPr>
              <w:spacing w:after="0"/>
              <w:rPr>
                <w:sz w:val="9"/>
                <w:szCs w:val="9"/>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 (0.0)</w:t>
            </w:r>
          </w:p>
        </w:tc>
        <w:tc>
          <w:tcPr>
            <w:tcW w:w="9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 (0.0</w:t>
            </w: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420" w:type="dxa"/>
            <w:vAlign w:val="bottom"/>
          </w:tcPr>
          <w:p>
            <w:pPr>
              <w:spacing w:after="0"/>
              <w:rPr>
                <w:sz w:val="16"/>
                <w:szCs w:val="16"/>
                <w:color w:val="auto"/>
              </w:rPr>
            </w:pPr>
          </w:p>
        </w:tc>
        <w:tc>
          <w:tcPr>
            <w:tcW w:w="2560" w:type="dxa"/>
            <w:vAlign w:val="bottom"/>
            <w:gridSpan w:val="2"/>
          </w:tcPr>
          <w:p>
            <w:pPr>
              <w:ind w:left="140"/>
              <w:spacing w:after="0" w:line="154" w:lineRule="exact"/>
              <w:rPr>
                <w:sz w:val="20"/>
                <w:szCs w:val="20"/>
                <w:color w:val="auto"/>
              </w:rPr>
            </w:pPr>
            <w:r>
              <w:rPr>
                <w:rFonts w:ascii="Arial" w:cs="Arial" w:eastAsia="Arial" w:hAnsi="Arial"/>
                <w:sz w:val="14"/>
                <w:szCs w:val="14"/>
                <w:color w:val="auto"/>
              </w:rPr>
              <w:t>compensation—ending balance</w:t>
            </w:r>
          </w:p>
        </w:tc>
        <w:tc>
          <w:tcPr>
            <w:tcW w:w="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2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8"/>
              </w:rPr>
              <w:t>Additional Stock-Based Compensation</w:t>
            </w: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Expense and Related Tax</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420" w:type="dxa"/>
            <w:vAlign w:val="bottom"/>
          </w:tcPr>
          <w:p>
            <w:pPr>
              <w:spacing w:after="0"/>
              <w:rPr>
                <w:sz w:val="13"/>
                <w:szCs w:val="13"/>
                <w:color w:val="auto"/>
              </w:rPr>
            </w:pPr>
          </w:p>
        </w:tc>
        <w:tc>
          <w:tcPr>
            <w:tcW w:w="2560" w:type="dxa"/>
            <w:vAlign w:val="bottom"/>
            <w:gridSpan w:val="2"/>
            <w:shd w:val="clear" w:color="auto" w:fill="CCEEFF"/>
          </w:tcPr>
          <w:p>
            <w:pPr>
              <w:ind w:left="180"/>
              <w:spacing w:after="0" w:line="158" w:lineRule="exact"/>
              <w:rPr>
                <w:sz w:val="20"/>
                <w:szCs w:val="20"/>
                <w:color w:val="auto"/>
              </w:rPr>
            </w:pPr>
            <w:r>
              <w:rPr>
                <w:rFonts w:ascii="Arial" w:cs="Arial" w:eastAsia="Arial" w:hAnsi="Arial"/>
                <w:sz w:val="14"/>
                <w:szCs w:val="14"/>
                <w:b w:val="1"/>
                <w:bCs w:val="1"/>
                <w:color w:val="auto"/>
              </w:rPr>
              <w:t>Adjustments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420" w:type="dxa"/>
            <w:vAlign w:val="bottom"/>
          </w:tcPr>
          <w:p>
            <w:pPr>
              <w:spacing w:after="0"/>
              <w:rPr>
                <w:sz w:val="11"/>
                <w:szCs w:val="11"/>
                <w:color w:val="auto"/>
              </w:rPr>
            </w:pPr>
          </w:p>
        </w:tc>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Additional stock-based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2560" w:type="dxa"/>
            <w:vAlign w:val="bottom"/>
            <w:gridSpan w:val="2"/>
          </w:tcPr>
          <w:p>
            <w:pPr>
              <w:ind w:left="140"/>
              <w:spacing w:after="0"/>
              <w:rPr>
                <w:sz w:val="20"/>
                <w:szCs w:val="20"/>
                <w:color w:val="auto"/>
              </w:rPr>
            </w:pPr>
            <w:r>
              <w:rPr>
                <w:rFonts w:ascii="Arial" w:cs="Arial" w:eastAsia="Arial" w:hAnsi="Arial"/>
                <w:sz w:val="14"/>
                <w:szCs w:val="14"/>
                <w:color w:val="auto"/>
              </w:rPr>
              <w:t>compensation expense</w:t>
            </w:r>
          </w:p>
        </w:tc>
        <w:tc>
          <w:tcPr>
            <w:tcW w:w="340" w:type="dxa"/>
            <w:vAlign w:val="bottom"/>
          </w:tcPr>
          <w:p>
            <w:pPr>
              <w:jc w:val="right"/>
              <w:spacing w:after="0"/>
              <w:rPr>
                <w:sz w:val="20"/>
                <w:szCs w:val="20"/>
                <w:color w:val="auto"/>
              </w:rPr>
            </w:pPr>
            <w:r>
              <w:rPr>
                <w:rFonts w:ascii="Arial" w:cs="Arial" w:eastAsia="Arial" w:hAnsi="Arial"/>
                <w:sz w:val="14"/>
                <w:szCs w:val="14"/>
                <w:color w:val="auto"/>
                <w:w w:val="96"/>
              </w:rPr>
              <w:t>$ 1.3</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$ 4.4</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$ 11.3</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$ 26.6</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$ 6.1</w:t>
            </w: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6"/>
              </w:rPr>
              <w:t>$ 3.7</w:t>
            </w: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$ 53.4</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$ 2.2</w:t>
            </w: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$ 2.6</w:t>
            </w: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58.2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tax adjustments(b)</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(12.2)</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560" w:type="dxa"/>
            <w:vAlign w:val="bottom"/>
            <w:gridSpan w:val="2"/>
          </w:tcPr>
          <w:p>
            <w:pPr>
              <w:spacing w:after="0" w:line="142" w:lineRule="exact"/>
              <w:rPr>
                <w:sz w:val="20"/>
                <w:szCs w:val="20"/>
                <w:color w:val="auto"/>
              </w:rPr>
            </w:pPr>
            <w:r>
              <w:rPr>
                <w:rFonts w:ascii="Arial" w:cs="Arial" w:eastAsia="Arial" w:hAnsi="Arial"/>
                <w:sz w:val="14"/>
                <w:szCs w:val="14"/>
                <w:color w:val="auto"/>
              </w:rPr>
              <w:t>Additional operating expenses</w:t>
            </w: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21.6</w:t>
            </w:r>
          </w:p>
        </w:tc>
        <w:tc>
          <w:tcPr>
            <w:tcW w:w="10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28.2</w:t>
            </w: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7.0</w:t>
            </w:r>
          </w:p>
        </w:tc>
        <w:tc>
          <w:tcPr>
            <w:tcW w:w="12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66.8</w:t>
            </w:r>
          </w:p>
        </w:tc>
        <w:tc>
          <w:tcPr>
            <w:tcW w:w="3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10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(10.2)</w:t>
            </w:r>
          </w:p>
        </w:tc>
        <w:tc>
          <w:tcPr>
            <w:tcW w:w="5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2560" w:type="dxa"/>
            <w:vAlign w:val="bottom"/>
            <w:gridSpan w:val="2"/>
          </w:tcPr>
          <w:p>
            <w:pPr>
              <w:spacing w:after="0" w:line="155" w:lineRule="exact"/>
              <w:rPr>
                <w:sz w:val="20"/>
                <w:szCs w:val="20"/>
                <w:color w:val="auto"/>
              </w:rPr>
            </w:pPr>
            <w:r>
              <w:rPr>
                <w:rFonts w:ascii="Arial" w:cs="Arial" w:eastAsia="Arial" w:hAnsi="Arial"/>
                <w:sz w:val="14"/>
                <w:szCs w:val="14"/>
                <w:color w:val="auto"/>
              </w:rPr>
              <w:t>Net adjustment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$ 0.8</w:t>
            </w:r>
          </w:p>
        </w:tc>
        <w:tc>
          <w:tcPr>
            <w:tcW w:w="10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$ 3.8</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$ 18.1</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$ 20.9</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7"/>
              </w:rPr>
              <w:t>$ 11.2</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$ 1.8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$ 56.6</w:t>
            </w:r>
          </w:p>
        </w:tc>
        <w:tc>
          <w:tcPr>
            <w:tcW w:w="34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 (10.0</w:t>
            </w:r>
          </w:p>
        </w:tc>
        <w:tc>
          <w:tcPr>
            <w:tcW w:w="120" w:type="dxa"/>
            <w:vAlign w:val="bottom"/>
          </w:tcPr>
          <w:p>
            <w:pPr>
              <w:jc w:val="center"/>
              <w:ind w:right="8"/>
              <w:spacing w:after="0" w:line="155" w:lineRule="exact"/>
              <w:rPr>
                <w:sz w:val="20"/>
                <w:szCs w:val="20"/>
                <w:color w:val="auto"/>
              </w:rPr>
            </w:pPr>
            <w:r>
              <w:rPr>
                <w:rFonts w:ascii="Arial" w:cs="Arial" w:eastAsia="Arial" w:hAnsi="Arial"/>
                <w:sz w:val="14"/>
                <w:szCs w:val="14"/>
                <w:color w:val="auto"/>
                <w:w w:val="84"/>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$ 48.6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60" w:right="60" w:hanging="352"/>
        <w:spacing w:after="0" w:line="291" w:lineRule="auto"/>
        <w:tabs>
          <w:tab w:leader="none" w:pos="349"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increase in stock-based compensation expense in 2001 primarily reflects the cancellations from our Stock Option Cancel/Regrant Program in March 2001 which resulted in the remaining unamortized deferred compensation being expensed upon cancellation. In addition, the remaining amount of deferred compensation totaling $0.1 million at December 31, 2005 was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eliminated in accordance with the provisions of SFAS No. 123 (revised 2004), </w:t>
      </w:r>
      <w:r>
        <w:rPr>
          <w:rFonts w:ascii="Arial" w:cs="Arial" w:eastAsia="Arial" w:hAnsi="Arial"/>
          <w:sz w:val="14"/>
          <w:szCs w:val="14"/>
          <w:i w:val="1"/>
          <w:iCs w:val="1"/>
          <w:color w:val="auto"/>
        </w:rPr>
        <w:t>Share-Based Payment,</w:t>
      </w:r>
      <w:r>
        <w:rPr>
          <w:rFonts w:ascii="Arial" w:cs="Arial" w:eastAsia="Arial" w:hAnsi="Arial"/>
          <w:sz w:val="14"/>
          <w:szCs w:val="14"/>
          <w:color w:val="auto"/>
        </w:rPr>
        <w:t xml:space="preserve"> or SFAS 123R, which we adopted effective January 1, 2006.</w:t>
      </w:r>
    </w:p>
    <w:p>
      <w:pPr>
        <w:spacing w:after="0" w:line="96"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the accrual of payroll related tax adjustments in 1999 through 2002, and a reduction of such accruals due to the expiration of statutory requirements in 2003 through 2005.</w:t>
      </w:r>
    </w:p>
    <w:p>
      <w:pPr>
        <w:spacing w:after="0" w:line="10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following table summarizes the impact of the additional stock-based compensation expense resulting from the review of our equity award practices on our previously-reported stock-based compensation expense on an annual basis, excluding the impact of an additional $0.6 million and $5.7 million in 2002 and 2003, respectively, related to the theft of shares by the Company’s former stock administrator:</w:t>
      </w:r>
    </w:p>
    <w:p>
      <w:pPr>
        <w:spacing w:after="0" w:line="15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0"/>
              </w:rPr>
              <w:t>Stock-Based Compensation Expense</w:t>
            </w:r>
          </w:p>
        </w:tc>
      </w:tr>
      <w:tr>
        <w:trPr>
          <w:trHeight w:val="129"/>
        </w:trPr>
        <w:tc>
          <w:tcPr>
            <w:tcW w:w="4740" w:type="dxa"/>
            <w:vAlign w:val="bottom"/>
          </w:tcPr>
          <w:p>
            <w:pPr>
              <w:spacing w:after="0"/>
              <w:rPr>
                <w:sz w:val="11"/>
                <w:szCs w:val="11"/>
                <w:color w:val="auto"/>
              </w:rPr>
            </w:pPr>
          </w:p>
        </w:tc>
        <w:tc>
          <w:tcPr>
            <w:tcW w:w="940" w:type="dxa"/>
            <w:vAlign w:val="bottom"/>
            <w:tcBorders>
              <w:top w:val="single" w:sz="8" w:color="auto"/>
              <w:bottom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As Reported</w:t>
            </w:r>
          </w:p>
        </w:tc>
        <w:tc>
          <w:tcPr>
            <w:tcW w:w="1080" w:type="dxa"/>
            <w:vAlign w:val="bottom"/>
            <w:tcBorders>
              <w:top w:val="single" w:sz="8" w:color="auto"/>
              <w:bottom w:val="single" w:sz="8" w:color="auto"/>
            </w:tcBorders>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1"/>
              </w:rPr>
              <w:t>Adjustments</w:t>
            </w:r>
          </w:p>
        </w:tc>
        <w:tc>
          <w:tcPr>
            <w:tcW w:w="940" w:type="dxa"/>
            <w:vAlign w:val="bottom"/>
            <w:tcBorders>
              <w:top w:val="single" w:sz="8" w:color="auto"/>
              <w:bottom w:val="single" w:sz="8" w:color="auto"/>
            </w:tcBorders>
            <w:gridSpan w:val="3"/>
          </w:tcPr>
          <w:p>
            <w:pPr>
              <w:ind w:left="140"/>
              <w:spacing w:after="0" w:line="129" w:lineRule="exact"/>
              <w:rPr>
                <w:sz w:val="20"/>
                <w:szCs w:val="20"/>
                <w:color w:val="auto"/>
              </w:rPr>
            </w:pPr>
            <w:r>
              <w:rPr>
                <w:rFonts w:ascii="Arial" w:cs="Arial" w:eastAsia="Arial" w:hAnsi="Arial"/>
                <w:sz w:val="14"/>
                <w:szCs w:val="14"/>
                <w:b w:val="1"/>
                <w:bCs w:val="1"/>
                <w:color w:val="auto"/>
                <w:w w:val="96"/>
              </w:rPr>
              <w:t>As Restated</w:t>
            </w:r>
          </w:p>
        </w:tc>
        <w:tc>
          <w:tcPr>
            <w:tcW w:w="60" w:type="dxa"/>
            <w:vAlign w:val="bottom"/>
          </w:tcPr>
          <w:p>
            <w:pPr>
              <w:spacing w:after="0"/>
              <w:rPr>
                <w:sz w:val="11"/>
                <w:szCs w:val="11"/>
                <w:color w:val="auto"/>
              </w:rPr>
            </w:pPr>
          </w:p>
        </w:tc>
      </w:tr>
      <w:tr>
        <w:trPr>
          <w:trHeight w:val="129"/>
        </w:trPr>
        <w:tc>
          <w:tcPr>
            <w:tcW w:w="4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31, 2005</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$ 0.1</w:t>
            </w: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$ 2.6</w:t>
            </w: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Year ended December 31, 2004</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3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3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31, 2003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Year ended December 31, 2002</w:t>
            </w:r>
          </w:p>
        </w:tc>
        <w:tc>
          <w:tcPr>
            <w:tcW w:w="26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w:t>
            </w:r>
          </w:p>
        </w:tc>
        <w:tc>
          <w:tcPr>
            <w:tcW w:w="3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31, 2001</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Year ended December 31, 2000</w:t>
            </w:r>
          </w:p>
        </w:tc>
        <w:tc>
          <w:tcPr>
            <w:tcW w:w="26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w:t>
            </w:r>
          </w:p>
        </w:tc>
        <w:tc>
          <w:tcPr>
            <w:tcW w:w="3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31, 1999</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Year ended December 31, 1998</w:t>
            </w:r>
          </w:p>
        </w:tc>
        <w:tc>
          <w:tcPr>
            <w:tcW w:w="26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3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7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$ 6.6</w:t>
            </w: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$ 58.2</w:t>
            </w: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$ 64.8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60" w:firstLine="360"/>
        <w:spacing w:after="0" w:line="277" w:lineRule="auto"/>
        <w:rPr>
          <w:sz w:val="20"/>
          <w:szCs w:val="20"/>
          <w:color w:val="auto"/>
        </w:rPr>
      </w:pPr>
      <w:r>
        <w:rPr>
          <w:rFonts w:ascii="Arial" w:cs="Arial" w:eastAsia="Arial" w:hAnsi="Arial"/>
          <w:sz w:val="18"/>
          <w:szCs w:val="18"/>
          <w:color w:val="auto"/>
        </w:rPr>
        <w:t>The following table presents the impact of the additional stock-based compensation expense-related adjustments and the discontinuance of our international businesses on our consolidated balance sheet as of December 31, 2002:</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CONSOLIDATED BALANCE SHEET FOR 2002</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Adjustment for</w:t>
            </w:r>
          </w:p>
        </w:tc>
        <w:tc>
          <w:tcPr>
            <w:tcW w:w="126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2"/>
              </w:rPr>
              <w:t>As Restated for</w:t>
            </w:r>
          </w:p>
        </w:tc>
        <w:tc>
          <w:tcPr>
            <w:tcW w:w="12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4"/>
              </w:rPr>
              <w:t>Adjustment for</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International</w:t>
            </w:r>
          </w:p>
        </w:tc>
        <w:tc>
          <w:tcPr>
            <w:tcW w:w="1260" w:type="dxa"/>
            <w:vAlign w:val="bottom"/>
            <w:gridSpan w:val="4"/>
            <w:vMerge w:val="continue"/>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2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Discontinued</w:t>
            </w:r>
          </w:p>
        </w:tc>
        <w:tc>
          <w:tcPr>
            <w:tcW w:w="126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Discontinued</w:t>
            </w:r>
          </w:p>
        </w:tc>
        <w:tc>
          <w:tcPr>
            <w:tcW w:w="126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Stock Based</w:t>
            </w:r>
          </w:p>
        </w:tc>
        <w:tc>
          <w:tcPr>
            <w:tcW w:w="9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Operations</w:t>
            </w:r>
          </w:p>
        </w:tc>
        <w:tc>
          <w:tcPr>
            <w:tcW w:w="1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Operations</w:t>
            </w:r>
          </w:p>
        </w:tc>
        <w:tc>
          <w:tcPr>
            <w:tcW w:w="1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Expenses</w:t>
            </w: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20" w:type="dxa"/>
            <w:vAlign w:val="bottom"/>
            <w:tcBorders>
              <w:top w:val="single" w:sz="8" w:color="CCEEFF"/>
            </w:tcBorders>
            <w:shd w:val="clear" w:color="auto" w:fill="CCEEFF"/>
          </w:tcPr>
          <w:p>
            <w:pPr>
              <w:ind w:left="1160"/>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98.1</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 (1.1)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97.0</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97.0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50.9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color w:val="auto"/>
              </w:rPr>
              <w:t>(4.7)</w:t>
            </w:r>
          </w:p>
        </w:tc>
        <w:tc>
          <w:tcPr>
            <w:tcW w:w="2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46.2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46.2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receivable—related party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(0.4)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tcPr>
          <w:p>
            <w:pPr>
              <w:ind w:left="140"/>
              <w:spacing w:after="0"/>
              <w:rPr>
                <w:sz w:val="20"/>
                <w:szCs w:val="20"/>
                <w:color w:val="auto"/>
              </w:rPr>
            </w:pPr>
            <w:r>
              <w:rPr>
                <w:rFonts w:ascii="Arial" w:cs="Arial" w:eastAsia="Arial" w:hAnsi="Arial"/>
                <w:sz w:val="14"/>
                <w:szCs w:val="14"/>
                <w:color w:val="auto"/>
              </w:rPr>
              <w:t>Prepaid expenses</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loans and advances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color w:val="auto"/>
              </w:rPr>
              <w:t>(0.8)</w:t>
            </w:r>
          </w:p>
        </w:tc>
        <w:tc>
          <w:tcPr>
            <w:tcW w:w="2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assets of discontinued operations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20" w:type="dxa"/>
            <w:vAlign w:val="bottom"/>
          </w:tcPr>
          <w:p>
            <w:pPr>
              <w:ind w:left="300"/>
              <w:spacing w:after="0" w:line="155" w:lineRule="exact"/>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172.0</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173.0</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173.0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Goodwill</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25.5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25.5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25.5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 net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20" w:type="dxa"/>
            <w:vAlign w:val="bottom"/>
          </w:tcPr>
          <w:p>
            <w:pPr>
              <w:spacing w:after="0"/>
              <w:rPr>
                <w:sz w:val="20"/>
                <w:szCs w:val="20"/>
                <w:color w:val="auto"/>
              </w:rPr>
            </w:pPr>
            <w:r>
              <w:rPr>
                <w:rFonts w:ascii="Arial" w:cs="Arial" w:eastAsia="Arial" w:hAnsi="Arial"/>
                <w:sz w:val="14"/>
                <w:szCs w:val="14"/>
                <w:color w:val="auto"/>
              </w:rPr>
              <w:t>Investments in unconsolidated affiliates</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91" w:orient="portrait"/>
          <w:cols w:equalWidth="0" w:num="1">
            <w:col w:w="11400"/>
          </w:cols>
          <w:pgMar w:left="240" w:top="118" w:right="259" w:bottom="0" w:gutter="0" w:footer="0" w:header="0"/>
        </w:sectPr>
      </w:pPr>
    </w:p>
    <w:bookmarkStart w:id="34" w:name="page35"/>
    <w:bookmarkEnd w:id="34"/>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4"/>
                <w:szCs w:val="14"/>
                <w:color w:val="auto"/>
              </w:rPr>
              <w:t>Other assets of discontinued operations</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1.1</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2.4</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80" w:type="dxa"/>
            <w:vAlign w:val="bottom"/>
            <w:tcBorders>
              <w:top w:val="single" w:sz="8" w:color="CCEEFF"/>
              <w:bottom w:val="single" w:sz="8" w:color="CCEEFF"/>
            </w:tcBorders>
            <w:shd w:val="clear" w:color="auto" w:fill="CCEEFF"/>
          </w:tcPr>
          <w:p>
            <w:pPr>
              <w:ind w:left="300"/>
              <w:spacing w:after="0" w:line="155" w:lineRule="exact"/>
              <w:rPr>
                <w:sz w:val="20"/>
                <w:szCs w:val="20"/>
                <w:color w:val="auto"/>
              </w:rPr>
            </w:pPr>
            <w:r>
              <w:rPr>
                <w:rFonts w:ascii="Arial" w:cs="Arial" w:eastAsia="Arial" w:hAnsi="Arial"/>
                <w:sz w:val="14"/>
                <w:szCs w:val="14"/>
                <w:color w:val="auto"/>
              </w:rPr>
              <w:t>Total assets</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220.3</w:t>
            </w:r>
          </w:p>
        </w:tc>
        <w:tc>
          <w:tcPr>
            <w:tcW w:w="7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w:t>
            </w: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221.3</w:t>
            </w: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221.3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9.9</w:t>
            </w:r>
          </w:p>
        </w:tc>
        <w:tc>
          <w:tcPr>
            <w:tcW w:w="7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80"/>
              <w:spacing w:after="0"/>
              <w:rPr>
                <w:sz w:val="20"/>
                <w:szCs w:val="20"/>
                <w:color w:val="auto"/>
              </w:rPr>
            </w:pPr>
            <w:r>
              <w:rPr>
                <w:rFonts w:ascii="Arial" w:cs="Arial" w:eastAsia="Arial" w:hAnsi="Arial"/>
                <w:sz w:val="14"/>
                <w:szCs w:val="14"/>
                <w:color w:val="auto"/>
              </w:rPr>
              <w:t>(1.3)</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8.6</w:t>
            </w:r>
          </w:p>
        </w:tc>
        <w:tc>
          <w:tcPr>
            <w:tcW w:w="7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59"/>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8.6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80" w:type="dxa"/>
            <w:vAlign w:val="bottom"/>
          </w:tcPr>
          <w:p>
            <w:pPr>
              <w:ind w:left="140"/>
              <w:spacing w:after="0" w:line="143" w:lineRule="exact"/>
              <w:rPr>
                <w:sz w:val="20"/>
                <w:szCs w:val="20"/>
                <w:color w:val="auto"/>
              </w:rPr>
            </w:pPr>
            <w:r>
              <w:rPr>
                <w:rFonts w:ascii="Arial" w:cs="Arial" w:eastAsia="Arial" w:hAnsi="Arial"/>
                <w:sz w:val="14"/>
                <w:szCs w:val="14"/>
                <w:color w:val="auto"/>
              </w:rPr>
              <w:t>Billings in excess of costs on</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80" w:type="dxa"/>
            <w:vAlign w:val="bottom"/>
          </w:tcPr>
          <w:p>
            <w:pPr>
              <w:ind w:left="300"/>
              <w:spacing w:after="0"/>
              <w:rPr>
                <w:sz w:val="20"/>
                <w:szCs w:val="20"/>
                <w:color w:val="auto"/>
              </w:rPr>
            </w:pPr>
            <w:r>
              <w:rPr>
                <w:rFonts w:ascii="Arial" w:cs="Arial" w:eastAsia="Arial" w:hAnsi="Arial"/>
                <w:sz w:val="14"/>
                <w:szCs w:val="14"/>
                <w:color w:val="auto"/>
              </w:rPr>
              <w:t>completed contracts</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6.2</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color w:val="auto"/>
              </w:rPr>
              <w:t>(0.2)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6.0</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6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contingencies</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140"/>
              <w:spacing w:after="0"/>
              <w:rPr>
                <w:sz w:val="20"/>
                <w:szCs w:val="20"/>
                <w:color w:val="auto"/>
              </w:rPr>
            </w:pPr>
            <w:r>
              <w:rPr>
                <w:rFonts w:ascii="Arial" w:cs="Arial" w:eastAsia="Arial" w:hAnsi="Arial"/>
                <w:sz w:val="14"/>
                <w:szCs w:val="14"/>
                <w:color w:val="auto"/>
              </w:rPr>
              <w:t>Accrual for unused office space</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140"/>
              <w:spacing w:after="0"/>
              <w:rPr>
                <w:sz w:val="20"/>
                <w:szCs w:val="20"/>
                <w:color w:val="auto"/>
              </w:rPr>
            </w:pPr>
            <w:r>
              <w:rPr>
                <w:rFonts w:ascii="Arial" w:cs="Arial" w:eastAsia="Arial" w:hAnsi="Arial"/>
                <w:sz w:val="14"/>
                <w:szCs w:val="14"/>
                <w:color w:val="auto"/>
              </w:rPr>
              <w:t>Capital lease obligations</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2.3</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color w:val="auto"/>
              </w:rPr>
              <w:t>(0.1)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2.2</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8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Current liabilities of discontinued</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operations</w:t>
            </w: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7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7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080" w:type="dxa"/>
            <w:vAlign w:val="bottom"/>
          </w:tcPr>
          <w:p>
            <w:pPr>
              <w:ind w:left="300"/>
              <w:spacing w:after="0" w:line="155" w:lineRule="exact"/>
              <w:rPr>
                <w:sz w:val="20"/>
                <w:szCs w:val="20"/>
                <w:color w:val="auto"/>
              </w:rPr>
            </w:pPr>
            <w:r>
              <w:rPr>
                <w:rFonts w:ascii="Arial" w:cs="Arial" w:eastAsia="Arial" w:hAnsi="Arial"/>
                <w:sz w:val="14"/>
                <w:szCs w:val="14"/>
                <w:color w:val="auto"/>
              </w:rPr>
              <w:t>Total current liabilities</w:t>
            </w: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56.9</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1.0</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57.9</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13.7</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71.6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0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Capital lease obligations, net of current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portion</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080" w:type="dxa"/>
            <w:vAlign w:val="bottom"/>
          </w:tcPr>
          <w:p>
            <w:pPr>
              <w:spacing w:after="0" w:line="143" w:lineRule="exact"/>
              <w:rPr>
                <w:sz w:val="20"/>
                <w:szCs w:val="20"/>
                <w:color w:val="auto"/>
              </w:rPr>
            </w:pPr>
            <w:r>
              <w:rPr>
                <w:rFonts w:ascii="Arial" w:cs="Arial" w:eastAsia="Arial" w:hAnsi="Arial"/>
                <w:sz w:val="14"/>
                <w:szCs w:val="14"/>
                <w:color w:val="auto"/>
              </w:rPr>
              <w:t>Accrual for unused office space, net of current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80" w:type="dxa"/>
            <w:vAlign w:val="bottom"/>
          </w:tcPr>
          <w:p>
            <w:pPr>
              <w:ind w:left="140"/>
              <w:spacing w:after="0"/>
              <w:rPr>
                <w:sz w:val="20"/>
                <w:szCs w:val="20"/>
                <w:color w:val="auto"/>
              </w:rPr>
            </w:pPr>
            <w:r>
              <w:rPr>
                <w:rFonts w:ascii="Arial" w:cs="Arial" w:eastAsia="Arial" w:hAnsi="Arial"/>
                <w:sz w:val="14"/>
                <w:szCs w:val="14"/>
                <w:color w:val="auto"/>
              </w:rPr>
              <w:t>portion</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7.6</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7.6</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6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80" w:type="dxa"/>
            <w:vAlign w:val="bottom"/>
          </w:tcPr>
          <w:p>
            <w:pPr>
              <w:ind w:left="300"/>
              <w:spacing w:after="0" w:line="155" w:lineRule="exact"/>
              <w:rPr>
                <w:sz w:val="20"/>
                <w:szCs w:val="20"/>
                <w:color w:val="auto"/>
              </w:rPr>
            </w:pPr>
            <w:r>
              <w:rPr>
                <w:rFonts w:ascii="Arial" w:cs="Arial" w:eastAsia="Arial" w:hAnsi="Arial"/>
                <w:sz w:val="14"/>
                <w:szCs w:val="14"/>
                <w:color w:val="auto"/>
              </w:rPr>
              <w:t>Total liabilities</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66.6</w:t>
            </w:r>
          </w:p>
        </w:tc>
        <w:tc>
          <w:tcPr>
            <w:tcW w:w="7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67.6</w:t>
            </w:r>
          </w:p>
        </w:tc>
        <w:tc>
          <w:tcPr>
            <w:tcW w:w="7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13.7</w:t>
            </w:r>
          </w:p>
        </w:tc>
        <w:tc>
          <w:tcPr>
            <w:tcW w:w="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81.3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100" w:type="dxa"/>
            <w:vAlign w:val="bottom"/>
          </w:tcPr>
          <w:p>
            <w:pPr>
              <w:spacing w:after="0"/>
              <w:rPr>
                <w:sz w:val="14"/>
                <w:szCs w:val="14"/>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6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8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266.6</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266.6</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44.5</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311.1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compensation</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59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308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4"/>
                <w:szCs w:val="1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color w:val="auto"/>
                <w:w w:val="99"/>
              </w:rPr>
              <w:t>(109.9)</w:t>
            </w:r>
          </w:p>
        </w:tc>
        <w:tc>
          <w:tcPr>
            <w:tcW w:w="80" w:type="dxa"/>
            <w:vAlign w:val="bottom"/>
          </w:tcPr>
          <w:p>
            <w:pPr>
              <w:spacing w:after="0"/>
              <w:rPr>
                <w:sz w:val="14"/>
                <w:szCs w:val="14"/>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4"/>
                <w:szCs w:val="14"/>
                <w:color w:val="auto"/>
                <w:w w:val="99"/>
              </w:rPr>
              <w:t>(109.9)</w:t>
            </w:r>
          </w:p>
        </w:tc>
        <w:tc>
          <w:tcPr>
            <w:tcW w:w="100" w:type="dxa"/>
            <w:vAlign w:val="bottom"/>
          </w:tcPr>
          <w:p>
            <w:pPr>
              <w:spacing w:after="0"/>
              <w:rPr>
                <w:sz w:val="14"/>
                <w:szCs w:val="14"/>
                <w:color w:val="auto"/>
              </w:rPr>
            </w:pPr>
          </w:p>
        </w:tc>
        <w:tc>
          <w:tcPr>
            <w:tcW w:w="1020" w:type="dxa"/>
            <w:vAlign w:val="bottom"/>
            <w:gridSpan w:val="2"/>
          </w:tcPr>
          <w:p>
            <w:pPr>
              <w:jc w:val="right"/>
              <w:ind w:right="599"/>
              <w:spacing w:after="0"/>
              <w:rPr>
                <w:sz w:val="20"/>
                <w:szCs w:val="20"/>
                <w:color w:val="auto"/>
              </w:rPr>
            </w:pPr>
            <w:r>
              <w:rPr>
                <w:rFonts w:ascii="Arial" w:cs="Arial" w:eastAsia="Arial" w:hAnsi="Arial"/>
                <w:sz w:val="14"/>
                <w:szCs w:val="14"/>
                <w:color w:val="auto"/>
                <w:w w:val="98"/>
              </w:rPr>
              <w:t>(55.3)</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143"/>
        </w:trPr>
        <w:tc>
          <w:tcPr>
            <w:tcW w:w="308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Accumulated other comprehensive</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6"/>
        </w:trPr>
        <w:tc>
          <w:tcPr>
            <w:tcW w:w="3080" w:type="dxa"/>
            <w:vAlign w:val="bottom"/>
            <w:tcBorders>
              <w:bottom w:val="single" w:sz="8" w:color="CCEEFF"/>
            </w:tcBorders>
          </w:tcPr>
          <w:p>
            <w:pPr>
              <w:ind w:left="300"/>
              <w:spacing w:after="0" w:line="155" w:lineRule="exact"/>
              <w:rPr>
                <w:sz w:val="20"/>
                <w:szCs w:val="20"/>
                <w:color w:val="auto"/>
              </w:rPr>
            </w:pPr>
            <w:r>
              <w:rPr>
                <w:rFonts w:ascii="Arial" w:cs="Arial" w:eastAsia="Arial" w:hAnsi="Arial"/>
                <w:sz w:val="14"/>
                <w:szCs w:val="14"/>
                <w:color w:val="auto"/>
              </w:rPr>
              <w:t>Total stockholders’ equity</w:t>
            </w: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153.7</w:t>
            </w:r>
          </w:p>
        </w:tc>
        <w:tc>
          <w:tcPr>
            <w:tcW w:w="7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153.7</w:t>
            </w:r>
          </w:p>
        </w:tc>
        <w:tc>
          <w:tcPr>
            <w:tcW w:w="7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(13.7)</w:t>
            </w:r>
          </w:p>
        </w:tc>
        <w:tc>
          <w:tcPr>
            <w:tcW w:w="6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140.0</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220.3</w:t>
            </w: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221.3</w:t>
            </w: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6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221.3</w:t>
            </w:r>
          </w:p>
        </w:tc>
        <w:tc>
          <w:tcPr>
            <w:tcW w:w="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firstLine="360"/>
        <w:spacing w:after="0" w:line="291" w:lineRule="auto"/>
        <w:rPr>
          <w:sz w:val="20"/>
          <w:szCs w:val="20"/>
          <w:color w:val="auto"/>
        </w:rPr>
      </w:pPr>
      <w:r>
        <w:rPr>
          <w:rFonts w:ascii="Arial" w:cs="Arial" w:eastAsia="Arial" w:hAnsi="Arial"/>
          <w:sz w:val="16"/>
          <w:szCs w:val="16"/>
          <w:color w:val="auto"/>
        </w:rPr>
        <w:t>The following table presents the impact of the additional stock-based compensation expense-related adjustments as well as the discontinuance of our international businesses on our previously-reported consolidated statement of operations for the years ended December 31, 2002:</w:t>
      </w:r>
    </w:p>
    <w:p>
      <w:pPr>
        <w:jc w:val="center"/>
        <w:spacing w:after="0"/>
        <w:rPr>
          <w:sz w:val="20"/>
          <w:szCs w:val="20"/>
          <w:color w:val="auto"/>
        </w:rPr>
      </w:pPr>
      <w:r>
        <w:rPr>
          <w:rFonts w:ascii="Arial" w:cs="Arial" w:eastAsia="Arial" w:hAnsi="Arial"/>
          <w:sz w:val="18"/>
          <w:szCs w:val="18"/>
          <w:b w:val="1"/>
          <w:bCs w:val="1"/>
          <w:color w:val="auto"/>
        </w:rPr>
        <w:t>RECONCILIATION OF CONSOLIDATED STATEMENT OF OPERATIONS FOR 2002</w:t>
      </w: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76"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Revenues</w:t>
      </w:r>
    </w:p>
    <w:p>
      <w:pPr>
        <w:spacing w:after="0" w:line="26"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Cost of revenues</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Gross profit</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Selling, general and administrative expenses</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Unauthorized issuance of stock option expense</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Impairment of goodwill</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Other asset impairment and other charges, net</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Operating income (loss)</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Interest income (expense), net</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Foreign currency gain (loss)</w:t>
      </w:r>
    </w:p>
    <w:p>
      <w:pPr>
        <w:spacing w:after="0" w:line="13" w:lineRule="exact"/>
        <w:rPr>
          <w:sz w:val="20"/>
          <w:szCs w:val="20"/>
          <w:color w:val="auto"/>
        </w:rPr>
      </w:pPr>
    </w:p>
    <w:p>
      <w:pPr>
        <w:ind w:left="1520" w:hanging="125"/>
        <w:spacing w:after="0" w:line="203" w:lineRule="auto"/>
        <w:rPr>
          <w:sz w:val="20"/>
          <w:szCs w:val="20"/>
          <w:color w:val="auto"/>
        </w:rPr>
      </w:pPr>
      <w:r>
        <w:rPr>
          <w:rFonts w:ascii="Arial" w:cs="Arial" w:eastAsia="Arial" w:hAnsi="Arial"/>
          <w:sz w:val="13"/>
          <w:szCs w:val="13"/>
          <w:color w:val="auto"/>
        </w:rPr>
        <w:t>Impairment of investment in unconsolidated affiliate and other income (expenses), net</w:t>
      </w:r>
    </w:p>
    <w:p>
      <w:pPr>
        <w:ind w:left="1380"/>
        <w:spacing w:after="0"/>
        <w:rPr>
          <w:sz w:val="20"/>
          <w:szCs w:val="20"/>
          <w:color w:val="auto"/>
        </w:rPr>
      </w:pPr>
      <w:r>
        <w:rPr>
          <w:rFonts w:ascii="Arial" w:cs="Arial" w:eastAsia="Arial" w:hAnsi="Arial"/>
          <w:sz w:val="13"/>
          <w:szCs w:val="13"/>
          <w:color w:val="auto"/>
        </w:rPr>
        <w:t>Total other income (expense)</w:t>
      </w:r>
    </w:p>
    <w:p>
      <w:pPr>
        <w:spacing w:after="0" w:line="3" w:lineRule="exact"/>
        <w:rPr>
          <w:sz w:val="20"/>
          <w:szCs w:val="20"/>
          <w:color w:val="auto"/>
        </w:rPr>
      </w:pPr>
    </w:p>
    <w:p>
      <w:pPr>
        <w:ind w:left="1520" w:right="300" w:hanging="125"/>
        <w:spacing w:after="0" w:line="220" w:lineRule="auto"/>
        <w:rPr>
          <w:sz w:val="20"/>
          <w:szCs w:val="20"/>
          <w:color w:val="auto"/>
        </w:rPr>
      </w:pPr>
      <w:r>
        <w:rPr>
          <w:rFonts w:ascii="Arial" w:cs="Arial" w:eastAsia="Arial" w:hAnsi="Arial"/>
          <w:sz w:val="12"/>
          <w:szCs w:val="12"/>
          <w:color w:val="auto"/>
        </w:rPr>
        <w:t>Income (loss) from continuing operations before cumulative and cumulative effect of change in accounting principle</w:t>
      </w:r>
    </w:p>
    <w:p>
      <w:pPr>
        <w:ind w:left="1380"/>
        <w:spacing w:after="0"/>
        <w:rPr>
          <w:sz w:val="20"/>
          <w:szCs w:val="20"/>
          <w:color w:val="auto"/>
        </w:rPr>
      </w:pPr>
      <w:r>
        <w:rPr>
          <w:rFonts w:ascii="Arial" w:cs="Arial" w:eastAsia="Arial" w:hAnsi="Arial"/>
          <w:sz w:val="13"/>
          <w:szCs w:val="13"/>
          <w:color w:val="auto"/>
        </w:rPr>
        <w:t>Provision (benefit) for income taxes</w:t>
      </w:r>
    </w:p>
    <w:p>
      <w:pPr>
        <w:spacing w:after="0" w:line="84" w:lineRule="exact"/>
        <w:rPr>
          <w:sz w:val="20"/>
          <w:szCs w:val="20"/>
          <w:color w:val="auto"/>
        </w:rPr>
      </w:pPr>
    </w:p>
    <w:p>
      <w:pPr>
        <w:ind w:left="1520" w:right="60" w:hanging="125"/>
        <w:spacing w:after="0" w:line="192" w:lineRule="auto"/>
        <w:rPr>
          <w:sz w:val="20"/>
          <w:szCs w:val="20"/>
          <w:color w:val="auto"/>
        </w:rPr>
      </w:pPr>
      <w:r>
        <w:rPr>
          <w:rFonts w:ascii="Arial" w:cs="Arial" w:eastAsia="Arial" w:hAnsi="Arial"/>
          <w:sz w:val="13"/>
          <w:szCs w:val="13"/>
          <w:color w:val="auto"/>
        </w:rPr>
        <w:t>Income (loss) from continuing operations before cumulative effect of change in accounting principle</w:t>
      </w:r>
    </w:p>
    <w:p>
      <w:pPr>
        <w:ind w:left="1380"/>
        <w:spacing w:after="0"/>
        <w:rPr>
          <w:sz w:val="20"/>
          <w:szCs w:val="20"/>
          <w:color w:val="auto"/>
        </w:rPr>
      </w:pPr>
      <w:r>
        <w:rPr>
          <w:rFonts w:ascii="Arial" w:cs="Arial" w:eastAsia="Arial" w:hAnsi="Arial"/>
          <w:sz w:val="13"/>
          <w:szCs w:val="13"/>
          <w:color w:val="auto"/>
        </w:rPr>
        <w:t>Loss from discontinued operations</w:t>
      </w:r>
    </w:p>
    <w:p>
      <w:pPr>
        <w:spacing w:after="0" w:line="3" w:lineRule="exact"/>
        <w:rPr>
          <w:sz w:val="20"/>
          <w:szCs w:val="20"/>
          <w:color w:val="auto"/>
        </w:rPr>
      </w:pPr>
    </w:p>
    <w:p>
      <w:pPr>
        <w:ind w:left="1380" w:right="940"/>
        <w:spacing w:after="0" w:line="260" w:lineRule="auto"/>
        <w:rPr>
          <w:sz w:val="20"/>
          <w:szCs w:val="20"/>
          <w:color w:val="auto"/>
        </w:rPr>
      </w:pPr>
      <w:r>
        <w:rPr>
          <w:rFonts w:ascii="Arial" w:cs="Arial" w:eastAsia="Arial" w:hAnsi="Arial"/>
          <w:sz w:val="13"/>
          <w:szCs w:val="13"/>
          <w:color w:val="auto"/>
        </w:rPr>
        <w:t>Cumulative effect of change in accounting principle Net income (loss)</w:t>
      </w:r>
    </w:p>
    <w:p>
      <w:pPr>
        <w:ind w:left="1520" w:right="420" w:hanging="125"/>
        <w:spacing w:after="0" w:line="215" w:lineRule="auto"/>
        <w:rPr>
          <w:sz w:val="20"/>
          <w:szCs w:val="20"/>
          <w:color w:val="auto"/>
        </w:rPr>
      </w:pPr>
      <w:r>
        <w:rPr>
          <w:rFonts w:ascii="Arial" w:cs="Arial" w:eastAsia="Arial" w:hAnsi="Arial"/>
          <w:sz w:val="13"/>
          <w:szCs w:val="13"/>
          <w:color w:val="auto"/>
        </w:rPr>
        <w:t>Net income (loss) from continuing operations per share before cumulative effect of change in accounting principle Basic</w:t>
      </w:r>
    </w:p>
    <w:p>
      <w:pPr>
        <w:spacing w:after="0" w:line="3"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Diluted</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Loss from discontinued operations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2"/>
        </w:trPr>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5"/>
          </w:tcPr>
          <w:p>
            <w:pPr>
              <w:jc w:val="center"/>
              <w:ind w:right="160"/>
              <w:spacing w:after="0" w:line="113" w:lineRule="exact"/>
              <w:rPr>
                <w:sz w:val="20"/>
                <w:szCs w:val="20"/>
                <w:color w:val="auto"/>
              </w:rPr>
            </w:pPr>
            <w:r>
              <w:rPr>
                <w:rFonts w:ascii="Arial" w:cs="Arial" w:eastAsia="Arial" w:hAnsi="Arial"/>
                <w:sz w:val="13"/>
                <w:szCs w:val="13"/>
                <w:b w:val="1"/>
                <w:bCs w:val="1"/>
                <w:color w:val="auto"/>
                <w:w w:val="88"/>
              </w:rPr>
              <w:t>Adjustment for</w:t>
            </w:r>
          </w:p>
        </w:tc>
        <w:tc>
          <w:tcPr>
            <w:tcW w:w="1080" w:type="dxa"/>
            <w:vAlign w:val="bottom"/>
            <w:gridSpan w:val="5"/>
            <w:vMerge w:val="restart"/>
          </w:tcPr>
          <w:p>
            <w:pPr>
              <w:jc w:val="center"/>
              <w:ind w:right="160"/>
              <w:spacing w:after="0"/>
              <w:rPr>
                <w:sz w:val="20"/>
                <w:szCs w:val="20"/>
                <w:color w:val="auto"/>
              </w:rPr>
            </w:pPr>
            <w:r>
              <w:rPr>
                <w:rFonts w:ascii="Arial" w:cs="Arial" w:eastAsia="Arial" w:hAnsi="Arial"/>
                <w:sz w:val="13"/>
                <w:szCs w:val="13"/>
                <w:b w:val="1"/>
                <w:bCs w:val="1"/>
                <w:color w:val="auto"/>
                <w:w w:val="87"/>
              </w:rPr>
              <w:t>As Restated for</w:t>
            </w:r>
          </w:p>
        </w:tc>
        <w:tc>
          <w:tcPr>
            <w:tcW w:w="1080" w:type="dxa"/>
            <w:vAlign w:val="bottom"/>
            <w:gridSpan w:val="5"/>
            <w:vMerge w:val="restart"/>
          </w:tcPr>
          <w:p>
            <w:pPr>
              <w:jc w:val="center"/>
              <w:ind w:right="180"/>
              <w:spacing w:after="0"/>
              <w:rPr>
                <w:sz w:val="20"/>
                <w:szCs w:val="20"/>
                <w:color w:val="auto"/>
              </w:rPr>
            </w:pPr>
            <w:r>
              <w:rPr>
                <w:rFonts w:ascii="Arial" w:cs="Arial" w:eastAsia="Arial" w:hAnsi="Arial"/>
                <w:sz w:val="13"/>
                <w:szCs w:val="13"/>
                <w:b w:val="1"/>
                <w:bCs w:val="1"/>
                <w:color w:val="auto"/>
                <w:w w:val="88"/>
              </w:rPr>
              <w:t>Adjustment for</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5"/>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International</w:t>
            </w:r>
          </w:p>
        </w:tc>
        <w:tc>
          <w:tcPr>
            <w:tcW w:w="1080" w:type="dxa"/>
            <w:vAlign w:val="bottom"/>
            <w:gridSpan w:val="5"/>
            <w:vMerge w:val="continue"/>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85"/>
              </w:rPr>
              <w:t>As Reported</w:t>
            </w:r>
          </w:p>
        </w:tc>
        <w:tc>
          <w:tcPr>
            <w:tcW w:w="160" w:type="dxa"/>
            <w:vAlign w:val="bottom"/>
            <w:vMerge w:val="restart"/>
          </w:tcPr>
          <w:p>
            <w:pPr>
              <w:spacing w:after="0"/>
              <w:rPr>
                <w:sz w:val="10"/>
                <w:szCs w:val="10"/>
                <w:color w:val="auto"/>
              </w:rPr>
            </w:pPr>
          </w:p>
        </w:tc>
        <w:tc>
          <w:tcPr>
            <w:tcW w:w="1060" w:type="dxa"/>
            <w:vAlign w:val="bottom"/>
            <w:gridSpan w:val="5"/>
          </w:tcPr>
          <w:p>
            <w:pPr>
              <w:jc w:val="center"/>
              <w:ind w:right="160"/>
              <w:spacing w:after="0" w:line="122" w:lineRule="exact"/>
              <w:rPr>
                <w:sz w:val="20"/>
                <w:szCs w:val="20"/>
                <w:color w:val="auto"/>
              </w:rPr>
            </w:pPr>
            <w:r>
              <w:rPr>
                <w:rFonts w:ascii="Arial" w:cs="Arial" w:eastAsia="Arial" w:hAnsi="Arial"/>
                <w:sz w:val="13"/>
                <w:szCs w:val="13"/>
                <w:b w:val="1"/>
                <w:bCs w:val="1"/>
                <w:color w:val="auto"/>
                <w:w w:val="84"/>
              </w:rPr>
              <w:t>Discontinued</w:t>
            </w:r>
          </w:p>
        </w:tc>
        <w:tc>
          <w:tcPr>
            <w:tcW w:w="1080" w:type="dxa"/>
            <w:vAlign w:val="bottom"/>
            <w:gridSpan w:val="5"/>
          </w:tcPr>
          <w:p>
            <w:pPr>
              <w:jc w:val="center"/>
              <w:ind w:right="160"/>
              <w:spacing w:after="0" w:line="122" w:lineRule="exact"/>
              <w:rPr>
                <w:sz w:val="20"/>
                <w:szCs w:val="20"/>
                <w:color w:val="auto"/>
              </w:rPr>
            </w:pPr>
            <w:r>
              <w:rPr>
                <w:rFonts w:ascii="Arial" w:cs="Arial" w:eastAsia="Arial" w:hAnsi="Arial"/>
                <w:sz w:val="13"/>
                <w:szCs w:val="13"/>
                <w:b w:val="1"/>
                <w:bCs w:val="1"/>
                <w:color w:val="auto"/>
                <w:w w:val="87"/>
              </w:rPr>
              <w:t>Discontinued</w:t>
            </w:r>
          </w:p>
        </w:tc>
        <w:tc>
          <w:tcPr>
            <w:tcW w:w="1080" w:type="dxa"/>
            <w:vAlign w:val="bottom"/>
            <w:gridSpan w:val="5"/>
          </w:tcPr>
          <w:p>
            <w:pPr>
              <w:jc w:val="center"/>
              <w:ind w:right="180"/>
              <w:spacing w:after="0" w:line="122" w:lineRule="exact"/>
              <w:rPr>
                <w:sz w:val="20"/>
                <w:szCs w:val="20"/>
                <w:color w:val="auto"/>
              </w:rPr>
            </w:pPr>
            <w:r>
              <w:rPr>
                <w:rFonts w:ascii="Arial" w:cs="Arial" w:eastAsia="Arial" w:hAnsi="Arial"/>
                <w:sz w:val="13"/>
                <w:szCs w:val="13"/>
                <w:b w:val="1"/>
                <w:bCs w:val="1"/>
                <w:color w:val="auto"/>
                <w:w w:val="84"/>
              </w:rPr>
              <w:t>Stock Based</w:t>
            </w:r>
          </w:p>
        </w:tc>
        <w:tc>
          <w:tcPr>
            <w:tcW w:w="740" w:type="dxa"/>
            <w:vAlign w:val="bottom"/>
            <w:gridSpan w:val="5"/>
            <w:vMerge w:val="restart"/>
          </w:tcPr>
          <w:p>
            <w:pPr>
              <w:jc w:val="right"/>
              <w:ind w:right="18"/>
              <w:spacing w:after="0"/>
              <w:rPr>
                <w:sz w:val="20"/>
                <w:szCs w:val="20"/>
                <w:color w:val="auto"/>
              </w:rPr>
            </w:pPr>
            <w:r>
              <w:rPr>
                <w:rFonts w:ascii="Arial" w:cs="Arial" w:eastAsia="Arial" w:hAnsi="Arial"/>
                <w:sz w:val="13"/>
                <w:szCs w:val="13"/>
                <w:b w:val="1"/>
                <w:bCs w:val="1"/>
                <w:color w:val="auto"/>
                <w:w w:val="87"/>
              </w:rPr>
              <w:t>As Restated</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gridSpan w:val="3"/>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0"/>
              </w:rPr>
              <w:t>Operations</w:t>
            </w:r>
          </w:p>
        </w:tc>
        <w:tc>
          <w:tcPr>
            <w:tcW w:w="140" w:type="dxa"/>
            <w:vAlign w:val="bottom"/>
          </w:tcPr>
          <w:p>
            <w:pPr>
              <w:spacing w:after="0"/>
              <w:rPr>
                <w:sz w:val="12"/>
                <w:szCs w:val="12"/>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Operations</w:t>
            </w:r>
          </w:p>
        </w:tc>
        <w:tc>
          <w:tcPr>
            <w:tcW w:w="160" w:type="dxa"/>
            <w:vAlign w:val="bottom"/>
          </w:tcPr>
          <w:p>
            <w:pPr>
              <w:spacing w:after="0"/>
              <w:rPr>
                <w:sz w:val="12"/>
                <w:szCs w:val="12"/>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2"/>
              </w:rPr>
              <w:t>Expenses</w:t>
            </w:r>
          </w:p>
        </w:tc>
        <w:tc>
          <w:tcPr>
            <w:tcW w:w="160" w:type="dxa"/>
            <w:vAlign w:val="bottom"/>
          </w:tcPr>
          <w:p>
            <w:pPr>
              <w:spacing w:after="0"/>
              <w:rPr>
                <w:sz w:val="12"/>
                <w:szCs w:val="12"/>
                <w:color w:val="auto"/>
              </w:rPr>
            </w:pPr>
          </w:p>
        </w:tc>
        <w:tc>
          <w:tcPr>
            <w:tcW w:w="740" w:type="dxa"/>
            <w:vAlign w:val="bottom"/>
            <w:tcBorders>
              <w:bottom w:val="single" w:sz="8" w:color="auto"/>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40" w:type="dxa"/>
            <w:vAlign w:val="bottom"/>
            <w:gridSpan w:val="2"/>
          </w:tcPr>
          <w:p>
            <w:pPr>
              <w:jc w:val="right"/>
              <w:spacing w:after="0"/>
              <w:rPr>
                <w:sz w:val="20"/>
                <w:szCs w:val="20"/>
                <w:color w:val="auto"/>
              </w:rPr>
            </w:pPr>
            <w:r>
              <w:rPr>
                <w:rFonts w:ascii="Arial" w:cs="Arial" w:eastAsia="Arial" w:hAnsi="Arial"/>
                <w:sz w:val="13"/>
                <w:szCs w:val="13"/>
                <w:color w:val="auto"/>
              </w:rPr>
              <w:t>$ 170.4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w w:val="94"/>
              </w:rPr>
              <w:t>(14.7)</w:t>
            </w:r>
          </w:p>
        </w:tc>
        <w:tc>
          <w:tcPr>
            <w:tcW w:w="14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155.7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2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2"/>
              </w:rPr>
              <w:t>155.7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115.7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w w:val="94"/>
              </w:rPr>
              <w:t>(10.9)</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104.8</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3.4</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108.2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0" w:type="dxa"/>
            <w:vAlign w:val="bottom"/>
            <w:vMerge w:val="continue"/>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54.7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(3.8)</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50.9</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78"/>
              <w:spacing w:after="0"/>
              <w:rPr>
                <w:sz w:val="20"/>
                <w:szCs w:val="20"/>
                <w:color w:val="auto"/>
              </w:rPr>
            </w:pPr>
            <w:r>
              <w:rPr>
                <w:rFonts w:ascii="Arial" w:cs="Arial" w:eastAsia="Arial" w:hAnsi="Arial"/>
                <w:sz w:val="13"/>
                <w:szCs w:val="13"/>
                <w:color w:val="auto"/>
              </w:rPr>
              <w:t>(3.4)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47.5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40" w:type="dxa"/>
            <w:vAlign w:val="bottom"/>
            <w:gridSpan w:val="2"/>
          </w:tcPr>
          <w:p>
            <w:pPr>
              <w:jc w:val="right"/>
              <w:spacing w:after="0"/>
              <w:rPr>
                <w:sz w:val="20"/>
                <w:szCs w:val="20"/>
                <w:color w:val="auto"/>
              </w:rPr>
            </w:pPr>
            <w:r>
              <w:rPr>
                <w:rFonts w:ascii="Arial" w:cs="Arial" w:eastAsia="Arial" w:hAnsi="Arial"/>
                <w:sz w:val="13"/>
                <w:szCs w:val="13"/>
                <w:color w:val="auto"/>
              </w:rPr>
              <w:t>47.6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(7.5)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40.1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43.1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0.6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gridSpan w:val="2"/>
          </w:tcPr>
          <w:p>
            <w:pPr>
              <w:jc w:val="right"/>
              <w:spacing w:after="0"/>
              <w:rPr>
                <w:sz w:val="20"/>
                <w:szCs w:val="20"/>
                <w:color w:val="auto"/>
              </w:rPr>
            </w:pPr>
            <w:r>
              <w:rPr>
                <w:rFonts w:ascii="Arial" w:cs="Arial" w:eastAsia="Arial" w:hAnsi="Arial"/>
                <w:sz w:val="13"/>
                <w:szCs w:val="13"/>
                <w:color w:val="auto"/>
              </w:rPr>
              <w:t>14.6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w w:val="94"/>
              </w:rPr>
              <w:t>(14.6)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(5.3)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15.1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15.1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0" w:type="dxa"/>
            <w:vAlign w:val="bottom"/>
            <w:vMerge w:val="continue"/>
          </w:tcPr>
          <w:p>
            <w:pPr>
              <w:spacing w:after="0"/>
              <w:rPr>
                <w:sz w:val="13"/>
                <w:szCs w:val="13"/>
                <w:color w:val="auto"/>
              </w:rPr>
            </w:pPr>
          </w:p>
        </w:tc>
        <w:tc>
          <w:tcPr>
            <w:tcW w:w="540" w:type="dxa"/>
            <w:vAlign w:val="bottom"/>
            <w:gridSpan w:val="2"/>
          </w:tcPr>
          <w:p>
            <w:pPr>
              <w:jc w:val="right"/>
              <w:ind w:right="78"/>
              <w:spacing w:after="0"/>
              <w:rPr>
                <w:sz w:val="20"/>
                <w:szCs w:val="20"/>
                <w:color w:val="auto"/>
              </w:rPr>
            </w:pPr>
            <w:r>
              <w:rPr>
                <w:rFonts w:ascii="Arial" w:cs="Arial" w:eastAsia="Arial" w:hAnsi="Arial"/>
                <w:sz w:val="13"/>
                <w:szCs w:val="13"/>
                <w:color w:val="auto"/>
              </w:rPr>
              <w:t>(27.9)</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23.6</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78"/>
              <w:spacing w:after="0"/>
              <w:rPr>
                <w:sz w:val="20"/>
                <w:szCs w:val="20"/>
                <w:color w:val="auto"/>
              </w:rPr>
            </w:pPr>
            <w:r>
              <w:rPr>
                <w:rFonts w:ascii="Arial" w:cs="Arial" w:eastAsia="Arial" w:hAnsi="Arial"/>
                <w:sz w:val="13"/>
                <w:szCs w:val="13"/>
                <w:color w:val="auto"/>
              </w:rPr>
              <w:t>(4.3)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78"/>
              <w:spacing w:after="0"/>
              <w:rPr>
                <w:sz w:val="20"/>
                <w:szCs w:val="20"/>
                <w:color w:val="auto"/>
              </w:rPr>
            </w:pPr>
            <w:r>
              <w:rPr>
                <w:rFonts w:ascii="Arial" w:cs="Arial" w:eastAsia="Arial" w:hAnsi="Arial"/>
                <w:sz w:val="13"/>
                <w:szCs w:val="13"/>
                <w:color w:val="auto"/>
              </w:rPr>
              <w:t>(7.0)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78"/>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61"/>
        </w:trPr>
        <w:tc>
          <w:tcPr>
            <w:tcW w:w="700" w:type="dxa"/>
            <w:vAlign w:val="bottom"/>
            <w:gridSpan w:val="3"/>
          </w:tcPr>
          <w:p>
            <w:pPr>
              <w:jc w:val="right"/>
              <w:ind w:right="78"/>
              <w:spacing w:after="0"/>
              <w:rPr>
                <w:sz w:val="20"/>
                <w:szCs w:val="20"/>
                <w:color w:val="auto"/>
              </w:rPr>
            </w:pPr>
            <w:r>
              <w:rPr>
                <w:rFonts w:ascii="Arial" w:cs="Arial" w:eastAsia="Arial" w:hAnsi="Arial"/>
                <w:sz w:val="13"/>
                <w:szCs w:val="13"/>
                <w:color w:val="auto"/>
              </w:rPr>
              <w:t>(0.9)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0.1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78"/>
              <w:spacing w:after="0"/>
              <w:rPr>
                <w:sz w:val="20"/>
                <w:szCs w:val="20"/>
                <w:color w:val="auto"/>
              </w:rPr>
            </w:pPr>
            <w:r>
              <w:rPr>
                <w:rFonts w:ascii="Arial" w:cs="Arial" w:eastAsia="Arial" w:hAnsi="Arial"/>
                <w:sz w:val="13"/>
                <w:szCs w:val="13"/>
                <w:color w:val="auto"/>
              </w:rPr>
              <w:t>(0.8)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78"/>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62"/>
        </w:trPr>
        <w:tc>
          <w:tcPr>
            <w:tcW w:w="700" w:type="dxa"/>
            <w:vAlign w:val="bottom"/>
            <w:gridSpan w:val="3"/>
          </w:tcPr>
          <w:p>
            <w:pPr>
              <w:jc w:val="right"/>
              <w:ind w:right="78"/>
              <w:spacing w:after="0"/>
              <w:rPr>
                <w:sz w:val="20"/>
                <w:szCs w:val="20"/>
                <w:color w:val="auto"/>
              </w:rPr>
            </w:pPr>
            <w:r>
              <w:rPr>
                <w:rFonts w:ascii="Arial" w:cs="Arial" w:eastAsia="Arial" w:hAnsi="Arial"/>
                <w:sz w:val="13"/>
                <w:szCs w:val="13"/>
                <w:color w:val="auto"/>
              </w:rPr>
              <w:t>(0.5)</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0.5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540" w:type="dxa"/>
            <w:vAlign w:val="bottom"/>
            <w:gridSpan w:val="2"/>
          </w:tcPr>
          <w:p>
            <w:pPr>
              <w:jc w:val="right"/>
              <w:ind w:right="78"/>
              <w:spacing w:after="0" w:line="143" w:lineRule="exact"/>
              <w:rPr>
                <w:sz w:val="20"/>
                <w:szCs w:val="20"/>
                <w:color w:val="auto"/>
              </w:rPr>
            </w:pPr>
            <w:r>
              <w:rPr>
                <w:rFonts w:ascii="Arial" w:cs="Arial" w:eastAsia="Arial" w:hAnsi="Arial"/>
                <w:sz w:val="13"/>
                <w:szCs w:val="13"/>
                <w:color w:val="auto"/>
              </w:rPr>
              <w:t>(1.3)</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3" w:lineRule="exact"/>
              <w:rPr>
                <w:sz w:val="20"/>
                <w:szCs w:val="20"/>
                <w:color w:val="auto"/>
              </w:rPr>
            </w:pPr>
            <w:r>
              <w:rPr>
                <w:rFonts w:ascii="Arial" w:cs="Arial" w:eastAsia="Arial" w:hAnsi="Arial"/>
                <w:sz w:val="13"/>
                <w:szCs w:val="13"/>
                <w:color w:val="auto"/>
              </w:rPr>
              <w:t>0.7</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78"/>
              <w:spacing w:after="0" w:line="143" w:lineRule="exact"/>
              <w:rPr>
                <w:sz w:val="20"/>
                <w:szCs w:val="20"/>
                <w:color w:val="auto"/>
              </w:rPr>
            </w:pPr>
            <w:r>
              <w:rPr>
                <w:rFonts w:ascii="Arial" w:cs="Arial" w:eastAsia="Arial" w:hAnsi="Arial"/>
                <w:sz w:val="13"/>
                <w:szCs w:val="13"/>
                <w:color w:val="auto"/>
              </w:rPr>
              <w:t>(0.6)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78"/>
              <w:spacing w:after="0" w:line="143" w:lineRule="exact"/>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60" w:type="dxa"/>
            <w:vAlign w:val="bottom"/>
          </w:tcPr>
          <w:p>
            <w:pPr>
              <w:spacing w:after="0"/>
              <w:rPr>
                <w:sz w:val="20"/>
                <w:szCs w:val="20"/>
                <w:color w:val="auto"/>
              </w:rPr>
            </w:pPr>
          </w:p>
        </w:tc>
        <w:tc>
          <w:tcPr>
            <w:tcW w:w="540" w:type="dxa"/>
            <w:vAlign w:val="bottom"/>
            <w:gridSpan w:val="2"/>
          </w:tcPr>
          <w:p>
            <w:pPr>
              <w:jc w:val="right"/>
              <w:ind w:right="78"/>
              <w:spacing w:after="0"/>
              <w:rPr>
                <w:sz w:val="20"/>
                <w:szCs w:val="20"/>
                <w:color w:val="auto"/>
              </w:rPr>
            </w:pPr>
            <w:r>
              <w:rPr>
                <w:rFonts w:ascii="Arial" w:cs="Arial" w:eastAsia="Arial" w:hAnsi="Arial"/>
                <w:sz w:val="13"/>
                <w:szCs w:val="13"/>
                <w:color w:val="auto"/>
              </w:rPr>
              <w:t>(29.2)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24.3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178"/>
              <w:spacing w:after="0"/>
              <w:rPr>
                <w:sz w:val="20"/>
                <w:szCs w:val="20"/>
                <w:color w:val="auto"/>
              </w:rPr>
            </w:pPr>
            <w:r>
              <w:rPr>
                <w:rFonts w:ascii="Arial" w:cs="Arial" w:eastAsia="Arial" w:hAnsi="Arial"/>
                <w:sz w:val="13"/>
                <w:szCs w:val="13"/>
                <w:color w:val="auto"/>
              </w:rPr>
              <w:t>(4.9)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78"/>
              <w:spacing w:after="0"/>
              <w:rPr>
                <w:sz w:val="20"/>
                <w:szCs w:val="20"/>
                <w:color w:val="auto"/>
              </w:rPr>
            </w:pPr>
            <w:r>
              <w:rPr>
                <w:rFonts w:ascii="Arial" w:cs="Arial" w:eastAsia="Arial" w:hAnsi="Arial"/>
                <w:sz w:val="13"/>
                <w:szCs w:val="13"/>
                <w:color w:val="auto"/>
              </w:rPr>
              <w:t>(7.0)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gridSpan w:val="2"/>
          </w:tcPr>
          <w:p>
            <w:pPr>
              <w:jc w:val="right"/>
              <w:ind w:right="78"/>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700" w:type="dxa"/>
            <w:vAlign w:val="bottom"/>
            <w:gridSpan w:val="3"/>
          </w:tcPr>
          <w:p>
            <w:pPr>
              <w:jc w:val="right"/>
              <w:ind w:right="78"/>
              <w:spacing w:after="0"/>
              <w:rPr>
                <w:sz w:val="20"/>
                <w:szCs w:val="20"/>
                <w:color w:val="auto"/>
              </w:rPr>
            </w:pPr>
            <w:r>
              <w:rPr>
                <w:rFonts w:ascii="Arial" w:cs="Arial" w:eastAsia="Arial" w:hAnsi="Arial"/>
                <w:sz w:val="13"/>
                <w:szCs w:val="13"/>
                <w:color w:val="auto"/>
              </w:rPr>
              <w:t>(40.3)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24.2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78"/>
              <w:spacing w:after="0"/>
              <w:rPr>
                <w:sz w:val="20"/>
                <w:szCs w:val="20"/>
                <w:color w:val="auto"/>
              </w:rPr>
            </w:pPr>
            <w:r>
              <w:rPr>
                <w:rFonts w:ascii="Arial" w:cs="Arial" w:eastAsia="Arial" w:hAnsi="Arial"/>
                <w:sz w:val="13"/>
                <w:szCs w:val="13"/>
                <w:color w:val="auto"/>
                <w:w w:val="99"/>
              </w:rPr>
              <w:t>(16.1)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78"/>
              <w:spacing w:after="0"/>
              <w:rPr>
                <w:sz w:val="20"/>
                <w:szCs w:val="20"/>
                <w:color w:val="auto"/>
              </w:rPr>
            </w:pPr>
            <w:r>
              <w:rPr>
                <w:rFonts w:ascii="Arial" w:cs="Arial" w:eastAsia="Arial" w:hAnsi="Arial"/>
                <w:sz w:val="13"/>
                <w:szCs w:val="13"/>
                <w:color w:val="auto"/>
                <w:w w:val="94"/>
              </w:rPr>
              <w:t>(11.2)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2"/>
          </w:tcPr>
          <w:p>
            <w:pPr>
              <w:jc w:val="right"/>
              <w:ind w:right="78"/>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60"/>
        </w:trPr>
        <w:tc>
          <w:tcPr>
            <w:tcW w:w="700" w:type="dxa"/>
            <w:vAlign w:val="bottom"/>
            <w:gridSpan w:val="3"/>
          </w:tcPr>
          <w:p>
            <w:pPr>
              <w:jc w:val="right"/>
              <w:ind w:right="78"/>
              <w:spacing w:after="0"/>
              <w:rPr>
                <w:sz w:val="20"/>
                <w:szCs w:val="20"/>
                <w:color w:val="auto"/>
              </w:rPr>
            </w:pPr>
            <w:r>
              <w:rPr>
                <w:rFonts w:ascii="Arial" w:cs="Arial" w:eastAsia="Arial" w:hAnsi="Arial"/>
                <w:sz w:val="13"/>
                <w:szCs w:val="13"/>
                <w:color w:val="auto"/>
              </w:rPr>
              <w:t>(17.4)</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w w:val="94"/>
              </w:rPr>
              <w:t>(24.2)</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78"/>
              <w:spacing w:after="0"/>
              <w:rPr>
                <w:sz w:val="20"/>
                <w:szCs w:val="20"/>
                <w:color w:val="auto"/>
              </w:rPr>
            </w:pPr>
            <w:r>
              <w:rPr>
                <w:rFonts w:ascii="Arial" w:cs="Arial" w:eastAsia="Arial" w:hAnsi="Arial"/>
                <w:sz w:val="13"/>
                <w:szCs w:val="13"/>
                <w:color w:val="auto"/>
                <w:w w:val="99"/>
              </w:rPr>
              <w:t>(41.6)</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78"/>
              <w:spacing w:after="0"/>
              <w:rPr>
                <w:sz w:val="20"/>
                <w:szCs w:val="20"/>
                <w:color w:val="auto"/>
              </w:rPr>
            </w:pPr>
            <w:r>
              <w:rPr>
                <w:rFonts w:ascii="Arial" w:cs="Arial" w:eastAsia="Arial" w:hAnsi="Arial"/>
                <w:sz w:val="13"/>
                <w:szCs w:val="13"/>
                <w:color w:val="auto"/>
              </w:rPr>
              <w:t>(0.6)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78"/>
              <w:spacing w:after="0"/>
              <w:rPr>
                <w:sz w:val="20"/>
                <w:szCs w:val="20"/>
                <w:color w:val="auto"/>
              </w:rPr>
            </w:pPr>
            <w:r>
              <w:rPr>
                <w:rFonts w:ascii="Arial" w:cs="Arial" w:eastAsia="Arial" w:hAnsi="Arial"/>
                <w:sz w:val="13"/>
                <w:szCs w:val="13"/>
                <w:color w:val="auto"/>
              </w:rPr>
              <w:t>(42.2)</w:t>
            </w:r>
          </w:p>
        </w:tc>
        <w:tc>
          <w:tcPr>
            <w:tcW w:w="0" w:type="dxa"/>
            <w:vAlign w:val="bottom"/>
          </w:tcPr>
          <w:p>
            <w:pPr>
              <w:spacing w:after="0"/>
              <w:rPr>
                <w:sz w:val="1"/>
                <w:szCs w:val="1"/>
                <w:color w:val="auto"/>
              </w:rPr>
            </w:pPr>
          </w:p>
        </w:tc>
      </w:tr>
      <w:tr>
        <w:trPr>
          <w:trHeight w:val="151"/>
        </w:trPr>
        <w:tc>
          <w:tcPr>
            <w:tcW w:w="700" w:type="dxa"/>
            <w:vAlign w:val="bottom"/>
            <w:gridSpan w:val="3"/>
          </w:tcPr>
          <w:p>
            <w:pPr>
              <w:jc w:val="right"/>
              <w:ind w:right="78"/>
              <w:spacing w:after="0"/>
              <w:rPr>
                <w:sz w:val="20"/>
                <w:szCs w:val="20"/>
                <w:color w:val="auto"/>
              </w:rPr>
            </w:pPr>
            <w:r>
              <w:rPr>
                <w:rFonts w:ascii="Arial" w:cs="Arial" w:eastAsia="Arial" w:hAnsi="Arial"/>
                <w:sz w:val="13"/>
                <w:szCs w:val="13"/>
                <w:color w:val="auto"/>
              </w:rPr>
              <w:t>(16.1)</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78"/>
              <w:spacing w:after="0"/>
              <w:rPr>
                <w:sz w:val="20"/>
                <w:szCs w:val="20"/>
                <w:color w:val="auto"/>
              </w:rPr>
            </w:pPr>
            <w:r>
              <w:rPr>
                <w:rFonts w:ascii="Arial" w:cs="Arial" w:eastAsia="Arial" w:hAnsi="Arial"/>
                <w:sz w:val="13"/>
                <w:szCs w:val="13"/>
                <w:color w:val="auto"/>
                <w:w w:val="99"/>
              </w:rPr>
              <w:t>(16.1)</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78"/>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8"/>
              </w:rPr>
              <w:t>$ (73.8</w:t>
            </w:r>
          </w:p>
        </w:tc>
        <w:tc>
          <w:tcPr>
            <w:tcW w:w="160" w:type="dxa"/>
            <w:vAlign w:val="bottom"/>
          </w:tcPr>
          <w:p>
            <w:pPr>
              <w:jc w:val="right"/>
              <w:ind w:right="78"/>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(73.8</w:t>
            </w:r>
          </w:p>
        </w:tc>
        <w:tc>
          <w:tcPr>
            <w:tcW w:w="260" w:type="dxa"/>
            <w:vAlign w:val="bottom"/>
          </w:tcPr>
          <w:p>
            <w:pPr>
              <w:jc w:val="right"/>
              <w:ind w:right="178"/>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(11.8</w:t>
            </w:r>
          </w:p>
        </w:tc>
        <w:tc>
          <w:tcPr>
            <w:tcW w:w="260" w:type="dxa"/>
            <w:vAlign w:val="bottom"/>
          </w:tcPr>
          <w:p>
            <w:pPr>
              <w:jc w:val="right"/>
              <w:ind w:right="178"/>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(85.6</w:t>
            </w:r>
          </w:p>
        </w:tc>
        <w:tc>
          <w:tcPr>
            <w:tcW w:w="160" w:type="dxa"/>
            <w:vAlign w:val="bottom"/>
          </w:tcPr>
          <w:p>
            <w:pPr>
              <w:jc w:val="right"/>
              <w:ind w:right="7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00" w:type="dxa"/>
            <w:vAlign w:val="bottom"/>
            <w:gridSpan w:val="3"/>
          </w:tcPr>
          <w:p>
            <w:pPr>
              <w:jc w:val="right"/>
              <w:ind w:right="78"/>
              <w:spacing w:after="0"/>
              <w:rPr>
                <w:sz w:val="20"/>
                <w:szCs w:val="20"/>
                <w:color w:val="auto"/>
              </w:rPr>
            </w:pPr>
            <w:r>
              <w:rPr>
                <w:rFonts w:ascii="Arial" w:cs="Arial" w:eastAsia="Arial" w:hAnsi="Arial"/>
                <w:sz w:val="13"/>
                <w:szCs w:val="13"/>
                <w:color w:val="auto"/>
              </w:rPr>
              <w:t>$ (0.84)</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78"/>
              <w:spacing w:after="0"/>
              <w:rPr>
                <w:sz w:val="20"/>
                <w:szCs w:val="20"/>
                <w:color w:val="auto"/>
              </w:rPr>
            </w:pPr>
            <w:r>
              <w:rPr>
                <w:rFonts w:ascii="Arial" w:cs="Arial" w:eastAsia="Arial" w:hAnsi="Arial"/>
                <w:sz w:val="13"/>
                <w:szCs w:val="13"/>
                <w:color w:val="auto"/>
                <w:w w:val="99"/>
              </w:rPr>
              <w:t>(0.34)</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78"/>
              <w:spacing w:after="0"/>
              <w:rPr>
                <w:sz w:val="20"/>
                <w:szCs w:val="20"/>
                <w:color w:val="auto"/>
              </w:rPr>
            </w:pPr>
            <w:r>
              <w:rPr>
                <w:rFonts w:ascii="Arial" w:cs="Arial" w:eastAsia="Arial" w:hAnsi="Arial"/>
                <w:sz w:val="13"/>
                <w:szCs w:val="13"/>
                <w:color w:val="auto"/>
              </w:rPr>
              <w:t>(0.57)</w:t>
            </w:r>
          </w:p>
        </w:tc>
        <w:tc>
          <w:tcPr>
            <w:tcW w:w="0" w:type="dxa"/>
            <w:vAlign w:val="bottom"/>
          </w:tcPr>
          <w:p>
            <w:pPr>
              <w:spacing w:after="0"/>
              <w:rPr>
                <w:sz w:val="1"/>
                <w:szCs w:val="1"/>
                <w:color w:val="auto"/>
              </w:rPr>
            </w:pPr>
          </w:p>
        </w:tc>
      </w:tr>
      <w:tr>
        <w:trPr>
          <w:trHeight w:val="162"/>
        </w:trPr>
        <w:tc>
          <w:tcPr>
            <w:tcW w:w="700" w:type="dxa"/>
            <w:vAlign w:val="bottom"/>
            <w:gridSpan w:val="3"/>
          </w:tcPr>
          <w:p>
            <w:pPr>
              <w:jc w:val="right"/>
              <w:ind w:right="78"/>
              <w:spacing w:after="0"/>
              <w:rPr>
                <w:sz w:val="20"/>
                <w:szCs w:val="20"/>
                <w:color w:val="auto"/>
              </w:rPr>
            </w:pPr>
            <w:r>
              <w:rPr>
                <w:rFonts w:ascii="Arial" w:cs="Arial" w:eastAsia="Arial" w:hAnsi="Arial"/>
                <w:sz w:val="13"/>
                <w:szCs w:val="13"/>
                <w:color w:val="auto"/>
              </w:rPr>
              <w:t>$ (0.84)</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78"/>
              <w:spacing w:after="0"/>
              <w:rPr>
                <w:sz w:val="20"/>
                <w:szCs w:val="20"/>
                <w:color w:val="auto"/>
              </w:rPr>
            </w:pPr>
            <w:r>
              <w:rPr>
                <w:rFonts w:ascii="Arial" w:cs="Arial" w:eastAsia="Arial" w:hAnsi="Arial"/>
                <w:sz w:val="13"/>
                <w:szCs w:val="13"/>
                <w:color w:val="auto"/>
                <w:w w:val="99"/>
              </w:rPr>
              <w:t>(0.34)</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78"/>
              <w:spacing w:after="0"/>
              <w:rPr>
                <w:sz w:val="20"/>
                <w:szCs w:val="20"/>
                <w:color w:val="auto"/>
              </w:rPr>
            </w:pPr>
            <w:r>
              <w:rPr>
                <w:rFonts w:ascii="Arial" w:cs="Arial" w:eastAsia="Arial" w:hAnsi="Arial"/>
                <w:sz w:val="13"/>
                <w:szCs w:val="13"/>
                <w:color w:val="auto"/>
              </w:rPr>
              <w:t>(0.57)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-2370455</wp:posOffset>
            </wp:positionH>
            <wp:positionV relativeFrom="paragraph">
              <wp:posOffset>-2424430</wp:posOffset>
            </wp:positionV>
            <wp:extent cx="5497195" cy="111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97195" cy="11176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-2210435</wp:posOffset>
            </wp:positionV>
            <wp:extent cx="5497195"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97195" cy="10287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-2004695</wp:posOffset>
            </wp:positionV>
            <wp:extent cx="5497195"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97195" cy="10287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-1798955</wp:posOffset>
            </wp:positionV>
            <wp:extent cx="5497195"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97195" cy="10287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-1592580</wp:posOffset>
            </wp:positionV>
            <wp:extent cx="5497195"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97195" cy="10287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-1386840</wp:posOffset>
            </wp:positionV>
            <wp:extent cx="549719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97195" cy="15430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-1129665</wp:posOffset>
            </wp:positionV>
            <wp:extent cx="549719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97195" cy="15430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-872490</wp:posOffset>
            </wp:positionV>
            <wp:extent cx="5497195" cy="197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97195" cy="19748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-572135</wp:posOffset>
            </wp:positionV>
            <wp:extent cx="5497195"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97195" cy="10287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-366395</wp:posOffset>
            </wp:positionV>
            <wp:extent cx="549719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97195" cy="15430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-109220</wp:posOffset>
            </wp:positionV>
            <wp:extent cx="5497195"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97195" cy="10287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4940" w:space="180"/>
            <w:col w:w="6300"/>
          </w:cols>
          <w:pgMar w:left="240" w:top="140" w:right="239" w:bottom="0" w:gutter="0" w:footer="0" w:header="0"/>
          <w:type w:val="continuous"/>
        </w:sectPr>
      </w:pPr>
    </w:p>
    <w:tbl>
      <w:tblPr>
        <w:tblLayout w:type="fixed"/>
        <w:tblInd w:w="1380" w:type="dxa"/>
        <w:tblCellMar>
          <w:top w:w="0" w:type="dxa"/>
          <w:left w:w="0" w:type="dxa"/>
          <w:bottom w:w="0" w:type="dxa"/>
          <w:right w:w="0" w:type="dxa"/>
        </w:tblCellMar>
      </w:tblPr>
      <w:tr>
        <w:trPr>
          <w:trHeight w:val="160"/>
        </w:trPr>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60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3"/>
                <w:szCs w:val="13"/>
                <w:color w:val="auto"/>
              </w:rPr>
              <w:t>$ (0.36)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3"/>
                <w:szCs w:val="13"/>
                <w:color w:val="auto"/>
                <w:w w:val="94"/>
              </w:rPr>
              <w:t>(0.86)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w w:val="99"/>
              </w:rPr>
              <w:t>(0.88)</w:t>
            </w:r>
          </w:p>
        </w:tc>
        <w:tc>
          <w:tcPr>
            <w:tcW w:w="0" w:type="dxa"/>
            <w:vAlign w:val="bottom"/>
          </w:tcPr>
          <w:p>
            <w:pPr>
              <w:spacing w:after="0"/>
              <w:rPr>
                <w:sz w:val="1"/>
                <w:szCs w:val="1"/>
                <w:color w:val="auto"/>
              </w:rPr>
            </w:pPr>
          </w:p>
        </w:tc>
      </w:tr>
      <w:tr>
        <w:trPr>
          <w:trHeight w:val="135"/>
        </w:trPr>
        <w:tc>
          <w:tcPr>
            <w:tcW w:w="3520" w:type="dxa"/>
            <w:vAlign w:val="bottom"/>
          </w:tcPr>
          <w:p>
            <w:pPr>
              <w:ind w:left="140"/>
              <w:spacing w:after="0" w:line="135" w:lineRule="exact"/>
              <w:rPr>
                <w:sz w:val="20"/>
                <w:szCs w:val="20"/>
                <w:color w:val="auto"/>
              </w:rPr>
            </w:pPr>
            <w:r>
              <w:rPr>
                <w:rFonts w:ascii="Arial" w:cs="Arial" w:eastAsia="Arial" w:hAnsi="Arial"/>
                <w:sz w:val="13"/>
                <w:szCs w:val="13"/>
                <w:color w:val="auto"/>
              </w:rPr>
              <w:t>Diluted</w:t>
            </w:r>
          </w:p>
        </w:tc>
        <w:tc>
          <w:tcPr>
            <w:tcW w:w="1600" w:type="dxa"/>
            <w:vAlign w:val="bottom"/>
            <w:vMerge w:val="restart"/>
          </w:tcPr>
          <w:p>
            <w:pPr>
              <w:jc w:val="right"/>
              <w:ind w:right="737"/>
              <w:spacing w:after="0"/>
              <w:rPr>
                <w:sz w:val="20"/>
                <w:szCs w:val="20"/>
                <w:color w:val="auto"/>
              </w:rPr>
            </w:pPr>
            <w:r>
              <w:rPr>
                <w:rFonts w:ascii="Arial" w:cs="Arial" w:eastAsia="Arial" w:hAnsi="Arial"/>
                <w:sz w:val="13"/>
                <w:szCs w:val="13"/>
                <w:color w:val="auto"/>
              </w:rPr>
              <w:t>$ (0.36)</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757"/>
              <w:spacing w:after="0"/>
              <w:rPr>
                <w:sz w:val="20"/>
                <w:szCs w:val="20"/>
                <w:color w:val="auto"/>
              </w:rPr>
            </w:pPr>
            <w:r>
              <w:rPr>
                <w:rFonts w:ascii="Arial" w:cs="Arial" w:eastAsia="Arial" w:hAnsi="Arial"/>
                <w:sz w:val="13"/>
                <w:szCs w:val="13"/>
                <w:color w:val="auto"/>
                <w:w w:val="94"/>
              </w:rPr>
              <w:t>(0.86)</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57"/>
              <w:spacing w:after="0"/>
              <w:rPr>
                <w:sz w:val="20"/>
                <w:szCs w:val="20"/>
                <w:color w:val="auto"/>
              </w:rPr>
            </w:pPr>
            <w:r>
              <w:rPr>
                <w:rFonts w:ascii="Arial" w:cs="Arial" w:eastAsia="Arial" w:hAnsi="Arial"/>
                <w:sz w:val="13"/>
                <w:szCs w:val="13"/>
                <w:color w:val="auto"/>
                <w:w w:val="99"/>
              </w:rPr>
              <w:t>(0.88)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w w:val="98"/>
              </w:rPr>
              <w:t>Cumulative effect of change in accounting principle, per share</w:t>
            </w:r>
          </w:p>
        </w:tc>
        <w:tc>
          <w:tcPr>
            <w:tcW w:w="16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20" w:type="dxa"/>
            <w:vAlign w:val="bottom"/>
          </w:tcPr>
          <w:p>
            <w:pPr>
              <w:ind w:left="140"/>
              <w:spacing w:after="0" w:line="135" w:lineRule="exact"/>
              <w:rPr>
                <w:sz w:val="20"/>
                <w:szCs w:val="20"/>
                <w:color w:val="auto"/>
              </w:rPr>
            </w:pPr>
            <w:r>
              <w:rPr>
                <w:rFonts w:ascii="Arial" w:cs="Arial" w:eastAsia="Arial" w:hAnsi="Arial"/>
                <w:sz w:val="13"/>
                <w:szCs w:val="13"/>
                <w:color w:val="auto"/>
              </w:rPr>
              <w:t>Basic</w:t>
            </w:r>
          </w:p>
        </w:tc>
        <w:tc>
          <w:tcPr>
            <w:tcW w:w="1600" w:type="dxa"/>
            <w:vAlign w:val="bottom"/>
            <w:vMerge w:val="restart"/>
          </w:tcPr>
          <w:p>
            <w:pPr>
              <w:jc w:val="right"/>
              <w:ind w:right="737"/>
              <w:spacing w:after="0"/>
              <w:rPr>
                <w:sz w:val="20"/>
                <w:szCs w:val="20"/>
                <w:color w:val="auto"/>
              </w:rPr>
            </w:pPr>
            <w:r>
              <w:rPr>
                <w:rFonts w:ascii="Arial" w:cs="Arial" w:eastAsia="Arial" w:hAnsi="Arial"/>
                <w:sz w:val="13"/>
                <w:szCs w:val="13"/>
                <w:color w:val="auto"/>
              </w:rPr>
              <w:t>$ (0.33)</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757"/>
              <w:spacing w:after="0"/>
              <w:rPr>
                <w:sz w:val="20"/>
                <w:szCs w:val="20"/>
                <w:color w:val="auto"/>
              </w:rPr>
            </w:pPr>
            <w:r>
              <w:rPr>
                <w:rFonts w:ascii="Arial" w:cs="Arial" w:eastAsia="Arial" w:hAnsi="Arial"/>
                <w:sz w:val="13"/>
                <w:szCs w:val="13"/>
                <w:color w:val="auto"/>
                <w:w w:val="94"/>
              </w:rPr>
              <w:t>(0.33)</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57"/>
              <w:spacing w:after="0"/>
              <w:rPr>
                <w:sz w:val="20"/>
                <w:szCs w:val="20"/>
                <w:color w:val="auto"/>
              </w:rPr>
            </w:pPr>
            <w:r>
              <w:rPr>
                <w:rFonts w:ascii="Arial" w:cs="Arial" w:eastAsia="Arial" w:hAnsi="Arial"/>
                <w:sz w:val="13"/>
                <w:szCs w:val="13"/>
                <w:color w:val="auto"/>
                <w:w w:val="99"/>
              </w:rPr>
              <w:t>(0.34)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tcBorders>
              <w:bottom w:val="single" w:sz="8" w:color="CCEEFF"/>
            </w:tcBorders>
            <w:shd w:val="clear" w:color="auto" w:fill="CCEEFF"/>
          </w:tcPr>
          <w:p>
            <w:pPr>
              <w:ind w:left="140"/>
              <w:spacing w:after="0" w:line="135" w:lineRule="exact"/>
              <w:rPr>
                <w:sz w:val="20"/>
                <w:szCs w:val="20"/>
                <w:color w:val="auto"/>
              </w:rPr>
            </w:pPr>
            <w:r>
              <w:rPr>
                <w:rFonts w:ascii="Arial" w:cs="Arial" w:eastAsia="Arial" w:hAnsi="Arial"/>
                <w:sz w:val="13"/>
                <w:szCs w:val="13"/>
                <w:color w:val="auto"/>
              </w:rPr>
              <w:t>Diluted</w:t>
            </w:r>
          </w:p>
        </w:tc>
        <w:tc>
          <w:tcPr>
            <w:tcW w:w="1600" w:type="dxa"/>
            <w:vAlign w:val="bottom"/>
            <w:tcBorders>
              <w:bottom w:val="single" w:sz="8" w:color="CCEEFF"/>
            </w:tcBorders>
            <w:shd w:val="clear" w:color="auto" w:fill="CCEEFF"/>
          </w:tcPr>
          <w:p>
            <w:pPr>
              <w:jc w:val="right"/>
              <w:ind w:right="737"/>
              <w:spacing w:after="0" w:line="143" w:lineRule="exact"/>
              <w:rPr>
                <w:sz w:val="20"/>
                <w:szCs w:val="20"/>
                <w:color w:val="auto"/>
              </w:rPr>
            </w:pPr>
            <w:r>
              <w:rPr>
                <w:rFonts w:ascii="Arial" w:cs="Arial" w:eastAsia="Arial" w:hAnsi="Arial"/>
                <w:sz w:val="13"/>
                <w:szCs w:val="13"/>
                <w:color w:val="auto"/>
              </w:rPr>
              <w:t>$ (0.33)</w:t>
            </w:r>
          </w:p>
        </w:tc>
        <w:tc>
          <w:tcPr>
            <w:tcW w:w="90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CCEEFF"/>
            </w:tcBorders>
            <w:shd w:val="clear" w:color="auto" w:fill="CCEEFF"/>
          </w:tcPr>
          <w:p>
            <w:pPr>
              <w:jc w:val="right"/>
              <w:ind w:right="757"/>
              <w:spacing w:after="0" w:line="143" w:lineRule="exact"/>
              <w:rPr>
                <w:sz w:val="20"/>
                <w:szCs w:val="20"/>
                <w:color w:val="auto"/>
              </w:rPr>
            </w:pPr>
            <w:r>
              <w:rPr>
                <w:rFonts w:ascii="Arial" w:cs="Arial" w:eastAsia="Arial" w:hAnsi="Arial"/>
                <w:sz w:val="13"/>
                <w:szCs w:val="13"/>
                <w:color w:val="auto"/>
                <w:w w:val="94"/>
              </w:rPr>
              <w:t>(0.33)</w:t>
            </w:r>
          </w:p>
        </w:tc>
        <w:tc>
          <w:tcPr>
            <w:tcW w:w="90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ind w:right="157"/>
              <w:spacing w:after="0" w:line="143" w:lineRule="exact"/>
              <w:rPr>
                <w:sz w:val="20"/>
                <w:szCs w:val="20"/>
                <w:color w:val="auto"/>
              </w:rPr>
            </w:pPr>
            <w:r>
              <w:rPr>
                <w:rFonts w:ascii="Arial" w:cs="Arial" w:eastAsia="Arial" w:hAnsi="Arial"/>
                <w:sz w:val="13"/>
                <w:szCs w:val="13"/>
                <w:color w:val="auto"/>
                <w:w w:val="99"/>
              </w:rPr>
              <w:t>(0.34)</w:t>
            </w:r>
          </w:p>
        </w:tc>
        <w:tc>
          <w:tcPr>
            <w:tcW w:w="0" w:type="dxa"/>
            <w:vAlign w:val="bottom"/>
          </w:tcPr>
          <w:p>
            <w:pPr>
              <w:spacing w:after="0"/>
              <w:rPr>
                <w:sz w:val="1"/>
                <w:szCs w:val="1"/>
                <w:color w:val="auto"/>
              </w:rPr>
            </w:pPr>
          </w:p>
        </w:tc>
      </w:tr>
      <w:tr>
        <w:trPr>
          <w:trHeight w:val="161"/>
        </w:trPr>
        <w:tc>
          <w:tcPr>
            <w:tcW w:w="3520" w:type="dxa"/>
            <w:vAlign w:val="bottom"/>
          </w:tcPr>
          <w:p>
            <w:pPr>
              <w:spacing w:after="0"/>
              <w:rPr>
                <w:sz w:val="20"/>
                <w:szCs w:val="20"/>
                <w:color w:val="auto"/>
              </w:rPr>
            </w:pPr>
            <w:r>
              <w:rPr>
                <w:rFonts w:ascii="Arial" w:cs="Arial" w:eastAsia="Arial" w:hAnsi="Arial"/>
                <w:sz w:val="13"/>
                <w:szCs w:val="13"/>
                <w:color w:val="auto"/>
              </w:rPr>
              <w:t>Net income (loss), per share</w:t>
            </w: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20" w:type="dxa"/>
            <w:vAlign w:val="bottom"/>
            <w:tcBorders>
              <w:bottom w:val="single" w:sz="8" w:color="CCEEFF"/>
            </w:tcBorders>
            <w:shd w:val="clear" w:color="auto" w:fill="CCEEFF"/>
          </w:tcPr>
          <w:p>
            <w:pPr>
              <w:ind w:left="140"/>
              <w:spacing w:after="0" w:line="136" w:lineRule="exact"/>
              <w:rPr>
                <w:sz w:val="20"/>
                <w:szCs w:val="20"/>
                <w:color w:val="auto"/>
              </w:rPr>
            </w:pPr>
            <w:r>
              <w:rPr>
                <w:rFonts w:ascii="Arial" w:cs="Arial" w:eastAsia="Arial" w:hAnsi="Arial"/>
                <w:sz w:val="13"/>
                <w:szCs w:val="13"/>
                <w:color w:val="auto"/>
              </w:rPr>
              <w:t>Basic</w:t>
            </w:r>
          </w:p>
        </w:tc>
        <w:tc>
          <w:tcPr>
            <w:tcW w:w="1600" w:type="dxa"/>
            <w:vAlign w:val="bottom"/>
            <w:tcBorders>
              <w:bottom w:val="single" w:sz="8" w:color="CCEEFF"/>
            </w:tcBorders>
            <w:shd w:val="clear" w:color="auto" w:fill="CCEEFF"/>
          </w:tcPr>
          <w:p>
            <w:pPr>
              <w:jc w:val="right"/>
              <w:ind w:right="737"/>
              <w:spacing w:after="0" w:line="143" w:lineRule="exact"/>
              <w:rPr>
                <w:sz w:val="20"/>
                <w:szCs w:val="20"/>
                <w:color w:val="auto"/>
              </w:rPr>
            </w:pPr>
            <w:r>
              <w:rPr>
                <w:rFonts w:ascii="Arial" w:cs="Arial" w:eastAsia="Arial" w:hAnsi="Arial"/>
                <w:sz w:val="13"/>
                <w:szCs w:val="13"/>
                <w:color w:val="auto"/>
              </w:rPr>
              <w:t>$ (1.53)</w:t>
            </w:r>
          </w:p>
        </w:tc>
        <w:tc>
          <w:tcPr>
            <w:tcW w:w="90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CCEEFF"/>
            </w:tcBorders>
            <w:shd w:val="clear" w:color="auto" w:fill="CCEEFF"/>
          </w:tcPr>
          <w:p>
            <w:pPr>
              <w:jc w:val="right"/>
              <w:ind w:right="757"/>
              <w:spacing w:after="0" w:line="143" w:lineRule="exact"/>
              <w:rPr>
                <w:sz w:val="20"/>
                <w:szCs w:val="20"/>
                <w:color w:val="auto"/>
              </w:rPr>
            </w:pPr>
            <w:r>
              <w:rPr>
                <w:rFonts w:ascii="Arial" w:cs="Arial" w:eastAsia="Arial" w:hAnsi="Arial"/>
                <w:sz w:val="13"/>
                <w:szCs w:val="13"/>
                <w:color w:val="auto"/>
                <w:w w:val="94"/>
              </w:rPr>
              <w:t>(1.53)</w:t>
            </w:r>
          </w:p>
        </w:tc>
        <w:tc>
          <w:tcPr>
            <w:tcW w:w="90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ind w:right="157"/>
              <w:spacing w:after="0" w:line="143" w:lineRule="exact"/>
              <w:rPr>
                <w:sz w:val="20"/>
                <w:szCs w:val="20"/>
                <w:color w:val="auto"/>
              </w:rPr>
            </w:pPr>
            <w:r>
              <w:rPr>
                <w:rFonts w:ascii="Arial" w:cs="Arial" w:eastAsia="Arial" w:hAnsi="Arial"/>
                <w:sz w:val="13"/>
                <w:szCs w:val="13"/>
                <w:color w:val="auto"/>
                <w:w w:val="99"/>
              </w:rPr>
              <w:t>(1.78)</w:t>
            </w:r>
          </w:p>
        </w:tc>
        <w:tc>
          <w:tcPr>
            <w:tcW w:w="0" w:type="dxa"/>
            <w:vAlign w:val="bottom"/>
          </w:tcPr>
          <w:p>
            <w:pPr>
              <w:spacing w:after="0"/>
              <w:rPr>
                <w:sz w:val="1"/>
                <w:szCs w:val="1"/>
                <w:color w:val="auto"/>
              </w:rPr>
            </w:pPr>
          </w:p>
        </w:tc>
      </w:tr>
      <w:tr>
        <w:trPr>
          <w:trHeight w:val="135"/>
        </w:trPr>
        <w:tc>
          <w:tcPr>
            <w:tcW w:w="3520" w:type="dxa"/>
            <w:vAlign w:val="bottom"/>
          </w:tcPr>
          <w:p>
            <w:pPr>
              <w:ind w:left="140"/>
              <w:spacing w:after="0" w:line="135" w:lineRule="exact"/>
              <w:rPr>
                <w:sz w:val="20"/>
                <w:szCs w:val="20"/>
                <w:color w:val="auto"/>
              </w:rPr>
            </w:pPr>
            <w:r>
              <w:rPr>
                <w:rFonts w:ascii="Arial" w:cs="Arial" w:eastAsia="Arial" w:hAnsi="Arial"/>
                <w:sz w:val="13"/>
                <w:szCs w:val="13"/>
                <w:color w:val="auto"/>
              </w:rPr>
              <w:t>Diluted</w:t>
            </w:r>
          </w:p>
        </w:tc>
        <w:tc>
          <w:tcPr>
            <w:tcW w:w="1600" w:type="dxa"/>
            <w:vAlign w:val="bottom"/>
            <w:vMerge w:val="restart"/>
          </w:tcPr>
          <w:p>
            <w:pPr>
              <w:jc w:val="right"/>
              <w:ind w:right="737"/>
              <w:spacing w:after="0"/>
              <w:rPr>
                <w:sz w:val="20"/>
                <w:szCs w:val="20"/>
                <w:color w:val="auto"/>
              </w:rPr>
            </w:pPr>
            <w:r>
              <w:rPr>
                <w:rFonts w:ascii="Arial" w:cs="Arial" w:eastAsia="Arial" w:hAnsi="Arial"/>
                <w:sz w:val="13"/>
                <w:szCs w:val="13"/>
                <w:color w:val="auto"/>
              </w:rPr>
              <w:t>$ (1.53)</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757"/>
              <w:spacing w:after="0"/>
              <w:rPr>
                <w:sz w:val="20"/>
                <w:szCs w:val="20"/>
                <w:color w:val="auto"/>
              </w:rPr>
            </w:pPr>
            <w:r>
              <w:rPr>
                <w:rFonts w:ascii="Arial" w:cs="Arial" w:eastAsia="Arial" w:hAnsi="Arial"/>
                <w:sz w:val="13"/>
                <w:szCs w:val="13"/>
                <w:color w:val="auto"/>
                <w:w w:val="94"/>
              </w:rPr>
              <w:t>(1.53)</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57"/>
              <w:spacing w:after="0"/>
              <w:rPr>
                <w:sz w:val="20"/>
                <w:szCs w:val="20"/>
                <w:color w:val="auto"/>
              </w:rPr>
            </w:pPr>
            <w:r>
              <w:rPr>
                <w:rFonts w:ascii="Arial" w:cs="Arial" w:eastAsia="Arial" w:hAnsi="Arial"/>
                <w:sz w:val="13"/>
                <w:szCs w:val="13"/>
                <w:color w:val="auto"/>
                <w:w w:val="99"/>
              </w:rPr>
              <w:t>(1.78)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 outstanding:</w:t>
            </w:r>
          </w:p>
        </w:tc>
        <w:tc>
          <w:tcPr>
            <w:tcW w:w="16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20" w:type="dxa"/>
            <w:vAlign w:val="bottom"/>
          </w:tcPr>
          <w:p>
            <w:pPr>
              <w:ind w:left="140"/>
              <w:spacing w:after="0" w:line="135" w:lineRule="exact"/>
              <w:rPr>
                <w:sz w:val="20"/>
                <w:szCs w:val="20"/>
                <w:color w:val="auto"/>
              </w:rPr>
            </w:pPr>
            <w:r>
              <w:rPr>
                <w:rFonts w:ascii="Arial" w:cs="Arial" w:eastAsia="Arial" w:hAnsi="Arial"/>
                <w:sz w:val="13"/>
                <w:szCs w:val="13"/>
                <w:color w:val="auto"/>
              </w:rPr>
              <w:t>Basic</w:t>
            </w:r>
          </w:p>
        </w:tc>
        <w:tc>
          <w:tcPr>
            <w:tcW w:w="1600" w:type="dxa"/>
            <w:vAlign w:val="bottom"/>
            <w:vMerge w:val="restart"/>
          </w:tcPr>
          <w:p>
            <w:pPr>
              <w:jc w:val="right"/>
              <w:ind w:right="777"/>
              <w:spacing w:after="0"/>
              <w:rPr>
                <w:sz w:val="20"/>
                <w:szCs w:val="20"/>
                <w:color w:val="auto"/>
              </w:rPr>
            </w:pPr>
            <w:r>
              <w:rPr>
                <w:rFonts w:ascii="Arial" w:cs="Arial" w:eastAsia="Arial" w:hAnsi="Arial"/>
                <w:sz w:val="13"/>
                <w:szCs w:val="13"/>
                <w:color w:val="auto"/>
              </w:rPr>
              <w:t>48.1</w:t>
            </w:r>
          </w:p>
        </w:tc>
        <w:tc>
          <w:tcPr>
            <w:tcW w:w="900" w:type="dxa"/>
            <w:vAlign w:val="bottom"/>
          </w:tcPr>
          <w:p>
            <w:pPr>
              <w:spacing w:after="0"/>
              <w:rPr>
                <w:sz w:val="11"/>
                <w:szCs w:val="11"/>
                <w:color w:val="auto"/>
              </w:rPr>
            </w:pPr>
          </w:p>
        </w:tc>
        <w:tc>
          <w:tcPr>
            <w:tcW w:w="1160" w:type="dxa"/>
            <w:vAlign w:val="bottom"/>
            <w:vMerge w:val="restart"/>
          </w:tcPr>
          <w:p>
            <w:pPr>
              <w:jc w:val="right"/>
              <w:ind w:right="797"/>
              <w:spacing w:after="0"/>
              <w:rPr>
                <w:sz w:val="20"/>
                <w:szCs w:val="20"/>
                <w:color w:val="auto"/>
              </w:rPr>
            </w:pPr>
            <w:r>
              <w:rPr>
                <w:rFonts w:ascii="Arial" w:cs="Arial" w:eastAsia="Arial" w:hAnsi="Arial"/>
                <w:sz w:val="13"/>
                <w:szCs w:val="13"/>
                <w:color w:val="auto"/>
              </w:rPr>
              <w:t>48.1</w:t>
            </w:r>
          </w:p>
        </w:tc>
        <w:tc>
          <w:tcPr>
            <w:tcW w:w="900" w:type="dxa"/>
            <w:vAlign w:val="bottom"/>
          </w:tcPr>
          <w:p>
            <w:pPr>
              <w:spacing w:after="0"/>
              <w:rPr>
                <w:sz w:val="11"/>
                <w:szCs w:val="11"/>
                <w:color w:val="auto"/>
              </w:rPr>
            </w:pPr>
          </w:p>
        </w:tc>
        <w:tc>
          <w:tcPr>
            <w:tcW w:w="580" w:type="dxa"/>
            <w:vAlign w:val="bottom"/>
            <w:vMerge w:val="restart"/>
          </w:tcPr>
          <w:p>
            <w:pPr>
              <w:jc w:val="right"/>
              <w:ind w:right="217"/>
              <w:spacing w:after="0"/>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52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Diluted</w:t>
            </w:r>
          </w:p>
        </w:tc>
        <w:tc>
          <w:tcPr>
            <w:tcW w:w="1600" w:type="dxa"/>
            <w:vAlign w:val="bottom"/>
            <w:vMerge w:val="restart"/>
            <w:shd w:val="clear" w:color="auto" w:fill="CCEEFF"/>
          </w:tcPr>
          <w:p>
            <w:pPr>
              <w:jc w:val="right"/>
              <w:ind w:right="777"/>
              <w:spacing w:after="0"/>
              <w:rPr>
                <w:sz w:val="20"/>
                <w:szCs w:val="20"/>
                <w:color w:val="auto"/>
              </w:rPr>
            </w:pPr>
            <w:r>
              <w:rPr>
                <w:rFonts w:ascii="Arial" w:cs="Arial" w:eastAsia="Arial" w:hAnsi="Arial"/>
                <w:sz w:val="13"/>
                <w:szCs w:val="13"/>
                <w:color w:val="auto"/>
              </w:rPr>
              <w:t>48.1</w:t>
            </w:r>
          </w:p>
        </w:tc>
        <w:tc>
          <w:tcPr>
            <w:tcW w:w="90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ind w:right="797"/>
              <w:spacing w:after="0"/>
              <w:rPr>
                <w:sz w:val="20"/>
                <w:szCs w:val="20"/>
                <w:color w:val="auto"/>
              </w:rPr>
            </w:pPr>
            <w:r>
              <w:rPr>
                <w:rFonts w:ascii="Arial" w:cs="Arial" w:eastAsia="Arial" w:hAnsi="Arial"/>
                <w:sz w:val="13"/>
                <w:szCs w:val="13"/>
                <w:color w:val="auto"/>
              </w:rPr>
              <w:t>48.1</w:t>
            </w:r>
          </w:p>
        </w:tc>
        <w:tc>
          <w:tcPr>
            <w:tcW w:w="9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27"/>
        </w:trPr>
        <w:tc>
          <w:tcPr>
            <w:tcW w:w="3520" w:type="dxa"/>
            <w:vAlign w:val="bottom"/>
            <w:shd w:val="clear" w:color="auto" w:fill="CCEEFF"/>
          </w:tcPr>
          <w:p>
            <w:pPr>
              <w:spacing w:after="0"/>
              <w:rPr>
                <w:sz w:val="2"/>
                <w:szCs w:val="2"/>
                <w:color w:val="auto"/>
              </w:rPr>
            </w:pPr>
          </w:p>
        </w:tc>
        <w:tc>
          <w:tcPr>
            <w:tcW w:w="1600" w:type="dxa"/>
            <w:vAlign w:val="bottom"/>
            <w:vMerge w:val="continue"/>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160" w:type="dxa"/>
            <w:vAlign w:val="bottom"/>
            <w:vMerge w:val="continue"/>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120" w:firstLine="360"/>
        <w:spacing w:after="0"/>
        <w:rPr>
          <w:sz w:val="20"/>
          <w:szCs w:val="20"/>
          <w:color w:val="auto"/>
        </w:rPr>
      </w:pPr>
      <w:r>
        <w:rPr>
          <w:rFonts w:ascii="Arial" w:cs="Arial" w:eastAsia="Arial" w:hAnsi="Arial"/>
          <w:sz w:val="18"/>
          <w:szCs w:val="18"/>
          <w:color w:val="auto"/>
        </w:rPr>
        <w:t xml:space="preserve">The following table presents details of the total stock-based compenstion expense and unauthorized issuance of stock (excluding the impact of other tax and income tax adjustments) that is </w:t>
      </w:r>
      <w:r>
        <w:rPr>
          <w:rFonts w:ascii="Arial" w:cs="Arial" w:eastAsia="Arial" w:hAnsi="Arial"/>
          <w:sz w:val="18"/>
          <w:szCs w:val="18"/>
          <w:i w:val="1"/>
          <w:iCs w:val="1"/>
          <w:color w:val="auto"/>
        </w:rPr>
        <w:t>included</w:t>
      </w:r>
      <w:r>
        <w:rPr>
          <w:rFonts w:ascii="Arial" w:cs="Arial" w:eastAsia="Arial" w:hAnsi="Arial"/>
          <w:sz w:val="18"/>
          <w:szCs w:val="18"/>
          <w:color w:val="auto"/>
        </w:rPr>
        <w:t xml:space="preserve"> in each functional line item in the consolidated statement of operations.</w:t>
      </w:r>
    </w:p>
    <w:tbl>
      <w:tblPr>
        <w:tblLayout w:type="fixed"/>
        <w:tblInd w:w="1380" w:type="dxa"/>
        <w:tblCellMar>
          <w:top w:w="0" w:type="dxa"/>
          <w:left w:w="0" w:type="dxa"/>
          <w:bottom w:w="0" w:type="dxa"/>
          <w:right w:w="0" w:type="dxa"/>
        </w:tblCellMar>
      </w:tblPr>
      <w:tr>
        <w:trPr>
          <w:trHeight w:val="180"/>
        </w:trPr>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Data on Stock-Based Compensation Expense</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Cost of revenue</w:t>
            </w:r>
          </w:p>
        </w:tc>
        <w:tc>
          <w:tcPr>
            <w:tcW w:w="180" w:type="dxa"/>
            <w:vAlign w:val="bottom"/>
            <w:vMerge w:val="restart"/>
          </w:tcPr>
          <w:p>
            <w:pPr>
              <w:jc w:val="right"/>
              <w:ind w:right="73"/>
              <w:spacing w:after="0"/>
              <w:rPr>
                <w:sz w:val="20"/>
                <w:szCs w:val="20"/>
                <w:color w:val="auto"/>
              </w:rPr>
            </w:pPr>
            <w:r>
              <w:rPr>
                <w:rFonts w:ascii="Arial" w:cs="Arial" w:eastAsia="Arial" w:hAnsi="Arial"/>
                <w:sz w:val="9"/>
                <w:szCs w:val="9"/>
                <w:color w:val="auto"/>
                <w:w w:val="78"/>
              </w:rPr>
              <w:t>$</w:t>
            </w:r>
          </w:p>
        </w:tc>
        <w:tc>
          <w:tcPr>
            <w:tcW w:w="260" w:type="dxa"/>
            <w:vAlign w:val="bottom"/>
            <w:vMerge w:val="restart"/>
          </w:tcPr>
          <w:p>
            <w:pPr>
              <w:ind w:left="120"/>
              <w:spacing w:after="0"/>
              <w:rPr>
                <w:sz w:val="20"/>
                <w:szCs w:val="20"/>
                <w:color w:val="auto"/>
              </w:rPr>
            </w:pPr>
            <w:r>
              <w:rPr>
                <w:rFonts w:ascii="Arial" w:cs="Arial" w:eastAsia="Arial" w:hAnsi="Arial"/>
                <w:sz w:val="13"/>
                <w:szCs w:val="13"/>
                <w:color w:val="auto"/>
                <w:w w:val="91"/>
              </w:rPr>
              <w:t>—</w:t>
            </w:r>
          </w:p>
        </w:tc>
        <w:tc>
          <w:tcPr>
            <w:tcW w:w="680" w:type="dxa"/>
            <w:vAlign w:val="bottom"/>
            <w:gridSpan w:val="2"/>
            <w:vMerge w:val="restart"/>
          </w:tcPr>
          <w:p>
            <w:pPr>
              <w:jc w:val="right"/>
              <w:ind w:right="73"/>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73"/>
              <w:spacing w:after="0"/>
              <w:rPr>
                <w:sz w:val="20"/>
                <w:szCs w:val="20"/>
                <w:color w:val="auto"/>
              </w:rPr>
            </w:pPr>
            <w:r>
              <w:rPr>
                <w:rFonts w:ascii="Arial" w:cs="Arial" w:eastAsia="Arial" w:hAnsi="Arial"/>
                <w:sz w:val="9"/>
                <w:szCs w:val="9"/>
                <w:color w:val="auto"/>
                <w:w w:val="78"/>
              </w:rPr>
              <w:t>$</w:t>
            </w:r>
          </w:p>
        </w:tc>
        <w:tc>
          <w:tcPr>
            <w:tcW w:w="260" w:type="dxa"/>
            <w:vAlign w:val="bottom"/>
            <w:vMerge w:val="restart"/>
          </w:tcPr>
          <w:p>
            <w:pPr>
              <w:ind w:left="120"/>
              <w:spacing w:after="0"/>
              <w:rPr>
                <w:sz w:val="20"/>
                <w:szCs w:val="20"/>
                <w:color w:val="auto"/>
              </w:rPr>
            </w:pPr>
            <w:r>
              <w:rPr>
                <w:rFonts w:ascii="Arial" w:cs="Arial" w:eastAsia="Arial" w:hAnsi="Arial"/>
                <w:sz w:val="13"/>
                <w:szCs w:val="13"/>
                <w:color w:val="auto"/>
                <w:w w:val="91"/>
              </w:rPr>
              <w:t>—</w:t>
            </w:r>
          </w:p>
        </w:tc>
        <w:tc>
          <w:tcPr>
            <w:tcW w:w="780" w:type="dxa"/>
            <w:vAlign w:val="bottom"/>
            <w:gridSpan w:val="2"/>
            <w:vMerge w:val="restart"/>
          </w:tcPr>
          <w:p>
            <w:pPr>
              <w:jc w:val="right"/>
              <w:ind w:right="73"/>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560" w:type="dxa"/>
            <w:vAlign w:val="bottom"/>
          </w:tcPr>
          <w:p>
            <w:pPr>
              <w:spacing w:after="0"/>
              <w:rPr>
                <w:sz w:val="11"/>
                <w:szCs w:val="11"/>
                <w:color w:val="auto"/>
              </w:rPr>
            </w:pPr>
          </w:p>
        </w:tc>
        <w:tc>
          <w:tcPr>
            <w:tcW w:w="180" w:type="dxa"/>
            <w:vAlign w:val="bottom"/>
            <w:vMerge w:val="restart"/>
          </w:tcPr>
          <w:p>
            <w:pPr>
              <w:jc w:val="right"/>
              <w:ind w:right="73"/>
              <w:spacing w:after="0"/>
              <w:rPr>
                <w:sz w:val="20"/>
                <w:szCs w:val="20"/>
                <w:color w:val="auto"/>
              </w:rPr>
            </w:pPr>
            <w:r>
              <w:rPr>
                <w:rFonts w:ascii="Arial" w:cs="Arial" w:eastAsia="Arial" w:hAnsi="Arial"/>
                <w:sz w:val="9"/>
                <w:szCs w:val="9"/>
                <w:color w:val="auto"/>
                <w:w w:val="78"/>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78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Selling, general and administrative</w:t>
            </w: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ind w:left="120"/>
              <w:spacing w:after="0" w:line="143" w:lineRule="exact"/>
              <w:rPr>
                <w:sz w:val="20"/>
                <w:szCs w:val="20"/>
                <w:color w:val="auto"/>
              </w:rPr>
            </w:pPr>
            <w:r>
              <w:rPr>
                <w:rFonts w:ascii="Arial" w:cs="Arial" w:eastAsia="Arial" w:hAnsi="Arial"/>
                <w:sz w:val="13"/>
                <w:szCs w:val="13"/>
                <w:color w:val="auto"/>
                <w:w w:val="91"/>
              </w:rPr>
              <w:t>—</w:t>
            </w:r>
          </w:p>
        </w:tc>
        <w:tc>
          <w:tcPr>
            <w:tcW w:w="6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2.6</w:t>
            </w:r>
          </w:p>
        </w:tc>
        <w:tc>
          <w:tcPr>
            <w:tcW w:w="5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2.6</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3"/>
                <w:szCs w:val="13"/>
                <w:color w:val="auto"/>
              </w:rPr>
              <w:t>Unauthorized issuance of stock option expense</w:t>
            </w:r>
          </w:p>
        </w:tc>
        <w:tc>
          <w:tcPr>
            <w:tcW w:w="18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Arial" w:cs="Arial" w:eastAsia="Arial" w:hAnsi="Arial"/>
                <w:sz w:val="13"/>
                <w:szCs w:val="13"/>
                <w:color w:val="auto"/>
                <w:w w:val="91"/>
              </w:rPr>
              <w:t>—</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Arial" w:cs="Arial" w:eastAsia="Arial" w:hAnsi="Arial"/>
                <w:sz w:val="13"/>
                <w:szCs w:val="13"/>
                <w:color w:val="auto"/>
                <w:w w:val="91"/>
              </w:rPr>
              <w:t>—</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0.6</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0.6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ind w:left="120"/>
              <w:spacing w:after="0" w:line="129" w:lineRule="exact"/>
              <w:rPr>
                <w:sz w:val="20"/>
                <w:szCs w:val="20"/>
                <w:color w:val="auto"/>
              </w:rPr>
            </w:pPr>
            <w:r>
              <w:rPr>
                <w:rFonts w:ascii="Arial" w:cs="Arial" w:eastAsia="Arial" w:hAnsi="Arial"/>
                <w:sz w:val="13"/>
                <w:szCs w:val="13"/>
                <w:color w:val="auto"/>
                <w:w w:val="91"/>
              </w:rPr>
              <w:t>—</w:t>
            </w: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ind w:left="120"/>
              <w:spacing w:after="0" w:line="129" w:lineRule="exact"/>
              <w:rPr>
                <w:sz w:val="20"/>
                <w:szCs w:val="20"/>
                <w:color w:val="auto"/>
              </w:rPr>
            </w:pPr>
            <w:r>
              <w:rPr>
                <w:rFonts w:ascii="Arial" w:cs="Arial" w:eastAsia="Arial" w:hAnsi="Arial"/>
                <w:sz w:val="13"/>
                <w:szCs w:val="13"/>
                <w:color w:val="auto"/>
                <w:w w:val="91"/>
              </w:rPr>
              <w:t>—</w:t>
            </w: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ind w:left="120"/>
              <w:spacing w:after="0" w:line="129" w:lineRule="exact"/>
              <w:rPr>
                <w:sz w:val="20"/>
                <w:szCs w:val="20"/>
                <w:color w:val="auto"/>
              </w:rPr>
            </w:pPr>
            <w:r>
              <w:rPr>
                <w:rFonts w:ascii="Arial" w:cs="Arial" w:eastAsia="Arial" w:hAnsi="Arial"/>
                <w:sz w:val="13"/>
                <w:szCs w:val="13"/>
                <w:color w:val="auto"/>
                <w:w w:val="91"/>
              </w:rPr>
              <w:t>—</w:t>
            </w: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w:t>
            </w: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line="143" w:lineRule="exact"/>
              <w:rPr>
                <w:sz w:val="20"/>
                <w:szCs w:val="20"/>
                <w:color w:val="auto"/>
              </w:rPr>
            </w:pPr>
            <w:r>
              <w:rPr>
                <w:rFonts w:ascii="Arial" w:cs="Arial" w:eastAsia="Arial" w:hAnsi="Arial"/>
                <w:sz w:val="13"/>
                <w:szCs w:val="13"/>
                <w:color w:val="auto"/>
              </w:rPr>
              <w:t>Discontinued operations</w:t>
            </w: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8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120"/>
              <w:spacing w:after="0" w:line="102" w:lineRule="exact"/>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120"/>
              <w:spacing w:after="0" w:line="102"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120"/>
              <w:spacing w:after="0" w:line="10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0.6</w:t>
            </w: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0.6</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780" w:type="dxa"/>
            <w:vAlign w:val="bottom"/>
            <w:tcBorders>
              <w:bottom w:val="single" w:sz="8" w:color="CCEEFF"/>
            </w:tcBorders>
            <w:shd w:val="clear" w:color="auto" w:fill="CCEEFF"/>
          </w:tcPr>
          <w:p>
            <w:pPr>
              <w:spacing w:after="0" w:line="102" w:lineRule="exact"/>
              <w:rPr>
                <w:sz w:val="20"/>
                <w:szCs w:val="20"/>
                <w:color w:val="auto"/>
              </w:rPr>
            </w:pPr>
            <w:r>
              <w:rPr>
                <w:rFonts w:ascii="Arial" w:cs="Arial" w:eastAsia="Arial" w:hAnsi="Arial"/>
                <w:sz w:val="11"/>
                <w:szCs w:val="11"/>
                <w:color w:val="auto"/>
              </w:rPr>
              <w:t>Total</w:t>
            </w:r>
          </w:p>
        </w:tc>
        <w:tc>
          <w:tcPr>
            <w:tcW w:w="180" w:type="dxa"/>
            <w:vAlign w:val="bottom"/>
            <w:tcBorders>
              <w:bottom w:val="single" w:sz="8" w:color="auto"/>
            </w:tcBorders>
            <w:shd w:val="clear" w:color="auto" w:fill="CCEEFF"/>
          </w:tcPr>
          <w:p>
            <w:pPr>
              <w:jc w:val="right"/>
              <w:ind w:right="73"/>
              <w:spacing w:after="0" w:line="102" w:lineRule="exact"/>
              <w:rPr>
                <w:sz w:val="20"/>
                <w:szCs w:val="20"/>
                <w:color w:val="auto"/>
              </w:rPr>
            </w:pPr>
            <w:r>
              <w:rPr>
                <w:rFonts w:ascii="Arial" w:cs="Arial" w:eastAsia="Arial" w:hAnsi="Arial"/>
                <w:sz w:val="9"/>
                <w:szCs w:val="9"/>
                <w:color w:val="auto"/>
                <w:w w:val="78"/>
              </w:rPr>
              <w:t>$</w:t>
            </w:r>
          </w:p>
        </w:tc>
        <w:tc>
          <w:tcPr>
            <w:tcW w:w="260" w:type="dxa"/>
            <w:vAlign w:val="bottom"/>
            <w:tcBorders>
              <w:bottom w:val="single" w:sz="8" w:color="auto"/>
            </w:tcBorders>
            <w:shd w:val="clear" w:color="auto" w:fill="CCEEFF"/>
          </w:tcPr>
          <w:p>
            <w:pPr>
              <w:ind w:left="120"/>
              <w:spacing w:after="0" w:line="102" w:lineRule="exact"/>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73"/>
              <w:spacing w:after="0" w:line="102" w:lineRule="exact"/>
              <w:rPr>
                <w:sz w:val="20"/>
                <w:szCs w:val="20"/>
                <w:color w:val="auto"/>
              </w:rPr>
            </w:pPr>
            <w:r>
              <w:rPr>
                <w:rFonts w:ascii="Arial" w:cs="Arial" w:eastAsia="Arial" w:hAnsi="Arial"/>
                <w:sz w:val="9"/>
                <w:szCs w:val="9"/>
                <w:color w:val="auto"/>
                <w:w w:val="78"/>
              </w:rPr>
              <w:t>$</w:t>
            </w:r>
          </w:p>
        </w:tc>
        <w:tc>
          <w:tcPr>
            <w:tcW w:w="260" w:type="dxa"/>
            <w:vAlign w:val="bottom"/>
            <w:tcBorders>
              <w:bottom w:val="single" w:sz="8" w:color="auto"/>
            </w:tcBorders>
            <w:shd w:val="clear" w:color="auto" w:fill="CCEEFF"/>
          </w:tcPr>
          <w:p>
            <w:pPr>
              <w:ind w:left="120"/>
              <w:spacing w:after="0" w:line="102"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73"/>
              <w:spacing w:after="0" w:line="102" w:lineRule="exact"/>
              <w:rPr>
                <w:sz w:val="20"/>
                <w:szCs w:val="20"/>
                <w:color w:val="auto"/>
              </w:rPr>
            </w:pPr>
            <w:r>
              <w:rPr>
                <w:rFonts w:ascii="Arial" w:cs="Arial" w:eastAsia="Arial" w:hAnsi="Arial"/>
                <w:sz w:val="9"/>
                <w:szCs w:val="9"/>
                <w:color w:val="auto"/>
                <w:w w:val="78"/>
              </w:rPr>
              <w:t>$</w:t>
            </w:r>
          </w:p>
        </w:tc>
        <w:tc>
          <w:tcPr>
            <w:tcW w:w="260" w:type="dxa"/>
            <w:vAlign w:val="bottom"/>
            <w:tcBorders>
              <w:bottom w:val="single" w:sz="8" w:color="auto"/>
            </w:tcBorders>
            <w:shd w:val="clear" w:color="auto" w:fill="CCEEFF"/>
          </w:tcPr>
          <w:p>
            <w:pPr>
              <w:ind w:left="120"/>
              <w:spacing w:after="0" w:line="10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73"/>
              <w:spacing w:after="0" w:line="102" w:lineRule="exact"/>
              <w:rPr>
                <w:sz w:val="20"/>
                <w:szCs w:val="20"/>
                <w:color w:val="auto"/>
              </w:rPr>
            </w:pPr>
            <w:r>
              <w:rPr>
                <w:rFonts w:ascii="Arial" w:cs="Arial" w:eastAsia="Arial" w:hAnsi="Arial"/>
                <w:sz w:val="9"/>
                <w:szCs w:val="9"/>
                <w:color w:val="auto"/>
                <w:w w:val="78"/>
              </w:rPr>
              <w:t>$</w:t>
            </w:r>
          </w:p>
        </w:tc>
        <w:tc>
          <w:tcPr>
            <w:tcW w:w="30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6.7</w:t>
            </w:r>
          </w:p>
        </w:tc>
        <w:tc>
          <w:tcPr>
            <w:tcW w:w="56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73"/>
              <w:spacing w:after="0" w:line="102" w:lineRule="exact"/>
              <w:rPr>
                <w:sz w:val="20"/>
                <w:szCs w:val="20"/>
                <w:color w:val="auto"/>
              </w:rPr>
            </w:pPr>
            <w:r>
              <w:rPr>
                <w:rFonts w:ascii="Arial" w:cs="Arial" w:eastAsia="Arial" w:hAnsi="Arial"/>
                <w:sz w:val="9"/>
                <w:szCs w:val="9"/>
                <w:color w:val="auto"/>
                <w:w w:val="78"/>
              </w:rPr>
              <w:t>$</w:t>
            </w:r>
          </w:p>
        </w:tc>
        <w:tc>
          <w:tcPr>
            <w:tcW w:w="30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6.7</w:t>
            </w:r>
          </w:p>
        </w:tc>
        <w:tc>
          <w:tcPr>
            <w:tcW w:w="2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firstLine="360"/>
        <w:spacing w:after="0"/>
        <w:rPr>
          <w:sz w:val="20"/>
          <w:szCs w:val="20"/>
          <w:color w:val="auto"/>
        </w:rPr>
      </w:pPr>
      <w:r>
        <w:rPr>
          <w:rFonts w:ascii="Arial" w:cs="Arial" w:eastAsia="Arial" w:hAnsi="Arial"/>
          <w:sz w:val="18"/>
          <w:szCs w:val="18"/>
          <w:color w:val="auto"/>
        </w:rPr>
        <w:t>The following table presents details of the non-income tax payroll related expense (credit) that is included in each functional line item in the consolidated statement of operations:</w:t>
      </w:r>
    </w:p>
    <w:p>
      <w:pPr>
        <w:sectPr>
          <w:pgSz w:w="11900" w:h="16838" w:orient="portrait"/>
          <w:cols w:equalWidth="0" w:num="1">
            <w:col w:w="11420"/>
          </w:cols>
          <w:pgMar w:left="240" w:top="140" w:right="239" w:bottom="0" w:gutter="0" w:footer="0" w:header="0"/>
          <w:type w:val="continuous"/>
        </w:sectPr>
      </w:pPr>
    </w:p>
    <w:tbl>
      <w:tblPr>
        <w:tblLayout w:type="fixed"/>
        <w:tblInd w:w="1380" w:type="dxa"/>
        <w:tblCellMar>
          <w:top w:w="0" w:type="dxa"/>
          <w:left w:w="0" w:type="dxa"/>
          <w:bottom w:w="0" w:type="dxa"/>
          <w:right w:w="0" w:type="dxa"/>
        </w:tblCellMar>
      </w:tblPr>
      <w:tr>
        <w:trPr>
          <w:trHeight w:val="180"/>
        </w:trPr>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Data on Non-Income Tax Payroll Expense</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Cost of revenue</w:t>
            </w:r>
          </w:p>
        </w:tc>
        <w:tc>
          <w:tcPr>
            <w:tcW w:w="180" w:type="dxa"/>
            <w:vAlign w:val="bottom"/>
            <w:vMerge w:val="restart"/>
          </w:tcPr>
          <w:p>
            <w:pPr>
              <w:jc w:val="right"/>
              <w:ind w:right="73"/>
              <w:spacing w:after="0"/>
              <w:rPr>
                <w:sz w:val="20"/>
                <w:szCs w:val="20"/>
                <w:color w:val="auto"/>
              </w:rPr>
            </w:pPr>
            <w:r>
              <w:rPr>
                <w:rFonts w:ascii="Arial" w:cs="Arial" w:eastAsia="Arial" w:hAnsi="Arial"/>
                <w:sz w:val="9"/>
                <w:szCs w:val="9"/>
                <w:color w:val="auto"/>
                <w:w w:val="78"/>
              </w:rPr>
              <w:t>$</w:t>
            </w:r>
          </w:p>
        </w:tc>
        <w:tc>
          <w:tcPr>
            <w:tcW w:w="260" w:type="dxa"/>
            <w:vAlign w:val="bottom"/>
            <w:vMerge w:val="restart"/>
          </w:tcPr>
          <w:p>
            <w:pPr>
              <w:ind w:left="120"/>
              <w:spacing w:after="0"/>
              <w:rPr>
                <w:sz w:val="20"/>
                <w:szCs w:val="20"/>
                <w:color w:val="auto"/>
              </w:rPr>
            </w:pPr>
            <w:r>
              <w:rPr>
                <w:rFonts w:ascii="Arial" w:cs="Arial" w:eastAsia="Arial" w:hAnsi="Arial"/>
                <w:sz w:val="13"/>
                <w:szCs w:val="13"/>
                <w:color w:val="auto"/>
                <w:w w:val="91"/>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73"/>
              <w:spacing w:after="0"/>
              <w:rPr>
                <w:sz w:val="20"/>
                <w:szCs w:val="20"/>
                <w:color w:val="auto"/>
              </w:rPr>
            </w:pPr>
            <w:r>
              <w:rPr>
                <w:rFonts w:ascii="Arial" w:cs="Arial" w:eastAsia="Arial" w:hAnsi="Arial"/>
                <w:sz w:val="9"/>
                <w:szCs w:val="9"/>
                <w:color w:val="auto"/>
                <w:w w:val="78"/>
              </w:rPr>
              <w:t>$</w:t>
            </w:r>
          </w:p>
        </w:tc>
        <w:tc>
          <w:tcPr>
            <w:tcW w:w="260" w:type="dxa"/>
            <w:vAlign w:val="bottom"/>
            <w:vMerge w:val="restart"/>
          </w:tcPr>
          <w:p>
            <w:pPr>
              <w:ind w:left="120"/>
              <w:spacing w:after="0"/>
              <w:rPr>
                <w:sz w:val="20"/>
                <w:szCs w:val="20"/>
                <w:color w:val="auto"/>
              </w:rPr>
            </w:pPr>
            <w:r>
              <w:rPr>
                <w:rFonts w:ascii="Arial" w:cs="Arial" w:eastAsia="Arial" w:hAnsi="Arial"/>
                <w:sz w:val="13"/>
                <w:szCs w:val="13"/>
                <w:color w:val="auto"/>
                <w:w w:val="91"/>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560" w:type="dxa"/>
            <w:vAlign w:val="bottom"/>
          </w:tcPr>
          <w:p>
            <w:pPr>
              <w:spacing w:after="0"/>
              <w:rPr>
                <w:sz w:val="11"/>
                <w:szCs w:val="11"/>
                <w:color w:val="auto"/>
              </w:rPr>
            </w:pPr>
          </w:p>
        </w:tc>
        <w:tc>
          <w:tcPr>
            <w:tcW w:w="180" w:type="dxa"/>
            <w:vAlign w:val="bottom"/>
            <w:vMerge w:val="restart"/>
          </w:tcPr>
          <w:p>
            <w:pPr>
              <w:jc w:val="right"/>
              <w:ind w:right="73"/>
              <w:spacing w:after="0"/>
              <w:rPr>
                <w:sz w:val="20"/>
                <w:szCs w:val="20"/>
                <w:color w:val="auto"/>
              </w:rPr>
            </w:pPr>
            <w:r>
              <w:rPr>
                <w:rFonts w:ascii="Arial" w:cs="Arial" w:eastAsia="Arial" w:hAnsi="Arial"/>
                <w:sz w:val="9"/>
                <w:szCs w:val="9"/>
                <w:color w:val="auto"/>
                <w:w w:val="78"/>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78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Selling, general and administrative</w:t>
            </w: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ind w:left="120"/>
              <w:spacing w:after="0" w:line="143" w:lineRule="exact"/>
              <w:rPr>
                <w:sz w:val="20"/>
                <w:szCs w:val="20"/>
                <w:color w:val="auto"/>
              </w:rPr>
            </w:pPr>
            <w:r>
              <w:rPr>
                <w:rFonts w:ascii="Arial" w:cs="Arial" w:eastAsia="Arial" w:hAnsi="Arial"/>
                <w:sz w:val="13"/>
                <w:szCs w:val="13"/>
                <w:color w:val="auto"/>
                <w:w w:val="91"/>
              </w:rPr>
              <w:t>—</w:t>
            </w:r>
          </w:p>
        </w:tc>
        <w:tc>
          <w:tcPr>
            <w:tcW w:w="5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ind w:left="120"/>
              <w:spacing w:after="0" w:line="143" w:lineRule="exact"/>
              <w:rPr>
                <w:sz w:val="20"/>
                <w:szCs w:val="20"/>
                <w:color w:val="auto"/>
              </w:rPr>
            </w:pPr>
            <w:r>
              <w:rPr>
                <w:rFonts w:ascii="Arial" w:cs="Arial" w:eastAsia="Arial" w:hAnsi="Arial"/>
                <w:sz w:val="13"/>
                <w:szCs w:val="13"/>
                <w:color w:val="auto"/>
                <w:w w:val="91"/>
              </w:rPr>
              <w:t>—</w:t>
            </w:r>
          </w:p>
        </w:tc>
        <w:tc>
          <w:tcPr>
            <w:tcW w:w="6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0.4</w:t>
            </w:r>
          </w:p>
        </w:tc>
        <w:tc>
          <w:tcPr>
            <w:tcW w:w="5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0.4</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type w:val="continuous"/>
        </w:sectPr>
      </w:pPr>
    </w:p>
    <w:bookmarkStart w:id="35" w:name="page36"/>
    <w:bookmarkEnd w:id="35"/>
    <w:p>
      <w:pPr>
        <w:spacing w:after="0" w:line="17" w:lineRule="exact"/>
        <w:rPr>
          <w:sz w:val="20"/>
          <w:szCs w:val="20"/>
          <w:color w:val="auto"/>
        </w:rPr>
      </w:pPr>
    </w:p>
    <w:tbl>
      <w:tblPr>
        <w:tblLayout w:type="fixed"/>
        <w:tblInd w:w="1380" w:type="dxa"/>
        <w:tblCellMar>
          <w:top w:w="0" w:type="dxa"/>
          <w:left w:w="0" w:type="dxa"/>
          <w:bottom w:w="0" w:type="dxa"/>
          <w:right w:w="0" w:type="dxa"/>
        </w:tblCellMar>
      </w:tblPr>
      <w:tr>
        <w:trPr>
          <w:trHeight w:val="189"/>
        </w:trPr>
        <w:tc>
          <w:tcPr>
            <w:tcW w:w="378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0.9</w:t>
            </w:r>
          </w:p>
        </w:tc>
        <w:tc>
          <w:tcPr>
            <w:tcW w:w="560" w:type="dxa"/>
            <w:vAlign w:val="bottom"/>
            <w:tcBorders>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0.9</w:t>
            </w: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780" w:type="dxa"/>
            <w:vAlign w:val="bottom"/>
            <w:tcBorders>
              <w:bottom w:val="single" w:sz="8" w:color="CCEEFF"/>
            </w:tcBorders>
            <w:shd w:val="clear" w:color="auto" w:fill="CCEEFF"/>
          </w:tcPr>
          <w:p>
            <w:pPr>
              <w:spacing w:after="0" w:line="102" w:lineRule="exact"/>
              <w:rPr>
                <w:sz w:val="20"/>
                <w:szCs w:val="20"/>
                <w:color w:val="auto"/>
              </w:rPr>
            </w:pPr>
            <w:r>
              <w:rPr>
                <w:rFonts w:ascii="Arial" w:cs="Arial" w:eastAsia="Arial" w:hAnsi="Arial"/>
                <w:sz w:val="11"/>
                <w:szCs w:val="11"/>
                <w:color w:val="auto"/>
              </w:rPr>
              <w:t>Discontinued operations</w:t>
            </w:r>
          </w:p>
        </w:tc>
        <w:tc>
          <w:tcPr>
            <w:tcW w:w="44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line="143" w:lineRule="exact"/>
              <w:rPr>
                <w:sz w:val="20"/>
                <w:szCs w:val="20"/>
                <w:color w:val="auto"/>
              </w:rPr>
            </w:pPr>
            <w:r>
              <w:rPr>
                <w:rFonts w:ascii="Arial" w:cs="Arial" w:eastAsia="Arial" w:hAnsi="Arial"/>
                <w:sz w:val="13"/>
                <w:szCs w:val="13"/>
                <w:color w:val="auto"/>
              </w:rPr>
              <w:t>Total</w:t>
            </w:r>
          </w:p>
        </w:tc>
        <w:tc>
          <w:tcPr>
            <w:tcW w:w="440" w:type="dxa"/>
            <w:vAlign w:val="bottom"/>
            <w:tcBorders>
              <w:bottom w:val="single" w:sz="8" w:color="auto"/>
            </w:tcBorders>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780" w:type="dxa"/>
            <w:vAlign w:val="bottom"/>
            <w:vMerge w:val="continue"/>
          </w:tcPr>
          <w:p>
            <w:pPr>
              <w:spacing w:after="0"/>
              <w:rPr>
                <w:sz w:val="8"/>
                <w:szCs w:val="8"/>
                <w:color w:val="auto"/>
              </w:rPr>
            </w:pPr>
          </w:p>
        </w:tc>
        <w:tc>
          <w:tcPr>
            <w:tcW w:w="4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500" w:type="dxa"/>
            <w:vAlign w:val="bottom"/>
            <w:vMerge w:val="continue"/>
          </w:tcPr>
          <w:p>
            <w:pPr>
              <w:spacing w:after="0"/>
              <w:rPr>
                <w:sz w:val="8"/>
                <w:szCs w:val="8"/>
                <w:color w:val="auto"/>
              </w:rPr>
            </w:pPr>
          </w:p>
        </w:tc>
        <w:tc>
          <w:tcPr>
            <w:tcW w:w="4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720" w:type="dxa"/>
            <w:vAlign w:val="bottom"/>
            <w:vMerge w:val="continue"/>
          </w:tcPr>
          <w:p>
            <w:pPr>
              <w:spacing w:after="0"/>
              <w:rPr>
                <w:sz w:val="8"/>
                <w:szCs w:val="8"/>
                <w:color w:val="auto"/>
              </w:rPr>
            </w:pPr>
          </w:p>
        </w:tc>
        <w:tc>
          <w:tcPr>
            <w:tcW w:w="4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600" w:type="dxa"/>
            <w:vAlign w:val="bottom"/>
            <w:vMerge w:val="continue"/>
          </w:tcPr>
          <w:p>
            <w:pPr>
              <w:spacing w:after="0"/>
              <w:rPr>
                <w:sz w:val="8"/>
                <w:szCs w:val="8"/>
                <w:color w:val="auto"/>
              </w:rPr>
            </w:pPr>
          </w:p>
        </w:tc>
        <w:tc>
          <w:tcPr>
            <w:tcW w:w="4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$0.9</w:t>
            </w:r>
          </w:p>
        </w:tc>
        <w:tc>
          <w:tcPr>
            <w:tcW w:w="560" w:type="dxa"/>
            <w:vAlign w:val="bottom"/>
          </w:tcPr>
          <w:p>
            <w:pPr>
              <w:spacing w:after="0"/>
              <w:rPr>
                <w:sz w:val="8"/>
                <w:szCs w:val="8"/>
                <w:color w:val="auto"/>
              </w:rPr>
            </w:pPr>
          </w:p>
        </w:tc>
        <w:tc>
          <w:tcPr>
            <w:tcW w:w="4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$0.9</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The following table presents the impact of the additional stock-based compensation expense-related adjustments and the discontinuance of our international businesses on our consolidated balance sheet as of December 31, 2003:</w:t>
      </w:r>
    </w:p>
    <w:p>
      <w:pPr>
        <w:spacing w:after="0" w:line="16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RECONCILIATION OF CONSOLIDATED BALANCE SHEET FOR 2003</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millions)</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Adjustment for</w:t>
            </w:r>
          </w:p>
        </w:tc>
        <w:tc>
          <w:tcPr>
            <w:tcW w:w="11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0"/>
              </w:rPr>
              <w:t>As Restated for</w:t>
            </w:r>
          </w:p>
        </w:tc>
        <w:tc>
          <w:tcPr>
            <w:tcW w:w="120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4"/>
              </w:rPr>
              <w:t>Adjustment for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5"/>
          </w:tcPr>
          <w:p>
            <w:pPr>
              <w:jc w:val="center"/>
              <w:ind w:right="180"/>
              <w:spacing w:after="0" w:line="135" w:lineRule="exact"/>
              <w:rPr>
                <w:sz w:val="20"/>
                <w:szCs w:val="20"/>
                <w:color w:val="auto"/>
              </w:rPr>
            </w:pPr>
            <w:r>
              <w:rPr>
                <w:rFonts w:ascii="Arial" w:cs="Arial" w:eastAsia="Arial" w:hAnsi="Arial"/>
                <w:sz w:val="14"/>
                <w:szCs w:val="14"/>
                <w:b w:val="1"/>
                <w:bCs w:val="1"/>
                <w:color w:val="auto"/>
                <w:w w:val="97"/>
              </w:rPr>
              <w:t>International</w:t>
            </w:r>
          </w:p>
        </w:tc>
        <w:tc>
          <w:tcPr>
            <w:tcW w:w="1180" w:type="dxa"/>
            <w:vAlign w:val="bottom"/>
            <w:gridSpan w:val="5"/>
            <w:vMerge w:val="continue"/>
          </w:tcPr>
          <w:p>
            <w:pPr>
              <w:spacing w:after="0"/>
              <w:rPr>
                <w:sz w:val="11"/>
                <w:szCs w:val="11"/>
                <w:color w:val="auto"/>
              </w:rPr>
            </w:pPr>
          </w:p>
        </w:tc>
        <w:tc>
          <w:tcPr>
            <w:tcW w:w="120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9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160" w:type="dxa"/>
            <w:vAlign w:val="bottom"/>
            <w:gridSpan w:val="5"/>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Discontinued</w:t>
            </w:r>
          </w:p>
        </w:tc>
        <w:tc>
          <w:tcPr>
            <w:tcW w:w="118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Discontinued</w:t>
            </w:r>
          </w:p>
        </w:tc>
        <w:tc>
          <w:tcPr>
            <w:tcW w:w="1200" w:type="dxa"/>
            <w:vAlign w:val="bottom"/>
            <w:gridSpan w:val="5"/>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Stock Based</w:t>
            </w:r>
          </w:p>
        </w:tc>
        <w:tc>
          <w:tcPr>
            <w:tcW w:w="9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980" w:type="dxa"/>
            <w:vAlign w:val="bottom"/>
            <w:gridSpan w:val="5"/>
            <w:vMerge w:val="continue"/>
          </w:tcPr>
          <w:p>
            <w:pPr>
              <w:spacing w:after="0"/>
              <w:rPr>
                <w:sz w:val="14"/>
                <w:szCs w:val="14"/>
                <w:color w:val="auto"/>
              </w:rPr>
            </w:pPr>
          </w:p>
        </w:tc>
        <w:tc>
          <w:tcPr>
            <w:tcW w:w="11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Operations</w:t>
            </w: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Operations</w:t>
            </w:r>
          </w:p>
        </w:tc>
        <w:tc>
          <w:tcPr>
            <w:tcW w:w="12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Expenses</w:t>
            </w:r>
          </w:p>
        </w:tc>
        <w:tc>
          <w:tcPr>
            <w:tcW w:w="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tcBorders>
              <w:top w:val="single" w:sz="8" w:color="CCEEFF"/>
            </w:tcBorders>
            <w:shd w:val="clear" w:color="auto" w:fill="CCEEFF"/>
          </w:tcPr>
          <w:p>
            <w:pPr>
              <w:ind w:left="1280"/>
              <w:spacing w:after="0" w:line="155" w:lineRule="exact"/>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Short-term investments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35.1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35.1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35.1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8"/>
              </w:rPr>
              <w:t>(10.6)</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Accounts receivable—related party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Employee loans and advances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assets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60" w:type="dxa"/>
            <w:vAlign w:val="bottom"/>
          </w:tcPr>
          <w:p>
            <w:pPr>
              <w:ind w:left="140"/>
              <w:spacing w:after="0" w:line="143" w:lineRule="exact"/>
              <w:rPr>
                <w:sz w:val="20"/>
                <w:szCs w:val="20"/>
                <w:color w:val="auto"/>
              </w:rPr>
            </w:pPr>
            <w:r>
              <w:rPr>
                <w:rFonts w:ascii="Arial" w:cs="Arial" w:eastAsia="Arial" w:hAnsi="Arial"/>
                <w:sz w:val="14"/>
                <w:szCs w:val="14"/>
                <w:color w:val="auto"/>
              </w:rPr>
              <w:t>Current assets of discontinued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60" w:type="dxa"/>
            <w:vAlign w:val="bottom"/>
          </w:tcPr>
          <w:p>
            <w:pPr>
              <w:ind w:left="280"/>
              <w:spacing w:after="0"/>
              <w:rPr>
                <w:sz w:val="20"/>
                <w:szCs w:val="20"/>
                <w:color w:val="auto"/>
              </w:rPr>
            </w:pPr>
            <w:r>
              <w:rPr>
                <w:rFonts w:ascii="Arial" w:cs="Arial" w:eastAsia="Arial" w:hAnsi="Arial"/>
                <w:sz w:val="14"/>
                <w:szCs w:val="14"/>
                <w:color w:val="auto"/>
              </w:rPr>
              <w:t>operations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31.0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12.4</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43.4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43.4</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60" w:type="dxa"/>
            <w:vAlign w:val="bottom"/>
            <w:tcBorders>
              <w:top w:val="single" w:sz="8" w:color="CCEEFF"/>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current assets</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216.1</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216.1</w:t>
            </w: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216.1</w:t>
            </w: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Other intangibles, net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Investments in unconsolidated affiliates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60" w:type="dxa"/>
            <w:vAlign w:val="bottom"/>
          </w:tcPr>
          <w:p>
            <w:pPr>
              <w:spacing w:after="0" w:line="143" w:lineRule="exact"/>
              <w:rPr>
                <w:sz w:val="20"/>
                <w:szCs w:val="20"/>
                <w:color w:val="auto"/>
              </w:rPr>
            </w:pPr>
            <w:r>
              <w:rPr>
                <w:rFonts w:ascii="Arial" w:cs="Arial" w:eastAsia="Arial" w:hAnsi="Arial"/>
                <w:sz w:val="14"/>
                <w:szCs w:val="14"/>
                <w:color w:val="auto"/>
              </w:rPr>
              <w:t>Non current assets of discontinued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60" w:type="dxa"/>
            <w:vAlign w:val="bottom"/>
          </w:tcPr>
          <w:p>
            <w:pPr>
              <w:ind w:left="140"/>
              <w:spacing w:after="0"/>
              <w:rPr>
                <w:sz w:val="20"/>
                <w:szCs w:val="20"/>
                <w:color w:val="auto"/>
              </w:rPr>
            </w:pPr>
            <w:r>
              <w:rPr>
                <w:rFonts w:ascii="Arial" w:cs="Arial" w:eastAsia="Arial" w:hAnsi="Arial"/>
                <w:sz w:val="14"/>
                <w:szCs w:val="14"/>
                <w:color w:val="auto"/>
              </w:rPr>
              <w:t>operations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0.9</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60" w:type="dxa"/>
            <w:vAlign w:val="bottom"/>
            <w:tcBorders>
              <w:top w:val="single" w:sz="8" w:color="CCEEFF"/>
              <w:bottom w:val="single" w:sz="8" w:color="CCEEFF"/>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assets</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279.3</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279.3</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279.3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60" w:type="dxa"/>
            <w:vAlign w:val="bottom"/>
          </w:tcPr>
          <w:p>
            <w:pPr>
              <w:ind w:left="140"/>
              <w:spacing w:after="0" w:line="143" w:lineRule="exact"/>
              <w:rPr>
                <w:sz w:val="20"/>
                <w:szCs w:val="20"/>
                <w:color w:val="auto"/>
              </w:rPr>
            </w:pPr>
            <w:r>
              <w:rPr>
                <w:rFonts w:ascii="Arial" w:cs="Arial" w:eastAsia="Arial" w:hAnsi="Arial"/>
                <w:sz w:val="14"/>
                <w:szCs w:val="14"/>
                <w:color w:val="auto"/>
              </w:rPr>
              <w:t>Billings in excess of costs on completed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60" w:type="dxa"/>
            <w:vAlign w:val="bottom"/>
          </w:tcPr>
          <w:p>
            <w:pPr>
              <w:ind w:left="280"/>
              <w:spacing w:after="0"/>
              <w:rPr>
                <w:sz w:val="20"/>
                <w:szCs w:val="20"/>
                <w:color w:val="auto"/>
              </w:rPr>
            </w:pPr>
            <w:r>
              <w:rPr>
                <w:rFonts w:ascii="Arial" w:cs="Arial" w:eastAsia="Arial" w:hAnsi="Arial"/>
                <w:sz w:val="14"/>
                <w:szCs w:val="14"/>
                <w:color w:val="auto"/>
              </w:rPr>
              <w:t>contracts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6.5</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contingencies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Accrual for contingent acquisition consideration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Accrual for unused office space</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lease obligations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Current liabilities of discontinued operations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7.8</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29.3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29.3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tcBorders>
              <w:top w:val="single" w:sz="8" w:color="CCEEFF"/>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current liabilities</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70.2</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70.2</w:t>
            </w: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13.4</w:t>
            </w:r>
          </w:p>
        </w:tc>
        <w:tc>
          <w:tcPr>
            <w:tcW w:w="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83.6</w:t>
            </w: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Capital lease obligations, net of current portion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Accrual for unused office space, net of</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portion</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Other liabilities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Other long-term liabilities of discontinued</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operations</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60" w:type="dxa"/>
            <w:vAlign w:val="bottom"/>
          </w:tcPr>
          <w:p>
            <w:pPr>
              <w:ind w:left="280"/>
              <w:spacing w:after="0" w:line="155" w:lineRule="exact"/>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87.4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309.6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309.6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56.1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365.7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compensation</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(6.6)</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(100.4)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(100.4)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19"/>
              <w:spacing w:after="0"/>
              <w:rPr>
                <w:sz w:val="20"/>
                <w:szCs w:val="20"/>
                <w:color w:val="auto"/>
              </w:rPr>
            </w:pPr>
            <w:r>
              <w:rPr>
                <w:rFonts w:ascii="Arial" w:cs="Arial" w:eastAsia="Arial" w:hAnsi="Arial"/>
                <w:sz w:val="14"/>
                <w:szCs w:val="14"/>
                <w:color w:val="auto"/>
                <w:w w:val="98"/>
              </w:rPr>
              <w:t>(62.9)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(163.3)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tcBorders>
              <w:bottom w:val="single" w:sz="8" w:color="CCEEFF"/>
            </w:tcBorders>
          </w:tcPr>
          <w:p>
            <w:pPr>
              <w:ind w:left="280"/>
              <w:spacing w:after="0" w:line="155" w:lineRule="exact"/>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205.3</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205.3</w:t>
            </w:r>
          </w:p>
        </w:tc>
        <w:tc>
          <w:tcPr>
            <w:tcW w:w="2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(13.4)</w:t>
            </w: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191.9</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279.3</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279.3</w:t>
            </w:r>
          </w:p>
        </w:tc>
        <w:tc>
          <w:tcPr>
            <w:tcW w:w="2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3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279.3</w:t>
            </w:r>
          </w:p>
        </w:tc>
        <w:tc>
          <w:tcPr>
            <w:tcW w:w="1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The following table presents the impact of the additional stock-based compensation expense-related adjustments as well as the discontinuance of our international businesses on our previously-reported consolidated statement of operations for the years ended December 31, 2003:</w:t>
      </w:r>
    </w:p>
    <w:p>
      <w:pPr>
        <w:spacing w:after="0" w:line="9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RECONCILIATION OF CONSOLIDATED STATEMENT OF OPERATIONS FOR 2003</w:t>
      </w:r>
    </w:p>
    <w:p>
      <w:pPr>
        <w:spacing w:after="0" w:line="7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millions, except per share data)</w:t>
      </w:r>
    </w:p>
    <w:p>
      <w:pPr>
        <w:sectPr>
          <w:pgSz w:w="11900" w:h="16855" w:orient="portrait"/>
          <w:cols w:equalWidth="0" w:num="1">
            <w:col w:w="11080"/>
          </w:cols>
          <w:pgMar w:left="240" w:top="120" w:right="5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Revenues</w:t>
      </w:r>
    </w:p>
    <w:p>
      <w:pPr>
        <w:spacing w:after="0" w:line="26"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Cost of revenues</w:t>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Gross profit</w:t>
      </w:r>
    </w:p>
    <w:p>
      <w:pPr>
        <w:spacing w:after="0" w:line="26" w:lineRule="exact"/>
        <w:rPr>
          <w:sz w:val="20"/>
          <w:szCs w:val="20"/>
          <w:color w:val="auto"/>
        </w:rPr>
      </w:pPr>
    </w:p>
    <w:p>
      <w:pPr>
        <w:ind w:left="1360"/>
        <w:spacing w:after="0"/>
        <w:rPr>
          <w:sz w:val="20"/>
          <w:szCs w:val="20"/>
          <w:color w:val="auto"/>
        </w:rPr>
      </w:pPr>
      <w:r>
        <w:rPr>
          <w:rFonts w:ascii="Arial" w:cs="Arial" w:eastAsia="Arial" w:hAnsi="Arial"/>
          <w:sz w:val="11"/>
          <w:szCs w:val="11"/>
          <w:color w:val="auto"/>
        </w:rPr>
        <w:t>Selling, general and administrative expenses</w:t>
      </w:r>
    </w:p>
    <w:p>
      <w:pPr>
        <w:spacing w:after="0" w:line="36" w:lineRule="exact"/>
        <w:rPr>
          <w:sz w:val="20"/>
          <w:szCs w:val="20"/>
          <w:color w:val="auto"/>
        </w:rPr>
      </w:pPr>
    </w:p>
    <w:p>
      <w:pPr>
        <w:ind w:left="1360"/>
        <w:spacing w:after="0"/>
        <w:rPr>
          <w:sz w:val="20"/>
          <w:szCs w:val="20"/>
          <w:color w:val="auto"/>
        </w:rPr>
      </w:pPr>
      <w:r>
        <w:rPr>
          <w:rFonts w:ascii="Arial" w:cs="Arial" w:eastAsia="Arial" w:hAnsi="Arial"/>
          <w:sz w:val="11"/>
          <w:szCs w:val="11"/>
          <w:color w:val="auto"/>
        </w:rPr>
        <w:t>Unauthorized issuance of stock option expense</w:t>
      </w:r>
    </w:p>
    <w:p>
      <w:pPr>
        <w:spacing w:after="0" w:line="36" w:lineRule="exact"/>
        <w:rPr>
          <w:sz w:val="20"/>
          <w:szCs w:val="20"/>
          <w:color w:val="auto"/>
        </w:rPr>
      </w:pPr>
    </w:p>
    <w:p>
      <w:pPr>
        <w:ind w:left="1360"/>
        <w:spacing w:after="0"/>
        <w:rPr>
          <w:sz w:val="20"/>
          <w:szCs w:val="20"/>
          <w:color w:val="auto"/>
        </w:rPr>
      </w:pPr>
      <w:r>
        <w:rPr>
          <w:rFonts w:ascii="Arial" w:cs="Arial" w:eastAsia="Arial" w:hAnsi="Arial"/>
          <w:sz w:val="11"/>
          <w:szCs w:val="11"/>
          <w:color w:val="auto"/>
        </w:rPr>
        <w:t>Other asset impairment and other charges, net</w:t>
      </w:r>
    </w:p>
    <w:p>
      <w:pPr>
        <w:spacing w:after="0" w:line="36"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Operating income (loss)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8"/>
              </w:rPr>
              <w:t>Adjustment for</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International</w:t>
            </w:r>
          </w:p>
        </w:tc>
        <w:tc>
          <w:tcPr>
            <w:tcW w:w="104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As Restated for</w:t>
            </w:r>
          </w:p>
        </w:tc>
        <w:tc>
          <w:tcPr>
            <w:tcW w:w="106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Adjustment for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Discontinued</w:t>
            </w:r>
          </w:p>
        </w:tc>
        <w:tc>
          <w:tcPr>
            <w:tcW w:w="104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Discontinued</w:t>
            </w:r>
          </w:p>
        </w:tc>
        <w:tc>
          <w:tcPr>
            <w:tcW w:w="106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Stock Based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0" w:type="dxa"/>
            <w:vAlign w:val="bottom"/>
            <w:gridSpan w:val="4"/>
          </w:tcPr>
          <w:p>
            <w:pPr>
              <w:spacing w:after="0"/>
              <w:rPr>
                <w:sz w:val="20"/>
                <w:szCs w:val="20"/>
                <w:color w:val="auto"/>
              </w:rPr>
            </w:pPr>
            <w:r>
              <w:rPr>
                <w:rFonts w:ascii="Arial" w:cs="Arial" w:eastAsia="Arial" w:hAnsi="Arial"/>
                <w:sz w:val="13"/>
                <w:szCs w:val="13"/>
                <w:b w:val="1"/>
                <w:bCs w:val="1"/>
                <w:color w:val="auto"/>
              </w:rPr>
              <w:t>As Reported</w:t>
            </w:r>
          </w:p>
        </w:tc>
        <w:tc>
          <w:tcPr>
            <w:tcW w:w="10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Operations</w:t>
            </w:r>
          </w:p>
        </w:tc>
        <w:tc>
          <w:tcPr>
            <w:tcW w:w="10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Operations</w:t>
            </w:r>
          </w:p>
        </w:tc>
        <w:tc>
          <w:tcPr>
            <w:tcW w:w="10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2"/>
              </w:rPr>
              <w:t>Expenses</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w w:val="93"/>
              </w:rPr>
              <w:t>As Restated</w:t>
            </w:r>
          </w:p>
        </w:tc>
        <w:tc>
          <w:tcPr>
            <w:tcW w:w="0" w:type="dxa"/>
            <w:vAlign w:val="bottom"/>
          </w:tcPr>
          <w:p>
            <w:pPr>
              <w:spacing w:after="0"/>
              <w:rPr>
                <w:sz w:val="1"/>
                <w:szCs w:val="1"/>
                <w:color w:val="auto"/>
              </w:rPr>
            </w:pPr>
          </w:p>
        </w:tc>
      </w:tr>
      <w:tr>
        <w:trPr>
          <w:trHeight w:val="154"/>
        </w:trPr>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$ 228.5</w:t>
            </w:r>
          </w:p>
        </w:tc>
        <w:tc>
          <w:tcPr>
            <w:tcW w:w="1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3"/>
                <w:szCs w:val="13"/>
                <w:color w:val="auto"/>
              </w:rPr>
              <w:t>$ (23.4)</w:t>
            </w:r>
          </w:p>
        </w:tc>
        <w:tc>
          <w:tcPr>
            <w:tcW w:w="140" w:type="dxa"/>
            <w:vAlign w:val="bottom"/>
          </w:tcPr>
          <w:p>
            <w:pPr>
              <w:spacing w:after="0"/>
              <w:rPr>
                <w:sz w:val="13"/>
                <w:szCs w:val="13"/>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$ 205.1</w:t>
            </w:r>
          </w:p>
        </w:tc>
        <w:tc>
          <w:tcPr>
            <w:tcW w:w="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3"/>
                <w:szCs w:val="13"/>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$ 205.1</w:t>
            </w:r>
          </w:p>
        </w:tc>
        <w:tc>
          <w:tcPr>
            <w:tcW w:w="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(19.5)</w:t>
            </w: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142.4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144.0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 w:type="dxa"/>
            <w:vAlign w:val="bottom"/>
            <w:vMerge w:val="continue"/>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66.6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62.7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(1.6)</w:t>
            </w:r>
          </w:p>
        </w:tc>
        <w:tc>
          <w:tcPr>
            <w:tcW w:w="14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gridSpan w:val="2"/>
          </w:tcPr>
          <w:p>
            <w:pPr>
              <w:jc w:val="right"/>
              <w:spacing w:after="0"/>
              <w:rPr>
                <w:sz w:val="20"/>
                <w:szCs w:val="20"/>
                <w:color w:val="auto"/>
              </w:rPr>
            </w:pPr>
            <w:r>
              <w:rPr>
                <w:rFonts w:ascii="Arial" w:cs="Arial" w:eastAsia="Arial" w:hAnsi="Arial"/>
                <w:sz w:val="13"/>
                <w:szCs w:val="13"/>
                <w:color w:val="auto"/>
              </w:rPr>
              <w:t>52.8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3"/>
                <w:szCs w:val="13"/>
                <w:color w:val="auto"/>
              </w:rPr>
              <w:t>(6.5)</w:t>
            </w: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46.3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47.5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5.7</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16.3</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(8.5)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-744220</wp:posOffset>
            </wp:positionV>
            <wp:extent cx="5522595" cy="1117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22595" cy="111760"/>
                    </a:xfrm>
                    <a:prstGeom prst="rect">
                      <a:avLst/>
                    </a:prstGeom>
                    <a:noFill/>
                  </pic:spPr>
                </pic:pic>
              </a:graphicData>
            </a:graphic>
          </wp:anchor>
        </w:drawing>
        <w:drawing>
          <wp:anchor simplePos="0" relativeHeight="251657728" behindDoc="1" locked="0" layoutInCell="0" allowOverlap="1">
            <wp:simplePos x="0" y="0"/>
            <wp:positionH relativeFrom="column">
              <wp:posOffset>-2468245</wp:posOffset>
            </wp:positionH>
            <wp:positionV relativeFrom="paragraph">
              <wp:posOffset>-530225</wp:posOffset>
            </wp:positionV>
            <wp:extent cx="5522595" cy="1117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22595" cy="111760"/>
                    </a:xfrm>
                    <a:prstGeom prst="rect">
                      <a:avLst/>
                    </a:prstGeom>
                    <a:noFill/>
                  </pic:spPr>
                </pic:pic>
              </a:graphicData>
            </a:graphic>
          </wp:anchor>
        </w:drawing>
        <w:drawing>
          <wp:anchor simplePos="0" relativeHeight="251657728" behindDoc="1" locked="0" layoutInCell="0" allowOverlap="1">
            <wp:simplePos x="0" y="0"/>
            <wp:positionH relativeFrom="column">
              <wp:posOffset>-2468245</wp:posOffset>
            </wp:positionH>
            <wp:positionV relativeFrom="paragraph">
              <wp:posOffset>-315595</wp:posOffset>
            </wp:positionV>
            <wp:extent cx="5522595"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22595" cy="102870"/>
                    </a:xfrm>
                    <a:prstGeom prst="rect">
                      <a:avLst/>
                    </a:prstGeom>
                    <a:noFill/>
                  </pic:spPr>
                </pic:pic>
              </a:graphicData>
            </a:graphic>
          </wp:anchor>
        </w:drawing>
        <w:drawing>
          <wp:anchor simplePos="0" relativeHeight="251657728" behindDoc="1" locked="0" layoutInCell="0" allowOverlap="1">
            <wp:simplePos x="0" y="0"/>
            <wp:positionH relativeFrom="column">
              <wp:posOffset>-2468245</wp:posOffset>
            </wp:positionH>
            <wp:positionV relativeFrom="paragraph">
              <wp:posOffset>-109855</wp:posOffset>
            </wp:positionV>
            <wp:extent cx="5522595" cy="1117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22595" cy="111760"/>
                    </a:xfrm>
                    <a:prstGeom prst="rect">
                      <a:avLst/>
                    </a:prstGeom>
                    <a:noFill/>
                  </pic:spPr>
                </pic:pic>
              </a:graphicData>
            </a:graphic>
          </wp:anchor>
        </w:drawing>
      </w:r>
    </w:p>
    <w:p>
      <w:pPr>
        <w:sectPr>
          <w:pgSz w:w="11900" w:h="16855" w:orient="portrait"/>
          <w:cols w:equalWidth="0" w:num="2">
            <w:col w:w="4540" w:space="720"/>
            <w:col w:w="5820"/>
          </w:cols>
          <w:pgMar w:left="240" w:top="120" w:right="579" w:bottom="0" w:gutter="0" w:footer="0" w:header="0"/>
          <w:type w:val="continuous"/>
        </w:sectPr>
      </w:pPr>
    </w:p>
    <w:bookmarkStart w:id="36" w:name="page37"/>
    <w:bookmarkEnd w:id="36"/>
    <w:p>
      <w:pPr>
        <w:spacing w:after="0" w:line="18" w:lineRule="exact"/>
        <w:rPr>
          <w:sz w:val="20"/>
          <w:szCs w:val="20"/>
          <w:color w:val="auto"/>
        </w:rPr>
      </w:pPr>
    </w:p>
    <w:tbl>
      <w:tblPr>
        <w:tblLayout w:type="fixed"/>
        <w:tblInd w:w="1360" w:type="dxa"/>
        <w:tblCellMar>
          <w:top w:w="0" w:type="dxa"/>
          <w:left w:w="0" w:type="dxa"/>
          <w:bottom w:w="0" w:type="dxa"/>
          <w:right w:w="0" w:type="dxa"/>
        </w:tblCellMar>
      </w:tblPr>
      <w:tr>
        <w:trPr>
          <w:trHeight w:val="160"/>
        </w:trPr>
        <w:tc>
          <w:tcPr>
            <w:tcW w:w="3900" w:type="dxa"/>
            <w:vAlign w:val="bottom"/>
            <w:gridSpan w:val="2"/>
          </w:tcPr>
          <w:p>
            <w:pPr>
              <w:spacing w:after="0"/>
              <w:rPr>
                <w:sz w:val="20"/>
                <w:szCs w:val="20"/>
                <w:color w:val="auto"/>
              </w:rPr>
            </w:pPr>
            <w:r>
              <w:rPr>
                <w:rFonts w:ascii="Arial" w:cs="Arial" w:eastAsia="Arial" w:hAnsi="Arial"/>
                <w:sz w:val="13"/>
                <w:szCs w:val="13"/>
                <w:color w:val="auto"/>
              </w:rPr>
              <w:t>Other income (expense):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 (expense), net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spacing w:after="0"/>
              <w:rPr>
                <w:sz w:val="20"/>
                <w:szCs w:val="20"/>
                <w:color w:val="auto"/>
              </w:rPr>
            </w:pPr>
            <w:r>
              <w:rPr>
                <w:rFonts w:ascii="Arial" w:cs="Arial" w:eastAsia="Arial" w:hAnsi="Arial"/>
                <w:sz w:val="13"/>
                <w:szCs w:val="13"/>
                <w:color w:val="auto"/>
              </w:rPr>
              <w:t>Foreign currency gain (loss)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(0.3)</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0.3</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640" w:type="dxa"/>
            <w:vAlign w:val="bottom"/>
            <w:gridSpan w:val="2"/>
          </w:tcPr>
          <w:p>
            <w:pPr>
              <w:jc w:val="right"/>
              <w:ind w:right="2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6"/>
              </w:rPr>
              <w:t>Impairment of investment in unconsolidated affiliate and other income</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(expenses), net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(0.3)</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(0.1)</w:t>
            </w:r>
          </w:p>
        </w:tc>
        <w:tc>
          <w:tcPr>
            <w:tcW w:w="3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80" w:type="dxa"/>
            <w:vAlign w:val="bottom"/>
            <w:tcBorders>
              <w:bottom w:val="single" w:sz="8" w:color="CCEEFF"/>
            </w:tcBorders>
          </w:tcPr>
          <w:p>
            <w:pPr>
              <w:spacing w:after="0" w:line="141" w:lineRule="exact"/>
              <w:rPr>
                <w:sz w:val="20"/>
                <w:szCs w:val="20"/>
                <w:color w:val="auto"/>
              </w:rPr>
            </w:pPr>
            <w:r>
              <w:rPr>
                <w:rFonts w:ascii="Arial" w:cs="Arial" w:eastAsia="Arial" w:hAnsi="Arial"/>
                <w:sz w:val="13"/>
                <w:szCs w:val="13"/>
                <w:color w:val="auto"/>
              </w:rPr>
              <w:t>Total other income (expense)</w:t>
            </w:r>
          </w:p>
        </w:tc>
        <w:tc>
          <w:tcPr>
            <w:tcW w:w="1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2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3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0.8</w:t>
            </w:r>
          </w:p>
        </w:tc>
        <w:tc>
          <w:tcPr>
            <w:tcW w:w="36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0.8</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continuing operations before income taxes</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38"/>
              <w:spacing w:after="0"/>
              <w:rPr>
                <w:sz w:val="20"/>
                <w:szCs w:val="20"/>
                <w:color w:val="auto"/>
              </w:rPr>
            </w:pPr>
            <w:r>
              <w:rPr>
                <w:rFonts w:ascii="Arial" w:cs="Arial" w:eastAsia="Arial" w:hAnsi="Arial"/>
                <w:sz w:val="13"/>
                <w:szCs w:val="13"/>
                <w:color w:val="auto"/>
              </w:rPr>
              <w:t>(8.5)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spacing w:after="0"/>
              <w:rPr>
                <w:sz w:val="20"/>
                <w:szCs w:val="20"/>
                <w:color w:val="auto"/>
              </w:rPr>
            </w:pPr>
            <w:r>
              <w:rPr>
                <w:rFonts w:ascii="Arial" w:cs="Arial" w:eastAsia="Arial" w:hAnsi="Arial"/>
                <w:sz w:val="13"/>
                <w:szCs w:val="13"/>
                <w:color w:val="auto"/>
              </w:rPr>
              <w:t>Provision (benefit) for income taxes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(0.4)</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0.3</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3"/>
                <w:szCs w:val="13"/>
                <w:color w:val="auto"/>
              </w:rPr>
              <w:t>(0.1)</w:t>
            </w:r>
          </w:p>
        </w:tc>
        <w:tc>
          <w:tcPr>
            <w:tcW w:w="960" w:type="dxa"/>
            <w:vAlign w:val="bottom"/>
            <w:gridSpan w:val="3"/>
          </w:tcPr>
          <w:p>
            <w:pPr>
              <w:jc w:val="right"/>
              <w:ind w:right="238"/>
              <w:spacing w:after="0"/>
              <w:rPr>
                <w:sz w:val="20"/>
                <w:szCs w:val="20"/>
                <w:color w:val="auto"/>
              </w:rPr>
            </w:pPr>
            <w:r>
              <w:rPr>
                <w:rFonts w:ascii="Arial" w:cs="Arial" w:eastAsia="Arial" w:hAnsi="Arial"/>
                <w:sz w:val="13"/>
                <w:szCs w:val="13"/>
                <w:color w:val="auto"/>
              </w:rPr>
              <w:t>(1.5)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Income (loss) from continuing operations</w:t>
            </w: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38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3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640" w:type="dxa"/>
            <w:vAlign w:val="bottom"/>
            <w:gridSpan w:val="2"/>
            <w:shd w:val="clear" w:color="auto" w:fill="CCEEFF"/>
          </w:tcPr>
          <w:p>
            <w:pPr>
              <w:jc w:val="right"/>
              <w:ind w:right="238"/>
              <w:spacing w:after="0"/>
              <w:rPr>
                <w:sz w:val="20"/>
                <w:szCs w:val="20"/>
                <w:color w:val="auto"/>
              </w:rPr>
            </w:pPr>
            <w:r>
              <w:rPr>
                <w:rFonts w:ascii="Arial" w:cs="Arial" w:eastAsia="Arial" w:hAnsi="Arial"/>
                <w:sz w:val="13"/>
                <w:szCs w:val="13"/>
                <w:color w:val="auto"/>
              </w:rPr>
              <w:t>(7.0)</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spacing w:after="0"/>
              <w:rPr>
                <w:sz w:val="20"/>
                <w:szCs w:val="20"/>
                <w:color w:val="auto"/>
              </w:rPr>
            </w:pPr>
            <w:r>
              <w:rPr>
                <w:rFonts w:ascii="Arial" w:cs="Arial" w:eastAsia="Arial" w:hAnsi="Arial"/>
                <w:sz w:val="13"/>
                <w:szCs w:val="13"/>
                <w:color w:val="auto"/>
              </w:rPr>
              <w:t>Loss from discontinued operations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(4.8)</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(2.9)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3"/>
                <w:szCs w:val="13"/>
                <w:color w:val="auto"/>
              </w:rPr>
              <w:t>(7.7)</w:t>
            </w:r>
          </w:p>
        </w:tc>
        <w:tc>
          <w:tcPr>
            <w:tcW w:w="960" w:type="dxa"/>
            <w:vAlign w:val="bottom"/>
            <w:gridSpan w:val="3"/>
          </w:tcPr>
          <w:p>
            <w:pPr>
              <w:jc w:val="right"/>
              <w:ind w:right="238"/>
              <w:spacing w:after="0"/>
              <w:rPr>
                <w:sz w:val="20"/>
                <w:szCs w:val="20"/>
                <w:color w:val="auto"/>
              </w:rPr>
            </w:pPr>
            <w:r>
              <w:rPr>
                <w:rFonts w:ascii="Arial" w:cs="Arial" w:eastAsia="Arial" w:hAnsi="Arial"/>
                <w:sz w:val="13"/>
                <w:szCs w:val="13"/>
                <w:color w:val="auto"/>
              </w:rPr>
              <w:t>(0.6)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Net income (loss)</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4"/>
              </w:rPr>
              <w:t>$ (7.6</w:t>
            </w:r>
          </w:p>
        </w:tc>
        <w:tc>
          <w:tcPr>
            <w:tcW w:w="320" w:type="dxa"/>
            <w:vAlign w:val="bottom"/>
            <w:tcBorders>
              <w:top w:val="single" w:sz="8" w:color="CCEEFF"/>
              <w:bottom w:val="single" w:sz="8" w:color="CCEEFF"/>
            </w:tcBorders>
            <w:shd w:val="clear" w:color="auto" w:fill="CCEEFF"/>
          </w:tcPr>
          <w:p>
            <w:pPr>
              <w:jc w:val="right"/>
              <w:ind w:right="238"/>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3"/>
                <w:szCs w:val="13"/>
                <w:color w:val="auto"/>
                <w:w w:val="91"/>
              </w:rPr>
              <w:t>Net income (loss) from continuing operations per share before cumulative</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ind w:left="160"/>
              <w:spacing w:after="0"/>
              <w:rPr>
                <w:sz w:val="20"/>
                <w:szCs w:val="20"/>
                <w:color w:val="auto"/>
              </w:rPr>
            </w:pPr>
            <w:r>
              <w:rPr>
                <w:rFonts w:ascii="Arial" w:cs="Arial" w:eastAsia="Arial" w:hAnsi="Arial"/>
                <w:sz w:val="13"/>
                <w:szCs w:val="13"/>
                <w:color w:val="auto"/>
              </w:rPr>
              <w:t>effect of change in accounting principle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0.21</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0.25</w:t>
            </w: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ind w:left="120"/>
              <w:spacing w:after="0"/>
              <w:rPr>
                <w:sz w:val="20"/>
                <w:szCs w:val="20"/>
                <w:color w:val="auto"/>
              </w:rPr>
            </w:pPr>
            <w:r>
              <w:rPr>
                <w:rFonts w:ascii="Arial" w:cs="Arial" w:eastAsia="Arial" w:hAnsi="Arial"/>
                <w:sz w:val="13"/>
                <w:szCs w:val="13"/>
                <w:color w:val="auto"/>
              </w:rPr>
              <w:t>Diluted</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0.19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0.23</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0.14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Loss from discontinued operations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ind w:left="120"/>
              <w:spacing w:after="0"/>
              <w:rPr>
                <w:sz w:val="20"/>
                <w:szCs w:val="20"/>
                <w:color w:val="auto"/>
              </w:rPr>
            </w:pPr>
            <w:r>
              <w:rPr>
                <w:rFonts w:ascii="Arial" w:cs="Arial" w:eastAsia="Arial" w:hAnsi="Arial"/>
                <w:sz w:val="13"/>
                <w:szCs w:val="13"/>
                <w:color w:val="auto"/>
              </w:rPr>
              <w:t>Basic</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w w:val="99"/>
              </w:rPr>
              <w:t>(0.07)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3"/>
                <w:szCs w:val="13"/>
                <w:color w:val="auto"/>
                <w:w w:val="94"/>
              </w:rPr>
              <w:t>(0.11)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w w:val="99"/>
              </w:rPr>
              <w:t>(0.12)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9"/>
              </w:rPr>
              <w:t>(0.07)</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4"/>
              </w:rPr>
              <w:t>(0.11)</w:t>
            </w: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9"/>
              </w:rPr>
              <w:t>(0.11)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3"/>
                <w:szCs w:val="13"/>
                <w:color w:val="auto"/>
              </w:rPr>
              <w:t>Net income (loss), per share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ind w:left="120"/>
              <w:spacing w:after="0"/>
              <w:rPr>
                <w:sz w:val="20"/>
                <w:szCs w:val="20"/>
                <w:color w:val="auto"/>
              </w:rPr>
            </w:pPr>
            <w:r>
              <w:rPr>
                <w:rFonts w:ascii="Arial" w:cs="Arial" w:eastAsia="Arial" w:hAnsi="Arial"/>
                <w:sz w:val="13"/>
                <w:szCs w:val="13"/>
                <w:color w:val="auto"/>
              </w:rPr>
              <w:t>Diluted</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0.13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0.13</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0.03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 outstanding:</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ind w:left="120"/>
              <w:spacing w:after="0"/>
              <w:rPr>
                <w:sz w:val="20"/>
                <w:szCs w:val="20"/>
                <w:color w:val="auto"/>
              </w:rPr>
            </w:pPr>
            <w:r>
              <w:rPr>
                <w:rFonts w:ascii="Arial" w:cs="Arial" w:eastAsia="Arial" w:hAnsi="Arial"/>
                <w:sz w:val="13"/>
                <w:szCs w:val="13"/>
                <w:color w:val="auto"/>
              </w:rPr>
              <w:t>Basic</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68.4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68.4</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68.4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w:t>
            </w: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ind w:right="120" w:firstLine="360"/>
        <w:spacing w:after="0" w:line="248" w:lineRule="auto"/>
        <w:rPr>
          <w:sz w:val="20"/>
          <w:szCs w:val="20"/>
          <w:color w:val="auto"/>
        </w:rPr>
      </w:pPr>
      <w:r>
        <w:rPr>
          <w:rFonts w:ascii="Arial" w:cs="Arial" w:eastAsia="Arial" w:hAnsi="Arial"/>
          <w:sz w:val="18"/>
          <w:szCs w:val="18"/>
          <w:color w:val="auto"/>
        </w:rPr>
        <w:t xml:space="preserve">The following table presents details of the total stock-based compenstion expense and unauthorized issuance of stock (excluding the impact of other tax and income tax adjustments) that is </w:t>
      </w:r>
      <w:r>
        <w:rPr>
          <w:rFonts w:ascii="Arial" w:cs="Arial" w:eastAsia="Arial" w:hAnsi="Arial"/>
          <w:sz w:val="18"/>
          <w:szCs w:val="18"/>
          <w:i w:val="1"/>
          <w:iCs w:val="1"/>
          <w:color w:val="auto"/>
        </w:rPr>
        <w:t>included</w:t>
      </w:r>
      <w:r>
        <w:rPr>
          <w:rFonts w:ascii="Arial" w:cs="Arial" w:eastAsia="Arial" w:hAnsi="Arial"/>
          <w:sz w:val="18"/>
          <w:szCs w:val="18"/>
          <w:color w:val="auto"/>
        </w:rPr>
        <w:t xml:space="preserve"> in each functional line item in the consolidated statement of operations.</w:t>
      </w:r>
    </w:p>
    <w:tbl>
      <w:tblPr>
        <w:tblLayout w:type="fixed"/>
        <w:tblInd w:w="13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6"/>
              </w:rPr>
              <w:t>Supplemental Data on Stock-Based Compensation Expense</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3"/>
                <w:szCs w:val="13"/>
                <w:color w:val="auto"/>
              </w:rPr>
              <w:t>Cost of revenue</w:t>
            </w:r>
          </w:p>
        </w:tc>
        <w:tc>
          <w:tcPr>
            <w:tcW w:w="5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w w:val="99"/>
              </w:rPr>
              <w:t>1.8</w:t>
            </w:r>
          </w:p>
        </w:tc>
        <w:tc>
          <w:tcPr>
            <w:tcW w:w="7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1.4</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Unauthorized issuance of stock option expense</w:t>
            </w:r>
          </w:p>
        </w:tc>
        <w:tc>
          <w:tcPr>
            <w:tcW w:w="4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w w:val="91"/>
              </w:rPr>
              <w:t>—</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5.7</w:t>
            </w:r>
          </w:p>
        </w:tc>
        <w:tc>
          <w:tcPr>
            <w:tcW w:w="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w:t>
            </w:r>
          </w:p>
        </w:tc>
        <w:tc>
          <w:tcPr>
            <w:tcW w:w="5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w w:val="91"/>
              </w:rPr>
              <w:t>—</w:t>
            </w:r>
          </w:p>
        </w:tc>
        <w:tc>
          <w:tcPr>
            <w:tcW w:w="6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w:t>
            </w: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8.9</w:t>
            </w:r>
          </w:p>
        </w:tc>
        <w:tc>
          <w:tcPr>
            <w:tcW w:w="6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15.2</w:t>
            </w:r>
          </w:p>
        </w:tc>
        <w:tc>
          <w:tcPr>
            <w:tcW w:w="2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spacing w:after="0"/>
              <w:rPr>
                <w:sz w:val="20"/>
                <w:szCs w:val="20"/>
                <w:color w:val="auto"/>
              </w:rPr>
            </w:pPr>
            <w:r>
              <w:rPr>
                <w:rFonts w:ascii="Arial" w:cs="Arial" w:eastAsia="Arial" w:hAnsi="Arial"/>
                <w:sz w:val="13"/>
                <w:szCs w:val="13"/>
                <w:color w:val="auto"/>
              </w:rPr>
              <w:t>Discontinued operations</w:t>
            </w: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600" w:type="dxa"/>
            <w:vAlign w:val="bottom"/>
            <w:tcBorders>
              <w:bottom w:val="single" w:sz="8" w:color="CCEEFF"/>
            </w:tcBorders>
            <w:vMerge w:val="continue"/>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ind w:left="100"/>
              <w:spacing w:after="0" w:line="116" w:lineRule="exact"/>
              <w:rPr>
                <w:sz w:val="20"/>
                <w:szCs w:val="20"/>
                <w:color w:val="auto"/>
              </w:rPr>
            </w:pPr>
            <w:r>
              <w:rPr>
                <w:rFonts w:ascii="Arial" w:cs="Arial" w:eastAsia="Arial" w:hAnsi="Arial"/>
                <w:sz w:val="13"/>
                <w:szCs w:val="13"/>
                <w:color w:val="auto"/>
                <w:w w:val="91"/>
              </w:rPr>
              <w:t>—</w:t>
            </w:r>
          </w:p>
        </w:tc>
        <w:tc>
          <w:tcPr>
            <w:tcW w:w="6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w w:val="99"/>
              </w:rPr>
              <w:t>0.6</w:t>
            </w:r>
          </w:p>
        </w:tc>
        <w:tc>
          <w:tcPr>
            <w:tcW w:w="6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0.6</w:t>
            </w:r>
          </w:p>
        </w:tc>
        <w:tc>
          <w:tcPr>
            <w:tcW w:w="2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w:t>
            </w:r>
          </w:p>
        </w:tc>
        <w:tc>
          <w:tcPr>
            <w:tcW w:w="4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w:t>
            </w:r>
          </w:p>
        </w:tc>
        <w:tc>
          <w:tcPr>
            <w:tcW w:w="5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24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w w:val="91"/>
              </w:rPr>
              <w:t>—</w:t>
            </w:r>
          </w:p>
        </w:tc>
        <w:tc>
          <w:tcPr>
            <w:tcW w:w="6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9.5</w:t>
            </w:r>
          </w:p>
        </w:tc>
        <w:tc>
          <w:tcPr>
            <w:tcW w:w="6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15.8</w:t>
            </w:r>
          </w:p>
        </w:tc>
        <w:tc>
          <w:tcPr>
            <w:tcW w:w="2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firstLine="360"/>
        <w:spacing w:after="0" w:line="248" w:lineRule="auto"/>
        <w:rPr>
          <w:sz w:val="20"/>
          <w:szCs w:val="20"/>
          <w:color w:val="auto"/>
        </w:rPr>
      </w:pPr>
      <w:r>
        <w:rPr>
          <w:rFonts w:ascii="Arial" w:cs="Arial" w:eastAsia="Arial" w:hAnsi="Arial"/>
          <w:sz w:val="18"/>
          <w:szCs w:val="18"/>
          <w:color w:val="auto"/>
        </w:rPr>
        <w:t>The following table presents details of the non-income tax payroll related expense (credit) that is included in each functional line item in the consolidated statement of operations:</w:t>
      </w:r>
    </w:p>
    <w:tbl>
      <w:tblPr>
        <w:tblLayout w:type="fixed"/>
        <w:tblInd w:w="13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Data on Non-Income Tax Payroll Expense</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Cost of revenue</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620" w:type="dxa"/>
            <w:vAlign w:val="bottom"/>
            <w:gridSpan w:val="3"/>
          </w:tcPr>
          <w:p>
            <w:pPr>
              <w:jc w:val="right"/>
              <w:ind w:right="519"/>
              <w:spacing w:after="0"/>
              <w:rPr>
                <w:sz w:val="20"/>
                <w:szCs w:val="20"/>
                <w:color w:val="auto"/>
              </w:rPr>
            </w:pPr>
            <w:r>
              <w:rPr>
                <w:rFonts w:ascii="Arial" w:cs="Arial" w:eastAsia="Arial" w:hAnsi="Arial"/>
                <w:sz w:val="14"/>
                <w:szCs w:val="14"/>
                <w:color w:val="auto"/>
              </w:rPr>
              <w:t>$ (0.2)</w:t>
            </w:r>
          </w:p>
        </w:tc>
        <w:tc>
          <w:tcPr>
            <w:tcW w:w="120" w:type="dxa"/>
            <w:vAlign w:val="bottom"/>
            <w:gridSpan w:val="2"/>
          </w:tcPr>
          <w:p>
            <w:pPr>
              <w:jc w:val="right"/>
              <w:ind w:right="34"/>
              <w:spacing w:after="0"/>
              <w:rPr>
                <w:sz w:val="20"/>
                <w:szCs w:val="20"/>
                <w:color w:val="auto"/>
              </w:rPr>
            </w:pPr>
            <w:r>
              <w:rPr>
                <w:rFonts w:ascii="Arial" w:cs="Arial" w:eastAsia="Arial" w:hAnsi="Arial"/>
                <w:sz w:val="10"/>
                <w:szCs w:val="10"/>
                <w:color w:val="auto"/>
                <w:w w:val="71"/>
              </w:rPr>
              <w:t>$</w:t>
            </w:r>
          </w:p>
        </w:tc>
        <w:tc>
          <w:tcPr>
            <w:tcW w:w="520" w:type="dxa"/>
            <w:vAlign w:val="bottom"/>
            <w:gridSpan w:val="3"/>
          </w:tcPr>
          <w:p>
            <w:pPr>
              <w:jc w:val="right"/>
              <w:ind w:right="175"/>
              <w:spacing w:after="0"/>
              <w:rPr>
                <w:sz w:val="20"/>
                <w:szCs w:val="20"/>
                <w:color w:val="auto"/>
              </w:rPr>
            </w:pPr>
            <w:r>
              <w:rPr>
                <w:rFonts w:ascii="Arial" w:cs="Arial" w:eastAsia="Arial" w:hAnsi="Arial"/>
                <w:sz w:val="14"/>
                <w:szCs w:val="14"/>
                <w:color w:val="auto"/>
              </w:rPr>
              <w:t>(0.2</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w:t>
            </w:r>
          </w:p>
        </w:tc>
        <w:tc>
          <w:tcPr>
            <w:tcW w:w="1620" w:type="dxa"/>
            <w:vAlign w:val="bottom"/>
            <w:gridSpan w:val="3"/>
            <w:shd w:val="clear" w:color="auto" w:fill="CCEEFF"/>
          </w:tcPr>
          <w:p>
            <w:pPr>
              <w:jc w:val="right"/>
              <w:ind w:right="519"/>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175"/>
              <w:spacing w:after="0"/>
              <w:rPr>
                <w:sz w:val="20"/>
                <w:szCs w:val="20"/>
                <w:color w:val="auto"/>
              </w:rPr>
            </w:pPr>
            <w:r>
              <w:rPr>
                <w:rFonts w:ascii="Arial" w:cs="Arial" w:eastAsia="Arial" w:hAnsi="Arial"/>
                <w:sz w:val="14"/>
                <w:szCs w:val="14"/>
                <w:color w:val="auto"/>
              </w:rPr>
              <w:t>(0.2</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100"/>
              <w:spacing w:after="0" w:line="143" w:lineRule="exact"/>
              <w:rPr>
                <w:sz w:val="20"/>
                <w:szCs w:val="20"/>
                <w:color w:val="auto"/>
              </w:rPr>
            </w:pPr>
            <w:r>
              <w:rPr>
                <w:rFonts w:ascii="Arial" w:cs="Arial" w:eastAsia="Arial" w:hAnsi="Arial"/>
                <w:sz w:val="13"/>
                <w:szCs w:val="13"/>
                <w:color w:val="auto"/>
                <w:w w:val="91"/>
              </w:rPr>
              <w:t>—</w:t>
            </w:r>
          </w:p>
        </w:tc>
        <w:tc>
          <w:tcPr>
            <w:tcW w:w="5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100"/>
              <w:spacing w:after="0" w:line="143" w:lineRule="exact"/>
              <w:rPr>
                <w:sz w:val="20"/>
                <w:szCs w:val="20"/>
                <w:color w:val="auto"/>
              </w:rPr>
            </w:pPr>
            <w:r>
              <w:rPr>
                <w:rFonts w:ascii="Arial" w:cs="Arial" w:eastAsia="Arial" w:hAnsi="Arial"/>
                <w:sz w:val="13"/>
                <w:szCs w:val="13"/>
                <w:color w:val="auto"/>
                <w:w w:val="91"/>
              </w:rPr>
              <w:t>—</w:t>
            </w:r>
          </w:p>
        </w:tc>
        <w:tc>
          <w:tcPr>
            <w:tcW w:w="6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100"/>
              <w:spacing w:after="0" w:line="143" w:lineRule="exact"/>
              <w:rPr>
                <w:sz w:val="20"/>
                <w:szCs w:val="20"/>
                <w:color w:val="auto"/>
              </w:rPr>
            </w:pPr>
            <w:r>
              <w:rPr>
                <w:rFonts w:ascii="Arial" w:cs="Arial" w:eastAsia="Arial" w:hAnsi="Arial"/>
                <w:sz w:val="13"/>
                <w:szCs w:val="13"/>
                <w:color w:val="auto"/>
                <w:w w:val="91"/>
              </w:rPr>
              <w:t>—</w:t>
            </w:r>
          </w:p>
        </w:tc>
        <w:tc>
          <w:tcPr>
            <w:tcW w:w="6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w:t>
            </w:r>
          </w:p>
        </w:tc>
        <w:tc>
          <w:tcPr>
            <w:tcW w:w="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(0.4</w:t>
            </w:r>
          </w:p>
        </w:tc>
        <w:tc>
          <w:tcPr>
            <w:tcW w:w="200" w:type="dxa"/>
            <w:vAlign w:val="bottom"/>
            <w:tcBorders>
              <w:bottom w:val="single" w:sz="8" w:color="CCEEFF"/>
            </w:tcBorders>
          </w:tcPr>
          <w:p>
            <w:pPr>
              <w:jc w:val="right"/>
              <w:ind w:right="175"/>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Borders>
              <w:bottom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Discontinued operations</w:t>
            </w:r>
          </w:p>
        </w:tc>
        <w:tc>
          <w:tcPr>
            <w:tcW w:w="5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w w:val="91"/>
              </w:rPr>
              <w:t>—</w:t>
            </w:r>
          </w:p>
        </w:tc>
        <w:tc>
          <w:tcPr>
            <w:tcW w:w="5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w w:val="91"/>
              </w:rPr>
              <w:t>—</w:t>
            </w:r>
          </w:p>
        </w:tc>
        <w:tc>
          <w:tcPr>
            <w:tcW w:w="6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w w:val="91"/>
              </w:rPr>
              <w:t>—</w:t>
            </w:r>
          </w:p>
        </w:tc>
        <w:tc>
          <w:tcPr>
            <w:tcW w:w="6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vMerge w:val="restart"/>
          </w:tcPr>
          <w:p>
            <w:pPr>
              <w:jc w:val="right"/>
              <w:ind w:right="519"/>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jc w:val="right"/>
              <w:ind w:right="175"/>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6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240" w:type="dxa"/>
            <w:vAlign w:val="bottom"/>
          </w:tcPr>
          <w:p>
            <w:pPr>
              <w:ind w:left="100"/>
              <w:spacing w:after="0" w:line="143" w:lineRule="exact"/>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240" w:type="dxa"/>
            <w:vAlign w:val="bottom"/>
          </w:tcPr>
          <w:p>
            <w:pPr>
              <w:ind w:left="100"/>
              <w:spacing w:after="0" w:line="143" w:lineRule="exact"/>
              <w:rPr>
                <w:sz w:val="20"/>
                <w:szCs w:val="20"/>
                <w:color w:val="auto"/>
              </w:rPr>
            </w:pPr>
            <w:r>
              <w:rPr>
                <w:rFonts w:ascii="Arial" w:cs="Arial" w:eastAsia="Arial" w:hAnsi="Arial"/>
                <w:sz w:val="13"/>
                <w:szCs w:val="13"/>
                <w:color w:val="auto"/>
                <w:w w:val="91"/>
              </w:rPr>
              <w:t>—</w:t>
            </w:r>
          </w:p>
        </w:tc>
        <w:tc>
          <w:tcPr>
            <w:tcW w:w="8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240" w:type="dxa"/>
            <w:vAlign w:val="bottom"/>
          </w:tcPr>
          <w:p>
            <w:pPr>
              <w:ind w:left="100"/>
              <w:spacing w:after="0" w:line="143" w:lineRule="exact"/>
              <w:rPr>
                <w:sz w:val="20"/>
                <w:szCs w:val="20"/>
                <w:color w:val="auto"/>
              </w:rPr>
            </w:pPr>
            <w:r>
              <w:rPr>
                <w:rFonts w:ascii="Arial" w:cs="Arial" w:eastAsia="Arial" w:hAnsi="Arial"/>
                <w:sz w:val="13"/>
                <w:szCs w:val="13"/>
                <w:color w:val="auto"/>
                <w:w w:val="91"/>
              </w:rPr>
              <w:t>—</w:t>
            </w:r>
          </w:p>
        </w:tc>
        <w:tc>
          <w:tcPr>
            <w:tcW w:w="680" w:type="dxa"/>
            <w:vAlign w:val="bottom"/>
            <w:vMerge w:val="continue"/>
          </w:tcPr>
          <w:p>
            <w:pPr>
              <w:spacing w:after="0"/>
              <w:rPr>
                <w:sz w:val="12"/>
                <w:szCs w:val="12"/>
                <w:color w:val="auto"/>
              </w:rPr>
            </w:pPr>
          </w:p>
        </w:tc>
        <w:tc>
          <w:tcPr>
            <w:tcW w:w="340" w:type="dxa"/>
            <w:vAlign w:val="bottom"/>
          </w:tcPr>
          <w:p>
            <w:pPr>
              <w:jc w:val="right"/>
              <w:spacing w:after="0" w:line="143" w:lineRule="exact"/>
              <w:rPr>
                <w:sz w:val="20"/>
                <w:szCs w:val="20"/>
                <w:color w:val="auto"/>
              </w:rPr>
            </w:pPr>
            <w:r>
              <w:rPr>
                <w:rFonts w:ascii="Arial" w:cs="Arial" w:eastAsia="Arial" w:hAnsi="Arial"/>
                <w:sz w:val="14"/>
                <w:szCs w:val="14"/>
                <w:color w:val="auto"/>
                <w:w w:val="83"/>
              </w:rPr>
              <w:t>$ (0.4</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3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(0.4</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80" w:firstLine="360"/>
        <w:spacing w:after="0" w:line="277" w:lineRule="auto"/>
        <w:rPr>
          <w:sz w:val="20"/>
          <w:szCs w:val="20"/>
          <w:color w:val="auto"/>
        </w:rPr>
      </w:pPr>
      <w:r>
        <w:rPr>
          <w:rFonts w:ascii="Arial" w:cs="Arial" w:eastAsia="Arial" w:hAnsi="Arial"/>
          <w:sz w:val="18"/>
          <w:szCs w:val="18"/>
          <w:color w:val="auto"/>
        </w:rPr>
        <w:t>The following table presents the impact of the additional stock-based compensation expense-related adjustments and the discontinuance of our international businesses on our consolidated balance sheet as of December 31, 2004: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CONSOLIDATED BALANCE SHEET FOR 2004</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Adjustment for</w:t>
            </w:r>
          </w:p>
        </w:tc>
        <w:tc>
          <w:tcPr>
            <w:tcW w:w="11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0"/>
              </w:rPr>
              <w:t>As Restated for</w:t>
            </w:r>
          </w:p>
        </w:tc>
        <w:tc>
          <w:tcPr>
            <w:tcW w:w="11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4"/>
              </w:rPr>
              <w:t>Adjustment for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5"/>
          </w:tcPr>
          <w:p>
            <w:pPr>
              <w:jc w:val="center"/>
              <w:ind w:right="180"/>
              <w:spacing w:after="0" w:line="135" w:lineRule="exact"/>
              <w:rPr>
                <w:sz w:val="20"/>
                <w:szCs w:val="20"/>
                <w:color w:val="auto"/>
              </w:rPr>
            </w:pPr>
            <w:r>
              <w:rPr>
                <w:rFonts w:ascii="Arial" w:cs="Arial" w:eastAsia="Arial" w:hAnsi="Arial"/>
                <w:sz w:val="14"/>
                <w:szCs w:val="14"/>
                <w:b w:val="1"/>
                <w:bCs w:val="1"/>
                <w:color w:val="auto"/>
                <w:w w:val="97"/>
              </w:rPr>
              <w:t>International</w:t>
            </w:r>
          </w:p>
        </w:tc>
        <w:tc>
          <w:tcPr>
            <w:tcW w:w="1180" w:type="dxa"/>
            <w:vAlign w:val="bottom"/>
            <w:gridSpan w:val="5"/>
            <w:vMerge w:val="continue"/>
          </w:tcPr>
          <w:p>
            <w:pPr>
              <w:spacing w:after="0"/>
              <w:rPr>
                <w:sz w:val="11"/>
                <w:szCs w:val="11"/>
                <w:color w:val="auto"/>
              </w:rPr>
            </w:pPr>
          </w:p>
        </w:tc>
        <w:tc>
          <w:tcPr>
            <w:tcW w:w="118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9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160" w:type="dxa"/>
            <w:vAlign w:val="bottom"/>
            <w:gridSpan w:val="5"/>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Discontinued</w:t>
            </w:r>
          </w:p>
        </w:tc>
        <w:tc>
          <w:tcPr>
            <w:tcW w:w="118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Discontinued</w:t>
            </w:r>
          </w:p>
        </w:tc>
        <w:tc>
          <w:tcPr>
            <w:tcW w:w="118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Stock Based</w:t>
            </w:r>
          </w:p>
        </w:tc>
        <w:tc>
          <w:tcPr>
            <w:tcW w:w="9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80" w:type="dxa"/>
            <w:vAlign w:val="bottom"/>
            <w:gridSpan w:val="5"/>
            <w:vMerge w:val="continue"/>
          </w:tcPr>
          <w:p>
            <w:pPr>
              <w:spacing w:after="0"/>
              <w:rPr>
                <w:sz w:val="14"/>
                <w:szCs w:val="14"/>
                <w:color w:val="auto"/>
              </w:rPr>
            </w:pPr>
          </w:p>
        </w:tc>
        <w:tc>
          <w:tcPr>
            <w:tcW w:w="11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Operations</w:t>
            </w: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Operations</w:t>
            </w: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Expenses</w:t>
            </w:r>
          </w:p>
        </w:tc>
        <w:tc>
          <w:tcPr>
            <w:tcW w:w="9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tcBorders>
              <w:top w:val="single" w:sz="8" w:color="CCEEFF"/>
            </w:tcBorders>
            <w:shd w:val="clear" w:color="auto" w:fill="CCEEFF"/>
          </w:tcPr>
          <w:p>
            <w:pPr>
              <w:ind w:left="1300"/>
              <w:spacing w:after="0" w:line="155"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Short term investments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8"/>
              </w:rPr>
              <w:t>(16.1)</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Deferred tax assets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Employee loans and advances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assets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Current assets of discontinued operations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40.7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19.3</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tcBorders>
              <w:top w:val="single" w:sz="8" w:color="CCEEFF"/>
            </w:tcBorders>
            <w:shd w:val="clear" w:color="auto" w:fill="CCEEFF"/>
          </w:tcPr>
          <w:p>
            <w:pPr>
              <w:ind w:left="260"/>
              <w:spacing w:after="0" w:line="155" w:lineRule="exact"/>
              <w:rPr>
                <w:sz w:val="20"/>
                <w:szCs w:val="20"/>
                <w:color w:val="auto"/>
              </w:rPr>
            </w:pPr>
            <w:r>
              <w:rPr>
                <w:rFonts w:ascii="Arial" w:cs="Arial" w:eastAsia="Arial" w:hAnsi="Arial"/>
                <w:sz w:val="14"/>
                <w:szCs w:val="14"/>
                <w:color w:val="auto"/>
              </w:rPr>
              <w:t>Total current assets</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206.4</w:t>
            </w: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206.4</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206.4</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Other intangibles, net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6.4</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Investments in unconsolidated affiliates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180" w:type="dxa"/>
            <w:vAlign w:val="bottom"/>
          </w:tcPr>
          <w:p>
            <w:pPr>
              <w:spacing w:after="0" w:line="143" w:lineRule="exact"/>
              <w:rPr>
                <w:sz w:val="20"/>
                <w:szCs w:val="20"/>
                <w:color w:val="auto"/>
              </w:rPr>
            </w:pPr>
            <w:r>
              <w:rPr>
                <w:rFonts w:ascii="Arial" w:cs="Arial" w:eastAsia="Arial" w:hAnsi="Arial"/>
                <w:sz w:val="14"/>
                <w:szCs w:val="14"/>
                <w:color w:val="auto"/>
              </w:rPr>
              <w:t>Non current assets of discontinued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operations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2.5</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6.2</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tcBorders>
              <w:top w:val="single" w:sz="8" w:color="CCEEFF"/>
              <w:bottom w:val="single" w:sz="8" w:color="CCEEFF"/>
            </w:tcBorders>
            <w:shd w:val="clear" w:color="auto" w:fill="CCEEFF"/>
          </w:tcPr>
          <w:p>
            <w:pPr>
              <w:ind w:left="260"/>
              <w:spacing w:after="0" w:line="155" w:lineRule="exact"/>
              <w:rPr>
                <w:sz w:val="20"/>
                <w:szCs w:val="20"/>
                <w:color w:val="auto"/>
              </w:rPr>
            </w:pPr>
            <w:r>
              <w:rPr>
                <w:rFonts w:ascii="Arial" w:cs="Arial" w:eastAsia="Arial" w:hAnsi="Arial"/>
                <w:sz w:val="14"/>
                <w:szCs w:val="14"/>
                <w:color w:val="auto"/>
              </w:rPr>
              <w:t>Total assets</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330.7</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330.7</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330.7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1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26.9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24.4</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24.4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expenses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13.2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13.2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payable—related party</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w w:val="98"/>
              </w:rPr>
              <w:t>Billings in excess of costs on completed contracts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 contingencies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Accrual for contingent acquisition consideration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14.5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14.5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Accrual for unused office space</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Income taxes payable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 lease obligations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180" w:type="dxa"/>
            <w:vAlign w:val="bottom"/>
          </w:tcPr>
          <w:p>
            <w:pPr>
              <w:ind w:left="120"/>
              <w:spacing w:after="0" w:line="143" w:lineRule="exact"/>
              <w:rPr>
                <w:sz w:val="20"/>
                <w:szCs w:val="20"/>
                <w:color w:val="auto"/>
              </w:rPr>
            </w:pPr>
            <w:r>
              <w:rPr>
                <w:rFonts w:ascii="Arial" w:cs="Arial" w:eastAsia="Arial" w:hAnsi="Arial"/>
                <w:sz w:val="14"/>
                <w:szCs w:val="14"/>
                <w:color w:val="auto"/>
              </w:rPr>
              <w:t>Current liabilities of discontinued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tcPr>
          <w:p>
            <w:pPr>
              <w:ind w:left="260"/>
              <w:spacing w:after="0"/>
              <w:rPr>
                <w:sz w:val="20"/>
                <w:szCs w:val="20"/>
                <w:color w:val="auto"/>
              </w:rPr>
            </w:pPr>
            <w:r>
              <w:rPr>
                <w:rFonts w:ascii="Arial" w:cs="Arial" w:eastAsia="Arial" w:hAnsi="Arial"/>
                <w:sz w:val="14"/>
                <w:szCs w:val="14"/>
                <w:color w:val="auto"/>
              </w:rPr>
              <w:t>operations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31.3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9.9</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41.2</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41.2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tcBorders>
              <w:top w:val="single" w:sz="8" w:color="CCEEFF"/>
            </w:tcBorders>
            <w:shd w:val="clear" w:color="auto" w:fill="CCEEFF"/>
          </w:tcPr>
          <w:p>
            <w:pPr>
              <w:ind w:left="260"/>
              <w:spacing w:after="0" w:line="155" w:lineRule="exact"/>
              <w:rPr>
                <w:sz w:val="20"/>
                <w:szCs w:val="20"/>
                <w:color w:val="auto"/>
              </w:rPr>
            </w:pPr>
            <w:r>
              <w:rPr>
                <w:rFonts w:ascii="Arial" w:cs="Arial" w:eastAsia="Arial" w:hAnsi="Arial"/>
                <w:sz w:val="14"/>
                <w:szCs w:val="14"/>
                <w:color w:val="auto"/>
              </w:rPr>
              <w:t>Total current liabilities</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106.7</w:t>
            </w: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106.7</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107.8</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139" w:right="239" w:bottom="0" w:gutter="0" w:footer="0" w:header="0"/>
        </w:sectPr>
      </w:pPr>
    </w:p>
    <w:bookmarkStart w:id="37" w:name="page38"/>
    <w:bookmarkEnd w:id="37"/>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Capital lease obligations, net of current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1"/>
        </w:trPr>
        <w:tc>
          <w:tcPr>
            <w:tcW w:w="3200" w:type="dxa"/>
            <w:vAlign w:val="bottom"/>
          </w:tcPr>
          <w:p>
            <w:pPr>
              <w:ind w:left="140"/>
              <w:spacing w:after="0"/>
              <w:rPr>
                <w:sz w:val="20"/>
                <w:szCs w:val="20"/>
                <w:color w:val="auto"/>
              </w:rPr>
            </w:pPr>
            <w:r>
              <w:rPr>
                <w:rFonts w:ascii="Arial" w:cs="Arial" w:eastAsia="Arial" w:hAnsi="Arial"/>
                <w:sz w:val="14"/>
                <w:szCs w:val="14"/>
                <w:color w:val="auto"/>
              </w:rPr>
              <w:t>portion</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2"/>
          </w:tcPr>
          <w:p>
            <w:pPr>
              <w:jc w:val="right"/>
              <w:ind w:right="579"/>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5"/>
                <w:szCs w:val="15"/>
                <w:color w:val="auto"/>
              </w:rPr>
            </w:pPr>
          </w:p>
        </w:tc>
      </w:tr>
      <w:tr>
        <w:trPr>
          <w:trHeight w:val="162"/>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79"/>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80" w:type="dxa"/>
            <w:vAlign w:val="bottom"/>
            <w:shd w:val="clear" w:color="auto" w:fill="CCEEFF"/>
          </w:tcPr>
          <w:p>
            <w:pPr>
              <w:spacing w:after="0"/>
              <w:rPr>
                <w:sz w:val="14"/>
                <w:szCs w:val="14"/>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w w:val="99"/>
              </w:rPr>
              <w:t>Other long-term liabilities of discontnued operations</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579"/>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280" w:type="dxa"/>
            <w:vAlign w:val="bottom"/>
          </w:tcPr>
          <w:p>
            <w:pPr>
              <w:spacing w:after="0"/>
              <w:rPr>
                <w:sz w:val="14"/>
                <w:szCs w:val="14"/>
                <w:color w:val="auto"/>
              </w:rPr>
            </w:pPr>
          </w:p>
        </w:tc>
      </w:tr>
      <w:tr>
        <w:trPr>
          <w:trHeight w:val="156"/>
        </w:trPr>
        <w:tc>
          <w:tcPr>
            <w:tcW w:w="3200" w:type="dxa"/>
            <w:vAlign w:val="bottom"/>
            <w:tcBorders>
              <w:top w:val="single" w:sz="8" w:color="CCEEFF"/>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liabilities</w:t>
            </w:r>
          </w:p>
        </w:tc>
        <w:tc>
          <w:tcPr>
            <w:tcW w:w="2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110.0</w:t>
            </w:r>
          </w:p>
        </w:tc>
        <w:tc>
          <w:tcPr>
            <w:tcW w:w="3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110.0</w:t>
            </w:r>
          </w:p>
        </w:tc>
        <w:tc>
          <w:tcPr>
            <w:tcW w:w="4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w:t>
            </w:r>
          </w:p>
        </w:tc>
        <w:tc>
          <w:tcPr>
            <w:tcW w:w="6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111.1</w:t>
            </w:r>
          </w:p>
        </w:tc>
        <w:tc>
          <w:tcPr>
            <w:tcW w:w="280" w:type="dxa"/>
            <w:vAlign w:val="bottom"/>
            <w:tcBorders>
              <w:top w:val="single" w:sz="8" w:color="CCEEFF"/>
            </w:tcBorders>
            <w:shd w:val="clear" w:color="auto" w:fill="CCEEFF"/>
          </w:tcPr>
          <w:p>
            <w:pPr>
              <w:spacing w:after="0"/>
              <w:rPr>
                <w:sz w:val="13"/>
                <w:szCs w:val="13"/>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7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r>
      <w:tr>
        <w:trPr>
          <w:trHeight w:val="162"/>
        </w:trPr>
        <w:tc>
          <w:tcPr>
            <w:tcW w:w="3200" w:type="dxa"/>
            <w:vAlign w:val="bottom"/>
          </w:tcPr>
          <w:p>
            <w:pPr>
              <w:ind w:left="140"/>
              <w:spacing w:after="0"/>
              <w:rPr>
                <w:sz w:val="20"/>
                <w:szCs w:val="20"/>
                <w:color w:val="auto"/>
              </w:rPr>
            </w:pPr>
            <w:r>
              <w:rPr>
                <w:rFonts w:ascii="Arial" w:cs="Arial" w:eastAsia="Arial" w:hAnsi="Arial"/>
                <w:sz w:val="14"/>
                <w:szCs w:val="14"/>
                <w:color w:val="auto"/>
              </w:rPr>
              <w:t>Common stock, $.001 par value</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579"/>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280" w:type="dxa"/>
            <w:vAlign w:val="bottom"/>
          </w:tcPr>
          <w:p>
            <w:pPr>
              <w:spacing w:after="0"/>
              <w:rPr>
                <w:sz w:val="14"/>
                <w:szCs w:val="14"/>
                <w:color w:val="auto"/>
              </w:rPr>
            </w:pPr>
          </w:p>
        </w:tc>
      </w:tr>
      <w:tr>
        <w:trPr>
          <w:trHeight w:val="162"/>
        </w:trPr>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319.8</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319.8</w:t>
            </w:r>
          </w:p>
        </w:tc>
        <w:tc>
          <w:tcPr>
            <w:tcW w:w="4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6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374.8</w:t>
            </w:r>
          </w:p>
        </w:tc>
        <w:tc>
          <w:tcPr>
            <w:tcW w:w="280" w:type="dxa"/>
            <w:vAlign w:val="bottom"/>
            <w:shd w:val="clear" w:color="auto" w:fill="CCEEFF"/>
          </w:tcPr>
          <w:p>
            <w:pPr>
              <w:spacing w:after="0"/>
              <w:rPr>
                <w:sz w:val="14"/>
                <w:szCs w:val="14"/>
                <w:color w:val="auto"/>
              </w:rPr>
            </w:pPr>
          </w:p>
        </w:tc>
      </w:tr>
      <w:tr>
        <w:trPr>
          <w:trHeight w:val="162"/>
        </w:trPr>
        <w:tc>
          <w:tcPr>
            <w:tcW w:w="3200" w:type="dxa"/>
            <w:vAlign w:val="bottom"/>
          </w:tcPr>
          <w:p>
            <w:pPr>
              <w:ind w:left="140"/>
              <w:spacing w:after="0"/>
              <w:rPr>
                <w:sz w:val="20"/>
                <w:szCs w:val="20"/>
                <w:color w:val="auto"/>
              </w:rPr>
            </w:pPr>
            <w:r>
              <w:rPr>
                <w:rFonts w:ascii="Arial" w:cs="Arial" w:eastAsia="Arial" w:hAnsi="Arial"/>
                <w:sz w:val="14"/>
                <w:szCs w:val="14"/>
                <w:color w:val="auto"/>
              </w:rPr>
              <w:t>Deferred compensation</w:t>
            </w:r>
          </w:p>
        </w:tc>
        <w:tc>
          <w:tcPr>
            <w:tcW w:w="20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519"/>
              <w:spacing w:after="0"/>
              <w:rPr>
                <w:sz w:val="20"/>
                <w:szCs w:val="20"/>
                <w:color w:val="auto"/>
              </w:rPr>
            </w:pPr>
            <w:r>
              <w:rPr>
                <w:rFonts w:ascii="Arial" w:cs="Arial" w:eastAsia="Arial" w:hAnsi="Arial"/>
                <w:sz w:val="14"/>
                <w:szCs w:val="14"/>
                <w:color w:val="auto"/>
              </w:rPr>
              <w:t>(3.2)</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(3.2)</w:t>
            </w:r>
          </w:p>
        </w:tc>
      </w:tr>
      <w:tr>
        <w:trPr>
          <w:trHeight w:val="162"/>
        </w:trPr>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(95.4)</w:t>
            </w: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(95.4)</w:t>
            </w:r>
          </w:p>
        </w:tc>
        <w:tc>
          <w:tcPr>
            <w:tcW w:w="1380" w:type="dxa"/>
            <w:vAlign w:val="bottom"/>
            <w:gridSpan w:val="3"/>
            <w:shd w:val="clear" w:color="auto" w:fill="CCEEFF"/>
          </w:tcPr>
          <w:p>
            <w:pPr>
              <w:jc w:val="right"/>
              <w:ind w:right="519"/>
              <w:spacing w:after="0"/>
              <w:rPr>
                <w:sz w:val="20"/>
                <w:szCs w:val="20"/>
                <w:color w:val="auto"/>
              </w:rPr>
            </w:pPr>
            <w:r>
              <w:rPr>
                <w:rFonts w:ascii="Arial" w:cs="Arial" w:eastAsia="Arial" w:hAnsi="Arial"/>
                <w:sz w:val="14"/>
                <w:szCs w:val="14"/>
                <w:color w:val="auto"/>
              </w:rPr>
              <w:t>(52.9)</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(148.3)</w:t>
            </w:r>
          </w:p>
        </w:tc>
      </w:tr>
      <w:tr>
        <w:trPr>
          <w:trHeight w:val="162"/>
        </w:trPr>
        <w:tc>
          <w:tcPr>
            <w:tcW w:w="320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960" w:type="dxa"/>
            <w:vAlign w:val="bottom"/>
            <w:gridSpan w:val="3"/>
          </w:tcPr>
          <w:p>
            <w:pPr>
              <w:jc w:val="right"/>
              <w:ind w:right="280"/>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3"/>
          </w:tcPr>
          <w:p>
            <w:pPr>
              <w:jc w:val="right"/>
              <w:ind w:right="360"/>
              <w:spacing w:after="0"/>
              <w:rPr>
                <w:sz w:val="20"/>
                <w:szCs w:val="20"/>
                <w:color w:val="auto"/>
              </w:rPr>
            </w:pPr>
            <w:r>
              <w:rPr>
                <w:rFonts w:ascii="Arial" w:cs="Arial" w:eastAsia="Arial" w:hAnsi="Arial"/>
                <w:sz w:val="14"/>
                <w:szCs w:val="14"/>
                <w:color w:val="auto"/>
              </w:rPr>
              <w:t>(3.8)</w:t>
            </w:r>
          </w:p>
        </w:tc>
        <w:tc>
          <w:tcPr>
            <w:tcW w:w="340" w:type="dxa"/>
            <w:vAlign w:val="bottom"/>
          </w:tcPr>
          <w:p>
            <w:pPr>
              <w:spacing w:after="0"/>
              <w:rPr>
                <w:sz w:val="14"/>
                <w:szCs w:val="14"/>
                <w:color w:val="auto"/>
              </w:rPr>
            </w:pPr>
          </w:p>
        </w:tc>
        <w:tc>
          <w:tcPr>
            <w:tcW w:w="1040" w:type="dxa"/>
            <w:vAlign w:val="bottom"/>
            <w:gridSpan w:val="2"/>
          </w:tcPr>
          <w:p>
            <w:pPr>
              <w:jc w:val="right"/>
              <w:ind w:right="579"/>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(3.8)</w:t>
            </w:r>
          </w:p>
        </w:tc>
      </w:tr>
      <w:tr>
        <w:trPr>
          <w:trHeight w:val="156"/>
        </w:trPr>
        <w:tc>
          <w:tcPr>
            <w:tcW w:w="3200" w:type="dxa"/>
            <w:vAlign w:val="bottom"/>
            <w:tcBorders>
              <w:top w:val="single" w:sz="8" w:color="CCEEFF"/>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220.7</w:t>
            </w:r>
          </w:p>
        </w:tc>
        <w:tc>
          <w:tcPr>
            <w:tcW w:w="3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220.7</w:t>
            </w:r>
          </w:p>
        </w:tc>
        <w:tc>
          <w:tcPr>
            <w:tcW w:w="4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w:t>
            </w:r>
          </w:p>
        </w:tc>
        <w:tc>
          <w:tcPr>
            <w:tcW w:w="6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219.6</w:t>
            </w:r>
          </w:p>
        </w:tc>
        <w:tc>
          <w:tcPr>
            <w:tcW w:w="280" w:type="dxa"/>
            <w:vAlign w:val="bottom"/>
            <w:tcBorders>
              <w:top w:val="single" w:sz="8" w:color="CCEEFF"/>
            </w:tcBorders>
            <w:shd w:val="clear" w:color="auto" w:fill="CCEEFF"/>
          </w:tcPr>
          <w:p>
            <w:pPr>
              <w:spacing w:after="0"/>
              <w:rPr>
                <w:sz w:val="13"/>
                <w:szCs w:val="13"/>
                <w:color w:val="auto"/>
              </w:rPr>
            </w:pPr>
          </w:p>
        </w:tc>
      </w:tr>
      <w:tr>
        <w:trPr>
          <w:trHeight w:val="169"/>
        </w:trPr>
        <w:tc>
          <w:tcPr>
            <w:tcW w:w="3200" w:type="dxa"/>
            <w:vAlign w:val="bottom"/>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$ 330.7</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$ 330.7</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(0.0</w:t>
            </w:r>
          </w:p>
        </w:tc>
        <w:tc>
          <w:tcPr>
            <w:tcW w:w="600" w:type="dxa"/>
            <w:vAlign w:val="bottom"/>
          </w:tcPr>
          <w:p>
            <w:pPr>
              <w:jc w:val="right"/>
              <w:ind w:right="51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330.7</w:t>
            </w:r>
          </w:p>
        </w:tc>
        <w:tc>
          <w:tcPr>
            <w:tcW w:w="280" w:type="dxa"/>
            <w:vAlign w:val="bottom"/>
          </w:tcPr>
          <w:p>
            <w:pPr>
              <w:spacing w:after="0"/>
              <w:rPr>
                <w:sz w:val="14"/>
                <w:szCs w:val="14"/>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Historically, the majority of our business was concentrated in the area of wireless network services, and our business operated in three reportable segments: wireless network services, government network services, and enterprise network services. In 2006, we were an independent provider of outsourced engineering and network deployment services, security systems engineering and integration services and other technical services for the wireless communications industry, the U.S. government, and enterprise customers.</w:t>
      </w:r>
    </w:p>
    <w:p>
      <w:pPr>
        <w:spacing w:after="0" w:line="79"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In 2006 and 2007, we undertook a transformation strategy whereby we divested our wireless-related businesses and chose to aggressively pursue business with the federal government, primarily the U.S. Department of Defense, through strategic acquisitions and organic growth. These divestitures and acquisitions are described in more detail below.</w:t>
      </w:r>
    </w:p>
    <w:p>
      <w:pPr>
        <w:spacing w:after="0" w:line="73"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color w:val="auto"/>
        </w:rPr>
        <w:t>In December 2005, our Board made the decision to exit our Mexican operations and certain of our other deployment businesses in South America. Prior to this decision, these operations had been reported in our Wireless Network Services segment. We determined that these operations met the criteria to be classified as held for sale. Accordingly, we reflected these operations as discontinued in accordance with SFAS No. 144, “Accounting for the Impairment or Disposal of Long-Lived Assets.” Our South American deployment operations were substantially shut down as of the end of 2005. Accordingly, all results for these operations for all periods presented have been reflected as discontinued.</w:t>
      </w:r>
    </w:p>
    <w:p>
      <w:pPr>
        <w:spacing w:after="0" w:line="6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On February 17, 2006, we entered into a definitive agreement to divest all of our operations in Mexico for total approximate cash consideration of $18.0 million, which approximated the net book value of the operations, including $13.2 million of liabilities associated with a loss contingency. The transaction closed on March 10, 2006. The transaction was structured as a sale of our subsidiaries in Mexico, and the purchase price consisted of $1.5 million in cash paid on February 17, 2006, plus a secured promissory note payable in installments through December 31, 2006. The note was secured by pledges of assets and a personal guaranty.</w:t>
      </w:r>
    </w:p>
    <w:p>
      <w:pPr>
        <w:spacing w:after="0" w:line="80"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The final closing balance sheet as of February 17, 2006 resulted in net asset adjustments aggregating to a total approximate $18.9 million consideration, $1.5 million which was paid on February 17, 2006, with the remaining $17.4 million payable by means of the promissory note in installments through December 31, 2006 with an interest rate of 7.5% per annum. On June 26, 2006, the Company entered into an Addendum with the buyer to finalize the closing net asset calculations, pursuant to which the parties agreed that the resulting total purchase price was $18.9 million. The Addendum provided for a conditional waiver that permitted the purchaser to make the payment due on August 17, 2006 by September 30, 2006, and for the installments due on November 17, 2006 and December 31, 2006 to be made on or before December 29, 2006. Failure to make the payments on such later dates would have resulted in a restoration of the original terms of the note. The first scheduled note payment of $3.3 million was received from the buyer on May 19, 2006, and the second scheduled note payment of $5.5 million was received in installments of $5.2 million on September 29, 2006 and $0.3 million on October 10, 2006. The remaining note receivable balance of $9.5 million was paid in December 2006. No amounts remain outstanding on the note receivable.</w:t>
      </w:r>
    </w:p>
    <w:p>
      <w:pPr>
        <w:spacing w:after="0" w:line="59"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The purchaser, Sakoki LLC, was a newly-formed entity controlled by Massih Tayebi. Although Massih Tayebi has no current role with us, he was one of our co-founders and served as our Chief Executive Officer from inception in 1994 through September 2000, and as a director from inception through</w:t>
      </w:r>
    </w:p>
    <w:p>
      <w:pPr>
        <w:jc w:val="both"/>
        <w:ind w:right="80"/>
        <w:spacing w:after="0" w:line="255" w:lineRule="auto"/>
        <w:rPr>
          <w:sz w:val="20"/>
          <w:szCs w:val="20"/>
          <w:color w:val="auto"/>
        </w:rPr>
      </w:pPr>
      <w:r>
        <w:rPr>
          <w:rFonts w:ascii="Arial" w:cs="Arial" w:eastAsia="Arial" w:hAnsi="Arial"/>
          <w:sz w:val="18"/>
          <w:szCs w:val="18"/>
          <w:color w:val="auto"/>
        </w:rPr>
        <w:t>April 2002. In addition, as of July 31, 2007, Massih Tayebi owns or controls approximately 8.2% of the total voting power of our capital stock. He is also the brother of Masood Tayebi, who was the Chairman of our Board at the time of this transaction. Masood Tayebi is no longer on our Board and had no personal financial interest in the transaction and no role with the entity that purchased the Mexico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On October 2, 2006, pursuant to a merger agreement, dated as of August 8, 2006, we consummated the acquisition of MRC for $69.0 million in cash, subject to an adjustment paid in April 2007 based on the closing final net asset value which was approximately $4.6 million resulting in a total purchase price of approximately $73.8 million which includes transaction costs of $0.2 million. Ten percent of the purchase price before adjustment, or $6.9 million, was being withheld as security for satisfaction of certain indemnification obligations and payable over eighteen months following the closing date of the merger pursuant to the terms of the merger agreement. In April 2007, $4.6 million of working capital adjustments and approximately $1.5 million of the holdback was released and paid to the former shareholders of MRC. The acquisition was funded by cash on hand and cash from our $85 million Credit Facility with Key Bank National Association.</w:t>
      </w:r>
    </w:p>
    <w:p>
      <w:pPr>
        <w:spacing w:after="0" w:line="68" w:lineRule="exact"/>
        <w:rPr>
          <w:sz w:val="20"/>
          <w:szCs w:val="20"/>
          <w:color w:val="auto"/>
        </w:rPr>
      </w:pPr>
    </w:p>
    <w:p>
      <w:pPr>
        <w:jc w:val="both"/>
        <w:ind w:right="140" w:firstLine="360"/>
        <w:spacing w:after="0" w:line="257" w:lineRule="auto"/>
        <w:rPr>
          <w:sz w:val="20"/>
          <w:szCs w:val="20"/>
          <w:color w:val="auto"/>
        </w:rPr>
      </w:pPr>
      <w:r>
        <w:rPr>
          <w:rFonts w:ascii="Arial" w:cs="Arial" w:eastAsia="Arial" w:hAnsi="Arial"/>
          <w:sz w:val="18"/>
          <w:szCs w:val="18"/>
          <w:color w:val="auto"/>
        </w:rPr>
        <w:t>The MRC acquisition is being accounted for using the purchase method of accounting in accordance with Statement of Financial Accounting Standards No. 141, “Business Combinations” (“SFAS 141”), whereby the total cost of the acquisition has been allocated to tangible and intangible assets acquired and liabilities assumed based upon a determination of fair values at the effective date of the acquisition. A valuation was performed by an independent appraiser to finalize the purchase price allocation based upon the fair value of the assets and liabilities acquired and the details of this valuation are included in Note 6 of our Consolidated Financial Statements.</w:t>
      </w:r>
    </w:p>
    <w:p>
      <w:pPr>
        <w:spacing w:after="0" w:line="53"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On December 28, 2006, our Board approved a plan to divest portions of our business where critical mass has not been achieved. This plan involves the divestiture of the our EMEA operations and our remaining South American operations. The EMEA operations were sold to LCC on March 9, 2007 for $4.0 million in cash, $3.3 million of which was received on that date. We have also received approximately $1.8 million from our EMEA operations, prior and subsequent to the closing date as payment on outstanding intercompany debt. The balance of the $0.7 million sales price is being withheld as security for the</w:t>
      </w:r>
    </w:p>
    <w:p>
      <w:pPr>
        <w:sectPr>
          <w:pgSz w:w="11900" w:h="16838" w:orient="portrait"/>
          <w:cols w:equalWidth="0" w:num="1">
            <w:col w:w="11420"/>
          </w:cols>
          <w:pgMar w:left="240" w:top="134" w:right="239" w:bottom="0" w:gutter="0" w:footer="0" w:header="0"/>
        </w:sectPr>
      </w:pPr>
    </w:p>
    <w:bookmarkStart w:id="38" w:name="page39"/>
    <w:bookmarkEnd w:id="38"/>
    <w:p>
      <w:pPr>
        <w:spacing w:after="0" w:line="9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satisfaction of certain indemnification obligations and is payable on a date that is the earlier of March 31, 2008 or the date that the buyer files its 10-K for the fiscal year ended December 31, 2007. All operating results discussed in results of operations relate to our continuing operations as they existed on December 31, 2006.</w:t>
      </w:r>
    </w:p>
    <w:p>
      <w:pPr>
        <w:spacing w:after="0" w:line="60"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We recorded an impairment charge of $5.2 million in the fourth quarter of 2006 to reduce the current carrying value of the South American operations to their estimated fair value based upon current indications of interest. On April 20, 2007, we entered into an Equity Purchase Agreement to sell all of the issued and outstanding equity of its interests of our wholly-owned subsidiary WFI de Brazil Techlogia en Telecomunicaciones LTDA, to Strategic Project Services, LLC (SPS). The consideration included the assumption of substantially all outstanding liabilities of WFI Brazil, nominal cash consideration, and additional earn-out consideration based on 25 percent of net receivables collected subsequent to the closing date. We do not currently anticipate that the impairment charges recorded in the fourth quarter of 2006 will result in any material net future cash expenditures.</w:t>
      </w:r>
    </w:p>
    <w:p>
      <w:pPr>
        <w:spacing w:after="0" w:line="43"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On April 20, 2007, we entered into an Equity Purchase Agreement (the “Purchase Agreement”) to sell all of the issued and outstanding equity interests of our wholly-owned subsidiary WFI de Brasil Techologia em Telecomunicaciones LTDA, a company limited by shares formed under the laws of the</w:t>
      </w:r>
    </w:p>
    <w:p>
      <w:pPr>
        <w:ind w:right="220"/>
        <w:spacing w:after="0" w:line="261" w:lineRule="auto"/>
        <w:rPr>
          <w:sz w:val="20"/>
          <w:szCs w:val="20"/>
          <w:color w:val="auto"/>
        </w:rPr>
      </w:pPr>
      <w:r>
        <w:rPr>
          <w:rFonts w:ascii="Arial" w:cs="Arial" w:eastAsia="Arial" w:hAnsi="Arial"/>
          <w:sz w:val="18"/>
          <w:szCs w:val="18"/>
          <w:color w:val="auto"/>
        </w:rPr>
        <w:t>Brazil (“</w:t>
      </w:r>
      <w:r>
        <w:rPr>
          <w:rFonts w:ascii="Arial" w:cs="Arial" w:eastAsia="Arial" w:hAnsi="Arial"/>
          <w:sz w:val="18"/>
          <w:szCs w:val="18"/>
          <w:i w:val="1"/>
          <w:iCs w:val="1"/>
          <w:color w:val="auto"/>
        </w:rPr>
        <w:t>WFI Brazil</w:t>
      </w:r>
      <w:r>
        <w:rPr>
          <w:rFonts w:ascii="Arial" w:cs="Arial" w:eastAsia="Arial" w:hAnsi="Arial"/>
          <w:sz w:val="18"/>
          <w:szCs w:val="18"/>
          <w:color w:val="auto"/>
        </w:rPr>
        <w:t>”), to Strategic Project Services, LLC, a Louisiana limited liability company (“</w:t>
      </w:r>
      <w:r>
        <w:rPr>
          <w:rFonts w:ascii="Arial" w:cs="Arial" w:eastAsia="Arial" w:hAnsi="Arial"/>
          <w:sz w:val="18"/>
          <w:szCs w:val="18"/>
          <w:i w:val="1"/>
          <w:iCs w:val="1"/>
          <w:color w:val="auto"/>
        </w:rPr>
        <w:t>SPS</w:t>
      </w:r>
      <w:r>
        <w:rPr>
          <w:rFonts w:ascii="Arial" w:cs="Arial" w:eastAsia="Arial" w:hAnsi="Arial"/>
          <w:sz w:val="18"/>
          <w:szCs w:val="18"/>
          <w:color w:val="auto"/>
        </w:rPr>
        <w:t>”). Pursuant to the Purchase Agreement, we received the following consideration:</w:t>
      </w:r>
    </w:p>
    <w:p>
      <w:pPr>
        <w:spacing w:after="0" w:line="62" w:lineRule="exact"/>
        <w:rPr>
          <w:sz w:val="20"/>
          <w:szCs w:val="20"/>
          <w:color w:val="auto"/>
        </w:rPr>
      </w:pPr>
    </w:p>
    <w:p>
      <w:pPr>
        <w:ind w:left="500" w:hanging="13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SPS assumed substantially all outstanding liabilities of WFI Brazil;</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Nominal cash consideration on signing of the Purchase Agreement;</w:t>
      </w:r>
    </w:p>
    <w:p>
      <w:pPr>
        <w:spacing w:after="0" w:line="90" w:lineRule="exact"/>
        <w:rPr>
          <w:rFonts w:ascii="Arial" w:cs="Arial" w:eastAsia="Arial" w:hAnsi="Arial"/>
          <w:sz w:val="18"/>
          <w:szCs w:val="18"/>
          <w:color w:val="auto"/>
        </w:rPr>
      </w:pPr>
    </w:p>
    <w:p>
      <w:pPr>
        <w:ind w:right="200" w:firstLine="368"/>
        <w:spacing w:after="0" w:line="264" w:lineRule="auto"/>
        <w:tabs>
          <w:tab w:leader="none" w:pos="4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Following the sale of WFI Brazil to SPS, we are entitled to receive 25% of the Net Receivables of WFI Brazil until such time as the gross account receivables set forth in the financials of WFI Brazil at Closing are fully paid (the “</w:t>
      </w:r>
      <w:r>
        <w:rPr>
          <w:rFonts w:ascii="Arial" w:cs="Arial" w:eastAsia="Arial" w:hAnsi="Arial"/>
          <w:sz w:val="18"/>
          <w:szCs w:val="18"/>
          <w:i w:val="1"/>
          <w:iCs w:val="1"/>
          <w:color w:val="auto"/>
        </w:rPr>
        <w:t>Earn Out</w:t>
      </w:r>
      <w:r>
        <w:rPr>
          <w:rFonts w:ascii="Arial" w:cs="Arial" w:eastAsia="Arial" w:hAnsi="Arial"/>
          <w:sz w:val="18"/>
          <w:szCs w:val="18"/>
          <w:color w:val="auto"/>
        </w:rPr>
        <w:t>”). SPS shall pay the Earn Out portion of the Net Receivables to us within 15 days of SPS’ collection of such amount; 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8"/>
        <w:spacing w:after="0" w:line="264"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Working Capital left in WFI Brazil at Closing is less than $1.2 million; then SPS shall be entitled to apply such payments due us pursuant to the Earn Out to the Working Capital account, until it equals $1.2 million. Thereafter, such Earn Out amounts shall be paid to us into such accounts or to such entities as directed in writing by WFI.</w:t>
      </w:r>
    </w:p>
    <w:p>
      <w:pPr>
        <w:spacing w:after="0" w:line="33"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On May 29, 2007, we entered into an Asset Purchase Agreement (the “</w:t>
      </w:r>
      <w:r>
        <w:rPr>
          <w:rFonts w:ascii="Arial" w:cs="Arial" w:eastAsia="Arial" w:hAnsi="Arial"/>
          <w:sz w:val="16"/>
          <w:szCs w:val="16"/>
          <w:i w:val="1"/>
          <w:iCs w:val="1"/>
          <w:color w:val="auto"/>
        </w:rPr>
        <w:t>Engineering Divestiture Agreement</w:t>
      </w:r>
      <w:r>
        <w:rPr>
          <w:rFonts w:ascii="Arial" w:cs="Arial" w:eastAsia="Arial" w:hAnsi="Arial"/>
          <w:sz w:val="16"/>
          <w:szCs w:val="16"/>
          <w:color w:val="auto"/>
        </w:rPr>
        <w:t>”) with LCC pursuant to which we agreed to sell to LCC all of the assets used in the conduct of the operation of our Engineering services business of our wireless network services segment that provides engineering services to the non-government wireless communications industry in the United States on the terms set forth in the Engineering Divestiture Agreement. The aggregate consideration in connection with the Engineering Divestiture Agreement was $46 million, subject to certain adjustments. Pursuant to the terms of the Acquisition Agreement, LCC delivered a subordinated promissory note for the principal amount of $21.6 million (the “</w:t>
      </w:r>
      <w:r>
        <w:rPr>
          <w:rFonts w:ascii="Arial" w:cs="Arial" w:eastAsia="Arial" w:hAnsi="Arial"/>
          <w:sz w:val="16"/>
          <w:szCs w:val="16"/>
          <w:i w:val="1"/>
          <w:iCs w:val="1"/>
          <w:color w:val="auto"/>
        </w:rPr>
        <w:t>Subordinated</w:t>
      </w:r>
      <w:r>
        <w:rPr>
          <w:rFonts w:ascii="Arial" w:cs="Arial" w:eastAsia="Arial" w:hAnsi="Arial"/>
          <w:sz w:val="16"/>
          <w:szCs w:val="16"/>
          <w:color w:val="auto"/>
        </w:rPr>
        <w:t xml:space="preserve"> </w:t>
      </w:r>
      <w:r>
        <w:rPr>
          <w:rFonts w:ascii="Arial" w:cs="Arial" w:eastAsia="Arial" w:hAnsi="Arial"/>
          <w:sz w:val="16"/>
          <w:szCs w:val="16"/>
          <w:i w:val="1"/>
          <w:iCs w:val="1"/>
          <w:color w:val="auto"/>
        </w:rPr>
        <w:t>Promissory Note</w:t>
      </w:r>
      <w:r>
        <w:rPr>
          <w:rFonts w:ascii="Arial" w:cs="Arial" w:eastAsia="Arial" w:hAnsi="Arial"/>
          <w:sz w:val="16"/>
          <w:szCs w:val="16"/>
          <w:color w:val="auto"/>
        </w:rPr>
        <w:t>”), subject to working capital adjustments, and paid $17 million in cash and at the closing, and we have retained an estimated $7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net accounts receivable of the divested business, subject to working capital adjustments. The transaction was completed on June 4, 2007.</w:t>
      </w:r>
    </w:p>
    <w:p>
      <w:pPr>
        <w:spacing w:after="0" w:line="19" w:lineRule="exact"/>
        <w:rPr>
          <w:sz w:val="20"/>
          <w:szCs w:val="20"/>
          <w:color w:val="auto"/>
        </w:rPr>
      </w:pPr>
    </w:p>
    <w:p>
      <w:pPr>
        <w:ind w:right="200" w:firstLine="360"/>
        <w:spacing w:after="0" w:line="273" w:lineRule="auto"/>
        <w:rPr>
          <w:sz w:val="20"/>
          <w:szCs w:val="20"/>
          <w:color w:val="auto"/>
        </w:rPr>
      </w:pPr>
      <w:r>
        <w:rPr>
          <w:rFonts w:ascii="Arial" w:cs="Arial" w:eastAsia="Arial" w:hAnsi="Arial"/>
          <w:sz w:val="17"/>
          <w:szCs w:val="17"/>
          <w:color w:val="auto"/>
        </w:rPr>
        <w:t>On July 5, 2007, we announced that we sold the $21.6 million Subordinated Promissory Note in a transaction arranged by KeyBanc Capital Markets (“KeyBanc”). We received approximately $19.6 million in net cash proceeds, reflecting a discount from par value of less than five percent and aggregate transaction fees of approximately $1 million, which includes a $0.75 million fee to KeyBanc, an affiliate of our lender. The note was acquired by a fund affiliated with Silver Point Capital, L.P. (“Silver Point”). We did not provide any guaranty for LCC’s payment obligations. Certain post closing adjustments that, under the terms of the Engineering Divesture Agreement were expected to be made to the principal amount of the Subordinated Promissory Note, may instead be made by payments between us and LCC, or between Silver Point and us, as applicable.</w:t>
      </w:r>
    </w:p>
    <w:p>
      <w:pPr>
        <w:spacing w:after="0" w:line="16"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On August 10, 2007, in accordance with the terms of the Engineering Divestiture Agreement, we provided the closing balance sheet working capital calculation, which indicated a $2.6 million working capital adjustment was due to us as an increase to the balance of the Subordinated Promissory Note. LCC has until September 10, 2007 to review the calculation and notify us of any dispute.</w:t>
      </w:r>
    </w:p>
    <w:p>
      <w:pPr>
        <w:spacing w:after="0" w:line="33"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As a result of the divestitures of the U.S. Wireless Engineering and U.S. Wireless Deployment businesses, the Company expects to record a loss of approximately $8 to $10 million in the second and third quarters of 2007.</w:t>
      </w:r>
    </w:p>
    <w:p>
      <w:pPr>
        <w:spacing w:after="0" w:line="22"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 xml:space="preserve">On July 9, 2007, we entered into a definitive agreement with an affiliate of Platinum Equity to sell our Deployment services business of our wireless network services segment (the </w:t>
      </w:r>
      <w:r>
        <w:rPr>
          <w:rFonts w:ascii="Arial" w:cs="Arial" w:eastAsia="Arial" w:hAnsi="Arial"/>
          <w:sz w:val="18"/>
          <w:szCs w:val="18"/>
          <w:i w:val="1"/>
          <w:iCs w:val="1"/>
          <w:color w:val="auto"/>
        </w:rPr>
        <w:t>“Deployment Divestiture Agreement”</w:t>
      </w:r>
      <w:r>
        <w:rPr>
          <w:rFonts w:ascii="Arial" w:cs="Arial" w:eastAsia="Arial" w:hAnsi="Arial"/>
          <w:sz w:val="18"/>
          <w:szCs w:val="18"/>
          <w:color w:val="auto"/>
        </w:rPr>
        <w:t>). Platinum is a Los Angeles-based private equity firm whose portfolio includes service and distribution businesses in a number of market sectors.</w:t>
      </w:r>
    </w:p>
    <w:p>
      <w:pPr>
        <w:spacing w:after="0" w:line="33"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The total consideration payable to us under the Deployment Divestiture Agreement is $24 million including $18 million in cash at closing, subject to typical post closing working capital adjustments, and an aggregate $6 million in a three-year earn-out arrangement through 2010. The deal includes a Transition Services Agreement for the transition of certain services for a period of six months. The assets sold to Platinum Equity include all of our Wireless Deployment business, and the Wireless Facilities name. The transaction closed on July 24, 2007.</w:t>
      </w:r>
    </w:p>
    <w:p>
      <w:pPr>
        <w:spacing w:after="0" w:line="38"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As of December 31, 2006, prior to the divestiture of our historical businesses, we considered the following factors to be important in understanding its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WNS contracts are primarily fixed-price contracts whereby revenue is recognized using the percentage-of-completion method of accounting under the provisions of Statement of Position (SOP) 81-1, “Accounting for Performance of Construction Type and Certain Production Type Contracts.” For contracts offered on a time and material basis, we recognize revenues as services are performed. We typically charge a fixed monthly fee for ongoing radio frequency optimization and network operations and maintenance services. With respect to these services, we recognize revenue as services are performed. Our Government Network Services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w:t>
      </w:r>
    </w:p>
    <w:p>
      <w:pPr>
        <w:spacing w:after="0" w:line="47"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Cost of revenues includes direct compensation, living, travel and benefit expenses for project-related personnel, payments to third-party sub-contractors, project-related incentive compensation based upon the successful achievement of certain project performance goals, allocation of corporate overhead costs of</w:t>
      </w:r>
    </w:p>
    <w:p>
      <w:pPr>
        <w:sectPr>
          <w:pgSz w:w="11900" w:h="16935" w:orient="portrait"/>
          <w:cols w:equalWidth="0" w:num="1">
            <w:col w:w="11420"/>
          </w:cols>
          <w:pgMar w:left="240" w:top="125" w:right="239" w:bottom="0" w:gutter="0" w:footer="0" w:header="0"/>
        </w:sectPr>
      </w:pPr>
    </w:p>
    <w:bookmarkStart w:id="39" w:name="page40"/>
    <w:bookmarkEnd w:id="39"/>
    <w:p>
      <w:pPr>
        <w:ind w:right="220"/>
        <w:spacing w:after="0" w:line="306" w:lineRule="auto"/>
        <w:rPr>
          <w:sz w:val="20"/>
          <w:szCs w:val="20"/>
          <w:color w:val="auto"/>
        </w:rPr>
      </w:pPr>
      <w:r>
        <w:rPr>
          <w:rFonts w:ascii="Arial" w:cs="Arial" w:eastAsia="Arial" w:hAnsi="Arial"/>
          <w:sz w:val="17"/>
          <w:szCs w:val="17"/>
          <w:color w:val="auto"/>
        </w:rPr>
        <w:t>expendable computer software and equipment, and other direct project-related expenses. Direct compensation and benefits are computed based on standard costs and actual hours billed. We review and adjust these standard costs periodically to ensure they are comparable to actual costs.</w:t>
      </w:r>
    </w:p>
    <w:p>
      <w:pPr>
        <w:spacing w:after="0" w:line="1"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23"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collectibility and record allowances for doubtful accounts when deemed appropriate, based on our assessment of the associated risks. Total retainages included in accounts receivable were approximately $1.2 million at December 31, 2006. In addition, $0.2 million of retainages that are expected to be paid after 2007 are included in other assets (long term).</w:t>
      </w:r>
    </w:p>
    <w:p>
      <w:pPr>
        <w:spacing w:after="0" w:line="33"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Management currently considers the following events, trends and uncertainties to be important to understanding its financial condition and operating performance:</w:t>
      </w:r>
    </w:p>
    <w:p>
      <w:pPr>
        <w:spacing w:after="0" w:line="22"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We believe that our Government Network Services segment will build and expand our customer relationships within the U.S. Departments of Defense and Homeland Security by taking advantage of the significant opportunities for companies with substantial expertise in wireless network engineering and communications technology. We believe we will experience continued growth in revenues and operating income from this operating segment. The acquisition of MRC on October 2, 2006 provides us with expanded presence in Huntsville Alabama which is a key strategic military location for this segment. MRC</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offers a broad range of technical, engineering and IT solutions, and has developed core competencies in weapons system lifecycle support, integrated logistics, test and evaluation, commercial-off-the-shelf software and hardware selection and implementation, software development and systems lifecycle maintenance. The results of operations of MRC have been included in our consolidated results beginning from the closing date of October 2, 2006.</w:t>
      </w:r>
    </w:p>
    <w:p>
      <w:pPr>
        <w:spacing w:after="0" w:line="12"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Our restructuring assessments which occurred in the fourth quarter of 2006 included a critical review of our ENS segment to take into consideration the overall Enterprise related industry and market opportunities as well as the management and performance setbacks that occurred in this segment during 2006. As a result of this analysis we have made the decision to change our strategy related to ENS, by focusing primarily on areas we have significant existing expertise, qualifications and relationships. For example, we believe our expertise and overall qualifications provide a clear competitive differentiator on projects related to physical and other types of security system integrations at Department of Defense Military Bases, production facilities, and other state, local and municipal government locations.</w:t>
      </w:r>
    </w:p>
    <w:p>
      <w:pPr>
        <w:spacing w:after="0" w:line="45" w:lineRule="exact"/>
        <w:rPr>
          <w:sz w:val="20"/>
          <w:szCs w:val="20"/>
          <w:color w:val="auto"/>
        </w:rPr>
      </w:pPr>
    </w:p>
    <w:p>
      <w:pPr>
        <w:ind w:right="80" w:firstLine="360"/>
        <w:spacing w:after="0" w:line="311" w:lineRule="auto"/>
        <w:rPr>
          <w:sz w:val="20"/>
          <w:szCs w:val="20"/>
          <w:color w:val="auto"/>
        </w:rPr>
      </w:pPr>
      <w:r>
        <w:rPr>
          <w:rFonts w:ascii="Arial" w:cs="Arial" w:eastAsia="Arial" w:hAnsi="Arial"/>
          <w:sz w:val="16"/>
          <w:szCs w:val="16"/>
          <w:color w:val="auto"/>
        </w:rPr>
        <w:t>Our annual impairment test of goodwill resulted in a non-cash impairment charge of $18.3 million for the write-down of goodwill related to acquisitions previously made in our ENS business. The fair value of goodwill was estimated by using a combination of a discounted cash flow model and a market approach model which takes into consideration recent and expected future performance as well as comparable businesses and market transactions.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December 31, 2006, our annual effective tax rate was a negative 45% for the year ending December 31, 2006 which resulted in tax expense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$14.5 million on a loss before income taxes of $32.2 million. The rate differs from the federal and state statutory rates primarily due to a valuation allowance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recorded as a result of the operating losses of $32.2 million recorded for the year and the book impairment of goodwill which is not deductible for tax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31, 2005 to the Year Ended December 31, 2006</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years ended December 31, 2005 and 2006 are as follows (in millions):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6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2006</w:t>
            </w:r>
          </w:p>
        </w:tc>
        <w:tc>
          <w:tcPr>
            <w:tcW w:w="360" w:type="dxa"/>
            <w:vAlign w:val="bottom"/>
            <w:gridSpan w:val="3"/>
          </w:tcPr>
          <w:p>
            <w:pPr>
              <w:ind w:left="26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Wireless Network Services</w:t>
            </w:r>
          </w:p>
        </w:tc>
        <w:tc>
          <w:tcPr>
            <w:tcW w:w="1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$ 185.4</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$ 174.7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360" w:type="dxa"/>
            <w:vAlign w:val="bottom"/>
          </w:tcPr>
          <w:p>
            <w:pPr>
              <w:spacing w:after="0"/>
              <w:rPr>
                <w:sz w:val="20"/>
                <w:szCs w:val="20"/>
                <w:color w:val="auto"/>
              </w:rPr>
            </w:pPr>
            <w:r>
              <w:rPr>
                <w:rFonts w:ascii="Arial" w:cs="Arial" w:eastAsia="Arial" w:hAnsi="Arial"/>
                <w:sz w:val="18"/>
                <w:szCs w:val="18"/>
                <w:color w:val="auto"/>
              </w:rPr>
              <w:t>Enterprise Network Services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67.3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Government Network Services</w:t>
            </w:r>
          </w:p>
        </w:tc>
        <w:tc>
          <w:tcPr>
            <w:tcW w:w="1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Total revenues</w:t>
            </w:r>
          </w:p>
        </w:tc>
        <w:tc>
          <w:tcPr>
            <w:tcW w:w="1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3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$ 337.7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$ 327.8</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The $9.9 million reduction in revenues was a result of reduced revenues in the WNS segment of $10.7 million, which was primarily attributable to the impact of the merger of Western Wireless and Alltel, offset in part by increased revenues from Sprint. Also contributing to this decrease was reduced revenue in the ENS segment of $11.7 million which was negatively impacted by significant employee turnover, particularly management sales and business development personnel, that occurred in our Atlanta and Houston offices following the completion of the three year acquisition earn-out periods at the beginning of 2006. These decreases were partially offset by increased revenue in the Government Network Services segment as a result of the acquisition of MRC in the fourth quarter of 2006, which contributed $17.6 million in revenues in 2006, offset partially by decreases due to program delays and program reductions from two of our DOD Customers.</w:t>
      </w:r>
    </w:p>
    <w:p>
      <w:pPr>
        <w:spacing w:after="0" w:line="41"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$12.9 million or 4.9% from $261.4 million for the year ended December 31, 2005 to $274.3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2006. The increase was primarily attributable to cost of revenues of approximately $14.6 million related to the MRC acquisition.</w:t>
      </w:r>
    </w:p>
    <w:p>
      <w:pPr>
        <w:sectPr>
          <w:pgSz w:w="11900" w:h="16838" w:orient="portrait"/>
          <w:cols w:equalWidth="0" w:num="1">
            <w:col w:w="11420"/>
          </w:cols>
          <w:pgMar w:left="240" w:top="125" w:right="239" w:bottom="582"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82" w:gutter="0" w:footer="0" w:header="0"/>
          <w:type w:val="continuous"/>
        </w:sectPr>
      </w:pPr>
    </w:p>
    <w:bookmarkStart w:id="40" w:name="page41"/>
    <w:bookmarkEnd w:id="40"/>
    <w:p>
      <w:pPr>
        <w:spacing w:after="0" w:line="270" w:lineRule="auto"/>
        <w:rPr>
          <w:sz w:val="20"/>
          <w:szCs w:val="20"/>
          <w:color w:val="auto"/>
        </w:rPr>
      </w:pPr>
      <w:r>
        <w:rPr>
          <w:rFonts w:ascii="Arial" w:cs="Arial" w:eastAsia="Arial" w:hAnsi="Arial"/>
          <w:sz w:val="17"/>
          <w:szCs w:val="17"/>
          <w:color w:val="auto"/>
        </w:rPr>
        <w:t>Gross margin during the year ended December 31, 2006 of 16.3% decreased from a 2005 gross margin of 22.6%. The overall decrease in gross margin percentage is primarily attributable to a stock-based compensation expense of $4.1 million in 2006 related to the Company’s adoption of SFAS No. 123(R) in January 2006, compared to $1.3 million, net of payroll tax adjustments, in 2005, as well as due to pricing pressure experienced in our legacy RF business in our WNS sector. In addition, gross margins have been negatively impacted by a large national deployment program for which we are building various cellular site networks in various regions throughout the United States for a wireless carrier under which the customer is issuing purchase orders for each separate phase of the project, rather than the entire project, resulting in our recording zero profit margin or below the anticipated projected margin at completion on the projects. We will not record the anticipated profit margin on the project until we receive the requisite purchase orders from the customer. In addition, gross margins were negatively impacted by cost overruns in the ENS sector as a result of employee and management turnover that occurred following the completion of the earn-out periods in early 2006.</w:t>
      </w:r>
    </w:p>
    <w:p>
      <w:pPr>
        <w:spacing w:after="0" w:line="33"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2.4% from $61.5 million to $63.0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years ended December 31, 2005 and 2006, respectively. As a percentage of revenues, selling, general and administrative increased from 18.2% in 2005 to</w:t>
      </w:r>
    </w:p>
    <w:p>
      <w:pPr>
        <w:ind w:right="200"/>
        <w:spacing w:after="0" w:line="255" w:lineRule="auto"/>
        <w:rPr>
          <w:sz w:val="20"/>
          <w:szCs w:val="20"/>
          <w:color w:val="auto"/>
        </w:rPr>
      </w:pPr>
      <w:r>
        <w:rPr>
          <w:rFonts w:ascii="Arial" w:cs="Arial" w:eastAsia="Arial" w:hAnsi="Arial"/>
          <w:sz w:val="18"/>
          <w:szCs w:val="18"/>
          <w:color w:val="auto"/>
        </w:rPr>
        <w:t>19.2% in 2006. The increase of $1.5 million is primarily due to the cost of stock-based compensation which was $7.5 million in 2006 or 2.3% of revenues versus $0.8 million, net of related tax adjustments, in 2005 or 0.2% of revenues partially offset by a reduction in consulting fees. Excluding the stock-based compensation expense, SG&amp;A decreased from $60.7 million in 2005 to $55.5 million in 2006.</w:t>
      </w:r>
    </w:p>
    <w:p>
      <w:pPr>
        <w:spacing w:after="0" w:line="55"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i w:val="1"/>
          <w:iCs w:val="1"/>
          <w:color w:val="auto"/>
        </w:rPr>
        <w:t xml:space="preserve">Contingent Acquisition Consideration and Restatement Fees. </w:t>
      </w:r>
      <w:r>
        <w:rPr>
          <w:rFonts w:ascii="Arial" w:cs="Arial" w:eastAsia="Arial" w:hAnsi="Arial"/>
          <w:sz w:val="17"/>
          <w:szCs w:val="17"/>
          <w:color w:val="auto"/>
        </w:rPr>
        <w:t>In September 2004, we amended the purchase agreements related to two of the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in our ENS segment in 2003 to more accurately reflect the intent of the transactions, resulting in a rescission of the continuous employment clauses from the earn-out arrangements, for which we recorded a $12.4 million accrual at that time. In September 2005, we reduced $2.5 million of our contingent acquisition earn-out accruals that was determined to be excess based on the projected performance of the division compared to the minimum performance targets as defined in the earn-out arrangements. In December 2005, we increased our contingent acquisition earn-out accruals by $0.4 million, to reflect the financial performance of one of the acquired entities that exceeded its previously projected performance. We had $0.1 million in expense associated with contingent acquisition consideration based upon the final payments on these agreements in 2006.</w:t>
      </w:r>
    </w:p>
    <w:p>
      <w:pPr>
        <w:spacing w:after="0" w:line="29"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i w:val="1"/>
          <w:iCs w:val="1"/>
          <w:color w:val="auto"/>
        </w:rPr>
        <w:t xml:space="preserve">Impairment and Restructuring Charges. </w:t>
      </w:r>
      <w:r>
        <w:rPr>
          <w:rFonts w:ascii="Arial" w:cs="Arial" w:eastAsia="Arial" w:hAnsi="Arial"/>
          <w:sz w:val="17"/>
          <w:szCs w:val="17"/>
          <w:color w:val="auto"/>
        </w:rPr>
        <w:t>During 2006, the Company recorded $21.8 million in impairment and restructuring charges as a result of a</w:t>
      </w:r>
      <w:r>
        <w:rPr>
          <w:rFonts w:ascii="Arial" w:cs="Arial" w:eastAsia="Arial" w:hAnsi="Arial"/>
          <w:sz w:val="17"/>
          <w:szCs w:val="17"/>
          <w:i w:val="1"/>
          <w:iCs w:val="1"/>
          <w:color w:val="auto"/>
        </w:rPr>
        <w:t xml:space="preserve"> </w:t>
      </w:r>
      <w:r>
        <w:rPr>
          <w:rFonts w:ascii="Arial" w:cs="Arial" w:eastAsia="Arial" w:hAnsi="Arial"/>
          <w:sz w:val="17"/>
          <w:szCs w:val="17"/>
          <w:color w:val="auto"/>
        </w:rPr>
        <w:t>change in strategic focus of our ENS segment and a consolidation of the Company’s headquarter facilities, which included $18.3 million for goodwill impairment related to acquisitions made in the ENS segment. This was due in part to changes in the industry and the strategic focus of the Company, the impact of recent and future expected operating performance, as well as operational challenges from significant employee turnover that we encountered after the completion of the earn-out periods in early 2006. The balance of the charge was related to an asset impairment of approximately $1.8 million, an unused facility charge of approximately $1.4 million related to facilities consolidation and severance costs associated with restructuring activities of approximately $0.3 million. No impairment or restructuring charges were incurred in 2005.</w:t>
      </w:r>
    </w:p>
    <w:p>
      <w:pPr>
        <w:spacing w:after="0" w:line="29" w:lineRule="exact"/>
        <w:rPr>
          <w:sz w:val="20"/>
          <w:szCs w:val="20"/>
          <w:color w:val="auto"/>
        </w:rPr>
      </w:pPr>
    </w:p>
    <w:p>
      <w:pPr>
        <w:ind w:right="300" w:firstLine="360"/>
        <w:spacing w:after="0" w:line="31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For the year ended December 31, 2005, net other income was $0.3 million compared to net other expense of ($0.8)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2006. The increase in net other expense of $1.1 million was primarily due to the interest that was incurred on the Key Bank Credit facility as a result of the MRC acquisition partially offset by the interest income earned on the Note Receivable for the sale of Mexico.</w:t>
      </w:r>
    </w:p>
    <w:p>
      <w:pPr>
        <w:spacing w:after="0" w:line="12"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Our effective income tax rate for the year ended December 31, 2005 represented a 28.7% income tax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negative 45% income tax provision for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year ended December 31, 2006. The tax provision of $5.9 million for the year ended December 31, 2005 included a decrease to the valuation allowance on deferred tax assets based upon the Company’s projections in 2005 of estimated taxable income for 2006, including the reversal of temporary differences. The reduction in the valuation allowance was primarily a result of our projected forecasts of 2006 taxable income, the estimated timing of reversal of temporary differences and the expected utilization of net operating loss carryforwards. In 2006, the income tax expense of $14.5 million is a result of an increase in our valuation allowance for deferred tax assets.</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Loss from discontinued operations increased from a loss of $9.7 million in 2005 to a loss of</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$11.2 million during 2006. Included in the loss from discontinued operations of $9.7 million for the year ended December 31, 2005 is an approximate $5.0 million charge related to a write off of unrecoverable contract costs incurred on sites we were building for our customers in Mexico and South America which were cancelled prior to the completion of the sites. Although we were under contractual arrangement with these customers to build these sites, these costs were contractually unrecoverable from our customers due to the termination clauses in the contracts, which did not provide for reimbursement for in process cancelled sites, unless agreed upon by the customer. Also included in our loss from discontinued operation in 2005 is an impairment charge of $0.9 million related to accumulated foreign currency translation losses as well as a $4.4 million valuation allowance established against the deferred tax assets of our discontinued operations. Included in the loss from discontinued operations of $11.2 million for the year ended December 31, 2006 is an impairment charge of approximately $5.2 million to reduce the current carrying value of the South American operations to their estimated fair value based upon current indications of interest. Also included in our loss from discontinued operations in 2006 is an impairment charge of $1.7 million related to accumulated foreign currency translation losses. Revenues generated by our discontinued South American operations were $52.6 million in 2005 and $10.0 million in 2006. The reduction in revenues in 2006 from 2005 reflects the sale of our Latin American operations in February 2006. Revenues generated by our discontinued EMEA operations were $27.1 million in 2005 and $17.0 million in 2006.</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31, 2004 to the Year Ended December 31, 2005</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years ended December 31, 2004 and 2005 are as follows (in millions):</w:t>
      </w:r>
    </w:p>
    <w:p>
      <w:pPr>
        <w:spacing w:after="0" w:line="16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6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Wireless Network Services</w:t>
            </w:r>
          </w:p>
        </w:tc>
        <w:tc>
          <w:tcPr>
            <w:tcW w:w="1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$ 179.3</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$ 185.4</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6.1</w:t>
            </w: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380" w:type="dxa"/>
            <w:vAlign w:val="bottom"/>
          </w:tcPr>
          <w:p>
            <w:pPr>
              <w:spacing w:after="0"/>
              <w:rPr>
                <w:sz w:val="20"/>
                <w:szCs w:val="20"/>
                <w:color w:val="auto"/>
              </w:rPr>
            </w:pPr>
            <w:r>
              <w:rPr>
                <w:rFonts w:ascii="Arial" w:cs="Arial" w:eastAsia="Arial" w:hAnsi="Arial"/>
                <w:sz w:val="18"/>
                <w:szCs w:val="18"/>
                <w:color w:val="auto"/>
              </w:rPr>
              <w:t>Enterprise Network Services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67.3</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Government Network Services</w:t>
            </w:r>
          </w:p>
        </w:tc>
        <w:tc>
          <w:tcPr>
            <w:tcW w:w="1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80" w:type="dxa"/>
            <w:vAlign w:val="bottom"/>
            <w:gridSpan w:val="2"/>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64.7%</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ind w:left="180"/>
              <w:spacing w:after="0"/>
              <w:rPr>
                <w:sz w:val="20"/>
                <w:szCs w:val="20"/>
                <w:color w:val="auto"/>
              </w:rPr>
            </w:pPr>
            <w:r>
              <w:rPr>
                <w:rFonts w:ascii="Arial" w:cs="Arial" w:eastAsia="Arial" w:hAnsi="Arial"/>
                <w:sz w:val="18"/>
                <w:szCs w:val="18"/>
                <w:color w:val="auto"/>
              </w:rPr>
              <w:t>Total revenues</w:t>
            </w:r>
          </w:p>
        </w:tc>
        <w:tc>
          <w:tcPr>
            <w:tcW w:w="1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3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$ 296.2</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$ 337.7</w:t>
            </w:r>
          </w:p>
        </w:tc>
        <w:tc>
          <w:tcPr>
            <w:tcW w:w="28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7"/>
              </w:rPr>
              <w:t>$ 41.5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14.0%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80" w:firstLine="360"/>
        <w:spacing w:after="0" w:line="312" w:lineRule="auto"/>
        <w:rPr>
          <w:sz w:val="20"/>
          <w:szCs w:val="20"/>
          <w:color w:val="auto"/>
        </w:rPr>
      </w:pPr>
      <w:r>
        <w:rPr>
          <w:rFonts w:ascii="Arial" w:cs="Arial" w:eastAsia="Arial" w:hAnsi="Arial"/>
          <w:sz w:val="16"/>
          <w:szCs w:val="16"/>
          <w:color w:val="auto"/>
        </w:rPr>
        <w:t>Revenues increased 14.0% from $296.2 million for the year ended December 31, 2004 to $337.7 million for the year ended December 31, 2005. The $41.5 million increase was attributable to internal growth across each of our operating segments as well as due to our acquisition of TLA in January 2005. The acquisition of TLA that we made in 2005 resulted in $28.6 million of increased revenues in our Government Network Services segment.</w:t>
      </w:r>
    </w:p>
    <w:p>
      <w:pPr>
        <w:spacing w:after="0" w:line="12"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15.3% from $226.8 million for the year ended December 31, 2004 to $261.4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2005 primarily due to the corresponding increase in total revenues as well due to a reduction of previously recorded payroll tax adjustments of</w:t>
      </w:r>
    </w:p>
    <w:p>
      <w:pPr>
        <w:sectPr>
          <w:pgSz w:w="11900" w:h="16838" w:orient="portrait"/>
          <w:cols w:equalWidth="0" w:num="1">
            <w:col w:w="11400"/>
          </w:cols>
          <w:pgMar w:left="240" w:top="125" w:right="259" w:bottom="0" w:gutter="0" w:footer="0" w:header="0"/>
        </w:sectPr>
      </w:pPr>
    </w:p>
    <w:bookmarkStart w:id="41" w:name="page42"/>
    <w:bookmarkEnd w:id="41"/>
    <w:p>
      <w:pPr>
        <w:ind w:right="360"/>
        <w:spacing w:after="0" w:line="342" w:lineRule="auto"/>
        <w:rPr>
          <w:sz w:val="20"/>
          <w:szCs w:val="20"/>
          <w:color w:val="auto"/>
        </w:rPr>
      </w:pPr>
      <w:r>
        <w:rPr>
          <w:rFonts w:ascii="Arial" w:cs="Arial" w:eastAsia="Arial" w:hAnsi="Arial"/>
          <w:sz w:val="16"/>
          <w:szCs w:val="16"/>
          <w:color w:val="auto"/>
        </w:rPr>
        <w:t>$7.5 million in 2004 related to stock-based compensation expense recorded in years 2000 through 2003. The increase in cost of revenues during the 2005 period attributable to acquisitions was approximately $20.8 million. Gross margin during the year ended December 31, 2005 of 22.6% of total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revenues decreased from 2004 gross margin of 23.4% of total revenues. Excluding the impact of the $7.5 million of the reduction of the previously recorded tax adjustments in 2004, gross margin increased from 20.9% in 2004 to 22.6% in 2005. The change between in gross margin from 2004 excluding the tax related reduction is primarily attributable to a gross margin reduction of $9.8 million in 2004 resulting from increases in estimated costs for contracts signed in 2003.</w:t>
      </w:r>
    </w:p>
    <w:p>
      <w:pPr>
        <w:spacing w:after="0" w:line="38"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23.2% from $49.9 million to $61.5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years ended December 31, 2004 and 2005, respectively. As a percentage of revenues, selling, general and administrative expenses increased from 16.8% of revenues in 2004 and 18.2% of revenues in 2005. The increase in SG&amp;A expenses from 2004 to 2005 was in part related to the SG&amp;A from the TLA acquisition in 2005 as well as due to a reduction of previously recorded payroll tax adjustments of $3.9 million in 2004 related to stock-based compensation expense recorded in years 2000 through 2003. In addition, the Company experienced increased accounting and contract administration costs in 2005 primarily incurred due to changes we have made related to compliance with the Sarbanes Oxley Act and increased infrastructure costs necessary to support the revenue growth.</w:t>
      </w:r>
    </w:p>
    <w:p>
      <w:pPr>
        <w:spacing w:after="0" w:line="54"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i w:val="1"/>
          <w:iCs w:val="1"/>
          <w:color w:val="auto"/>
        </w:rPr>
        <w:t xml:space="preserve">Contingent Acquisition Consideration and Restatement Fees. </w:t>
      </w:r>
      <w:r>
        <w:rPr>
          <w:rFonts w:ascii="Arial" w:cs="Arial" w:eastAsia="Arial" w:hAnsi="Arial"/>
          <w:sz w:val="18"/>
          <w:szCs w:val="18"/>
          <w:color w:val="auto"/>
        </w:rPr>
        <w:t>In September 2004, we amended the purchase agreements related to two of the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in our ENS segment in 2003 to more accurately reflect the intent of the transactions, resulting in a rescission of the continuous employment clauses from the earn-out arrangements. These amendments constituted a triggering event which resulted in a one-time charge of $12.4 million in the third quarter of 2004. In addition, the Company incurred approximately $1.5 million of costs related to the restatement of its financial statements during the third quarter of 2004, primarily due to legal and accounting fees incurred. In September 2005, we reduced $2.5 million of our contingent acquisition earn-out accruals that was determined to be excess based on the projected performance of the division compared to the minimum performance targets as defined in the earn-out arrangements.</w:t>
      </w:r>
    </w:p>
    <w:p>
      <w:pPr>
        <w:spacing w:after="0" w:line="4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In December 2005, we increased our contingent acquisition earn-out accruals by $0.4 million, to reflect the financial performance of one of the acquired entities that exceeded its previously projected performance.</w:t>
      </w:r>
    </w:p>
    <w:p>
      <w:pPr>
        <w:spacing w:after="0" w:line="22"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For the year ended December 31, 2004, net other expense was $2.8 million compared to net other income of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2005. The decrease in expense of $3.1 million was attributable to an impairment charge of $3.1 million recorded in 2004 related to our investment in a privately held company.</w:t>
      </w:r>
    </w:p>
    <w:p>
      <w:pPr>
        <w:spacing w:after="0" w:line="46" w:lineRule="exact"/>
        <w:rPr>
          <w:sz w:val="20"/>
          <w:szCs w:val="20"/>
          <w:color w:val="auto"/>
        </w:rPr>
      </w:pPr>
    </w:p>
    <w:p>
      <w:pPr>
        <w:ind w:right="220" w:firstLine="360"/>
        <w:spacing w:after="0" w:line="276" w:lineRule="auto"/>
        <w:rPr>
          <w:sz w:val="20"/>
          <w:szCs w:val="20"/>
          <w:color w:val="auto"/>
        </w:rPr>
      </w:pPr>
      <w:r>
        <w:rPr>
          <w:rFonts w:ascii="Arial" w:cs="Arial" w:eastAsia="Arial" w:hAnsi="Arial"/>
          <w:sz w:val="17"/>
          <w:szCs w:val="17"/>
          <w:i w:val="1"/>
          <w:iCs w:val="1"/>
          <w:color w:val="auto"/>
        </w:rPr>
        <w:t xml:space="preserve">Provision (benefit) for Income Taxes. </w:t>
      </w:r>
      <w:r>
        <w:rPr>
          <w:rFonts w:ascii="Arial" w:cs="Arial" w:eastAsia="Arial" w:hAnsi="Arial"/>
          <w:sz w:val="17"/>
          <w:szCs w:val="17"/>
          <w:color w:val="auto"/>
        </w:rPr>
        <w:t>Our effective income tax rate for the year ended December 31, 2004 represented a 22.2% income tax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 28.7% income tax provision for the year ended December 31, 2005. The tax provision of $5.9 million for the year ended December 31, 2005 included a decrease to the valuation allowance on deferred tax assets based upon the Company’s projections of taxable income for 2006, including the reversal of temporary differences. The reduction in the valuation allowance was primarily a result of our projected forecasts of 2006 taxable income, the estimated timing of reversal of temporary differences and the expected utilization of net operating loss carryforwards.</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Income (loss) from discontinued operations decreased from income of $11.6 million in 2004 to a loss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$9.7 million during 2005. Included in the income from discontinued operations for the year ended December 31, 2004, is an asset impairment charge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$0.4 million and a $1.7 million charge for estimated employee termination costs related to our Scandinavia operations as well as income from discontinued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for our Mexico operations of $11.8 million. There was no tax benefit provided for the Scandinavia net operating losses due to no estimated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realizability of tax assets. Included in the loss from discontinued operations of $9.7 million for the year ended December 31, 2005 is an approximate $5.0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of a write off of unrecoverable contract costs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incurred on sites we were building for our customers in Mexico and South America which were cancelled prior to the completion of the sites. Although we were under contractual arrangement with these customers to build these sites, these costs were contractually unrecoverable from our customers due to the termination clauses in the contracts, which do not provide for reimbursement for in process cancelled sites, unless agreed upon by the customer. Also included in our loss from discontinued operation in 2005 is an impairment charge of $0.9 million related to accumulated foreign currency translation losses as well as a $3.4 million valuation allowance established against the deferred tax assets of our discontinued operations. Revenues generated by our discontinued Latin and South American operations were $52.6 million in 2005 compared to $66.0 million in 2004. Revenues generated by our discontinued EMEA operations were $34.8 million in 2004 and $27.1 million in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7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i w:val="1"/>
          <w:iCs w:val="1"/>
          <w:color w:val="auto"/>
        </w:rPr>
        <w:t xml:space="preserve">Strategy. </w:t>
      </w:r>
      <w:r>
        <w:rPr>
          <w:rFonts w:ascii="Arial" w:cs="Arial" w:eastAsia="Arial" w:hAnsi="Arial"/>
          <w:sz w:val="18"/>
          <w:szCs w:val="18"/>
          <w:color w:val="auto"/>
        </w:rPr>
        <w:t>We seek to allocate our available capital among the investment alternatives that we believe exhibit sufficient potential to achieve acceptable</w:t>
      </w:r>
      <w:r>
        <w:rPr>
          <w:rFonts w:ascii="Arial" w:cs="Arial" w:eastAsia="Arial" w:hAnsi="Arial"/>
          <w:sz w:val="18"/>
          <w:szCs w:val="18"/>
          <w:i w:val="1"/>
          <w:iCs w:val="1"/>
          <w:color w:val="auto"/>
        </w:rPr>
        <w:t xml:space="preserve"> </w:t>
      </w:r>
      <w:r>
        <w:rPr>
          <w:rFonts w:ascii="Arial" w:cs="Arial" w:eastAsia="Arial" w:hAnsi="Arial"/>
          <w:sz w:val="18"/>
          <w:szCs w:val="18"/>
          <w:color w:val="auto"/>
        </w:rPr>
        <w:t>risk-adjusted returns. As such, we may continue to:</w:t>
      </w:r>
    </w:p>
    <w:p>
      <w:pPr>
        <w:spacing w:after="0" w:line="22" w:lineRule="exact"/>
        <w:rPr>
          <w:sz w:val="20"/>
          <w:szCs w:val="20"/>
          <w:color w:val="auto"/>
        </w:rPr>
      </w:pPr>
    </w:p>
    <w:p>
      <w:pPr>
        <w:ind w:left="720" w:right="180" w:hanging="352"/>
        <w:spacing w:after="0" w:line="277" w:lineRule="auto"/>
        <w:tabs>
          <w:tab w:leader="none" w:pos="691"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investments in businesses that we believe are complimentary to our Government Network Services segment when the expected returns from such investments meet our investment return criteria.</w:t>
      </w:r>
    </w:p>
    <w:p>
      <w:pPr>
        <w:spacing w:after="0" w:line="35" w:lineRule="exact"/>
        <w:rPr>
          <w:rFonts w:ascii="Arial" w:cs="Arial" w:eastAsia="Arial" w:hAnsi="Arial"/>
          <w:sz w:val="18"/>
          <w:szCs w:val="18"/>
          <w:color w:val="auto"/>
        </w:rPr>
      </w:pPr>
    </w:p>
    <w:p>
      <w:pPr>
        <w:ind w:left="720" w:right="80" w:hanging="352"/>
        <w:spacing w:after="0" w:line="264" w:lineRule="auto"/>
        <w:tabs>
          <w:tab w:leader="none" w:pos="691"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divest additional assets as we continue to assess and prioritize our future business opportunities for critical mass, and ability for long term sustained and predictable profitability to raise capital for our strategic initiatives and to reduce interest expense and improve profitability through the reduction of debt.</w:t>
      </w:r>
    </w:p>
    <w:p>
      <w:pPr>
        <w:spacing w:after="0" w:line="33"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Our goal is to maximize long-term net cash from operating activities and fund all non-discretionary capital spending and debt service from our operating cash flow, without reliance on additional borrowing. However, due to risk factors, including those set forth herein and in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there can be no assurance that this will be possible. We may also incur additional debt to fund discretionary investments or to meet working capital requirements. We expect that the majority of our discretionary investments will occur in connection with acquisitions like the MRC which occurred in the fourth quarter of 2006. Our long-term business strategy may be influenced over the near term as a result of the debt financing of the MRC acquisition and working capital requirements which are a result of the timing of achieving milestones on our turnkey deployment projects in the Wireless Network Services segment.</w:t>
      </w:r>
    </w:p>
    <w:p>
      <w:pPr>
        <w:sectPr>
          <w:pgSz w:w="11900" w:h="16838" w:orient="portrait"/>
          <w:cols w:equalWidth="0" w:num="1">
            <w:col w:w="11420"/>
          </w:cols>
          <w:pgMar w:left="240" w:top="125" w:right="239" w:bottom="0" w:gutter="0" w:footer="0" w:header="0"/>
        </w:sectPr>
      </w:pPr>
    </w:p>
    <w:bookmarkStart w:id="42" w:name="page43"/>
    <w:bookmarkEnd w:id="42"/>
    <w:p>
      <w:pPr>
        <w:ind w:firstLine="360"/>
        <w:spacing w:after="0" w:line="286" w:lineRule="auto"/>
        <w:rPr>
          <w:sz w:val="20"/>
          <w:szCs w:val="20"/>
          <w:color w:val="auto"/>
        </w:rPr>
      </w:pPr>
      <w:r>
        <w:rPr>
          <w:rFonts w:ascii="Arial" w:cs="Arial" w:eastAsia="Arial" w:hAnsi="Arial"/>
          <w:sz w:val="16"/>
          <w:szCs w:val="16"/>
          <w:i w:val="1"/>
          <w:iCs w:val="1"/>
          <w:color w:val="auto"/>
        </w:rPr>
        <w:t xml:space="preserve">Liquidity Position. </w:t>
      </w:r>
      <w:r>
        <w:rPr>
          <w:rFonts w:ascii="Arial" w:cs="Arial" w:eastAsia="Arial" w:hAnsi="Arial"/>
          <w:sz w:val="16"/>
          <w:szCs w:val="16"/>
          <w:color w:val="auto"/>
        </w:rPr>
        <w:t>As of December 31, 2006, we had consolidated cash and cash equivalents of $5.4 million (exclusive of restricted cash of $1.0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consolidated long-term and short-term debt of $51.5 million, and consolidated stockholders equity of $187.1 million. As of March 30, 2007 the Company was in technical default with its credit agreement with Key Bank as it had not yet filed its Form 10-K and 2006 audited financials. On April 6, 2007 the Company entered into an amendment to the credit agreement whereby Key Bank waived this technical default and provided an extension through</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April 30, 2007 for filing our 10-K and 2006 audited financial statements. On June 1, 2007, the Company entered into a second amendment to the credit agreement whereby Key Bank extended the original waiver for filing our 10-K and 2006 audited financial statements and the quarterly unaudited financial statements for the fiscal quarters ended March 31, 2007 and June 30, 2007 through September 30, 2007 and reduced the total Facility to $50 million to reflect the net pay downs of the revolving line of credit reflecting the divestiture of our EMEA business in March 2007 and the divesture of our domestic Engineering business. In addition, the second amendment provides for the further reduction of our credit facility to $35 million effective upon receipt of principal payments under the note received from the buyer of the domestic engineering business, which occurred on July 3, 2007. As of September 6, 2007, we had consolidated cash and cash equivalents of approximately $10.4 million and consolidated long-term and short-term debt of $2.0 million.</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Operations</w:t>
      </w:r>
    </w:p>
    <w:p>
      <w:pPr>
        <w:spacing w:after="0" w:line="117" w:lineRule="exact"/>
        <w:rPr>
          <w:sz w:val="20"/>
          <w:szCs w:val="20"/>
          <w:color w:val="auto"/>
        </w:rPr>
      </w:pPr>
    </w:p>
    <w:p>
      <w:pPr>
        <w:ind w:right="380" w:firstLine="360"/>
        <w:spacing w:after="0" w:line="257" w:lineRule="auto"/>
        <w:rPr>
          <w:sz w:val="20"/>
          <w:szCs w:val="20"/>
          <w:color w:val="auto"/>
        </w:rPr>
      </w:pPr>
      <w:r>
        <w:rPr>
          <w:rFonts w:ascii="Arial" w:cs="Arial" w:eastAsia="Arial" w:hAnsi="Arial"/>
          <w:sz w:val="18"/>
          <w:szCs w:val="18"/>
          <w:color w:val="auto"/>
        </w:rPr>
        <w:t>Our operating cash flow is used to finance trade accounts receivable, fund capital expenditures, and make selective acquisitions. Financing trade accounts receivable is necessary because, on average, our customers do not pay us as quickly as we pay our vendors and employees for their goods and services. Cash from continuing operations is primarily derived from our customer contracts in progress and associated changes in working capital components. A summary of our net cash provided by operating activities from continuing operations from our consolidated statement of cash flows is as follows (in millions):</w:t>
      </w:r>
    </w:p>
    <w:p>
      <w:pPr>
        <w:spacing w:after="0" w:line="15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1"/>
              </w:rPr>
              <w:t>Years Ended</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5440" w:type="dxa"/>
            <w:vAlign w:val="bottom"/>
          </w:tcPr>
          <w:p>
            <w:pPr>
              <w:spacing w:after="0"/>
              <w:rPr>
                <w:sz w:val="11"/>
                <w:szCs w:val="11"/>
                <w:color w:val="auto"/>
              </w:rPr>
            </w:pPr>
          </w:p>
        </w:tc>
        <w:tc>
          <w:tcPr>
            <w:tcW w:w="700" w:type="dxa"/>
            <w:vAlign w:val="bottom"/>
          </w:tcPr>
          <w:p>
            <w:pPr>
              <w:jc w:val="right"/>
              <w:ind w:right="142"/>
              <w:spacing w:after="0" w:line="129" w:lineRule="exact"/>
              <w:rPr>
                <w:sz w:val="20"/>
                <w:szCs w:val="20"/>
                <w:color w:val="auto"/>
              </w:rPr>
            </w:pPr>
            <w:r>
              <w:rPr>
                <w:rFonts w:ascii="Arial" w:cs="Arial" w:eastAsia="Arial" w:hAnsi="Arial"/>
                <w:sz w:val="14"/>
                <w:szCs w:val="14"/>
                <w:b w:val="1"/>
                <w:bCs w:val="1"/>
                <w:color w:val="auto"/>
              </w:rPr>
              <w:t>2004</w:t>
            </w:r>
          </w:p>
        </w:tc>
        <w:tc>
          <w:tcPr>
            <w:tcW w:w="940" w:type="dxa"/>
            <w:vAlign w:val="bottom"/>
            <w:gridSpan w:val="2"/>
          </w:tcPr>
          <w:p>
            <w:pPr>
              <w:jc w:val="right"/>
              <w:ind w:right="148"/>
              <w:spacing w:after="0" w:line="129" w:lineRule="exact"/>
              <w:rPr>
                <w:sz w:val="20"/>
                <w:szCs w:val="20"/>
                <w:color w:val="auto"/>
              </w:rPr>
            </w:pPr>
            <w:r>
              <w:rPr>
                <w:rFonts w:ascii="Arial" w:cs="Arial" w:eastAsia="Arial" w:hAnsi="Arial"/>
                <w:sz w:val="14"/>
                <w:szCs w:val="14"/>
                <w:b w:val="1"/>
                <w:bCs w:val="1"/>
                <w:color w:val="auto"/>
              </w:rPr>
              <w:t>2005</w:t>
            </w:r>
          </w:p>
        </w:tc>
        <w:tc>
          <w:tcPr>
            <w:tcW w:w="600" w:type="dxa"/>
            <w:vAlign w:val="bottom"/>
            <w:gridSpan w:val="2"/>
          </w:tcPr>
          <w:p>
            <w:pPr>
              <w:jc w:val="right"/>
              <w:ind w:right="40"/>
              <w:spacing w:after="0" w:line="129"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1"/>
                <w:szCs w:val="11"/>
                <w:color w:val="auto"/>
              </w:rPr>
            </w:pPr>
          </w:p>
        </w:tc>
      </w:tr>
      <w:tr>
        <w:trPr>
          <w:trHeight w:val="129"/>
        </w:trPr>
        <w:tc>
          <w:tcPr>
            <w:tcW w:w="5440" w:type="dxa"/>
            <w:vAlign w:val="bottom"/>
          </w:tcPr>
          <w:p>
            <w:pPr>
              <w:spacing w:after="0"/>
              <w:rPr>
                <w:sz w:val="11"/>
                <w:szCs w:val="11"/>
                <w:color w:val="auto"/>
              </w:rPr>
            </w:pPr>
          </w:p>
        </w:tc>
        <w:tc>
          <w:tcPr>
            <w:tcW w:w="7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6"/>
              </w:rPr>
              <w:t>(Restated)</w:t>
            </w:r>
          </w:p>
        </w:tc>
        <w:tc>
          <w:tcPr>
            <w:tcW w:w="220" w:type="dxa"/>
            <w:vAlign w:val="bottom"/>
          </w:tcPr>
          <w:p>
            <w:pPr>
              <w:spacing w:after="0"/>
              <w:rPr>
                <w:sz w:val="11"/>
                <w:szCs w:val="11"/>
                <w:color w:val="auto"/>
              </w:rPr>
            </w:pPr>
          </w:p>
        </w:tc>
        <w:tc>
          <w:tcPr>
            <w:tcW w:w="72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96"/>
              </w:rPr>
              <w:t>(Restated)</w:t>
            </w:r>
          </w:p>
        </w:tc>
        <w:tc>
          <w:tcPr>
            <w:tcW w:w="2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7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$ 3.1</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$ 14.2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w:t>
            </w:r>
          </w:p>
        </w:tc>
        <w:tc>
          <w:tcPr>
            <w:tcW w:w="60" w:type="dxa"/>
            <w:vAlign w:val="bottom"/>
            <w:shd w:val="clear" w:color="auto" w:fill="CCEEFF"/>
          </w:tcPr>
          <w:p>
            <w:pPr>
              <w:spacing w:after="0"/>
              <w:rPr>
                <w:sz w:val="18"/>
                <w:szCs w:val="18"/>
                <w:color w:val="auto"/>
              </w:rPr>
            </w:pPr>
          </w:p>
        </w:tc>
      </w:tr>
    </w:tbl>
    <w:p>
      <w:pPr>
        <w:spacing w:after="0" w:line="256"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Cash provided by operating activities for continuing operations for 2006 decreased by $12.1 million from 2005 primarily due to the timing of payments to our suppliers, which did not correspond with the achievement of certain construction milestones on our large turnkey deployment projects in accordance with contractual terms. This resulted in an increase in our days sales outstanding (DSO) from 105 for the quarter ended December 31, 2005 to 112 for the quarter ended December 31, 2006.</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Cash used in investing activities from continuing operations </w:t>
      </w:r>
      <w:r>
        <w:rPr>
          <w:rFonts w:ascii="Arial" w:cs="Arial" w:eastAsia="Arial" w:hAnsi="Arial"/>
          <w:sz w:val="18"/>
          <w:szCs w:val="18"/>
          <w:color w:val="auto"/>
        </w:rPr>
        <w:t>are summarized as follows (in millions):</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5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Borders>
              <w:bottom w:val="single" w:sz="8" w:color="CCEEFF"/>
            </w:tcBorders>
          </w:tcPr>
          <w:p>
            <w:pPr>
              <w:spacing w:after="0"/>
              <w:rPr>
                <w:sz w:val="14"/>
                <w:szCs w:val="14"/>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Sale/maturity of short-term investments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contingent acquisition consideration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(53.9)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(33.6)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(59.1)</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disposition of discontinued operations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Cash transferred to restricted cash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unconsolidated subsidiary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53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4"/>
              </w:rPr>
              <w:t>Net cash used in investing activities from continuing operations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(56.8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56" w:lineRule="exact"/>
        <w:rPr>
          <w:sz w:val="20"/>
          <w:szCs w:val="20"/>
          <w:color w:val="auto"/>
        </w:rPr>
      </w:pPr>
    </w:p>
    <w:p>
      <w:pPr>
        <w:ind w:right="40" w:firstLine="360"/>
        <w:spacing w:after="0" w:line="308" w:lineRule="auto"/>
        <w:rPr>
          <w:sz w:val="20"/>
          <w:szCs w:val="20"/>
          <w:color w:val="auto"/>
        </w:rPr>
      </w:pPr>
      <w:r>
        <w:rPr>
          <w:rFonts w:ascii="Arial" w:cs="Arial" w:eastAsia="Arial" w:hAnsi="Arial"/>
          <w:sz w:val="17"/>
          <w:szCs w:val="17"/>
          <w:color w:val="auto"/>
        </w:rPr>
        <w:t>Cash paid for acquisitions and contingent acquisition consideration accounted for the most significant outlays for investing activities in each of the three years from 2004 to 2006 as a result of the implementation of our strategies to diversify our business while focusing on our core competencies.</w:t>
      </w:r>
    </w:p>
    <w:p>
      <w:pPr>
        <w:spacing w:after="0" w:line="38"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In 2006, we acquired MRC and paid the final amounts due for contingent acquisition consideration related to the companies acquired in our ENS segment. Refer to Note 6 of our Consolidated Financial Statements.</w:t>
      </w:r>
    </w:p>
    <w:p>
      <w:pPr>
        <w:spacing w:after="0" w:line="62"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Investing activities in 2006 also included proceeds of $18.9 million related to the sale of our Mexican subsidiary. Refer to Note 4 of our Consolidated Financial Statements.</w:t>
      </w:r>
    </w:p>
    <w:p>
      <w:pPr>
        <w:spacing w:after="0" w:line="62"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Capital expenditures consist primarily of investment in field equipment, computer hardware and software and improvement of our physical properties in order to maintain suitable conditions to conduct our business.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Cash provided by financing activities from continuing operations </w:t>
      </w:r>
      <w:r>
        <w:rPr>
          <w:rFonts w:ascii="Arial" w:cs="Arial" w:eastAsia="Arial" w:hAnsi="Arial"/>
          <w:sz w:val="18"/>
          <w:szCs w:val="18"/>
          <w:color w:val="auto"/>
        </w:rPr>
        <w:t>are summarized as follows (in millions):</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9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Financing activities:</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r>
      <w:tr>
        <w:trPr>
          <w:trHeight w:val="202"/>
        </w:trPr>
        <w:tc>
          <w:tcPr>
            <w:tcW w:w="52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Proceeds from issuance of common stock under employee stock</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plan</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Borrowings under line of credit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under line of credit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Repayment of capital lease obligations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(0.4)</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r>
      <w:tr>
        <w:trPr>
          <w:trHeight w:val="277"/>
        </w:trPr>
        <w:tc>
          <w:tcPr>
            <w:tcW w:w="52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0"/>
        </w:trPr>
        <w:tc>
          <w:tcPr>
            <w:tcW w:w="5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380"/>
          </w:cols>
          <w:pgMar w:left="240" w:top="125" w:right="279" w:bottom="49" w:gutter="0" w:footer="0" w:header="0"/>
        </w:sectPr>
      </w:pPr>
    </w:p>
    <w:bookmarkStart w:id="43" w:name="page44"/>
    <w:bookmarkEnd w:id="43"/>
    <w:p>
      <w:pPr>
        <w:ind w:right="160" w:firstLine="360"/>
        <w:spacing w:after="0" w:line="264" w:lineRule="auto"/>
        <w:rPr>
          <w:sz w:val="20"/>
          <w:szCs w:val="20"/>
          <w:color w:val="auto"/>
        </w:rPr>
      </w:pPr>
      <w:r>
        <w:rPr>
          <w:rFonts w:ascii="Arial" w:cs="Arial" w:eastAsia="Arial" w:hAnsi="Arial"/>
          <w:sz w:val="18"/>
          <w:szCs w:val="18"/>
          <w:color w:val="auto"/>
        </w:rPr>
        <w:t>In 2005, we entered into a $15 million credit facility with KeyBank National Association (“KeyBank”) for general working capital requirements and to fund future acquisitions. We did not draw on this facility until 2006 and in October of 2006 we replaced this facility with an $85 million facility from KeyBank to fund the acquisition of MRC.</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Proceeds from the issuance of common stock from 2004 through 2006 are related to the exercise of employee stock options.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Cash provided by (used in) discontinued operations are summarized </w:t>
      </w:r>
      <w:r>
        <w:rPr>
          <w:rFonts w:ascii="Arial" w:cs="Arial" w:eastAsia="Arial" w:hAnsi="Arial"/>
          <w:sz w:val="18"/>
          <w:szCs w:val="18"/>
          <w:color w:val="auto"/>
        </w:rPr>
        <w:t>as follows (in millions):</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680" w:type="dxa"/>
            <w:vAlign w:val="bottom"/>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90"/>
              </w:rPr>
              <w:t>(Restated)</w:t>
            </w:r>
          </w:p>
        </w:tc>
        <w:tc>
          <w:tcPr>
            <w:tcW w:w="220" w:type="dxa"/>
            <w:vAlign w:val="bottom"/>
          </w:tcPr>
          <w:p>
            <w:pPr>
              <w:spacing w:after="0"/>
              <w:rPr>
                <w:sz w:val="11"/>
                <w:szCs w:val="11"/>
                <w:color w:val="auto"/>
              </w:rPr>
            </w:pPr>
          </w:p>
        </w:tc>
        <w:tc>
          <w:tcPr>
            <w:tcW w:w="700" w:type="dxa"/>
            <w:vAlign w:val="bottom"/>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w w:val="93"/>
              </w:rPr>
              <w:t>(Restated)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1"/>
              </w:rPr>
              <w:t>(0.8)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Investing cash flows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(2.9)</w:t>
            </w:r>
          </w:p>
        </w:tc>
        <w:tc>
          <w:tcPr>
            <w:tcW w:w="2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(0.7)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(0.1)</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540"/>
              <w:spacing w:after="0"/>
              <w:rPr>
                <w:sz w:val="20"/>
                <w:szCs w:val="20"/>
                <w:color w:val="auto"/>
              </w:rPr>
            </w:pPr>
            <w:r>
              <w:rPr>
                <w:rFonts w:ascii="Arial" w:cs="Arial" w:eastAsia="Arial" w:hAnsi="Arial"/>
                <w:sz w:val="18"/>
                <w:szCs w:val="18"/>
                <w:color w:val="auto"/>
              </w:rPr>
              <w:t>Net cash flows of discontinued operations</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80" w:type="dxa"/>
            <w:vAlign w:val="bottom"/>
            <w:vMerge w:val="continue"/>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 (11.4)</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Our decision to divest portions of our business where critical mass had not been achieved led to the divestiture of our EMEA operations and our South American operations. We recorded a gain of $3.3 million related to the sale of EMEA in the first quarter of 2007, the period in which the transaction was consummated. We also recorded an impairment charge of $5.2 million in the fourth quarter of 2006 to reduce the current carrying value of the South American operations to the estimated fair value based upon current indications of interest. The divestiture in April 2007 did not result in any additional impairment charges.</w:t>
      </w:r>
    </w:p>
    <w:p>
      <w:pPr>
        <w:spacing w:after="0" w:line="80"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We are focused on effectively managing our overall liquidity position by continuously monitoring expenses, integrating effective cost savings programs and managing our accounts receivable collection efforts. We believe that our cash and cash equivalent balances, short-term investments and our credit facility (as discussed in Contractual Obligations and Commitments below) will be sufficient to satisfy cash requirements for at least the next twelve months based on the current level of operations and the Company’s plans for future acquisitions. Although we cannot accurately anticipate the effect of inflation on our operations, we do not believe that inflation or foreign currency fluctuation has had, or is likely in the foreseeable future to have, a material impact on our revenues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 /Off Balance Sheet Arrangements</w:t>
      </w:r>
    </w:p>
    <w:p>
      <w:pPr>
        <w:spacing w:after="0" w:line="117"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We have no significant contractual obligations that are not fully recorded on our consolidated balance sheets or fully disclosed in the notes to our consolidated financial statements. We have no material off-balance sheet arrangements as defined in S-K 303(a)(4)(ii).</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In connection with our business acquisitions, we have agreed to make additional future payments to sellers based on final purchase price adjustments and the expiration of certain indemnification obligations. Pursuant to the provisions of SFAS No. 141, such amounts are accrued, and therefore, recorded by the Company when the contingency is resolved beyond a reasonable doubt and, hence, the additional consideration becomes payable. As of December 31, 2006, we had $4.6 million of working capital adjustments, $6.9 million of holdbacks for indemnification obligations, and $0.1 million of interest accrued for liabilities related to the MRC acquisition. In April 2007, $4.6 million of working capital adjustments and approximately $1.5 million of the holdback amounts were paid to the former MRC shareholders in accordance with the Purchase Agreement. The remaining $5.4 million of holdback amounts will be released subject to indemnity rights, in installments following 12 and 18 months from the date of close.</w:t>
      </w:r>
    </w:p>
    <w:p>
      <w:pPr>
        <w:spacing w:after="0" w:line="7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Pursuant to the stock purchase agreement for acquisitions made in 2003 in our ENS segment, we were obligated to pay additional consideration to the selling stockholders that was contingent upon the successful achievement of specific annual earnings targets, as defined in the stock purchase agreement. As of December 31, 2006, all earn-out performance periods ended and there is no additional contingent consideration earned or payments due related to the ENS acquisitions.</w:t>
      </w:r>
    </w:p>
    <w:p>
      <w:pPr>
        <w:spacing w:after="0" w:line="79"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In connection with the Company’s acquisition of Defense Systems, Incorporated (“DSI”) in August 2004, additional consideration of up to $3.2 million could be earned by the former major stockholders of DSI over an 18 month period, based upon performance milestones related to certain specified contracts. As of December 31, 2006, the performance period had ended and no further contingent acquisition consideration was due. Approximately $2.8 million in additional consideration had been earned and paid related to the contract milestones achieved by DSI.</w:t>
      </w:r>
    </w:p>
    <w:p>
      <w:pPr>
        <w:spacing w:after="0" w:line="79"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Any amounts earned by shareholders of acquired companies for which there were no continuous employment clauses will result in additional goodwill recorded for those acquisitions when the earn-out consideration is earned. There was no contingent consideration in connection with the MRC acquisition, but in connection with future acquisitions, we may agree to make additional payments to sellers contingent upon achievement of performance milestones by the acquired entities.</w:t>
      </w:r>
    </w:p>
    <w:p>
      <w:pPr>
        <w:spacing w:after="0" w:line="79" w:lineRule="exact"/>
        <w:rPr>
          <w:sz w:val="20"/>
          <w:szCs w:val="20"/>
          <w:color w:val="auto"/>
        </w:rPr>
      </w:pPr>
    </w:p>
    <w:p>
      <w:pPr>
        <w:jc w:val="both"/>
        <w:ind w:right="260" w:firstLine="360"/>
        <w:spacing w:after="0" w:line="264" w:lineRule="auto"/>
        <w:rPr>
          <w:sz w:val="20"/>
          <w:szCs w:val="20"/>
          <w:color w:val="auto"/>
        </w:rPr>
      </w:pPr>
      <w:r>
        <w:rPr>
          <w:rFonts w:ascii="Arial" w:cs="Arial" w:eastAsia="Arial" w:hAnsi="Arial"/>
          <w:sz w:val="18"/>
          <w:szCs w:val="18"/>
          <w:color w:val="auto"/>
        </w:rPr>
        <w:t>On March 16, 2005, the Company entered into a credit agreement with KeyBank National Association (“KeyBank”) to provide a $15.0 million senior credit facility. KeyBank was designated as the sole arranger and sole book manager. The facility had a three-year term and could have been expanded to a $60.0 million facility. The Company used the facility for general corporate purposes and to fund acquisitions.</w:t>
      </w:r>
    </w:p>
    <w:p>
      <w:pPr>
        <w:spacing w:after="0" w:line="73"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On October 2, 2006, the Company entered into a new credit agreement with Key Bank to provide an $85 million senior credit facility, which replaced the Company’s existing $15 million senior credit facility. The facility has a 5 year term with principal due in 2011 and interest payable on a monthly basis. The Company wrote off $0.2 million in deferred fees related to the $15 million facility and incurred $1.2 million in fees related to the new facility which are being amortized over 5 years. At the Company’s option, interest is payable at the London Interbank Offer Rate plus 1.75-3.50%, or at the prime rate plus 0.30-0.75%, with either option adjusted quarterly based on the company’s total net debt-to-EBITDA ratio. The Company has used the facility to fund its acquisition of MRC and for general corporate purposes.</w:t>
      </w:r>
    </w:p>
    <w:p>
      <w:pPr>
        <w:spacing w:after="0" w:line="85"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The terms of the new credit agreement require the Company to provide certain customary covenants for a credit agreement, including certain financial covenants, computed as defined by the terms of the agreement. As of the date of this Report, we believe we have cured our non-compliance with the covenants in the credit agreement requiring that we timely file our financial statements with the SEC. These financial covenants include a maximum total net debt leverage ratio of 4.00 to 1.00, a minimum liquidity ratio of 1.35 to 1.00, and a minimum fixed charge coverage ratio of 1.10 to 1.00. The Credit Facility is secured by a pledge of certain equity interests of certain of our subsidiaries and is collateralized by the assets of the Company. The facility contains customary events of default, including payment defaults, breaches of</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0" w:gutter="0" w:footer="0" w:header="0"/>
          <w:type w:val="continuous"/>
        </w:sectPr>
      </w:pPr>
    </w:p>
    <w:bookmarkStart w:id="44" w:name="page45"/>
    <w:bookmarkEnd w:id="44"/>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t>representations and warranties, and covenant defaults. As of March 30, 2007, we were in technical default of this agreement as we had not yet filed our 10-K and 2006 audited financials. On April 6, 2007, we entered into an amendment to the credit agreement whereby Key Bank waived this technical default and provided an extension through April 30, 2007 for filing our 10-K and 2006 audited financial statements. On June 1, 2007, we entered into a second amendment to the credit agreement whereby Key Bank extended the original waiver for filing our 10-K and 2006 audited financial statements and the quarterly unaudited financial statements for the fiscal quarters ended March 31, 2007 and June 30, 2007 through September 30, 2007 and reduced the total Facility to $50 million to reflect the net pay downs of the revolving line of credit reflecting the divestitures of our EMEA business in March 2007 and our domestic Engineering business in June 2007. In addition, the second amendment provides for the further reduction of our credit facility to $35 million effective upon receipt of principal payments under the note received from the buyer of the domestic engineering business, which occurred on July 3, 2007.</w:t>
      </w:r>
    </w:p>
    <w:p>
      <w:pPr>
        <w:spacing w:after="0" w:line="58"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The weighted average interest rate of our debt was 8.99% as of December 31, 2006. This includes $0.3 million of financing costs related to the original and replacement of the Senior Credit Facility in the fourth quarter of 2006.</w:t>
      </w:r>
    </w:p>
    <w:p>
      <w:pPr>
        <w:spacing w:after="0" w:line="62"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On October 2, 2006, the Company acquired MRC, a privately-held technical solutions and services company focused on advanced telecommunications programs, software and IT solutions, product solutions and space programs. The purchase price was approximately $73.8 million, including a working capital adjustment of $4.6 million and transactions costs of $0.2 million. The Company paid $62.1 million at closing and $0.2 after closing in 2006. The remaining $6.9 million was held back to secure the Company’s indemnity rights and will be released, subject to indemnity rights, in installments following 6, 12, and 18 months from the date of close. The working capital adjustment of $4.6 million and $1.5 million of the holdback was paid to the previous MRC shareholders in the second quarter of 2007. To fund the acquisition, the Company used the new $85 million credit facility with KeyBank National Association. The results of MRC have been included in the Company’s consolidated statements of operations for the period from the acquisition date of October 2, 2006 in the fourth quarter of 2006.</w:t>
      </w:r>
    </w:p>
    <w:p>
      <w:pPr>
        <w:spacing w:after="0" w:line="84"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The following table summarizes our currently existing contractual obligations and other commitments at December 31, 2006, and the effect such obligations could have on our liquidity and cash flow in future periods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12"/>
          </w:tcPr>
          <w:p>
            <w:pPr>
              <w:ind w:left="140"/>
              <w:spacing w:after="0"/>
              <w:rPr>
                <w:sz w:val="20"/>
                <w:szCs w:val="20"/>
                <w:color w:val="auto"/>
              </w:rPr>
            </w:pPr>
            <w:r>
              <w:rPr>
                <w:rFonts w:ascii="Arial" w:cs="Arial" w:eastAsia="Arial" w:hAnsi="Arial"/>
                <w:sz w:val="14"/>
                <w:szCs w:val="14"/>
                <w:b w:val="1"/>
                <w:bCs w:val="1"/>
                <w:color w:val="auto"/>
              </w:rPr>
              <w:t>Payments due/forecast by Period</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8"/>
                <w:szCs w:val="8"/>
                <w:color w:val="auto"/>
              </w:rPr>
            </w:pPr>
          </w:p>
        </w:tc>
        <w:tc>
          <w:tcPr>
            <w:tcW w:w="4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9"/>
              </w:rPr>
              <w:t>2007</w:t>
            </w:r>
          </w:p>
        </w:tc>
        <w:tc>
          <w:tcPr>
            <w:tcW w:w="92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rPr>
              <w:t>2008-2009</w:t>
            </w:r>
          </w:p>
        </w:tc>
        <w:tc>
          <w:tcPr>
            <w:tcW w:w="200" w:type="dxa"/>
            <w:vAlign w:val="bottom"/>
          </w:tcPr>
          <w:p>
            <w:pPr>
              <w:spacing w:after="0"/>
              <w:rPr>
                <w:sz w:val="8"/>
                <w:szCs w:val="8"/>
                <w:color w:val="auto"/>
              </w:rPr>
            </w:pPr>
          </w:p>
        </w:tc>
        <w:tc>
          <w:tcPr>
            <w:tcW w:w="7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8"/>
              </w:rPr>
              <w:t>2010-2011</w:t>
            </w:r>
          </w:p>
        </w:tc>
        <w:tc>
          <w:tcPr>
            <w:tcW w:w="220" w:type="dxa"/>
            <w:vAlign w:val="bottom"/>
          </w:tcPr>
          <w:p>
            <w:pPr>
              <w:spacing w:after="0"/>
              <w:rPr>
                <w:sz w:val="8"/>
                <w:szCs w:val="8"/>
                <w:color w:val="auto"/>
              </w:rPr>
            </w:pPr>
          </w:p>
        </w:tc>
        <w:tc>
          <w:tcPr>
            <w:tcW w:w="560" w:type="dxa"/>
            <w:vAlign w:val="bottom"/>
            <w:gridSpan w:val="3"/>
          </w:tcPr>
          <w:p>
            <w:pPr>
              <w:jc w:val="right"/>
              <w:spacing w:after="0" w:line="102" w:lineRule="exact"/>
              <w:rPr>
                <w:sz w:val="20"/>
                <w:szCs w:val="20"/>
                <w:color w:val="auto"/>
              </w:rPr>
            </w:pPr>
            <w:r>
              <w:rPr>
                <w:rFonts w:ascii="Arial" w:cs="Arial" w:eastAsia="Arial" w:hAnsi="Arial"/>
                <w:sz w:val="11"/>
                <w:szCs w:val="11"/>
                <w:b w:val="1"/>
                <w:bCs w:val="1"/>
                <w:color w:val="auto"/>
              </w:rPr>
              <w:t>2012</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5"/>
          </w:tcPr>
          <w:p>
            <w:pPr>
              <w:ind w:left="60"/>
              <w:spacing w:after="0"/>
              <w:rPr>
                <w:sz w:val="20"/>
                <w:szCs w:val="20"/>
                <w:color w:val="auto"/>
              </w:rPr>
            </w:pPr>
            <w:r>
              <w:rPr>
                <w:rFonts w:ascii="Arial" w:cs="Arial" w:eastAsia="Arial" w:hAnsi="Arial"/>
                <w:sz w:val="14"/>
                <w:szCs w:val="14"/>
                <w:b w:val="1"/>
                <w:bCs w:val="1"/>
                <w:color w:val="auto"/>
              </w:rPr>
              <w:t>and After</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3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 net of interest(1)</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Capital leases(5)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interest on debt(2)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Other liabilities(3)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0.1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orders(4)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leases(5)</w:t>
            </w:r>
          </w:p>
        </w:tc>
        <w:tc>
          <w:tcPr>
            <w:tcW w:w="5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0.7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820" w:type="dxa"/>
            <w:vAlign w:val="bottom"/>
          </w:tcPr>
          <w:p>
            <w:pPr>
              <w:spacing w:after="0"/>
              <w:rPr>
                <w:sz w:val="15"/>
                <w:szCs w:val="15"/>
                <w:color w:val="auto"/>
              </w:rPr>
            </w:pPr>
          </w:p>
        </w:tc>
        <w:tc>
          <w:tcPr>
            <w:tcW w:w="314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Total commitments and recorded</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102.2</w:t>
            </w:r>
          </w:p>
        </w:tc>
        <w:tc>
          <w:tcPr>
            <w:tcW w:w="2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4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19.4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0.8</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20" w:type="dxa"/>
            <w:vAlign w:val="bottom"/>
          </w:tcPr>
          <w:p>
            <w:pPr>
              <w:spacing w:after="0"/>
              <w:rPr>
                <w:sz w:val="18"/>
                <w:szCs w:val="18"/>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66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440" w:type="dxa"/>
            <w:vAlign w:val="bottom"/>
            <w:gridSpan w:val="3"/>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60" w:hanging="352"/>
        <w:spacing w:after="0" w:line="277" w:lineRule="auto"/>
        <w:tabs>
          <w:tab w:leader="none" w:pos="3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Key Bank Line of Credit. The payments shown are our present forecast which contemplates that we will pay off the Key Bank LOC by the due date of October 2011. See “Notes to Consolidated Financial Statements” Note 8(a) for further details.</w:t>
      </w:r>
    </w:p>
    <w:p>
      <w:pPr>
        <w:spacing w:after="0" w:line="62" w:lineRule="exact"/>
        <w:rPr>
          <w:rFonts w:ascii="Arial" w:cs="Arial" w:eastAsia="Arial" w:hAnsi="Arial"/>
          <w:sz w:val="18"/>
          <w:szCs w:val="18"/>
          <w:color w:val="auto"/>
        </w:rPr>
      </w:pPr>
    </w:p>
    <w:p>
      <w:pPr>
        <w:ind w:left="360" w:right="140" w:hanging="352"/>
        <w:spacing w:after="0" w:line="277" w:lineRule="auto"/>
        <w:tabs>
          <w:tab w:leader="none" w:pos="3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interest payments based on current interest rates for variable rate debt. See “Notes to Consolidated Financial Statements” Note 8(a) for further details.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740" w:hanging="352"/>
        <w:spacing w:after="0" w:line="277" w:lineRule="auto"/>
        <w:tabs>
          <w:tab w:leader="none" w:pos="3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Primarily the obligations under the working capital adjustment clause and holdback payments related to the acquisition of MRC. See “Notes to Consolidated Financial Statements” Note 6 for further details.</w:t>
      </w:r>
    </w:p>
    <w:p>
      <w:pPr>
        <w:spacing w:after="0" w:line="62" w:lineRule="exact"/>
        <w:rPr>
          <w:rFonts w:ascii="Arial" w:cs="Arial" w:eastAsia="Arial" w:hAnsi="Arial"/>
          <w:sz w:val="18"/>
          <w:szCs w:val="18"/>
          <w:color w:val="auto"/>
        </w:rPr>
      </w:pPr>
    </w:p>
    <w:p>
      <w:pPr>
        <w:ind w:left="360" w:right="240" w:hanging="352"/>
        <w:spacing w:after="0" w:line="277" w:lineRule="auto"/>
        <w:tabs>
          <w:tab w:leader="none" w:pos="3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Purchase orders include commitments in which a written purchase order has been issued to a vendor, but the goods have not been received or services have not been performed.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“Notes to Consolidated Financial Statements” Note 9 for further details.</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Company had $3.6 million of standby letters of credit, primarily related to its workers compensation program and performance bonds. The Company had $1.0 million in restricted cash. The restricted cash was related to a $1.0 million standby letter of credit for performance of an international contract that we acquired with MRC. The Company has replaced the letter of credit with one issued under its KeyBank facility and is in the process of getting the original letter of credit and restricted cash released.</w:t>
      </w:r>
    </w:p>
    <w:p>
      <w:pPr>
        <w:spacing w:after="0" w:line="79"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Additional information regarding our financial commitments at December 31, 2006 is provided in the notes to our consolidated financial statements. See “Notes to Consolidated Financial Statements, Note 16—Commitments and Contingencies.”</w:t>
      </w:r>
    </w:p>
    <w:p>
      <w:pPr>
        <w:spacing w:after="0" w:line="62" w:lineRule="exact"/>
        <w:rPr>
          <w:sz w:val="20"/>
          <w:szCs w:val="20"/>
          <w:color w:val="auto"/>
        </w:rPr>
      </w:pPr>
    </w:p>
    <w:p>
      <w:pPr>
        <w:ind w:right="180" w:firstLine="360"/>
        <w:spacing w:after="0" w:line="290" w:lineRule="auto"/>
        <w:rPr>
          <w:sz w:val="20"/>
          <w:szCs w:val="20"/>
          <w:color w:val="auto"/>
        </w:rPr>
      </w:pPr>
      <w:r>
        <w:rPr>
          <w:rFonts w:ascii="Arial" w:cs="Arial" w:eastAsia="Arial" w:hAnsi="Arial"/>
          <w:sz w:val="16"/>
          <w:szCs w:val="16"/>
          <w:color w:val="auto"/>
        </w:rPr>
        <w:t>Other than our normal recurring trade payables, expense accruals, accrued payments related to acquisitions, debt related to our Credit Facility and operating and capital leases which are currently expected to be funded through existing working capital and future cash flows from operations, and the professional fees related to our Equity Award Review, which currently aggregate approximately $12 million, we have no other material cash commitments. Aside from these recurring expenses, future capital expenditures and overall expansion including potential future acquisitions, our future capital needs will depend upon many factors, including the timing of payments under existing contracts and technology requirements within the wireless telecommunications industry. Other future cash requirements may include the payment of certain tax contingencies, as discussed in Note 16 of our consolidated financial statements and potential future acquisitions. We continue to evaluate and use new technology including electronic equipment and software in our business operations. Additional capital expenditures may be required as deemed necessary, in order to stay competitive and effectively service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 (“MD&amp;A”)</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MD&amp;A below reflects the discussion and analysis of our results of operations for the interim periods of March, June and September of 2005 compared to the same periods of 2006, as adjusted to reflect the restatement related to our Equity Award Review (as discussed in Note 2 to the Financial Statements). In addition, the recent discontinuance of our international operations (our European and Brazilian operations) has also been reflected as discontinued operations in all of the periods discussed.</w:t>
      </w:r>
    </w:p>
    <w:p>
      <w:pPr>
        <w:sectPr>
          <w:pgSz w:w="11900" w:h="16838" w:orient="portrait"/>
          <w:cols w:equalWidth="0" w:num="1">
            <w:col w:w="11380"/>
          </w:cols>
          <w:pgMar w:left="240" w:top="868" w:right="279" w:bottom="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March 31, 2005 to the Three Months Ended March 31, 2006</w:t>
      </w:r>
    </w:p>
    <w:p>
      <w:pPr>
        <w:spacing w:after="0" w:line="117" w:lineRule="exact"/>
        <w:rPr>
          <w:sz w:val="20"/>
          <w:szCs w:val="20"/>
          <w:color w:val="auto"/>
        </w:rPr>
      </w:pPr>
    </w:p>
    <w:p>
      <w:pPr>
        <w:jc w:val="both"/>
        <w:ind w:right="100" w:firstLine="360"/>
        <w:spacing w:after="0" w:line="31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decreased $4.9 million from $81.2 million for the quarter ended March 31, 2005 to $76.3 million for the quarter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2006. The decline was primarily attributed to our Enterprise Network Services segment, primarily as a result of customer delays and the impact of personnel turnover and other related activities that occurred immediately following the completion of the earn—out period in one of the acquired entities.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by operating segment for the quarters ended March 31, 2005 and 2006 were as follows (in millions):</w:t>
      </w:r>
    </w:p>
    <w:p>
      <w:pPr>
        <w:spacing w:after="0" w:line="203" w:lineRule="exact"/>
        <w:rPr>
          <w:sz w:val="20"/>
          <w:szCs w:val="20"/>
          <w:color w:val="auto"/>
        </w:rPr>
      </w:pPr>
    </w:p>
    <w:tbl>
      <w:tblPr>
        <w:tblLayout w:type="fixed"/>
        <w:tblInd w:w="2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8"/>
              </w:rPr>
              <w:t>$ change</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2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Wireless network services</w:t>
            </w: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$ 44.2</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$ 43.4</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(0.8)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Enterprise network services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(26.3)%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Government network services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5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$ 81.2</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$ 76.3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slightly from $63.2 million for the quarter ended March 31, 2005 to $63.8 million for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2006. Included in the increase of cost of revenues is $0.4 million of stock—based compensation in the first quarter of 2006 as a result of the adoption of SFAS 123R, compared to $0.1 million of stock—based compensation expense in the first quarter of 2005. Gross margin during the quarter ended March 31, 2006 decreased from 22.2% to 16.4% of total revenues compared to the quarter ended March 31, 2005. The decrease in gross margin primarily resulted from project cost overruns and execution issues, including in particular, re—work required because of substandard subcontract work, as well as the impact of our customers’ delayed building of previously scheduled sites under certain domestic deployment contracts for which we will not be compensated for the impact of delays.</w:t>
      </w:r>
    </w:p>
    <w:p>
      <w:pPr>
        <w:spacing w:after="0" w:line="81" w:lineRule="exact"/>
        <w:rPr>
          <w:sz w:val="20"/>
          <w:szCs w:val="20"/>
          <w:color w:val="auto"/>
        </w:rPr>
      </w:pPr>
    </w:p>
    <w:p>
      <w:pPr>
        <w:jc w:val="both"/>
        <w:ind w:right="40" w:firstLine="360"/>
        <w:spacing w:after="0" w:line="28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as a percentage of revenue from 17.9% to 18.4%</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quarters ended March 31, 2005 and 2006, respectively, primarily due to our adoption of SFAS No. 123R, which resulted in $0.5 million stock—based compensation expense in the first quarter of 2006, compared to $0.1 million of stock—based compensation expense recorded in 2005.</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Net other income remained consistent at $0.2 million for the quarters ended March 31, 2005 and 2006.</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Our effective income tax rate for the quarter ended March 31, 2005 was a provision of 41.7% compared to a benefit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27.1% for the quarter ended March 31, 2006. The effective tax benefit rate for the quarter ended March 31, 2006 is lower than federal and state statutory rates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due to nondeductible permanent tax items which were more than offset by the realization of tax expense through the increase in our valuation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allowance and an increase in the income tax reserve.</w:t>
      </w:r>
    </w:p>
    <w:p>
      <w:pPr>
        <w:spacing w:after="0" w:line="103"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i w:val="1"/>
          <w:iCs w:val="1"/>
          <w:color w:val="auto"/>
        </w:rPr>
        <w:t xml:space="preserve">Income from Discontinued Operations. </w:t>
      </w:r>
      <w:r>
        <w:rPr>
          <w:rFonts w:ascii="Arial" w:cs="Arial" w:eastAsia="Arial" w:hAnsi="Arial"/>
          <w:sz w:val="18"/>
          <w:szCs w:val="18"/>
          <w:color w:val="auto"/>
        </w:rPr>
        <w:t>Income from discontinued operations decreased from $1.3 million for the three months ended March 31, 2005</w:t>
      </w:r>
      <w:r>
        <w:rPr>
          <w:rFonts w:ascii="Arial" w:cs="Arial" w:eastAsia="Arial" w:hAnsi="Arial"/>
          <w:sz w:val="18"/>
          <w:szCs w:val="18"/>
          <w:i w:val="1"/>
          <w:iCs w:val="1"/>
          <w:color w:val="auto"/>
        </w:rPr>
        <w:t xml:space="preserve"> </w:t>
      </w:r>
      <w:r>
        <w:rPr>
          <w:rFonts w:ascii="Arial" w:cs="Arial" w:eastAsia="Arial" w:hAnsi="Arial"/>
          <w:sz w:val="18"/>
          <w:szCs w:val="18"/>
          <w:color w:val="auto"/>
        </w:rPr>
        <w:t>to $0.2 million for the three months ended March 31, 2006. The decrease of $1.1 million resulted primarily from the wind—down of operations in the Latin American operations at the end of 2005 and the sale of the Mexico operation effective on February 17,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June 30, 2005 to the Three Months Ended June 30, 2006</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decreased $4.0 million from $83.5 million for the three months ended June 30, 2005 to $79.5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2006. The decrease was primarily attributable to a decrease in our Enterprise Network Services segment, primarily as a result of customer delays and the impact of personnel turnover and other related activities that occurred immediately following the completion of the earn—out period in two of the acquired entities in the first quarter of 2006. The customer delays as well as the rebuilding of the management teams did not return to normalcy until later in the second quarter of 2006, resulting in reduced revenues and operating margins for both the first and second quarters for the Enterprise Network Services segment.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by operating segment for the three months ended June 30, 2005 and 2006 were as follows (in millions):</w:t>
      </w:r>
    </w:p>
    <w:p>
      <w:pPr>
        <w:spacing w:after="0" w:line="203" w:lineRule="exact"/>
        <w:rPr>
          <w:sz w:val="20"/>
          <w:szCs w:val="20"/>
          <w:color w:val="auto"/>
        </w:rPr>
      </w:pPr>
    </w:p>
    <w:tbl>
      <w:tblPr>
        <w:tblLayout w:type="fixed"/>
        <w:tblInd w:w="2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rPr>
              <w:t>$ change</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2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Wireless network services</w:t>
            </w: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$ 45.8</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$ 45.3</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(0.5)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Enterprise network services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(17.2)%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Government network services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5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$ 83.5</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$ 79.5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from $64.0 million for the three months ended June 30, 2005 to $64.9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2006. The increase in cost of revenues includes an increase of $0.4 million of stock—based compensation expense in 2006. Stock—based compensation expense increased from a net credit of $0.1 million in the second quarter of 2005, which reflected the net reduction of previously recorded payroll tax contingencies related to stock—based compensation, to $0.3 million in the second quarter of 2006 as a result of the Company’s adoption of SFAS 123R in 2006. Gross margin during the three months ended June 30, 2006 decreased from 23.3% in the second quarter of 2005 to 18.4%. The decrease in gross margin primarily resulted from the impact of competitive pricing pressures that we were experiencing in our legacy Radio Frequency engineering business in the U.S., as well as the impact of a large national deployment program which we were recording a zero profit margin since we had not yet received the requisite purchase orders from our customer to record the anticipated profit margin on the project.</w:t>
      </w:r>
    </w:p>
    <w:p>
      <w:pPr>
        <w:spacing w:after="0" w:line="57"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decreased from $15.4 million in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2005 to $13.8 million in the three months ended June 30, 2006. Included in the second quarter 2006 SG&amp;A is $0.5 million stock—based compensation expense resulting from our adoption of SFAS No. 123R. This was compared to a net credit of $0.1 million stock—based compensation expense recorded in 2005, reflecting a net reduction of previously recorded payroll tax contingencies related to stock—based compensation. Included in the second</w:t>
      </w:r>
    </w:p>
    <w:p>
      <w:pPr>
        <w:sectPr>
          <w:pgSz w:w="11900" w:h="16838" w:orient="portrait"/>
          <w:cols w:equalWidth="0" w:num="1">
            <w:col w:w="11380"/>
          </w:cols>
          <w:pgMar w:left="240" w:top="125" w:right="279" w:bottom="0" w:gutter="0" w:footer="0" w:header="0"/>
        </w:sectPr>
      </w:pPr>
    </w:p>
    <w:bookmarkStart w:id="46" w:name="page47"/>
    <w:bookmarkEnd w:id="46"/>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quarter of 2005 SG&amp;A is approximately $1.0 million of professional fees primarily related to our 2005 annual audit and compliance with Sarbanes Oxley.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remaining reduction year over year is a result of cost reduction measures we have taken in 2006.</w:t>
      </w:r>
    </w:p>
    <w:p>
      <w:pPr>
        <w:spacing w:after="0" w:line="89"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For the three months ended June 30, 2005, net other expense was $0 compared to net other income of $0.2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30, 2006. The income for the three months ended June 30, 2006 was primarily attributable to the interest income on the Note Receivable relating to the sale of our Mexican subsidiary offset by interest expense for the borrowings on the Line of Credit.</w:t>
      </w:r>
    </w:p>
    <w:p>
      <w:pPr>
        <w:spacing w:after="0" w:line="57"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i w:val="1"/>
          <w:iCs w:val="1"/>
          <w:color w:val="auto"/>
        </w:rPr>
        <w:t xml:space="preserve">Provision(Benefit) for Income Taxes. </w:t>
      </w:r>
      <w:r>
        <w:rPr>
          <w:rFonts w:ascii="Arial" w:cs="Arial" w:eastAsia="Arial" w:hAnsi="Arial"/>
          <w:sz w:val="18"/>
          <w:szCs w:val="18"/>
          <w:color w:val="auto"/>
        </w:rPr>
        <w:t>Our effective income tax rate for the three months ended June 30, 2005 was 35% compared to a provision of 40%</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2006.</w:t>
      </w:r>
    </w:p>
    <w:p>
      <w:pPr>
        <w:spacing w:after="0" w:line="49"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i w:val="1"/>
          <w:iCs w:val="1"/>
          <w:color w:val="auto"/>
        </w:rPr>
        <w:t xml:space="preserve">Income (loss) from Discontinued Operations. </w:t>
      </w:r>
      <w:r>
        <w:rPr>
          <w:rFonts w:ascii="Arial" w:cs="Arial" w:eastAsia="Arial" w:hAnsi="Arial"/>
          <w:sz w:val="17"/>
          <w:szCs w:val="17"/>
          <w:color w:val="auto"/>
        </w:rPr>
        <w:t>Income (loss) from discontinued operations decreased from income of $0.9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2005 to a loss of $1.3 million for the three months ended June 30, 2006. The decrease of $2.2 million resulted from the wind—down of operations in the Latin American operations at the end of 2005 and the sale of the Mexico operation effective on February 17, 2006.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September 30, 2005 to the Three Months Ended September 30, 2006</w:t>
      </w:r>
    </w:p>
    <w:p>
      <w:pPr>
        <w:spacing w:after="0" w:line="117"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decreased $8.8 million from $86.7 million for the three months ended September 30, 2005 to $77.9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2006. The $8.8 million decrease was attributable to a decline of $8.2 million in our Wireless Network Services segment, primarily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schedule delays resulting in part from our customer’s delays of expenditures which was attributed to the capital requirements to support bids in anticipation of capital funding required for the AWS auction in September 2006, the impact of the merger of one of our carrier customers in 2005, as well as pricing pressures experienced in our legacy RF business in the U.S.. The reduction in our domestic revenues was also impacted by a decline of $1.3 million in our Government Network Services business resulting from program delays and program reductions from two of our DOD customers offset partially by an increase of $0.7 million in our Enterprise Network Services segment.</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by operating segment for the three months ended September 30, 2005 and 2006 are as follows (in millions):</w:t>
      </w:r>
    </w:p>
    <w:p>
      <w:pPr>
        <w:spacing w:after="0" w:line="203" w:lineRule="exact"/>
        <w:rPr>
          <w:sz w:val="20"/>
          <w:szCs w:val="20"/>
          <w:color w:val="auto"/>
        </w:rPr>
      </w:pPr>
    </w:p>
    <w:tbl>
      <w:tblPr>
        <w:tblLayout w:type="fixed"/>
        <w:tblInd w:w="2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8"/>
              </w:rPr>
              <w:t>$ change</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2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Wireless network services</w:t>
            </w: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$ 49.2</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$ 41.0</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(8.2)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Enterprise network services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Government network services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5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$ 86.7</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$ 77.9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(10.1</w:t>
            </w:r>
          </w:p>
        </w:tc>
        <w:tc>
          <w:tcPr>
            <w:tcW w:w="28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decreased from $66.1 million for the three months ended September 30, 2005 to $63.4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2006 primarily as a result of the reduction in revenues. The decrease in cost of revenues includes an increase of $0.2 million of stock— based compensation in the third quarter of 2006 as a result of the adoption of SFAS 123R, compared to $0.2 million of stock—based compensation expense recorded in 2005. Gross margin during the three months ended September 30, 2006 decreased from 23.8% in the third quarter of 2005 to 18.6%. The decrease in gross margin primarily resulted from the impact of competitive pricing pressures that we were experiencing in our legacy Radio Frequency engineering business in the U.S. In addition, gross margins were negatively impacted by a large national deployment program under which the customer was issuing purchase orders for each separate phase of the project, rather than for the entire project, resulting in our recording zero profit margin or below the anticipated projected margin at completion on the projects. We have not recorded the anticipated profit margin on the project until we receive the requisite purchase orders from the customer.</w:t>
      </w:r>
    </w:p>
    <w:p>
      <w:pPr>
        <w:spacing w:after="0" w:line="60"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from $15.0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2005 to $13.9 million in the three months ended September 30, 2006. Included in the third quarter 2006 SG&amp;A is $0.5 million stock—based compensation expense resulting from our adoption of SFAS No. 123R, compared to $0.1 million of stock—based compensation expense recorded in 2005. The reduction year over year is primarily a result of the reduced revenue volume discussed previously as well as the impact of cost reduction measures we had taken in 2006.</w:t>
      </w:r>
    </w:p>
    <w:p>
      <w:pPr>
        <w:spacing w:after="0" w:line="80" w:lineRule="exact"/>
        <w:rPr>
          <w:sz w:val="20"/>
          <w:szCs w:val="20"/>
          <w:color w:val="auto"/>
        </w:rPr>
      </w:pPr>
    </w:p>
    <w:p>
      <w:pPr>
        <w:jc w:val="center"/>
        <w:spacing w:after="0" w:line="342" w:lineRule="auto"/>
        <w:rPr>
          <w:sz w:val="20"/>
          <w:szCs w:val="20"/>
          <w:color w:val="auto"/>
        </w:rPr>
      </w:pPr>
      <w:r>
        <w:rPr>
          <w:rFonts w:ascii="Arial" w:cs="Arial" w:eastAsia="Arial" w:hAnsi="Arial"/>
          <w:sz w:val="16"/>
          <w:szCs w:val="16"/>
          <w:i w:val="1"/>
          <w:iCs w:val="1"/>
          <w:color w:val="auto"/>
        </w:rPr>
        <w:t xml:space="preserve">Contingent Acquisition Consideration.  </w:t>
      </w:r>
      <w:r>
        <w:rPr>
          <w:rFonts w:ascii="Arial" w:cs="Arial" w:eastAsia="Arial" w:hAnsi="Arial"/>
          <w:sz w:val="16"/>
          <w:szCs w:val="16"/>
          <w:color w:val="auto"/>
        </w:rPr>
        <w:t>Included in the third quarter 2005 operating results is a credit of $2.5 million resulting from the reduction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earn—out consideration related to our acquisitions of certain of the ENS companies in 2003 which had been previously accrued in September 2004.</w:t>
      </w:r>
    </w:p>
    <w:p>
      <w:pPr>
        <w:spacing w:after="0" w:line="2"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For the three months ended September 30, 2005, net other expense was $0 as compared to net other income of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2006. The change is primarily attributable to the interest income recorded in the three months ended September 30, 2006 on the Note Receivable relating to the sale of our Mexican subsidiary partially offset by interest expense for the borrowings on the Line of Credit.</w:t>
      </w:r>
    </w:p>
    <w:p>
      <w:pPr>
        <w:spacing w:after="0" w:line="65"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Our effective income tax rate for the three months ended September 30, 2005 was a provision of 19.8% compared to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41.7% for the three months ended September 30, 2006.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Loss from discontinued operations decreased from $1.6 million for the three months ended September 30, 2005 to</w:t>
      </w:r>
      <w:r>
        <w:rPr>
          <w:rFonts w:ascii="Arial" w:cs="Arial" w:eastAsia="Arial" w:hAnsi="Arial"/>
          <w:sz w:val="18"/>
          <w:szCs w:val="18"/>
          <w:i w:val="1"/>
          <w:iCs w:val="1"/>
          <w:color w:val="auto"/>
        </w:rPr>
        <w:t xml:space="preserve"> </w:t>
      </w:r>
      <w:r>
        <w:rPr>
          <w:rFonts w:ascii="Arial" w:cs="Arial" w:eastAsia="Arial" w:hAnsi="Arial"/>
          <w:sz w:val="18"/>
          <w:szCs w:val="18"/>
          <w:color w:val="auto"/>
        </w:rPr>
        <w:t>$1.2 million for the three months ended September 30, 2006. The decrease of $0.4 million resulted from the wind—down of operations in the Latin American operations at the end of 2005 and the sale of the Mexico operation effective on February 17, 2006.</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121"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We have identified the following critical accounting policies that affect our more significant judgments and estimates used in the preparation of our consolidated financial statements. The preparation of our financial statements in conformity with accounting principles generally accepted in the United States of America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allowance for doubtful accounts, valuation of long-lived assets including identifiable intangibles and goodwill, accounting for</w:t>
      </w:r>
    </w:p>
    <w:p>
      <w:pPr>
        <w:sectPr>
          <w:pgSz w:w="11900" w:h="16928" w:orient="portrait"/>
          <w:cols w:equalWidth="0" w:num="1">
            <w:col w:w="11400"/>
          </w:cols>
          <w:pgMar w:left="240" w:top="125" w:right="259" w:bottom="0" w:gutter="0" w:footer="0" w:header="0"/>
        </w:sectPr>
      </w:pPr>
    </w:p>
    <w:bookmarkStart w:id="47" w:name="page48"/>
    <w:bookmarkEnd w:id="47"/>
    <w:p>
      <w:pPr>
        <w:spacing w:after="0" w:line="279" w:lineRule="auto"/>
        <w:rPr>
          <w:sz w:val="20"/>
          <w:szCs w:val="20"/>
          <w:color w:val="auto"/>
        </w:rPr>
      </w:pPr>
      <w:r>
        <w:rPr>
          <w:rFonts w:ascii="Arial" w:cs="Arial" w:eastAsia="Arial" w:hAnsi="Arial"/>
          <w:sz w:val="17"/>
          <w:szCs w:val="17"/>
          <w:color w:val="auto"/>
        </w:rPr>
        <w:t>income taxes including the related valuation allowance, accruals for partial self-insurance, contingencies and litigation and contingent acquisition consideration. We explain these accounting policies in the notes to the audited consolidated financial statements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w:t>
      </w:r>
    </w:p>
    <w:p>
      <w:pPr>
        <w:spacing w:after="0" w:line="63"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derive a significant percentage of our revenue from long-term contracts and account for these contracts under the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of Statement of Position 81-1, “Accounting for Performance of Construction-Type and Certain Production-Type Contracts”. Revenue on time and materials contracts is recognized as services are rendered at contracted labor rates plus material and other direct costs incurred. The portion of our revenue derived from fixed-price contracts accounted for approximately 64.3% of our revenues for 2006. Revenue on fixed-price contracts is recognized using the percentage-of-completion method based on the ratio of total costs incurred to date compared to estimated total costs to complete the contract. Estimates of costs to complete include material, direct labor, overhead, and allowable general and administrative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we will not incur a loss on the project, we may record revenue equal to cost incurred, at zero margin. In the event that our cost incurred to date may be in excess of our funded contract value, we may defer those costs until the associated contract value has been funded by the customer. Once the final estimate of the outcome of the project margin is determined, we will record revenue using the percentage-of-completion method of accounting based on the ratio of total costs incurred to date compared to the estimated total costs to complete the project. Significant management judgments and estimates, including but not limited to the estimated costs to complete projects, must be made and used in connection with the revenue recognized in any accounting period. The revenue we recognize in a given reporting period depends on: (1) the costs we have incurred for individual projects; (2) our then current estimate of the total remaining costs to complete individual projects; and (3) the current estimated contract value associated with the projects. If, in any period, we increase or decrease our estimate of the total costs to complete a project, and/or reduce or increase the associated contract value, revenue for that period would be impacted. As a result, our gross margin in such period and in future periods may be affected. To the extent that our estimates fluctuate over time or differ from actual results, gross margins in subsequent periods may vary significantly from our estimates. Material differences may result in the amount and timing of our revenue for any period if management made different judgments or utilized different estimates.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cancellation, schedule delay, or modification of a fixed-price contract which is accounted for using the percentage-of-completion method</w:t>
      </w:r>
    </w:p>
    <w:p>
      <w:pPr>
        <w:spacing w:after="0" w:line="23"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may adversely affect our gross margins for the period in which the contract is modified or cancelled.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w:t>
      </w:r>
    </w:p>
    <w:p>
      <w:pPr>
        <w:spacing w:after="0" w:line="53"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In addition, many of our contracts include milestone billings. If a contract is terminated or if the scope of a contract changes prior to a milestone billing, the amount of revenue we recognize may change, based upon the specific termination clauses of the contract, which would affect our revenue and gross margin in the period in which the contract is terminated or the scope is changed.</w:t>
      </w:r>
    </w:p>
    <w:p>
      <w:pPr>
        <w:spacing w:after="0" w:line="73"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During the reporting periods contained herein, we did experience revenue and margin adjustments of certain projects based on the aforementioned factors.</w:t>
      </w:r>
    </w:p>
    <w:p>
      <w:pPr>
        <w:spacing w:after="0" w:line="62"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potential inability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collectibility.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 We write off accounts receivable when they become uncollectible and payments subsequently received on such receivables are credited to the allowance for doubtful accounts.</w:t>
      </w:r>
    </w:p>
    <w:p>
      <w:pPr>
        <w:spacing w:after="0" w:line="5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i w:val="1"/>
          <w:iCs w:val="1"/>
          <w:color w:val="auto"/>
        </w:rPr>
        <w:t xml:space="preserve">Long-lived and Intangible Assets. </w:t>
      </w:r>
      <w:r>
        <w:rPr>
          <w:rFonts w:ascii="Arial" w:cs="Arial" w:eastAsia="Arial" w:hAnsi="Arial"/>
          <w:sz w:val="17"/>
          <w:szCs w:val="17"/>
          <w:color w:val="auto"/>
        </w:rPr>
        <w:t>We account for long-lived assets in accordance with the provisions of SFAS No. 144,</w:t>
      </w:r>
      <w:r>
        <w:rPr>
          <w:rFonts w:ascii="Arial" w:cs="Arial" w:eastAsia="Arial" w:hAnsi="Arial"/>
          <w:sz w:val="17"/>
          <w:szCs w:val="17"/>
          <w:i w:val="1"/>
          <w:iCs w:val="1"/>
          <w:color w:val="auto"/>
        </w:rPr>
        <w:t xml:space="preserve"> Accounting for the Impairment or Disposal of Long-Lived Assets </w:t>
      </w:r>
      <w:r>
        <w:rPr>
          <w:rFonts w:ascii="Arial" w:cs="Arial" w:eastAsia="Arial" w:hAnsi="Arial"/>
          <w:sz w:val="17"/>
          <w:szCs w:val="17"/>
          <w:color w:val="auto"/>
        </w:rPr>
        <w:t>(“SFAS 144”). SFAS 144 addresses financial accounting and reporting for the impairment or disposal of long-lived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This Statement requires that long-lived assets be reviewed for impairment whenever events or changes in circumstances indicate that the carrying amount of an asset may not be recoverable. 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SFAS 144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71"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In accordance with SFAS 144,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73" w:lineRule="exact"/>
        <w:rPr>
          <w:sz w:val="20"/>
          <w:szCs w:val="20"/>
          <w:color w:val="auto"/>
        </w:rPr>
      </w:pPr>
    </w:p>
    <w:p>
      <w:pPr>
        <w:ind w:left="500" w:hanging="13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ectPr>
          <w:pgSz w:w="11900" w:h="16838" w:orient="portrait"/>
          <w:cols w:equalWidth="0" w:num="1">
            <w:col w:w="11420"/>
          </w:cols>
          <w:pgMar w:left="240" w:top="125" w:right="239" w:bottom="0" w:gutter="0" w:footer="0" w:header="0"/>
        </w:sectPr>
      </w:pPr>
    </w:p>
    <w:bookmarkStart w:id="48" w:name="page49"/>
    <w:bookmarkEnd w:id="48"/>
    <w:p>
      <w:pPr>
        <w:ind w:left="360"/>
        <w:spacing w:after="0"/>
        <w:rPr>
          <w:sz w:val="20"/>
          <w:szCs w:val="20"/>
          <w:color w:val="auto"/>
        </w:rPr>
      </w:pPr>
      <w:r>
        <w:rPr>
          <w:rFonts w:ascii="Arial" w:cs="Arial" w:eastAsia="Arial" w:hAnsi="Arial"/>
          <w:sz w:val="18"/>
          <w:szCs w:val="18"/>
          <w:color w:val="auto"/>
        </w:rPr>
        <w:t>· our market capitalization relative to net book value.</w:t>
      </w:r>
    </w:p>
    <w:p>
      <w:pPr>
        <w:spacing w:after="0" w:line="117" w:lineRule="exact"/>
        <w:rPr>
          <w:sz w:val="20"/>
          <w:szCs w:val="20"/>
          <w:color w:val="auto"/>
        </w:rPr>
      </w:pPr>
    </w:p>
    <w:p>
      <w:pPr>
        <w:ind w:right="440" w:firstLine="360"/>
        <w:spacing w:after="0" w:line="342" w:lineRule="auto"/>
        <w:rPr>
          <w:sz w:val="20"/>
          <w:szCs w:val="20"/>
          <w:color w:val="auto"/>
        </w:rPr>
      </w:pPr>
      <w:r>
        <w:rPr>
          <w:rFonts w:ascii="Arial" w:cs="Arial" w:eastAsia="Arial" w:hAnsi="Arial"/>
          <w:sz w:val="16"/>
          <w:szCs w:val="16"/>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6"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On a quarterly basis, we assess whether events or changes in circumstances have occurred that potentially indicate the carrying value of long-lived assets may not be recoverable.</w:t>
      </w:r>
    </w:p>
    <w:p>
      <w:pPr>
        <w:spacing w:after="0" w:line="62"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In December 2005, our Board made the decision to exit our Mexico and South American deployment business and in December 2006, our Board made the decision to exit our EMEA and remaining South American businesses. Accordingly, all results for these operations for the periods presented have been reflected as discontinued operations. We also recorded an impairment of approximately $5.2 million on our Brazilian operations as a result of the indications of fair value we have had with various interested parties.</w:t>
      </w:r>
    </w:p>
    <w:p>
      <w:pPr>
        <w:spacing w:after="0" w:line="7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Our ENS segment had built, installed and operated a wireless LAN system at a number of shopping malls in the United States. This network was developed to offer internet connectivity for a fee to customers and tenants at the malls. The market for these services has changed over the last year with the emergence of free WiFi and WiMAX and this has resulted in significantly reduced expectations for future revenue and profits related to the realizability of this asset. Based upon an analysis of the expected future cash flows from this asset in accordance with SFAS No. 144, we determined that the full value of this asset, approximately $1.8 million was impaired.</w:t>
      </w:r>
    </w:p>
    <w:p>
      <w:pPr>
        <w:spacing w:after="0" w:line="80" w:lineRule="exact"/>
        <w:rPr>
          <w:sz w:val="20"/>
          <w:szCs w:val="20"/>
          <w:color w:val="auto"/>
        </w:rPr>
      </w:pPr>
    </w:p>
    <w:p>
      <w:pPr>
        <w:ind w:right="280" w:firstLine="360"/>
        <w:spacing w:after="0" w:line="286" w:lineRule="auto"/>
        <w:rPr>
          <w:sz w:val="20"/>
          <w:szCs w:val="20"/>
          <w:color w:val="auto"/>
        </w:rPr>
      </w:pPr>
      <w:r>
        <w:rPr>
          <w:rFonts w:ascii="Arial" w:cs="Arial" w:eastAsia="Arial" w:hAnsi="Arial"/>
          <w:sz w:val="17"/>
          <w:szCs w:val="17"/>
          <w:i w:val="1"/>
          <w:iCs w:val="1"/>
          <w:color w:val="auto"/>
        </w:rPr>
        <w:t xml:space="preserve">Goodwill and Purchased Intangible Assets. </w:t>
      </w:r>
      <w:r>
        <w:rPr>
          <w:rFonts w:ascii="Arial" w:cs="Arial" w:eastAsia="Arial" w:hAnsi="Arial"/>
          <w:sz w:val="17"/>
          <w:szCs w:val="17"/>
          <w:color w:val="auto"/>
        </w:rPr>
        <w:t>We evaluate our goodwill and intangible assets for impairment pursuant to SFAS No. 142,</w:t>
      </w:r>
      <w:r>
        <w:rPr>
          <w:rFonts w:ascii="Arial" w:cs="Arial" w:eastAsia="Arial" w:hAnsi="Arial"/>
          <w:sz w:val="17"/>
          <w:szCs w:val="17"/>
          <w:i w:val="1"/>
          <w:iCs w:val="1"/>
          <w:color w:val="auto"/>
        </w:rPr>
        <w:t xml:space="preserve"> Goodwill and Other Intangible Assets </w:t>
      </w:r>
      <w:r>
        <w:rPr>
          <w:rFonts w:ascii="Arial" w:cs="Arial" w:eastAsia="Arial" w:hAnsi="Arial"/>
          <w:sz w:val="17"/>
          <w:szCs w:val="17"/>
          <w:color w:val="auto"/>
        </w:rPr>
        <w:t>(“SFAS 142”), which provides that goodwill and other intangible assets with indefinite lives are not amortized but tested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annually or more frequently if circumstances indicate potential impairment. The impairment test is comprised of two steps:</w:t>
      </w:r>
    </w:p>
    <w:p>
      <w:pPr>
        <w:spacing w:after="0" w:line="57" w:lineRule="exact"/>
        <w:rPr>
          <w:sz w:val="20"/>
          <w:szCs w:val="20"/>
          <w:color w:val="auto"/>
        </w:rPr>
      </w:pPr>
    </w:p>
    <w:p>
      <w:pPr>
        <w:ind w:right="120" w:firstLine="368"/>
        <w:spacing w:after="0" w:line="264"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reporting unit’s fair value is compared to its carrying value. The carrying values of each reporting unit are determined by specifically identifying and allocating the assets and liabilities of the Company to each reporting unit based on headcount, relative revenues or costs, or other methods as deemed appropriate by management. If the fair value is less than its carrying value, impairment is indicated;</w:t>
      </w:r>
    </w:p>
    <w:p>
      <w:pPr>
        <w:spacing w:after="0" w:line="73" w:lineRule="exact"/>
        <w:rPr>
          <w:rFonts w:ascii="Arial" w:cs="Arial" w:eastAsia="Arial" w:hAnsi="Arial"/>
          <w:sz w:val="18"/>
          <w:szCs w:val="18"/>
          <w:color w:val="auto"/>
        </w:rPr>
      </w:pPr>
    </w:p>
    <w:p>
      <w:pPr>
        <w:ind w:right="400" w:firstLine="368"/>
        <w:spacing w:after="0" w:line="277"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impairment is indicated in the first step, it is measured by comparing the implied fair value of goodwill and intangible assets to their carrying value at the reporting unit level.</w:t>
      </w:r>
    </w:p>
    <w:p>
      <w:pPr>
        <w:spacing w:after="0" w:line="62"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color w:val="auto"/>
        </w:rPr>
        <w:t>We completed the required impairment review at the end of 2005 and 2004 and noted no impairment. Consequently, no impairment charges were recorded. In 2006 our annual test indicated that there was no impairment of goodwill or intangibles for our WNS or GNS segments but that the total amount of goodwill for our ENS segment, approximately $18.3 million, was impaired. Due to a loss of management earlier this year as a result of the completion of earn-outs on some of our ENS acquisitions at the end of 2005, our ENS operations experienced an underperformance relative to historic operating results in 2006 and this impacted our projected future performance. The fair value of the goodwill was estimated using these projections and a combination of a discounted cash flow model and a market approach model that takes into consideration comparable business and market transactions. We also concluded based on this analysis the intangible assets for ENS were not impaired.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i w:val="1"/>
          <w:iCs w:val="1"/>
          <w:color w:val="auto"/>
        </w:rPr>
        <w:t xml:space="preserve">Accounting for income taxes and tax contingencies. </w:t>
      </w:r>
      <w:r>
        <w:rPr>
          <w:rFonts w:ascii="Arial" w:cs="Arial" w:eastAsia="Arial" w:hAnsi="Arial"/>
          <w:sz w:val="17"/>
          <w:szCs w:val="17"/>
          <w:color w:val="auto"/>
        </w:rPr>
        <w:t>As part of the process of preparing our consolidated financial statements we are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and included in our consolidated balance sheet.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70"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Significant management judgment is required in determining our provision for income taxes, our deferred tax assets and liabilities, tax contingencies and any required valuation allowance, including taking into consideration the probability of the tax contingencies being incurred. Management assesses this probability based upon information provided to us by our tax advisors, our legal advisors and similar tax cases. If at a later time our assessment of the probability of these tax contingencies changes, our accrual for such tax uncertainties may increase or decrease.</w:t>
      </w:r>
    </w:p>
    <w:p>
      <w:pPr>
        <w:spacing w:after="0" w:line="63"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We have a valuation allowance at December 31, 2006, due to management’s overall assessment of risks and uncertainties related to our future ability to realize and, hence, utilize certain deferred tax assets, primarily consisting of net operating losses, carry forward temporary differences and future tax deductions resulting from certain types of stock option exercises, before they expire. Management determined that an increase to the valuation allowance was required at December 31, 2006 based upon its overall assessment of the risks and uncertainties related to our future ability to realize and utilize our deferred tax assets.</w:t>
      </w:r>
    </w:p>
    <w:p>
      <w:pPr>
        <w:spacing w:after="0" w:line="80"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The 2006 effective tax rate at December 31, 2006 for annual and interim reporting periods could be impacted if certain tax items that are reserved for at December 31, 2006 are resolved at an amount which differs from our estimate. Finally, during 2007, if we are impacted by a change in the valuation allowance as of December 31, 2006 resulting from a change in judgment regarding the realizability of deferred tax assets beyond December 31, 2006, such effect will be recognized in the interim period in which the change occurs.</w:t>
      </w:r>
    </w:p>
    <w:p>
      <w:pPr>
        <w:spacing w:after="0" w:line="79"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i w:val="1"/>
          <w:iCs w:val="1"/>
          <w:color w:val="auto"/>
        </w:rPr>
        <w:t xml:space="preserve">Accrual for partial self-insurance. </w:t>
      </w:r>
      <w:r>
        <w:rPr>
          <w:rFonts w:ascii="Arial" w:cs="Arial" w:eastAsia="Arial" w:hAnsi="Arial"/>
          <w:sz w:val="17"/>
          <w:szCs w:val="17"/>
          <w:color w:val="auto"/>
        </w:rPr>
        <w:t>We maintain an accrual for our health and workers compensation partial self-insurance, which is a component of</w:t>
      </w:r>
      <w:r>
        <w:rPr>
          <w:rFonts w:ascii="Arial" w:cs="Arial" w:eastAsia="Arial" w:hAnsi="Arial"/>
          <w:sz w:val="17"/>
          <w:szCs w:val="17"/>
          <w:i w:val="1"/>
          <w:iCs w:val="1"/>
          <w:color w:val="auto"/>
        </w:rPr>
        <w:t xml:space="preserve"> </w:t>
      </w:r>
      <w:r>
        <w:rPr>
          <w:rFonts w:ascii="Arial" w:cs="Arial" w:eastAsia="Arial" w:hAnsi="Arial"/>
          <w:sz w:val="17"/>
          <w:szCs w:val="17"/>
          <w:color w:val="auto"/>
        </w:rPr>
        <w:t>total accrued expenses in the consolidated balance sheets. Management determines the adequacy of these accruals based on a monthly evaluation of our historical experience and trends related to both medical and workers compensation claims and payments, information provided to us by our insurance broker, industry experience and average lag period in which claims are paid. If such information indicates that our accruals require adjustment, we will, correspondingly, revise the assumptions utilized in our methodologies and reduce or provide for additional accruals as deemed appropriate. As of December 31, 2006, the accrual for our partial self-insurance programs approximated $1.8 million. We also carry stop-loss insurance that provides coverage limiting our total exposure related to each medical and workers compensation claim incurred, as defined in the applicable insurance policies. The medical and workers compensation limits per claim are $100,000 and $250,000, respectively.</w:t>
      </w:r>
    </w:p>
    <w:p>
      <w:pPr>
        <w:spacing w:after="0" w:line="71"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i w:val="1"/>
          <w:iCs w:val="1"/>
          <w:color w:val="auto"/>
        </w:rPr>
        <w:t xml:space="preserve">Contingencies and litigation. </w:t>
      </w:r>
      <w:r>
        <w:rPr>
          <w:rFonts w:ascii="Arial" w:cs="Arial" w:eastAsia="Arial" w:hAnsi="Arial"/>
          <w:sz w:val="17"/>
          <w:szCs w:val="17"/>
          <w:color w:val="auto"/>
        </w:rPr>
        <w:t>We are currently involved in certain legal proceedings. We estimate a range of liability related to pending litigation where</w:t>
      </w:r>
      <w:r>
        <w:rPr>
          <w:rFonts w:ascii="Arial" w:cs="Arial" w:eastAsia="Arial" w:hAnsi="Arial"/>
          <w:sz w:val="17"/>
          <w:szCs w:val="17"/>
          <w:i w:val="1"/>
          <w:iCs w:val="1"/>
          <w:color w:val="auto"/>
        </w:rPr>
        <w:t xml:space="preserve"> </w:t>
      </w:r>
      <w:r>
        <w:rPr>
          <w:rFonts w:ascii="Arial" w:cs="Arial" w:eastAsia="Arial" w:hAnsi="Arial"/>
          <w:sz w:val="17"/>
          <w:szCs w:val="17"/>
          <w:color w:val="auto"/>
        </w:rPr>
        <w:t>the amount and range of loss can be estimated. We record our estimate of a loss when the loss is considered probable and estimable. Where a liability is probable and there is a range of estimated loss and no amount in the range is more likely than any other number in the range, we record the minimum estimated liability related to the claim in accordance with SFAS No. 5, “Accounting for Contingencies.” As additional information becomes available, we assess the potential liability related to our pending litigation and revise our estimates. Revisions in our estimates of</w:t>
      </w:r>
    </w:p>
    <w:p>
      <w:pPr>
        <w:sectPr>
          <w:pgSz w:w="11900" w:h="16838" w:orient="portrait"/>
          <w:cols w:equalWidth="0" w:num="1">
            <w:col w:w="11420"/>
          </w:cols>
          <w:pgMar w:left="240" w:top="125" w:right="239" w:bottom="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potential liability could materially impact our results of operations. See Part II, Item 1 “Legal Proceedings” for additional information.</w:t>
      </w:r>
    </w:p>
    <w:p>
      <w:pPr>
        <w:spacing w:after="0" w:line="117" w:lineRule="exact"/>
        <w:rPr>
          <w:sz w:val="20"/>
          <w:szCs w:val="20"/>
          <w:color w:val="auto"/>
        </w:rPr>
      </w:pPr>
    </w:p>
    <w:p>
      <w:pPr>
        <w:ind w:right="300" w:firstLine="360"/>
        <w:spacing w:after="0" w:line="297" w:lineRule="auto"/>
        <w:rPr>
          <w:sz w:val="20"/>
          <w:szCs w:val="20"/>
          <w:color w:val="auto"/>
        </w:rPr>
      </w:pPr>
      <w:r>
        <w:rPr>
          <w:rFonts w:ascii="Arial" w:cs="Arial" w:eastAsia="Arial" w:hAnsi="Arial"/>
          <w:sz w:val="16"/>
          <w:szCs w:val="16"/>
          <w:i w:val="1"/>
          <w:iCs w:val="1"/>
          <w:color w:val="auto"/>
        </w:rPr>
        <w:t xml:space="preserve">Share-Based Payments. </w:t>
      </w:r>
      <w:r>
        <w:rPr>
          <w:rFonts w:ascii="Arial" w:cs="Arial" w:eastAsia="Arial" w:hAnsi="Arial"/>
          <w:sz w:val="16"/>
          <w:szCs w:val="16"/>
          <w:color w:val="auto"/>
        </w:rPr>
        <w:t>Beginning in fiscal year 2006, we account for share-based compensation arrangements in accordance with the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Financial Accounting Standards No. 123R (“SFAS 123R”) “Share-Based Payments,” which requires the measurement and recognition of compensation expense for all share-based payment awards to employees and directors based on estimated fair values. Prior to adoption of SFAS 123R, we accounted for share-based compensation using the intrinsic value-based method in accordance with Accounting Principles Board (APB) Opinion No. 25, “Accounting for Stock Issued to Employees.” We adopted SFAS 123R using the modified prospective transition method.</w:t>
      </w:r>
    </w:p>
    <w:p>
      <w:pPr>
        <w:spacing w:after="0" w:line="50"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The valuation provisions of SFAS 123R apply to new awards and to awards that are outstanding on the effective date and subsequently modified or cancelled. Under the modified prospective application, which we used, prior periods are not revised for comparative purposes. We use the Black-Scholes option valuation model to estimate the fair value of our stock options at the grant date. The Black-Scholes option valuation model was developed for use in estimating the fair value of traded options which have no vesting restrictions and are fully transferable. Our employee stock options are generally subject to vesting restrictions and are generally not transferable.</w:t>
      </w:r>
    </w:p>
    <w:p>
      <w:pPr>
        <w:spacing w:after="0" w:line="8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Option pricing models require the input of highly subjective assumptions including the expected stock price volatility over the term of the award, the expected life of 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 expected life formula to estimate the expected option life. The risk-free rate is based on the U.S. Treasury yield curve in effect at the time of grant for the estimated life of the option.</w:t>
      </w:r>
    </w:p>
    <w:p>
      <w:pPr>
        <w:spacing w:after="0" w:line="85" w:lineRule="exact"/>
        <w:rPr>
          <w:sz w:val="20"/>
          <w:szCs w:val="20"/>
          <w:color w:val="auto"/>
        </w:rPr>
      </w:pPr>
    </w:p>
    <w:p>
      <w:pPr>
        <w:ind w:right="140" w:firstLine="360"/>
        <w:spacing w:after="0" w:line="312" w:lineRule="auto"/>
        <w:rPr>
          <w:sz w:val="20"/>
          <w:szCs w:val="20"/>
          <w:color w:val="auto"/>
        </w:rPr>
      </w:pPr>
      <w:r>
        <w:rPr>
          <w:rFonts w:ascii="Arial" w:cs="Arial" w:eastAsia="Arial" w:hAnsi="Arial"/>
          <w:sz w:val="16"/>
          <w:szCs w:val="16"/>
          <w:color w:val="auto"/>
        </w:rPr>
        <w:t>Estimates of share-based compensation expenses are significant to our consolidated financial statements, but these expenses are based on option valuation models and will never result in the payment of cash by us. For this reason, and because we do not view share-based compensation as related to our operational performance, we exclude estimated share-based compensation expense when evaluating the business performance of our operating segments.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In June 2006, FASB issued Interpretation No. 48, Accounting for Uncertainty in Income Taxes—an interpretation of FASB Statement No. 109 (FIN 48), which clarifies the accounting for uncertainty in tax positions. This Interpretation requires that we recognize the impact of a tax position in our financial statements, if that position is more likely than not of being sustained on audit, based on the technical merits of the position. The provisions of FIN 48 are effective for fiscal years beginning after December 15, 2006, with the cumulative effect of the change in accounting principle recorded as an adjustment to opening retained earnings. The application of this Statement will reduce our retained earnings on January 1, 2007 by $0.3 million to increase reserves for uncertain tax positions.</w:t>
      </w:r>
    </w:p>
    <w:p>
      <w:pPr>
        <w:spacing w:after="0" w:line="85" w:lineRule="exact"/>
        <w:rPr>
          <w:sz w:val="20"/>
          <w:szCs w:val="20"/>
          <w:color w:val="auto"/>
        </w:rPr>
      </w:pPr>
    </w:p>
    <w:p>
      <w:pPr>
        <w:ind w:right="260" w:firstLine="360"/>
        <w:spacing w:after="0" w:line="276" w:lineRule="auto"/>
        <w:rPr>
          <w:sz w:val="20"/>
          <w:szCs w:val="20"/>
          <w:color w:val="auto"/>
        </w:rPr>
      </w:pPr>
      <w:r>
        <w:rPr>
          <w:rFonts w:ascii="Arial" w:cs="Arial" w:eastAsia="Arial" w:hAnsi="Arial"/>
          <w:sz w:val="17"/>
          <w:szCs w:val="17"/>
          <w:color w:val="auto"/>
        </w:rPr>
        <w:t>The SEC issued Staff Accounting Bulletin No. 108 (“SAB 108”) in September 2006. SAB 108 expresses the views of the SEC staff regarding the process of quantifying the materiality of financial misstatements. SAB 108 requires both the balance sheet and income statement approaches be used when quantifying the materiality of misstatement amounts. In addition, SAB 108 contains guidance on correcting errors under the dual approach and provides transition guidance for correcting errors existing in prior years. SAB 108 was effective in the Company’s fourth quarter of 2006. The adoption of SAB 108 did not have a material impact on the Company’s consolidated financial statements.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In September 2006, the FASB issued SFAS No. 157, “Fair Value Measurements” (“SFAS 157”). This new standard provides guidance for using fair value to measure assets and liabilities and information about the extent to which companies measure assets and liabilities at fair value, the information used to measure fair value, and the effect of fair value measurements on earnings. This framework is intended to provide increased consistency in how fair value determinations are made under various existing accounting standards which permit, or in some cases require, estimates of fair market value. SFAS 157 also expands financial statement disclosure requirements about a company’s use of fair value measurements, including the effect of such measures on earnings. The provisions of SFAS 157 are effective for financial statements issued for fiscal years beginning after November 15, 2007. The Company is in the process of determining the impact of this statement on its consolidated financial statements.</w:t>
      </w:r>
    </w:p>
    <w:p>
      <w:pPr>
        <w:spacing w:after="0" w:line="70"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 xml:space="preserve">In February 2007, the FASB issued FASB Statement No. 159, </w:t>
      </w:r>
      <w:r>
        <w:rPr>
          <w:rFonts w:ascii="Arial" w:cs="Arial" w:eastAsia="Arial" w:hAnsi="Arial"/>
          <w:sz w:val="17"/>
          <w:szCs w:val="17"/>
          <w:i w:val="1"/>
          <w:iCs w:val="1"/>
          <w:color w:val="auto"/>
        </w:rPr>
        <w:t>The Fair Value Option for Financial Assets and Financial Liabilities—Including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Amendment of FASB Statement No. 115. </w:t>
      </w:r>
      <w:r>
        <w:rPr>
          <w:rFonts w:ascii="Arial" w:cs="Arial" w:eastAsia="Arial" w:hAnsi="Arial"/>
          <w:sz w:val="17"/>
          <w:szCs w:val="17"/>
          <w:color w:val="auto"/>
        </w:rPr>
        <w:t>This standard permits an entity to choose to measure many financial instruments and certain other items at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option is available to all entities, including not-for-profit organizations. Most of the provisions in Statement 159 are elective; however, the amendment to FASB Statement No. 115, </w:t>
      </w:r>
      <w:r>
        <w:rPr>
          <w:rFonts w:ascii="Arial" w:cs="Arial" w:eastAsia="Arial" w:hAnsi="Arial"/>
          <w:sz w:val="17"/>
          <w:szCs w:val="17"/>
          <w:i w:val="1"/>
          <w:iCs w:val="1"/>
          <w:color w:val="auto"/>
        </w:rPr>
        <w:t>Accounting for Certain Investments in Debt and Equity Securities</w:t>
      </w:r>
      <w:r>
        <w:rPr>
          <w:rFonts w:ascii="Arial" w:cs="Arial" w:eastAsia="Arial" w:hAnsi="Arial"/>
          <w:sz w:val="17"/>
          <w:szCs w:val="17"/>
          <w:color w:val="auto"/>
        </w:rPr>
        <w:t xml:space="preserve"> applies to all entities with available-for-sale and trading securities. Some requirements apply differently to entities that do not report net income. The FASB’s stated objective in issuing this standard is as follows: “to improve financial reporting by providing entities with the opportunity to mitigate volatility in reported earnings caused by measuring related assets and liabilities differently without having to apply complex hedge accounting provisions.”</w:t>
      </w:r>
    </w:p>
    <w:p>
      <w:pPr>
        <w:spacing w:after="0" w:line="70"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The fair value option established by Statement 159 permits all entities to choose to measure eligible items at fair value at specified election dates. A business entity will report unrealized gains and losses on items for which the fair value option has been elected in earnings (or another performance indicator if the business entity does not report earnings) at each subsequent reporting date. A not-for-profit organization will report unrealized gains and losses in its statement of activities or similar statement.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w:t>
      </w:r>
    </w:p>
    <w:p>
      <w:pPr>
        <w:spacing w:after="0" w:line="85"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 xml:space="preserve">Statement 159 is effective as of the beginning of an entity’s first fiscal year that begins after November 15, 2007. Early adoption is permitted as of the beginning of the previous fiscal year provided that the entity makes that choice in the first 120 days of that fiscal year and also elects to apply the provisions of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The Company is in the process of determining the impact of this statement on its consolidated financials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detailed information regarding related party transactions, see Note 15 of our consolidated financial statements.</w:t>
      </w:r>
    </w:p>
    <w:p>
      <w:pPr>
        <w:sectPr>
          <w:pgSz w:w="11900" w:h="16838" w:orient="portrait"/>
          <w:cols w:equalWidth="0" w:num="1">
            <w:col w:w="11420"/>
          </w:cols>
          <w:pgMar w:left="240" w:top="125" w:right="239" w:bottom="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We are exposed to foreign currency risks due to both transactions and translations between functional and reporting currencies in our Indian, Brazilian and European foreign subsidiaries. We are exposed to the impact of foreign currency fluctuations due to the operations of and net monetary asset and liability positions in our Indian, Brazilian and European foreign subsidiaries. Significant monetary assets and liabilities expected to be realized in the foreseeable future include trade receivables, trade payables and certain intercompany payables that are not denominated in their local functional currencies. As of December 31, 2006, our Indian, Brazilian and European subsidiaries were in average net liability positions (i.e., monetary liabilities were greater than monetary assets subject to foreign currency risk) of approximately $0.3 million, $17.0 million and $11.0 million, respectively. The potential foreign currency translation losses from a hypothetical 10% adverse change in the exchange rates from the net liability positions at December 31, 2006 were approximately zero, $1.7 million and $1.1 million for the, Indian, Brazilian and European subsidiaries, respectively. In the event that the functional currency of China does not continue to be based on the U.S. dollar, we may be exposed to foreign currency fluctuations due to the activities of our corporate resource center in China.</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addition, we estimate that an immediate 10% change in foreign exchange rates would impact reported net income or loss by approximately</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$0.2 million for the year ended December 31, 2006. This was estimated using a 10% deterioration factor to the average monthly exchange rates applied to net income or loss for each of the related subsidiaries in the respective period.</w:t>
      </w:r>
    </w:p>
    <w:p>
      <w:pPr>
        <w:spacing w:after="0" w:line="76"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Due to the difficulty in determining and obtaining predictable cash flow forecasts in our foreign operations based on the overall challenging economic environment and associated contract structures, we do not currently utilize any derivative financial instruments to hedge foreign currency risks.</w:t>
      </w:r>
    </w:p>
    <w:p>
      <w:pPr>
        <w:spacing w:after="0" w:line="16"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The Company is exposed to market risk in connection with changes in interest rates, primarily in connection with outstanding balances under its credit facility with KeyBank National Association. Based on the Company’s average outstanding balances during the year ended December 31, 2006 a 1% change in the LIBOR rate would impact the Company’s financial position and results of operations by approximately $200 thousand over the next year. We currently do not utilize any derivative financial instruments to hedge interest rate risks. Cash and cash equivalents as of December 31, 2006 were $5.4 million and are primarily invested in money market interest bearing accounts. A hypothetical 10% adverse change in the average interest rate on our money market cash investments and short-term investments would have had no material effect on net income for the year ended December 31, 2006.</w:t>
      </w:r>
    </w:p>
    <w:p>
      <w:pPr>
        <w:spacing w:after="0" w:line="5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is included in Part IV Item 15(a)(1) and (2) of this Annual Report on Form 10-K.</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 Practices Review and Restatement</w:t>
      </w:r>
    </w:p>
    <w:p>
      <w:pPr>
        <w:spacing w:after="0" w:line="11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As discussed in the Explanatory Note preceding Part I and in Note 2 of Notes to Consolidated Financial Statements of this Form 10-K, in 2006 we commenced our Equity Award Review of our past practices for granting and pricing stock options and other equity awards. In February 2007, the Company’s Board appointed a Special Committee of the Board to review the adequacy of the Equity Award Review and the recommendations of management regarding historical option granting practices, and to make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recommendations and findings regarding those practices and individual conduct. The Special Committee also conducted its own separate review of the option granting practices during the tenure of the current executive management team with the assistance of its own separate counsel and a forensic information technology consulting firm. As a result of the Equity Award Review and the independent investigation, management has concluded, and the Board agrees, that between 1998 and late 2003, incorrect measurement dates were used for non-cash stock-based compensation expense and related tax effects with regard to past stock option grants. Specifically:</w:t>
      </w:r>
    </w:p>
    <w:p>
      <w:pPr>
        <w:spacing w:after="0" w:line="80" w:lineRule="exact"/>
        <w:rPr>
          <w:sz w:val="20"/>
          <w:szCs w:val="20"/>
          <w:color w:val="auto"/>
        </w:rPr>
      </w:pPr>
    </w:p>
    <w:p>
      <w:pPr>
        <w:ind w:left="540" w:right="220" w:hanging="172"/>
        <w:spacing w:after="0" w:line="277" w:lineRule="auto"/>
        <w:tabs>
          <w:tab w:leader="none" w:pos="4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was a lack of contemporaneous documentation for certain stock option grants confirming that proper approval occurred on the indicated grant date</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grant dates for twelve grants were selected after the documented approval of those options</w:t>
      </w:r>
    </w:p>
    <w:p>
      <w:pPr>
        <w:spacing w:after="0" w:line="117" w:lineRule="exact"/>
        <w:rPr>
          <w:rFonts w:ascii="Arial" w:cs="Arial" w:eastAsia="Arial" w:hAnsi="Arial"/>
          <w:sz w:val="18"/>
          <w:szCs w:val="18"/>
          <w:color w:val="auto"/>
        </w:rPr>
      </w:pPr>
    </w:p>
    <w:p>
      <w:pPr>
        <w:ind w:left="540" w:right="60" w:hanging="172"/>
        <w:spacing w:after="0" w:line="277" w:lineRule="auto"/>
        <w:tabs>
          <w:tab w:leader="none" w:pos="4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Allocations of options to individual employees for seven broad-based grants to employees were determined subsequent to the documented approval of the grants by the Compensation Committee</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Thirty-three grants made in connection with employment offers were made on grant dates preceding the employee’s hire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Equity Award Review also discovered the following findings unrelated to changes in measurement dates:</w:t>
      </w:r>
    </w:p>
    <w:p>
      <w:pPr>
        <w:spacing w:after="0" w:line="117" w:lineRule="exact"/>
        <w:rPr>
          <w:sz w:val="20"/>
          <w:szCs w:val="20"/>
          <w:color w:val="auto"/>
        </w:rPr>
      </w:pPr>
    </w:p>
    <w:p>
      <w:pPr>
        <w:ind w:left="540" w:right="420" w:hanging="172"/>
        <w:spacing w:after="0" w:line="277"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consultants and board advisors were granted stock options under the Company’s incentive stock option plan which allowed only grants to employees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Modifications were made to certain employee stock options that were not accounted for in accordance with APB 25</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misappropriation of options perpetrated by the Company’s former stock option administrator</w:t>
      </w:r>
    </w:p>
    <w:p>
      <w:pPr>
        <w:spacing w:after="0" w:line="11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Substantially all of the findings relate to options granted between 1998 through late 2003 with related amortization of stock-based compensation expense impacting the years 1998 through 2005. Accordingly, the Company recorded additional non-cash stock-based compensation expense, charges for unauthorized issuance of common stock, deferred compensation and related tax effects and restated previously filed financial statements for the years ended December 31, 2004 and 2005 and consolidated statements of operations and consolidated balance sheet data for each of the four years in the period ended December 31, 2005, included in “Selected Consolidated Financial Data” in Part II, Item 6 of this Form 10-K. The Company also restated the stock-based compensation expense footnote information calculated under SFAS No, 123 and SFAS No. 148 under the disclosure-only alternatives of those pronouncements for the years 2004 and 2005 and for interim periods of 2005. The restated footnote information has been included in “Management’s</w:t>
      </w:r>
    </w:p>
    <w:p>
      <w:pPr>
        <w:sectPr>
          <w:pgSz w:w="11900" w:h="16838" w:orient="portrait"/>
          <w:cols w:equalWidth="0" w:num="1">
            <w:col w:w="11400"/>
          </w:cols>
          <w:pgMar w:left="240" w:top="125" w:right="259" w:bottom="0" w:gutter="0" w:footer="0" w:header="0"/>
        </w:sectPr>
      </w:pPr>
    </w:p>
    <w:bookmarkStart w:id="51" w:name="page52"/>
    <w:bookmarkEnd w:id="51"/>
    <w:p>
      <w:pPr>
        <w:ind w:right="300"/>
        <w:spacing w:after="0" w:line="259" w:lineRule="auto"/>
        <w:rPr>
          <w:sz w:val="20"/>
          <w:szCs w:val="20"/>
          <w:color w:val="auto"/>
        </w:rPr>
      </w:pPr>
      <w:r>
        <w:rPr>
          <w:rFonts w:ascii="Arial" w:cs="Arial" w:eastAsia="Arial" w:hAnsi="Arial"/>
          <w:sz w:val="18"/>
          <w:szCs w:val="18"/>
          <w:color w:val="auto"/>
        </w:rPr>
        <w:t>Discussion and Analysis of Financial Condition and Results of Operations” as well as in the Consolidated Financial Statements in Part II, Item 15 of this Report. The Equity Award Review did not identify any measurement date adjustments required under APB 25 for grants made since November 2003, although it did find minor administrative errors that have resulted in immaterial adjustments aggregating approximately $50,000 for the period from 2004 through 2006.</w:t>
      </w:r>
    </w:p>
    <w:p>
      <w:pPr>
        <w:spacing w:after="0" w:line="79"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Details of the restatement and its underlying circumstances are discussed in the Explanatory Note at the beginning of this report and in Note 2 of Notes to Consolidated Financial Statements in Item 15 of this report.</w:t>
      </w:r>
    </w:p>
    <w:p>
      <w:pPr>
        <w:spacing w:after="0" w:line="6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After discussion with the Company’s external auditors regarding varying accounting positions, a material adjustment related to the cancellation of stock options was recorded in 2001 in conjunction with the restatement. Accordingly, we determined that due to the material adjustment and the fact that the duration of the stock option reviews precluded the Company from filing its financial information with the SEC in a timely manner, a material weakness in our internal controls and procedures exists as of</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December 31, 2006. From the period November 1999 through October 2003, the Company did not consistently follow option grant processes and procedures nor did the Company have sufficient safeguards in place to monitor its control practices regarding stock option pricing and related financial reporting.</w:t>
      </w:r>
    </w:p>
    <w:p>
      <w:pPr>
        <w:spacing w:after="0" w:line="16"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From 2004 through 2006 the Company implemented improvements to procedures, processes, and systems to provide additional safeguards and greater internal control over financial reporting processes including the stock option granting and administration function in compliance with the Sarbanes-Oxley Act (“SOX”) and evolving accounting guidance. These improvements include, but are not limited to:</w:t>
      </w:r>
    </w:p>
    <w:p>
      <w:pPr>
        <w:spacing w:after="0" w:line="73" w:lineRule="exact"/>
        <w:rPr>
          <w:sz w:val="20"/>
          <w:szCs w:val="20"/>
          <w:color w:val="auto"/>
        </w:rPr>
      </w:pPr>
    </w:p>
    <w:p>
      <w:pPr>
        <w:ind w:left="540" w:right="300" w:hanging="172"/>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improved commitment to competency manifested by the hiring of more experienced and senior executive and legal personnel to replace certain members of former management</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Documenting and assessing the design and operating effectiveness of key internal controls over the stock administration function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Segregating certain responsibilities related to option granting and the execution of stock option exercise transactions</w:t>
      </w:r>
    </w:p>
    <w:p>
      <w:pPr>
        <w:spacing w:after="0" w:line="117" w:lineRule="exact"/>
        <w:rPr>
          <w:rFonts w:ascii="Arial" w:cs="Arial" w:eastAsia="Arial" w:hAnsi="Arial"/>
          <w:sz w:val="18"/>
          <w:szCs w:val="18"/>
          <w:color w:val="auto"/>
        </w:rPr>
      </w:pPr>
    </w:p>
    <w:p>
      <w:pPr>
        <w:ind w:left="540" w:right="580" w:hanging="172"/>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establishment of processes and procedures to increase communications between the stock administration, human resources and accounting functions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addition of independent reviews and reconciliations of stock option activity separate from the stock administration function</w:t>
      </w:r>
    </w:p>
    <w:p>
      <w:pPr>
        <w:spacing w:after="0" w:line="117" w:lineRule="exact"/>
        <w:rPr>
          <w:rFonts w:ascii="Arial" w:cs="Arial" w:eastAsia="Arial" w:hAnsi="Arial"/>
          <w:sz w:val="18"/>
          <w:szCs w:val="18"/>
          <w:color w:val="auto"/>
        </w:rPr>
      </w:pPr>
    </w:p>
    <w:p>
      <w:pPr>
        <w:ind w:left="540" w:right="300" w:hanging="172"/>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establishment of a consistent, formalized procedure for stock option award procedures including limiting the authority to approve stock option grants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Upgrading equity tracking software program and system controls that support the processes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Requiring training for those employees who utilize the Company’s equity tracking software program.</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Adopting a grant date policy whereby all stock option grants are to occur on the 15th of the month, except in unusual circumstances</w:t>
      </w:r>
    </w:p>
    <w:p>
      <w:pPr>
        <w:spacing w:after="0" w:line="117" w:lineRule="exact"/>
        <w:rPr>
          <w:rFonts w:ascii="Arial" w:cs="Arial" w:eastAsia="Arial" w:hAnsi="Arial"/>
          <w:sz w:val="18"/>
          <w:szCs w:val="18"/>
          <w:color w:val="auto"/>
        </w:rPr>
      </w:pPr>
    </w:p>
    <w:p>
      <w:pPr>
        <w:ind w:left="540" w:right="40" w:hanging="172"/>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Requiring that only an employee independent of the stock administration function be allowed to communicate stock option exercise instructions to the Company’s transfer agent</w:t>
      </w:r>
    </w:p>
    <w:p>
      <w:pPr>
        <w:spacing w:after="0" w:line="62" w:lineRule="exact"/>
        <w:rPr>
          <w:sz w:val="20"/>
          <w:szCs w:val="20"/>
          <w:color w:val="auto"/>
        </w:rPr>
      </w:pPr>
    </w:p>
    <w:p>
      <w:pPr>
        <w:ind w:right="780" w:firstLine="360"/>
        <w:spacing w:after="0" w:line="342" w:lineRule="auto"/>
        <w:rPr>
          <w:sz w:val="20"/>
          <w:szCs w:val="20"/>
          <w:color w:val="auto"/>
        </w:rPr>
      </w:pPr>
      <w:r>
        <w:rPr>
          <w:rFonts w:ascii="Arial" w:cs="Arial" w:eastAsia="Arial" w:hAnsi="Arial"/>
          <w:sz w:val="16"/>
          <w:szCs w:val="16"/>
          <w:color w:val="auto"/>
        </w:rPr>
        <w:t>In addition to the significant improvements implemented between 2004 and 2006 discussed above, for various business reasons, the Company discontinued issuing stock option grants as a form of incentive compensation in lieu of other equity-based incentives effective January 2007.</w:t>
      </w:r>
    </w:p>
    <w:p>
      <w:pPr>
        <w:spacing w:after="0" w:line="16"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Company and the Company’s Board intend to adopt other measures recommended by the Special Committee to enhance the oversight of the stock option granting and administration function, including:</w:t>
      </w:r>
    </w:p>
    <w:p>
      <w:pPr>
        <w:spacing w:after="0" w:line="62" w:lineRule="exact"/>
        <w:rPr>
          <w:sz w:val="20"/>
          <w:szCs w:val="20"/>
          <w:color w:val="auto"/>
        </w:rPr>
      </w:pPr>
    </w:p>
    <w:p>
      <w:pPr>
        <w:ind w:left="500" w:hanging="13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Company’s Compensation Committee will approve any future option grants during meetings rather than by use of Unanimous Written Consents</w:t>
      </w:r>
    </w:p>
    <w:p>
      <w:pPr>
        <w:spacing w:after="0" w:line="140" w:lineRule="exact"/>
        <w:rPr>
          <w:rFonts w:ascii="Arial" w:cs="Arial" w:eastAsia="Arial" w:hAnsi="Arial"/>
          <w:sz w:val="16"/>
          <w:szCs w:val="16"/>
          <w:color w:val="auto"/>
        </w:rPr>
      </w:pPr>
    </w:p>
    <w:p>
      <w:pPr>
        <w:ind w:left="540" w:right="240" w:hanging="172"/>
        <w:spacing w:after="0" w:line="277"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the Board determines in the future to again use option grants as a form of incentive compensation, it will require the development of an annual option granting plan and option granting matrix</w:t>
      </w:r>
    </w:p>
    <w:p>
      <w:pPr>
        <w:spacing w:after="0" w:line="62" w:lineRule="exact"/>
        <w:rPr>
          <w:rFonts w:ascii="Arial" w:cs="Arial" w:eastAsia="Arial" w:hAnsi="Arial"/>
          <w:sz w:val="18"/>
          <w:szCs w:val="18"/>
          <w:color w:val="auto"/>
        </w:rPr>
      </w:pPr>
    </w:p>
    <w:p>
      <w:pPr>
        <w:ind w:left="540" w:right="120" w:hanging="172"/>
        <w:spacing w:after="0" w:line="277"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will arrange more training for all those involved in the stock option granting process to enhance awareness and understanding of legal, tax and accounting implications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will continue to maintain the most current version of its option tracking software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non-officer stock option committee will be dissolved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Annually, one member of the Company’s Board will attend director training</w:t>
      </w:r>
    </w:p>
    <w:p>
      <w:pPr>
        <w:spacing w:after="0" w:line="117" w:lineRule="exact"/>
        <w:rPr>
          <w:sz w:val="20"/>
          <w:szCs w:val="20"/>
          <w:color w:val="auto"/>
        </w:rPr>
      </w:pPr>
    </w:p>
    <w:p>
      <w:pPr>
        <w:ind w:left="740" w:hanging="372"/>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Under the supervision of, and with the participation of, our management, including our Principal Executive Officer and Principal Financial Officer, we conducted an evaluation of the effectiveness of the design and operation of our disclosure controls and procedures, (as defined in Exchange Act Rule 13a-15(e) and Rule 15d-15(e)), as they existed on December 31, 2006. In light of material weaknesses in our internal control over financial reporting as of December 31, 2006 and the fact that this Annual Report on Form 10-K was not filed within the time limits prescribed by the Exchange Act, our Principal Executive Officer and our Principal Financial Officer concluded that our disclosure controls and procedures were not effective at a reasonable level as of December 31, 2006.</w:t>
      </w:r>
    </w:p>
    <w:p>
      <w:pPr>
        <w:spacing w:after="0" w:line="59" w:lineRule="exact"/>
        <w:rPr>
          <w:sz w:val="20"/>
          <w:szCs w:val="20"/>
          <w:color w:val="auto"/>
        </w:rPr>
      </w:pPr>
    </w:p>
    <w:p>
      <w:pPr>
        <w:ind w:left="740" w:hanging="372"/>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ectPr>
          <w:pgSz w:w="11900" w:h="16838" w:orient="portrait"/>
          <w:cols w:equalWidth="0" w:num="1">
            <w:col w:w="11380"/>
          </w:cols>
          <w:pgMar w:left="240" w:top="125" w:right="279" w:bottom="0" w:gutter="0" w:footer="0" w:header="0"/>
        </w:sectPr>
      </w:pPr>
    </w:p>
    <w:bookmarkStart w:id="52" w:name="page53"/>
    <w:bookmarkEnd w:id="52"/>
    <w:p>
      <w:pPr>
        <w:ind w:right="40" w:firstLine="360"/>
        <w:spacing w:after="0" w:line="272"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 xml:space="preserve">Internal Control—Integrated Framework </w:t>
      </w:r>
      <w:r>
        <w:rPr>
          <w:rFonts w:ascii="Arial" w:cs="Arial" w:eastAsia="Arial" w:hAnsi="Arial"/>
          <w:sz w:val="17"/>
          <w:szCs w:val="17"/>
          <w:color w:val="auto"/>
        </w:rPr>
        <w:t>issued by the Committee of Sponsoring Organizations of the Treadway Commission (COSO Framework).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this evaluation, our management identified material weaknesses in our internal control over financial reporting as of December 31, 2006 as described below. A material weakness is a control deficiency, or combination of control deficiencies, that results in more than a remote likelihood that a material misstatement of the annual or interim financial statements will not be prevented or detected.</w:t>
      </w:r>
    </w:p>
    <w:p>
      <w:pPr>
        <w:spacing w:after="0" w:line="70"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In connection with the results of the stock option review discussed in “Stock Option Grant Practices Review and Restatement” above the Company has restated our previously filed financial statements for the years ended December 31, 2004 and 2005 and consolidated statements of operations and consolidated balance sheet data for each of the four years in the period ended December 31, 2005, included in “Selected Consolidated Financial Data” in Part II, Item 6 of this Form 10-K. The Company also restated the stock-based compensation expense footnote information calculated under SFAS No. 123 and SFAS No. 148 under the disclosure-only alternatives of those pronouncements for the years 2004 and 2005 and for interim periods of 2005. Due to the duration of the stock option review that precluded the Company from filing its financial information with the SEC in a timely manner and after consultation with the Company’s external auditors regarding varying accounting positions a material adjustment was recorded in 2001 to revise the accounting treatment related to the cancellation of certain stock options.</w:t>
      </w:r>
    </w:p>
    <w:p>
      <w:pPr>
        <w:spacing w:after="0" w:line="84"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In addition, as of December 31, 2006 after consultation with the Company’s external auditors, the Company recorded a material adjustment to reduce the valuation of deferred tax assets to reflect the impact of recent events on the Company’s business.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foregoing identified deficiencies constitute material weaknesses in the Company’s internal control structure as of December 31,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w:t>
      </w:r>
    </w:p>
    <w:p>
      <w:pPr>
        <w:spacing w:after="0" w:line="11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Our management has discussed the material weaknesses described above with our audit committee. Because of these material weaknesses, management has concluded that our Company did not maintain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effective internal control over financial reporting as of December 31, 2006, based on the COSO Framework.</w:t>
      </w:r>
    </w:p>
    <w:p>
      <w:pPr>
        <w:spacing w:after="0" w:line="117"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Our independent registered public accounting firm, Grant Thornton LLP, has issued an attestation report on our assessment of internal control over financial reporting. The report on the audit of internal control over financial reporting appears below in Item 9A(5).</w:t>
      </w:r>
    </w:p>
    <w:p>
      <w:pPr>
        <w:spacing w:after="0" w:line="6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On October 2, 2006, we completed the acquisition of MRC and as permitted by SEC guidance, we excluded from our assessment of the effectiveness of our internal control over financial reporting as of December 31, 2006, the internal control over financial reporting of this entity. Total assets related to MRC of $86.5 million and revenue for the period from the date of acquisition to December 31, 2006 of $17.2 million are included in our consolidated financial statements as of and for the year ended December 31, 2006.</w:t>
      </w:r>
    </w:p>
    <w:p>
      <w:pPr>
        <w:spacing w:after="0" w:line="79" w:lineRule="exact"/>
        <w:rPr>
          <w:sz w:val="20"/>
          <w:szCs w:val="20"/>
          <w:color w:val="auto"/>
        </w:rPr>
      </w:pPr>
    </w:p>
    <w:p>
      <w:pPr>
        <w:ind w:left="740" w:hanging="372"/>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Inherent Limitations Over Internal Controls</w:t>
      </w:r>
    </w:p>
    <w:p>
      <w:pPr>
        <w:spacing w:after="0" w:line="117" w:lineRule="exact"/>
        <w:rPr>
          <w:sz w:val="20"/>
          <w:szCs w:val="20"/>
          <w:color w:val="auto"/>
        </w:rPr>
      </w:pPr>
    </w:p>
    <w:p>
      <w:pPr>
        <w:ind w:right="440" w:firstLine="360"/>
        <w:spacing w:after="0" w:line="279" w:lineRule="auto"/>
        <w:rPr>
          <w:sz w:val="20"/>
          <w:szCs w:val="20"/>
          <w:color w:val="auto"/>
        </w:rPr>
      </w:pPr>
      <w:r>
        <w:rPr>
          <w:rFonts w:ascii="Arial" w:cs="Arial" w:eastAsia="Arial" w:hAnsi="Arial"/>
          <w:sz w:val="17"/>
          <w:szCs w:val="17"/>
          <w:color w:val="auto"/>
        </w:rPr>
        <w:t>A control system, no matter how well designed and operated, can provide only reasonable, not absolute, assurance that the objectives of the control system are met. Further, the design of a control system must reflect the fact that there are resource constraints, and that the benefits of controls must be considered relative to their costs. Due to the inherent limitations in all control systems, no evaluation of controls can provide absolute assurance that all control issues, errors and instances of fraud, if any, within the Company have been or will be detected.</w:t>
      </w:r>
    </w:p>
    <w:p>
      <w:pPr>
        <w:spacing w:after="0" w:line="63" w:lineRule="exact"/>
        <w:rPr>
          <w:sz w:val="20"/>
          <w:szCs w:val="20"/>
          <w:color w:val="auto"/>
        </w:rPr>
      </w:pPr>
    </w:p>
    <w:p>
      <w:pPr>
        <w:ind w:left="740" w:hanging="372"/>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17" w:lineRule="exact"/>
        <w:rPr>
          <w:sz w:val="20"/>
          <w:szCs w:val="20"/>
          <w:color w:val="auto"/>
        </w:rPr>
      </w:pPr>
    </w:p>
    <w:p>
      <w:pPr>
        <w:ind w:right="700" w:firstLine="360"/>
        <w:spacing w:after="0" w:line="308" w:lineRule="auto"/>
        <w:rPr>
          <w:sz w:val="20"/>
          <w:szCs w:val="20"/>
          <w:color w:val="auto"/>
        </w:rPr>
      </w:pPr>
      <w:r>
        <w:rPr>
          <w:rFonts w:ascii="Arial" w:cs="Arial" w:eastAsia="Arial" w:hAnsi="Arial"/>
          <w:sz w:val="17"/>
          <w:szCs w:val="17"/>
          <w:color w:val="auto"/>
        </w:rPr>
        <w:t>We continue to integrate MRC’s historical internal controls over financial reporting into our own internal controls over financial reporting. This integration may lead to our making changes in our, or MRC’s historical internal controls over financial reporting in future fiscal periods.</w:t>
      </w:r>
    </w:p>
    <w:p>
      <w:pPr>
        <w:spacing w:after="0" w:line="38" w:lineRule="exact"/>
        <w:rPr>
          <w:sz w:val="20"/>
          <w:szCs w:val="20"/>
          <w:color w:val="auto"/>
        </w:rPr>
      </w:pPr>
    </w:p>
    <w:p>
      <w:pPr>
        <w:jc w:val="both"/>
        <w:ind w:right="360" w:firstLine="360"/>
        <w:spacing w:after="0" w:line="286" w:lineRule="auto"/>
        <w:rPr>
          <w:sz w:val="20"/>
          <w:szCs w:val="20"/>
          <w:color w:val="auto"/>
        </w:rPr>
      </w:pPr>
      <w:r>
        <w:rPr>
          <w:rFonts w:ascii="Arial" w:cs="Arial" w:eastAsia="Arial" w:hAnsi="Arial"/>
          <w:sz w:val="17"/>
          <w:szCs w:val="17"/>
          <w:color w:val="auto"/>
        </w:rPr>
        <w:t>The Principal Executive Officer and Principal Financial Officer have concluded that, other than the specific changes identified in this Item 9A, there have been no changes to our internal control over financial reporting (as defined in Rules 13a-15(f) under the Exchange Act) during the fourth quarter of fiscal 2006 that have materially affected, or are reasonably likely to materially affect, our internal control over financial reporting.</w:t>
      </w:r>
    </w:p>
    <w:p>
      <w:pPr>
        <w:spacing w:after="0" w:line="57" w:lineRule="exact"/>
        <w:rPr>
          <w:sz w:val="20"/>
          <w:szCs w:val="20"/>
          <w:color w:val="auto"/>
        </w:rPr>
      </w:pPr>
    </w:p>
    <w:p>
      <w:pPr>
        <w:ind w:left="740" w:hanging="372"/>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management’s assessment, included in the accompanying “Management’s Report on Internal Control Over Financial Reporting,’’ that Wireless Facilities, Inc. and subsidiaries (the Company) did not maintain effective internal control over financial reporting as of December 31, 2006, because of the effect of the material weaknesses identified in management’s assessment based on criteria established in Internal Control—Integrated Framework issued by the Committee of Sponsoring Organizations of the Treadway Commission (COSO). Wireless Facilities,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w:t>
      </w:r>
    </w:p>
    <w:p>
      <w:pPr>
        <w:sectPr>
          <w:pgSz w:w="11900" w:h="16838" w:orient="portrait"/>
          <w:cols w:equalWidth="0" w:num="1">
            <w:col w:w="11420"/>
          </w:cols>
          <w:pgMar w:left="240" w:top="125" w:right="239" w:bottom="744"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744" w:gutter="0" w:footer="0" w:header="0"/>
          <w:type w:val="continuous"/>
        </w:sectPr>
      </w:pPr>
    </w:p>
    <w:bookmarkStart w:id="53" w:name="page54"/>
    <w:bookmarkEnd w:id="53"/>
    <w:p>
      <w:pPr>
        <w:ind w:right="60"/>
        <w:spacing w:after="0" w:line="259" w:lineRule="auto"/>
        <w:rPr>
          <w:sz w:val="20"/>
          <w:szCs w:val="20"/>
          <w:color w:val="auto"/>
        </w:rPr>
      </w:pPr>
      <w:r>
        <w:rPr>
          <w:rFonts w:ascii="Arial" w:cs="Arial" w:eastAsia="Arial" w:hAnsi="Arial"/>
          <w:sz w:val="18"/>
          <w:szCs w:val="18"/>
          <w:color w:val="auto"/>
        </w:rPr>
        <w:t>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 financial statements will not be prevented or detected. The following material weaknesses have been identified and included in management’s assessment as of December 31, 2006:</w:t>
      </w:r>
    </w:p>
    <w:p>
      <w:pPr>
        <w:spacing w:after="0" w:line="73" w:lineRule="exact"/>
        <w:rPr>
          <w:sz w:val="20"/>
          <w:szCs w:val="20"/>
          <w:color w:val="auto"/>
        </w:rPr>
      </w:pPr>
    </w:p>
    <w:p>
      <w:pPr>
        <w:ind w:left="360"/>
        <w:spacing w:after="0" w:line="293" w:lineRule="auto"/>
        <w:rPr>
          <w:sz w:val="20"/>
          <w:szCs w:val="20"/>
          <w:color w:val="auto"/>
        </w:rPr>
      </w:pPr>
      <w:r>
        <w:rPr>
          <w:rFonts w:ascii="Arial" w:cs="Arial" w:eastAsia="Arial" w:hAnsi="Arial"/>
          <w:sz w:val="16"/>
          <w:szCs w:val="16"/>
          <w:color w:val="auto"/>
        </w:rPr>
        <w:t>The Company’s financial statements for the years ended December 31, 2005 and earlier were restated due to unrecorded non-cash equity-based compensation charges associated with the Company’s equity incentive plans. The stock option grant practices review extended for a significant period of time and precluded the Company from filing its financial information with the Securities and Exchange Commission (“SEC”) in a timely manner. The Company recorded a material adjustment to account for cancellation of stock options in 2001 after discussion with its external auditors regarding varying accounting positions. The Company also recorded a material adjustment to its net deferred tax assets after discussion with its auditors. The foregoing identified deficiencies constitute material weaknesses in the Company’s internal control structure as of December 31, 2006.</w:t>
      </w:r>
    </w:p>
    <w:p>
      <w:pPr>
        <w:spacing w:after="0" w:line="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These material weaknesses were considered in determining the nature, timing, and extent of audit tests applied in our audit of the 2006 consolidated financial statements, and this report does not affect our report dated September 10, 2007, which expressed an unqualified opinion on those financial statements.</w:t>
      </w:r>
    </w:p>
    <w:p>
      <w:pPr>
        <w:spacing w:after="0" w:line="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indicated in the accompanying Management’s Report on Internal Control Over Financial Reporting, management’s assessment of and conclusion on the effectiveness of internal control over financial reporting excluded Madison Research Corporation (MRC), an entity that was acquired during 2006. This entity represented approximately 5% of consolidated revenues and 18% of total assets at December 31, 2006. Our audit of internal control over financial reporting of Wireless Facilities, Inc. also did not include an evaluation of the internal control over financial reporting of MRC.</w:t>
      </w:r>
    </w:p>
    <w:p>
      <w:pPr>
        <w:spacing w:after="0" w:line="6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management’s assessment that Wireless Facilities, Inc. and subsidiaries did not maintain effective internal control over financial reporting as of December 31, 2006, is fairly stated, in all material respects, based on criteria established in Internal Control—Integrated Framework issued by COSO</w:t>
      </w:r>
      <w:r>
        <w:rPr>
          <w:rFonts w:ascii="Arial" w:cs="Arial" w:eastAsia="Arial" w:hAnsi="Arial"/>
          <w:sz w:val="18"/>
          <w:szCs w:val="18"/>
          <w:i w:val="1"/>
          <w:iCs w:val="1"/>
          <w:color w:val="auto"/>
        </w:rPr>
        <w:t>.</w:t>
      </w:r>
      <w:r>
        <w:rPr>
          <w:rFonts w:ascii="Arial" w:cs="Arial" w:eastAsia="Arial" w:hAnsi="Arial"/>
          <w:sz w:val="18"/>
          <w:szCs w:val="18"/>
          <w:color w:val="auto"/>
        </w:rPr>
        <w:t xml:space="preserve"> Also in our opinion, because of the effect of the material weaknesses described above on the achievement of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objectives of the control criteria, Wireless Facilities, Inc. and subsidiaries has not maintained effective internal control over financial reporting as of December 31, 2006, based on criteria established in Internal Control—Integrated Framework issued by COSO</w:t>
      </w:r>
      <w:r>
        <w:rPr>
          <w:rFonts w:ascii="Arial" w:cs="Arial" w:eastAsia="Arial" w:hAnsi="Arial"/>
          <w:sz w:val="18"/>
          <w:szCs w:val="18"/>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155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Our Directors are each elected annually, the names, ages and years in which each became a Director are set forth in the following table and biographical information of each Director is set forth following the table:</w:t>
      </w:r>
    </w:p>
    <w:p>
      <w:pPr>
        <w:spacing w:after="0" w:line="132"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Age</w:t>
            </w: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Year in Which</w:t>
            </w:r>
          </w:p>
        </w:tc>
        <w:tc>
          <w:tcPr>
            <w:tcW w:w="0" w:type="dxa"/>
            <w:vAlign w:val="bottom"/>
          </w:tcPr>
          <w:p>
            <w:pPr>
              <w:spacing w:after="0"/>
              <w:rPr>
                <w:sz w:val="1"/>
                <w:szCs w:val="1"/>
                <w:color w:val="auto"/>
              </w:rPr>
            </w:pPr>
          </w:p>
        </w:tc>
      </w:tr>
      <w:tr>
        <w:trPr>
          <w:trHeight w:val="162"/>
        </w:trPr>
        <w:tc>
          <w:tcPr>
            <w:tcW w:w="450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Became Director</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I. Anderson</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rPr>
              <w:t>1997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Bandel L. Carano</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18"/>
                <w:szCs w:val="18"/>
                <w:color w:val="auto"/>
              </w:rPr>
            </w:pP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M. DeMarco</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William A. Hoglund</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20" w:type="dxa"/>
            <w:vAlign w:val="bottom"/>
          </w:tcPr>
          <w:p>
            <w:pPr>
              <w:spacing w:after="0"/>
              <w:rPr>
                <w:sz w:val="18"/>
                <w:szCs w:val="18"/>
                <w:color w:val="auto"/>
              </w:rPr>
            </w:pP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 B. Jarvis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i w:val="1"/>
          <w:iCs w:val="1"/>
          <w:color w:val="auto"/>
        </w:rPr>
        <w:t>Scott I. Anderson</w:t>
      </w:r>
      <w:r>
        <w:rPr>
          <w:rFonts w:ascii="Arial" w:cs="Arial" w:eastAsia="Arial" w:hAnsi="Arial"/>
          <w:sz w:val="16"/>
          <w:szCs w:val="16"/>
          <w:color w:val="auto"/>
        </w:rPr>
        <w:t>, 49, has been one of our Directors since February 1997. Since 1997, Mr. Anderson has been a principal of Cedar Grove Partners, LLC,</w:t>
      </w:r>
      <w:r>
        <w:rPr>
          <w:rFonts w:ascii="Arial" w:cs="Arial" w:eastAsia="Arial" w:hAnsi="Arial"/>
          <w:sz w:val="16"/>
          <w:szCs w:val="16"/>
          <w:i w:val="1"/>
          <w:iCs w:val="1"/>
          <w:color w:val="auto"/>
        </w:rPr>
        <w:t xml:space="preserve"> </w:t>
      </w:r>
      <w:r>
        <w:rPr>
          <w:rFonts w:ascii="Arial" w:cs="Arial" w:eastAsia="Arial" w:hAnsi="Arial"/>
          <w:sz w:val="16"/>
          <w:szCs w:val="16"/>
          <w:color w:val="auto"/>
        </w:rPr>
        <w:t>an investment and advisory concern. Since 1998, Mr. Anderson has also been a principal of Cedar Grove Investments, LLC, a private seed capital firm.</w:t>
      </w:r>
    </w:p>
    <w:p>
      <w:pPr>
        <w:ind w:right="60"/>
        <w:spacing w:after="0" w:line="295" w:lineRule="auto"/>
        <w:rPr>
          <w:sz w:val="20"/>
          <w:szCs w:val="20"/>
          <w:color w:val="auto"/>
        </w:rPr>
      </w:pPr>
      <w:r>
        <w:rPr>
          <w:rFonts w:ascii="Arial" w:cs="Arial" w:eastAsia="Arial" w:hAnsi="Arial"/>
          <w:sz w:val="16"/>
          <w:szCs w:val="16"/>
          <w:color w:val="auto"/>
        </w:rPr>
        <w:t>Mr. Anderson was with McCaw Cellular/AT&amp;T Wireless, most recently as Senior Vice President of the Acquisitions and Development group. Mr. Anderson serves on the board of directors of SunCom Wireless, mInfo, Inc. and GotVoice, Inc. He is also an observer on the board of directors of Telephia, Inc. and Tigerstripe, Inc. Mr. Anderson is a member of the control groups of Von Donop Inlet PCS, LLC and LCW Wireless, LLC, both wireless licensees. He holds a B.A. in History from the University of Washington, Magna Cum Laude, and a J.D. from the University of Washington Law School, with highest honors.</w:t>
      </w:r>
    </w:p>
    <w:p>
      <w:pPr>
        <w:sectPr>
          <w:pgSz w:w="11900" w:h="16838" w:orient="portrait"/>
          <w:cols w:equalWidth="0" w:num="1">
            <w:col w:w="11400"/>
          </w:cols>
          <w:pgMar w:left="240" w:top="125" w:right="259" w:bottom="0" w:gutter="0" w:footer="0" w:header="0"/>
        </w:sectPr>
      </w:pPr>
    </w:p>
    <w:bookmarkStart w:id="54" w:name="page55"/>
    <w:bookmarkEnd w:id="54"/>
    <w:p>
      <w:pPr>
        <w:ind w:right="60" w:firstLine="360"/>
        <w:spacing w:after="0" w:line="255" w:lineRule="auto"/>
        <w:rPr>
          <w:sz w:val="20"/>
          <w:szCs w:val="20"/>
          <w:color w:val="auto"/>
        </w:rPr>
      </w:pPr>
      <w:r>
        <w:rPr>
          <w:rFonts w:ascii="Arial" w:cs="Arial" w:eastAsia="Arial" w:hAnsi="Arial"/>
          <w:sz w:val="18"/>
          <w:szCs w:val="18"/>
          <w:i w:val="1"/>
          <w:iCs w:val="1"/>
          <w:color w:val="auto"/>
        </w:rPr>
        <w:t>Bandel L. Carano</w:t>
      </w:r>
      <w:r>
        <w:rPr>
          <w:rFonts w:ascii="Arial" w:cs="Arial" w:eastAsia="Arial" w:hAnsi="Arial"/>
          <w:sz w:val="18"/>
          <w:szCs w:val="18"/>
          <w:color w:val="auto"/>
        </w:rPr>
        <w:t>, 45, was originally one of our Directors from August 1998 to June 2001, and re-joined our Board in October 2001. Since 1987, he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a general partner of Oak Investment Partners, a multi-stage venture capital firm. Mr. Carano also serves on the Investment Advisory Board of the Stanford Engineering Venture Fund, the board of directors of Airspan Networks, Inc., FiberTower Corporation, the Supervisory Board of Tele Atlas N.V. and the board of directors of numerous private companies, including Airgo Networks, nLight Photonics, Tensilica and Visto Corporation. Mr. Carano holds a B.S. and an M.S. in Electrical Engineering from Stanford University. Mr. Carano was nominated and elected as one of our Directors pursuant to the terms of a purchase agreement among the Company and certain of its stockholders in connection with the sale of the Company’s Series A convertible preferred stock in October 2001.</w:t>
      </w:r>
    </w:p>
    <w:p>
      <w:pPr>
        <w:spacing w:after="0" w:line="81"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i w:val="1"/>
          <w:iCs w:val="1"/>
          <w:color w:val="auto"/>
        </w:rPr>
        <w:t>Eric M. DeMarco</w:t>
      </w:r>
      <w:r>
        <w:rPr>
          <w:rFonts w:ascii="Arial" w:cs="Arial" w:eastAsia="Arial" w:hAnsi="Arial"/>
          <w:sz w:val="18"/>
          <w:szCs w:val="18"/>
          <w:color w:val="auto"/>
        </w:rPr>
        <w:t>, 44, joined the Company in November 2003 as President and Chief Operating Officer. Mr. DeMarco was appointed a Director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the role of Chief Executive Officer effective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April 1, 2004. Prior to coming to the Company, Mr. DeMarco most recently served as President and Chief Operating Officer of The Titan Corporation (“Titan”), a Delaware corporation. Prior to his being named President and Chief Operating Officer, Mr. DeMarco served as Executive Vice President and Chief Financial Officer of Titan. Prior to joining Titan, Mr. DeMarco served in a variety of public accounting positions primarily focusing on large multinational corporations and publicly traded companies. Mr. DeMarco holds a Bachelor of Science, Business Administration and Finance, Summa Cum Laude, from the University of New Hampshire.</w:t>
      </w:r>
    </w:p>
    <w:p>
      <w:pPr>
        <w:spacing w:after="0" w:line="80"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i w:val="1"/>
          <w:iCs w:val="1"/>
          <w:color w:val="auto"/>
        </w:rPr>
        <w:t>William A. Hoglund</w:t>
      </w:r>
      <w:r>
        <w:rPr>
          <w:rFonts w:ascii="Arial" w:cs="Arial" w:eastAsia="Arial" w:hAnsi="Arial"/>
          <w:sz w:val="17"/>
          <w:szCs w:val="17"/>
          <w:color w:val="auto"/>
        </w:rPr>
        <w:t>, 53, has been one of our Directors since February 2001. Mr. Hoglund is also a member of Safeboats International, LLC. From 1996</w:t>
      </w:r>
      <w:r>
        <w:rPr>
          <w:rFonts w:ascii="Arial" w:cs="Arial" w:eastAsia="Arial" w:hAnsi="Arial"/>
          <w:sz w:val="17"/>
          <w:szCs w:val="17"/>
          <w:i w:val="1"/>
          <w:iCs w:val="1"/>
          <w:color w:val="auto"/>
        </w:rPr>
        <w:t xml:space="preserve"> </w:t>
      </w:r>
      <w:r>
        <w:rPr>
          <w:rFonts w:ascii="Arial" w:cs="Arial" w:eastAsia="Arial" w:hAnsi="Arial"/>
          <w:sz w:val="17"/>
          <w:szCs w:val="17"/>
          <w:color w:val="auto"/>
        </w:rPr>
        <w:t>to 2000 Mr. Hoglund served as the Vice President and Chief Financial Officer of Eagle River, LLC, a private investment company. During his tenure at Eagle River, Mr. Hoglund was also a director of Nextel Communications, Inc. and Nextlink Communications, Inc. Mr. Hoglund holds a B.A. in Management Science and German Literature from Duke University and an MBA from the University of Chicago.</w:t>
      </w:r>
    </w:p>
    <w:p>
      <w:pPr>
        <w:spacing w:after="0" w:line="63"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i w:val="1"/>
          <w:iCs w:val="1"/>
          <w:color w:val="auto"/>
        </w:rPr>
        <w:t>Scot B. Jarvis</w:t>
      </w:r>
      <w:r>
        <w:rPr>
          <w:rFonts w:ascii="Arial" w:cs="Arial" w:eastAsia="Arial" w:hAnsi="Arial"/>
          <w:sz w:val="16"/>
          <w:szCs w:val="16"/>
          <w:color w:val="auto"/>
        </w:rPr>
        <w:t>, 46, joined our Board in February 1997. Mr. Jarvis co-founded Cedar Grove Partners, LLC in 1997, an investment and consulting/advisory</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and currently is its managing member. Prior to co-founding Cedar Grove, Mr. Jarvis served as a senior executive of Eagle River, Inc., a McCaw investment firm. While at Eagle River he founded Nextlink Communications on behalf of McCaw and served as its president. He also served as a regional president for Nextel Communications. From 1985 to 1994, Mr. Jarvis served in several executive capacities at McCaw Cellular Communications up until it was sold to AT&amp;T. Mr. Jarvis serves on the corporate boards of Cantata Technology, Inc., Wavelink Corporation, Visto Corporation, SkyPipeline, Slingshot Sports and Ultratouch. Mr. Jarvis holds a B.A. in Business Administration from the University of Washington.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Committee</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Effective September 5, 2007, the Board determined that a standing nominating and corporate governance committee of the Board is not necessary given the relatively small size of the Company’s Board and management team, limited scope of operations and simplicity of the Company’s business. In accordance with NASD Marketplace Rule 4200(a)(15), only the members of our Board who qualify as “independent directors” will now perform the functions of the nominating committee.</w:t>
      </w:r>
    </w:p>
    <w:p>
      <w:pPr>
        <w:spacing w:after="0" w:line="79"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independent members of our Board are responsible for screening potential director candidates and recommending qualified candidates to the full Board for nomination. The independent members of the Board will consider and evaluate any recommendation for director nominees proposed by a stockholder who (i) has continuously held at least 1% of the outstanding shares of the Company’s common stock entitled to vote at the annual meeting of stockholders for at least one year by the date the stockholder makes the recommendation and (ii) undertakes to continue to hold the common stock through the date of the meeting. In order to be evaluated in connection with the Company’s established procedures for evaluating potential director nominees, any recommendation for director nominee submitted by a qualifying stockholder must be received by the Company no later than 120 days prior to the anniversary of the date proxy statements were mailed to stockholders in connection with the prior year’s annual meeting of stockholders. Any stockholder recommendation for director nominee must be submitted to the Corporate Secretary in writing at 4810 Eastgate Mall, San Diego, California 92121 and must contain the following information:</w:t>
      </w:r>
    </w:p>
    <w:p>
      <w:pPr>
        <w:spacing w:after="0" w:line="89" w:lineRule="exact"/>
        <w:rPr>
          <w:sz w:val="20"/>
          <w:szCs w:val="20"/>
          <w:color w:val="auto"/>
        </w:rPr>
      </w:pPr>
    </w:p>
    <w:p>
      <w:pPr>
        <w:ind w:left="540" w:right="200" w:hanging="172"/>
        <w:spacing w:after="0" w:line="264" w:lineRule="auto"/>
        <w:tabs>
          <w:tab w:leader="none" w:pos="4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statement by the stockholder that he/she is the holder of at least 1% of the Company’s common stock and that the stock has been held for at least a year prior to the date of the submission and that the stockholder will continue to hold the shares through the date of the annual meeting of stockholders;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candidate’s name, age, contact information and current principal occupation or employment;</w:t>
      </w:r>
    </w:p>
    <w:p>
      <w:pPr>
        <w:spacing w:after="0" w:line="117" w:lineRule="exact"/>
        <w:rPr>
          <w:rFonts w:ascii="Arial" w:cs="Arial" w:eastAsia="Arial" w:hAnsi="Arial"/>
          <w:sz w:val="18"/>
          <w:szCs w:val="18"/>
          <w:color w:val="auto"/>
        </w:rPr>
      </w:pPr>
    </w:p>
    <w:p>
      <w:pPr>
        <w:ind w:left="540" w:right="40" w:hanging="172"/>
        <w:spacing w:after="0" w:line="342" w:lineRule="auto"/>
        <w:tabs>
          <w:tab w:leader="none" w:pos="4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description of the candidate’s qualifications and business experience during, at a minimum, the last five years, including his/her principal occupation and employment and the name and principal business of any corporation or other organization in which the candidate was employed;</w:t>
      </w:r>
    </w:p>
    <w:p>
      <w:pPr>
        <w:spacing w:after="0" w:line="15" w:lineRule="exact"/>
        <w:rPr>
          <w:rFonts w:ascii="Arial" w:cs="Arial" w:eastAsia="Arial" w:hAnsi="Arial"/>
          <w:sz w:val="16"/>
          <w:szCs w:val="16"/>
          <w:color w:val="auto"/>
        </w:rPr>
      </w:pPr>
    </w:p>
    <w:p>
      <w:pPr>
        <w:ind w:left="500" w:hanging="13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candidate’s resume;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Three references.</w:t>
      </w:r>
    </w:p>
    <w:p>
      <w:pPr>
        <w:spacing w:after="0" w:line="117" w:lineRule="exact"/>
        <w:rPr>
          <w:sz w:val="20"/>
          <w:szCs w:val="20"/>
          <w:color w:val="auto"/>
        </w:rPr>
      </w:pPr>
    </w:p>
    <w:p>
      <w:pPr>
        <w:ind w:right="760" w:firstLine="360"/>
        <w:spacing w:after="0" w:line="264" w:lineRule="auto"/>
        <w:rPr>
          <w:sz w:val="20"/>
          <w:szCs w:val="20"/>
          <w:color w:val="auto"/>
        </w:rPr>
      </w:pPr>
      <w:r>
        <w:rPr>
          <w:rFonts w:ascii="Arial" w:cs="Arial" w:eastAsia="Arial" w:hAnsi="Arial"/>
          <w:sz w:val="18"/>
          <w:szCs w:val="18"/>
          <w:color w:val="auto"/>
        </w:rPr>
        <w:t>The goal of our Board is to assemble a board of directors that brings a variety of perspectives and skills derived from high quality business and professional experience to the Company. In doing so, independent members of the Board also consider candidates with appropriate non-business backgrounds.</w:t>
      </w:r>
    </w:p>
    <w:p>
      <w:pPr>
        <w:spacing w:after="0" w:line="73"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Other than the foregoing, there are no stated minimum criteria for director nominees. However, the independent members of the Board may also consider such other factors as they may deem are in the Company’s best interests and that of our stockholders. The independent members of the Board do, however, recognize that under applicable regulatory requirements at least one member of the Board must meet the criteria for an “audit committee financial expert” as defined by SEC rules, and that at least a majority of the members of the Board must meet the definition of “independent director” under NASD Marketplace Rules or the listing standards of any other applicable self regulatory organization. The independent members of the Board also believe it to be appropriate for certain key members of the Company’s management to participate as members of the Board.</w:t>
      </w:r>
    </w:p>
    <w:p>
      <w:pPr>
        <w:sectPr>
          <w:pgSz w:w="11900" w:h="16838" w:orient="portrait"/>
          <w:cols w:equalWidth="0" w:num="1">
            <w:col w:w="11420"/>
          </w:cols>
          <w:pgMar w:left="240" w:top="125" w:right="239" w:bottom="0" w:gutter="0" w:footer="0" w:header="0"/>
        </w:sectPr>
      </w:pPr>
    </w:p>
    <w:bookmarkStart w:id="55" w:name="page56"/>
    <w:bookmarkEnd w:id="55"/>
    <w:p>
      <w:pPr>
        <w:ind w:right="40" w:firstLine="360"/>
        <w:spacing w:after="0" w:line="290" w:lineRule="auto"/>
        <w:rPr>
          <w:sz w:val="20"/>
          <w:szCs w:val="20"/>
          <w:color w:val="auto"/>
        </w:rPr>
      </w:pPr>
      <w:r>
        <w:rPr>
          <w:rFonts w:ascii="Arial" w:cs="Arial" w:eastAsia="Arial" w:hAnsi="Arial"/>
          <w:sz w:val="16"/>
          <w:szCs w:val="16"/>
          <w:color w:val="auto"/>
        </w:rPr>
        <w:t>The independent members of the Board identify nominees by first evaluating the current members of the Board willing to continue to serve. Current members of the Board with skills and experience that are relevant to the Company’s business and who are willing to continue in service are considered for re-nomination, balancing the value of continuity of service by existing members of the Board with that of obtaining a new perspective. If any member of the Board up for re-election at an upcoming annual meeting of stockholders does not wish to continue in service, the independent members of the Board identify the desired skills and experience of a new nominee in light of the criteria above. All of the members of the Board will be polled for suggestions as to individuals meeting the criteria for nomination to the Board. Research may also be performed to identify qualified individuals. If the independent members of the Board believe that the Board requires additional candidates for nomination, the independent members of the Board may explore alternative sources for identifying additional candidates. This may include engaging, as appropriate, a third party search firm to assist in identifying qualified candidates.</w:t>
      </w:r>
    </w:p>
    <w:p>
      <w:pPr>
        <w:spacing w:after="0" w:line="58"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All Directors and director nominees will submit a completed form of directors’ and officers’ questionnaire as part of the nominating process. The process may also include interviews and additional background and reference checks for non-incumbent nominees, at the discretion of the independent members of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Our Board has adopted a Code of Ethics that applies to all of our Directors, officers and employees. The Code of Ethics is available for review on our website at www.wfinet.com; the Code of Ethics is also available in print, without charge, to any stockholder who requests a copy by writing to us at Wireless Facilities, Inc., 4810 Eastgate Mall, San Diego, California, 92121, Attention: Investor Relations. Each of our Directors, officers, including our Chief Executive Officer, Chief Financial Officer and Corporate Controller, and all of our other principal executive officers and employees is required to be familiar with the Code of Ethics and to certify compliance annually. There have not been any waivers of the Code of Ethics relating to any of our executive officers or Directors in the past year.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Our Board has a separately designated standing Audit Committee that has been established in accordance with section 3(a)58(A) of the Exchange Act. Our Audit Committee consists of Messrs. Anderson (Chairperson), Hoglund and Jarvis. Our Board of Directors has affirmatively determined that each member of the Audit Committee is independent under NASD Marketplace Rule 4200(a)(15), and meets all other qualifications under NASD Marketplace Rule 4350(d)(2), the Sarbanes-Oxley Act of 2002 and applicable rules of the SEC. Our Board has also affirmatively determined that Mr. Hoglund qualifies as an “audit committee financial expert” as such term is defined in Regulation S-K of the Securities Act of 1933.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Our executive officers and their respective positions are set forth in the following table. Biographical information of each executive officer who is not also a Director is set forth following the table. There are no family relationships between any Director or executive officer and any our other Directors or executive officers. Executive officers serve at the discretion of our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Year in Which</w:t>
            </w:r>
          </w:p>
        </w:tc>
        <w:tc>
          <w:tcPr>
            <w:tcW w:w="0" w:type="dxa"/>
            <w:vAlign w:val="bottom"/>
          </w:tcPr>
          <w:p>
            <w:pPr>
              <w:spacing w:after="0"/>
              <w:rPr>
                <w:sz w:val="1"/>
                <w:szCs w:val="1"/>
                <w:color w:val="auto"/>
              </w:rPr>
            </w:pPr>
          </w:p>
        </w:tc>
      </w:tr>
      <w:tr>
        <w:trPr>
          <w:trHeight w:val="135"/>
        </w:trPr>
        <w:tc>
          <w:tcPr>
            <w:tcW w:w="164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220" w:type="dxa"/>
            <w:vAlign w:val="bottom"/>
          </w:tcPr>
          <w:p>
            <w:pPr>
              <w:spacing w:after="0"/>
              <w:rPr>
                <w:sz w:val="11"/>
                <w:szCs w:val="11"/>
                <w:color w:val="auto"/>
              </w:rPr>
            </w:pPr>
          </w:p>
        </w:tc>
        <w:tc>
          <w:tcPr>
            <w:tcW w:w="4660" w:type="dxa"/>
            <w:vAlign w:val="bottom"/>
            <w:gridSpan w:val="2"/>
            <w:vMerge w:val="restart"/>
          </w:tcPr>
          <w:p>
            <w:pPr>
              <w:ind w:left="1960"/>
              <w:spacing w:after="0"/>
              <w:rPr>
                <w:sz w:val="20"/>
                <w:szCs w:val="20"/>
                <w:color w:val="auto"/>
              </w:rPr>
            </w:pPr>
            <w:r>
              <w:rPr>
                <w:rFonts w:ascii="Arial" w:cs="Arial" w:eastAsia="Arial" w:hAnsi="Arial"/>
                <w:sz w:val="14"/>
                <w:szCs w:val="14"/>
                <w:b w:val="1"/>
                <w:bCs w:val="1"/>
                <w:color w:val="auto"/>
              </w:rPr>
              <w:t>Position</w:t>
            </w: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Age</w:t>
            </w: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He/She</w:t>
            </w:r>
          </w:p>
        </w:tc>
        <w:tc>
          <w:tcPr>
            <w:tcW w:w="0" w:type="dxa"/>
            <w:vAlign w:val="bottom"/>
          </w:tcPr>
          <w:p>
            <w:pPr>
              <w:spacing w:after="0"/>
              <w:rPr>
                <w:sz w:val="1"/>
                <w:szCs w:val="1"/>
                <w:color w:val="auto"/>
              </w:rPr>
            </w:pPr>
          </w:p>
        </w:tc>
      </w:tr>
      <w:tr>
        <w:trPr>
          <w:trHeight w:val="162"/>
        </w:trPr>
        <w:tc>
          <w:tcPr>
            <w:tcW w:w="1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Became Officer</w:t>
            </w:r>
          </w:p>
        </w:tc>
        <w:tc>
          <w:tcPr>
            <w:tcW w:w="0" w:type="dxa"/>
            <w:vAlign w:val="bottom"/>
          </w:tcPr>
          <w:p>
            <w:pPr>
              <w:spacing w:after="0"/>
              <w:rPr>
                <w:sz w:val="1"/>
                <w:szCs w:val="1"/>
                <w:color w:val="auto"/>
              </w:rPr>
            </w:pPr>
          </w:p>
        </w:tc>
      </w:tr>
      <w:tr>
        <w:trPr>
          <w:trHeight w:val="210"/>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Eric M. DeMarco</w:t>
            </w:r>
          </w:p>
        </w:tc>
        <w:tc>
          <w:tcPr>
            <w:tcW w:w="22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President</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James R. Edwards</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Senior Vice President, General Counsel and Secretary</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Deanna H. Lund</w:t>
            </w:r>
          </w:p>
        </w:tc>
        <w:tc>
          <w:tcPr>
            <w:tcW w:w="4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D. Robin Mickle</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President, WFI Government Services, Inc.</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440" w:firstLine="360"/>
        <w:spacing w:after="0" w:line="342" w:lineRule="auto"/>
        <w:rPr>
          <w:sz w:val="20"/>
          <w:szCs w:val="20"/>
          <w:color w:val="auto"/>
        </w:rPr>
      </w:pPr>
      <w:r>
        <w:rPr>
          <w:rFonts w:ascii="Arial" w:cs="Arial" w:eastAsia="Arial" w:hAnsi="Arial"/>
          <w:sz w:val="16"/>
          <w:szCs w:val="16"/>
          <w:color w:val="auto"/>
        </w:rPr>
        <w:t>The term of office of each executive officer is until his or her respective successor is elected and has been qualified, or until his or her earlier death, resignation or removal. Historically, the Board has elected officers annually at its first meeting following the Annual Meeting of Stockholders.</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Mr. DeMarco’s biographical information is included with those of the other members of our Board.</w:t>
      </w:r>
    </w:p>
    <w:p>
      <w:pPr>
        <w:spacing w:after="0" w:line="117"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i w:val="1"/>
          <w:iCs w:val="1"/>
          <w:color w:val="auto"/>
        </w:rPr>
        <w:t xml:space="preserve">Mr. Edwards </w:t>
      </w:r>
      <w:r>
        <w:rPr>
          <w:rFonts w:ascii="Arial" w:cs="Arial" w:eastAsia="Arial" w:hAnsi="Arial"/>
          <w:sz w:val="17"/>
          <w:szCs w:val="17"/>
          <w:color w:val="auto"/>
        </w:rPr>
        <w:t>has been our Senior Vice President, General Counsel and Secretary since April 2004. Prior to joining the Company, Mr. Edwards most</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served as Senior Legal Counsel for Qualcomm Incorporated working with Qualcomm’s Global Development Group and Ventures Group. Prior to joining Qualcomm, Mr. Edwards served as Vice President, General Counsel and Secretary of Wireless Knowledge, Inc., a Qualcomm subsidiary; Vice President, General Counsel and Secretary of Vapotronics, Inc., a developer of medical device technologies; Vice President, General Counsel and Secretary of General Atomics, an energy and defense contractor focused on advanced technology Research and Development; and General Counsel and Secretary of Logicon, Inc., a defense contractor. Mr. Edwards has been a member of the board of directors of IWT Tesoro Corporation since 2002. Mr. Edwards is a graduate of the University of San Diego, School of Law, where he received his Juris Doctorate, and of Colorado State University, where he received his Bachelor of Science Degree in Psychology, Cum Laude.</w:t>
      </w:r>
    </w:p>
    <w:p>
      <w:pPr>
        <w:spacing w:after="0" w:line="7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i w:val="1"/>
          <w:iCs w:val="1"/>
          <w:color w:val="auto"/>
        </w:rPr>
        <w:t xml:space="preserve">Ms. Lund </w:t>
      </w:r>
      <w:r>
        <w:rPr>
          <w:rFonts w:ascii="Arial" w:cs="Arial" w:eastAsia="Arial" w:hAnsi="Arial"/>
          <w:sz w:val="18"/>
          <w:szCs w:val="18"/>
          <w:color w:val="auto"/>
        </w:rPr>
        <w:t>has been our Senior Vice President and Chief Financial Officer since April 2004. Prior to joining the Company, Ms. Lund most recently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Vice President of The Titan Corporation from July 1998 and Titan’s Corporate Controller from December 1996. Ms. Lund was also Titan’s Corporate Manager of Operations Analysis from 1993 to 1996. Prior thereto, Ms. Lund worked for Arthur Andersen LLP. Ms. Lund received her bachelor’s degree in accounting from San Diego State University, magna cum laude, and is a Certified Public Accountant.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i w:val="1"/>
          <w:iCs w:val="1"/>
          <w:color w:val="auto"/>
        </w:rPr>
        <w:t xml:space="preserve">Mr. Mickle </w:t>
      </w:r>
      <w:r>
        <w:rPr>
          <w:rFonts w:ascii="Arial" w:cs="Arial" w:eastAsia="Arial" w:hAnsi="Arial"/>
          <w:sz w:val="16"/>
          <w:szCs w:val="16"/>
          <w:color w:val="auto"/>
        </w:rPr>
        <w:t>became one of our executive officers concurrent with our acquisition of MRC on October 2, 2006 and has been President of our wholly-owned subsidiary WFI Government Services, Inc. and our Government Network Services segment since December 2005. Mr. Mickle joined the Company in January 2005 as a vice president in our Government Network Services segment. Prior thereto, Mr. Mickle had been Vice President of the Fleet Systems Engineering Business Unit at Northrop Grumman Mission Systems since June 1996. From January 1994 to June 1996, Mr. Mickle had been an Executive</w:t>
      </w:r>
    </w:p>
    <w:p>
      <w:pPr>
        <w:sectPr>
          <w:pgSz w:w="11900" w:h="16838" w:orient="portrait"/>
          <w:cols w:equalWidth="0" w:num="1">
            <w:col w:w="11420"/>
          </w:cols>
          <w:pgMar w:left="240" w:top="125" w:right="239" w:bottom="0" w:gutter="0" w:footer="0" w:header="0"/>
        </w:sectPr>
      </w:pPr>
    </w:p>
    <w:bookmarkStart w:id="56" w:name="page57"/>
    <w:bookmarkEnd w:id="56"/>
    <w:p>
      <w:pPr>
        <w:ind w:right="240"/>
        <w:spacing w:after="0" w:line="342" w:lineRule="auto"/>
        <w:rPr>
          <w:sz w:val="20"/>
          <w:szCs w:val="20"/>
          <w:color w:val="auto"/>
        </w:rPr>
      </w:pPr>
      <w:r>
        <w:rPr>
          <w:rFonts w:ascii="Arial" w:cs="Arial" w:eastAsia="Arial" w:hAnsi="Arial"/>
          <w:sz w:val="16"/>
          <w:szCs w:val="16"/>
          <w:color w:val="auto"/>
        </w:rPr>
        <w:t>Manager of Naval Engineering Services, Western Operations. Mr. Mickle is a retired Captain of the U.S. Naval Reserve and served in the U.S. Navy from 1977 to 1983. Mr. Mickle is a graduate of the U.S. Naval Academy and received an MBA in Management Science from San Diego State University.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Section 16(a) of the Securities Exchange Act of 1934 (the “1934 Act”) requires our Directors and the executive officers, and persons who own more than ten percent of a registered class of our equity securities (the “Reporting Persons”), to file with the SEC initial reports of ownership and reports of changes in ownership of our common stock and other equity securities. Additionally, the Reporting Persons are required by SEC regulation to furnish WFI with copies of all such Section 16(a) forms they file.</w:t>
      </w:r>
    </w:p>
    <w:p>
      <w:pPr>
        <w:spacing w:after="0" w:line="79"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To the best of our knowledge and based solely upon our review of the copies of such reports furnished to us for the year ended December 31, 2006, and the information provided to us by the Reporting Persons, we believe that the Reporting Persons complied with Section 16(a), except for Messrs. Alipanah and Mickle both of whom did not timely file reportable transactions on Forms 3 upon becoming subject to Section 16(a). Mr. Mickle has filed a Form 3 concurrent with the filing of this Annual Report on Form 10-K and Mr. Alipanah is no longer subject to Section 16(a) due to the termination of his employment with the Company on June 1, 2007.</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This compensation discussion and analysis explains the material elements of the compensation awarded to, earned by, or paid to each of our executive officers who served as our named executive officers during the last completed fiscal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Program Objectives and Philosophy</w:t>
      </w:r>
    </w:p>
    <w:p>
      <w:pPr>
        <w:spacing w:after="0" w:line="117" w:lineRule="exact"/>
        <w:rPr>
          <w:sz w:val="20"/>
          <w:szCs w:val="20"/>
          <w:color w:val="auto"/>
        </w:rPr>
      </w:pPr>
    </w:p>
    <w:p>
      <w:pPr>
        <w:ind w:right="180" w:firstLine="360"/>
        <w:spacing w:after="0" w:line="342" w:lineRule="auto"/>
        <w:rPr>
          <w:sz w:val="20"/>
          <w:szCs w:val="20"/>
          <w:color w:val="auto"/>
        </w:rPr>
      </w:pPr>
      <w:r>
        <w:rPr>
          <w:rFonts w:ascii="Arial" w:cs="Arial" w:eastAsia="Arial" w:hAnsi="Arial"/>
          <w:sz w:val="16"/>
          <w:szCs w:val="16"/>
          <w:color w:val="auto"/>
        </w:rPr>
        <w:t>The Compensation Committee (for purposes of this analysis, the “Committee”) of our Board currently oversees the design and administration of our executive compensation program. The Committee’s primary objectives in structuring and administering our executive officer compensation program are to:</w:t>
      </w:r>
    </w:p>
    <w:p>
      <w:pPr>
        <w:spacing w:after="0" w:line="16" w:lineRule="exact"/>
        <w:rPr>
          <w:sz w:val="20"/>
          <w:szCs w:val="20"/>
          <w:color w:val="auto"/>
        </w:rPr>
      </w:pPr>
    </w:p>
    <w:p>
      <w:pPr>
        <w:ind w:left="500" w:hanging="13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attract, motivate and retain talented and dedicated executive officers;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tie annual and long-term cash and stock incentives to achievement of measurable corporate and individual performance objectives;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reward individual performance;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reinforce business strategies and objectives for enhanced stockholder value.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To achieve these goals, the Committee maintains compensation plans that tie a portion of executives’ overall compensation to key short-term and long-term objectives. Short-term objectives are measured by metrics such as operating income and operating income margin, net earnings and net earnings margin. Long-term objectives include the timely development of new service offerings, enhancements and improvements to existing service offerings, identification of key markets for our services, development and execution of plans to address identified market opportunities, adequate control over and efficient use of our assets, and share price appreciation. The Committee evaluates individual executive performance with a goal of setting compensation at levels the Committee believes are comparable with those of executives at other companies of similar size and stage of growth, while taking into account our relative performance and our own strategic goals.</w:t>
      </w:r>
    </w:p>
    <w:p>
      <w:pPr>
        <w:spacing w:after="0" w:line="70"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The principal elements of our current executive compensation program are base salary, annual cash bonus awards, long-term equity incentives in the form of restricted stock units, a deferred compensation plan, other benefits and perquisites, post-termination severance and accelerated vesting of previously granted stock options upon termination and/or a change in control. Our other benefits and perquisites consist of life and health insurance benefits and a qualified 401(k) savings plan equivalent to those offered to all employees.</w:t>
      </w:r>
    </w:p>
    <w:p>
      <w:pPr>
        <w:spacing w:after="0" w:line="79" w:lineRule="exact"/>
        <w:rPr>
          <w:sz w:val="20"/>
          <w:szCs w:val="20"/>
          <w:color w:val="auto"/>
        </w:rPr>
      </w:pPr>
    </w:p>
    <w:p>
      <w:pPr>
        <w:ind w:right="380" w:firstLine="360"/>
        <w:spacing w:after="0" w:line="302" w:lineRule="auto"/>
        <w:rPr>
          <w:sz w:val="20"/>
          <w:szCs w:val="20"/>
          <w:color w:val="auto"/>
        </w:rPr>
      </w:pPr>
      <w:r>
        <w:rPr>
          <w:rFonts w:ascii="Arial" w:cs="Arial" w:eastAsia="Arial" w:hAnsi="Arial"/>
          <w:sz w:val="16"/>
          <w:szCs w:val="16"/>
          <w:color w:val="auto"/>
        </w:rPr>
        <w:t>We view these components of compensation as related but distinct. Although the Committee does review total compensation, we do not believe that significant compensation derived from one component of compensation should negate or offset compensation from other components. We determine the appropriate level for each compensation component based in part, but not exclusively, on competitive benchmarking consistent with our recruiting and retention goals, our view of internal equity and consistency, and other considerations we deem relevant, such as rewarding extraordinary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Compensation Awards</w:t>
      </w:r>
    </w:p>
    <w:p>
      <w:pPr>
        <w:spacing w:after="0" w:line="11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Committee has historically performed at least annually a strategic review of our executive officers’ compensation to determine whether they provide adequate incentives and motivation to our executive officers and whether they adequately compensate our executive officers relative to comparable officers in other similarly situated companies. The Committee’s most recent review occurred in December 2006.</w:t>
      </w:r>
    </w:p>
    <w:p>
      <w:pPr>
        <w:spacing w:after="0" w:line="73"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The Committee meetings typically have included, for all or a portion of each meeting, not only the Committee members but also our chief executive officer, chief financial officer and general counsel. For compensation decisions relating to executive officers other than our chief executive officer, the Committee typically considers recommendations from our chief executive officer. When determining compensation for our chief executive officer, the Committee takes into account, but does not rely upon, the recommendation of our chief executive officer. Compensation for the chief executive officer has been determined by discussion among and action by the members of the Committee acting in consultation with the other independent members of our Board and market data obtained on behalf of the Committee.</w:t>
      </w:r>
    </w:p>
    <w:p>
      <w:pPr>
        <w:spacing w:after="0" w:line="85" w:lineRule="exact"/>
        <w:rPr>
          <w:sz w:val="20"/>
          <w:szCs w:val="20"/>
          <w:color w:val="auto"/>
        </w:rPr>
      </w:pPr>
    </w:p>
    <w:p>
      <w:pPr>
        <w:ind w:right="280" w:firstLine="360"/>
        <w:spacing w:after="0" w:line="276" w:lineRule="auto"/>
        <w:rPr>
          <w:sz w:val="20"/>
          <w:szCs w:val="20"/>
          <w:color w:val="auto"/>
        </w:rPr>
      </w:pPr>
      <w:r>
        <w:rPr>
          <w:rFonts w:ascii="Arial" w:cs="Arial" w:eastAsia="Arial" w:hAnsi="Arial"/>
          <w:sz w:val="17"/>
          <w:szCs w:val="17"/>
          <w:color w:val="auto"/>
        </w:rPr>
        <w:t>It is our policy generally to qualify compensation paid to executive officers for deductibility under Section 162(m) of the Internal Revenue Code. Section 162(m) generally prohibits us from deducting the compensation of officers that exceeds $1,000,000 unless that compensation is based on the achievement of objective performance goals. We believe that our 1999 and 2005 Equity Incentive Plans (collectively, the “Equity Plans”) are structured to qualify stock options, restricted share and stock unit awards under such Equity Plans as performance-based compensation and to maximize the tax deductibility of such awards. However, we reserve the discretion to pay compensation to our officers that may not be deductible.</w:t>
      </w:r>
    </w:p>
    <w:p>
      <w:pPr>
        <w:sectPr>
          <w:pgSz w:w="11900" w:h="16838" w:orient="portrait"/>
          <w:cols w:equalWidth="0" w:num="1">
            <w:col w:w="11400"/>
          </w:cols>
          <w:pgMar w:left="240" w:top="125" w:right="259" w:bottom="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67575" cy="12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57" w:name="page58"/>
    <w:bookmarkEnd w:id="57"/>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Benchmarking of Compensation</w:t>
      </w:r>
    </w:p>
    <w:p>
      <w:pPr>
        <w:spacing w:after="0" w:line="117"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The Committee believes it is important when making its compensation-related decisions to be informed as to current practices of similarly situated companies. As a result, the Committee reviews third-party surveys and other information collected from public sources for executive officers at peer companies. The Committee also receives the recommendation of our chief executive officer on compensation for other executive officers. Historically, the Committee has relied only to a limited extent upon third party consultants to advise the Committee on compensation matters. In determining the compensation of our executive officers for 2006, the Committee reviewed surveys and other third party information, as well information collected from other public sources, regarding the compensation for executive officers at our peer companies. While benchmarking may not always be appropriate as a stand-alone tool for setting compensation due to the aspects of our business and objectives that may be unique to us, we generally believe that gathering this information is an important part of our compensation-related decision-making process.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Compensation</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provide our named executive officers and other executives with base salaries that we believe enable us to hire and retain individuals in a competitive environment and to reward individual performance and contribution to our overall business goals, while taking into account the unique circumstances of our company. We review base salaries for our named executive officers annually and increases, if any, are based on the executive’s success in contributing to our short-term and long-term objectives as well as unique challenges faced by our Company. We also take into account the base compensation that is payable by companies that we believe to be our competitors and by other public companies with which we believe we generally compete for executives in our market and geography. The base salary of our chief executive officer is reviewed and recommended by the Committee acting in consultation with the other independent members of our Board.</w:t>
      </w:r>
    </w:p>
    <w:p>
      <w:pPr>
        <w:spacing w:after="0" w:line="81" w:lineRule="exact"/>
        <w:rPr>
          <w:sz w:val="20"/>
          <w:szCs w:val="20"/>
          <w:color w:val="auto"/>
        </w:rPr>
      </w:pPr>
    </w:p>
    <w:p>
      <w:pPr>
        <w:ind w:right="380" w:firstLine="360"/>
        <w:spacing w:after="0" w:line="257" w:lineRule="auto"/>
        <w:rPr>
          <w:sz w:val="20"/>
          <w:szCs w:val="20"/>
          <w:color w:val="auto"/>
        </w:rPr>
      </w:pPr>
      <w:r>
        <w:rPr>
          <w:rFonts w:ascii="Arial" w:cs="Arial" w:eastAsia="Arial" w:hAnsi="Arial"/>
          <w:sz w:val="18"/>
          <w:szCs w:val="18"/>
          <w:color w:val="auto"/>
        </w:rPr>
        <w:t>In March 2006, the Committee applied the principals described above and increased Mr. DeMarco’s base salary by 33% to $400,000, effective as of April 1, 2006. The Committee considered, among other things, Mr. DeMarco’s effectiveness in dealing with the challenges faced by our Company and in transitioning the business away from the declining business segments. The Committee reviewed similar considerations for each of the other named executives, and in March 2006 increased Ms. Lund’s annual salary by 22.2% to $275,000 and Mr. Edwards’ annual salary by 11.6% to $240,000, both effective as of April 1,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Bonus Awards</w:t>
      </w:r>
    </w:p>
    <w:p>
      <w:pPr>
        <w:spacing w:after="0" w:line="11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In addition to base salary, we provide executive officers and other key managers the opportunity to receive incentive compensation in the form of annual discretionary bonuses of cash based upon the achievement of certain individual and company performance objectives during the fiscal year. Target cash bonus awards are based upon a percentage of the executive’s salary, and typically range from 25% to 100% of the executive officer’s salary. In determining the appropriate level of target bonus for each officer, the Committee considers the recommendation of the chief executive officer, information provided through independent, third-party surveys and other information collected from public sources for similar positions at peer companies. Under our bonus plan, each executive typically receives 50% of his or her target bonus amount if the executive achieves specific individualized operational objectives and the other 50% if our earnings per share meet a specific target for the fiscal year. If our earnings per share fall within a certain specified range (with the target earnings per share at the high end of the range), then the executive would typically receive a pro rata percentage of their bonus target based on linear interpolation between the bottom and top of the range. Typically, the executive would not receive any of the company performance-based portion of the target bonus if earnings per share fall below the bottom of the range.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The Committee retains wide discretion to interpret the terms of the cash bonus plan and to identify the extent to which an individual’s performance objectives have been met in any particular fiscal year. The Committee also retains the right to exclude extraordinary charges or other special circumstances in determining whether the objectives were met during any particular fiscal year and may decide to grant 100% of the targeted cash bonus award even if the Company’s earnings per share do not fall within the specified range, based upon an evaluation of business conditions and industry trends. In addition, the Committee may approve cash bonuses outside of the cash bonus plan. For example, the Committee may approve bonus awards in connection with an executive officer’s efforts and accomplishments with respect to our strategic initiatives and milestones, and such bonus awards may overlap with or be in addition to bonus awards under the cash bonus plan.</w:t>
      </w:r>
    </w:p>
    <w:p>
      <w:pPr>
        <w:spacing w:after="0" w:line="81"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For fiscal 2006 only Messrs. Mickle and Alipanah received awards under the cash bonus plan. For fiscal 2006, Messrs. Mickle and Alipanah received 100% of their target bonuses related to individualized operational objectives, even though the company did not achieve earnings per share within the targeted range. Specifically, Mr. Mickle received $51,250, or 25% of his base salary, and Mr. Alipanah received $50,000, or 25% of his base salary. In determining that Messrs. Mickle and Alipanah were entitled to these awards, the Committee considered each executive officer’s efforts in addressing the significant challenges that the Company faced during fiscal 2006. For fiscal 2006, the chief executive officer, not the Committee set the individualized operational objectives, earnings per share targets and other Company financial performance targets with respect to the cash bonus awards to Messrs. Mickle and Alipanah. However, the Committee evaluated whether Messrs. Mickle and Alipanah achieved their individualized performance objectives and approved the payment of their bonuses under the cash bonus plan.</w:t>
      </w:r>
    </w:p>
    <w:p>
      <w:pPr>
        <w:spacing w:after="0" w:line="71"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color w:val="auto"/>
        </w:rPr>
        <w:t>For fiscal 2006, in early 2007, Messrs. DeMarco and Edwards and Ms. Lund received discretionary cash bonuses outside of the cash bonus plan as follows: Mr. DeMarco received $200,000, or 50% of his base salary, Ms. Lund received $82,500 or 30% of her base salary, and Mr. Edwards received $72,000, or 30% of his base salary. In awarding these bonuses, the Committee considered each executive officer’s efforts in addressing the significant challenges that the Company faced during fiscal 2006, especially as related to the industry dynamics of the Wireless Network Segment and the need to retain each executive officer during fiscal 2007 as the Company continues to undergo significant changes.</w:t>
      </w:r>
    </w:p>
    <w:p>
      <w:pPr>
        <w:spacing w:after="0" w:line="64"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In the first quarter of 2007, the Committee worked with senior management to establish the annual target bonus amounts and performance objectives under the bonus plan. For fiscal 2007, each executive officer’s target bonus under the bonus plan will be a specified percentage of the executive officer’s base salary, and will range from 30% to 100% of an individual’s base salary.</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Cash awards made to executive officers for fiscal year 2006 are reflected in column (g) of the Fiscal Year 2006 Summary Compensation Table.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right="160" w:firstLine="360"/>
        <w:spacing w:after="0" w:line="312" w:lineRule="auto"/>
        <w:rPr>
          <w:sz w:val="20"/>
          <w:szCs w:val="20"/>
          <w:color w:val="auto"/>
        </w:rPr>
      </w:pPr>
      <w:r>
        <w:rPr>
          <w:rFonts w:ascii="Arial" w:cs="Arial" w:eastAsia="Arial" w:hAnsi="Arial"/>
          <w:sz w:val="16"/>
          <w:szCs w:val="16"/>
          <w:color w:val="auto"/>
        </w:rPr>
        <w:t>We believe that equity ownership by our executive officers provides important incentives to make decisions and take actions that maximize long-term stockholder value. The Committee develops its equity award determinations based on its judgments as to whether the complete compensation packages provided to our executives, including prior equity awards, provide sufficient incentive to build stockholder value and align the interests or executive officers</w:t>
      </w:r>
    </w:p>
    <w:p>
      <w:pPr>
        <w:sectPr>
          <w:pgSz w:w="11900" w:h="16952" w:orient="portrait"/>
          <w:cols w:equalWidth="0" w:num="1">
            <w:col w:w="11420"/>
          </w:cols>
          <w:pgMar w:left="240" w:top="490" w:right="239" w:bottom="0" w:gutter="0" w:footer="0" w:header="0"/>
        </w:sectPr>
      </w:pPr>
    </w:p>
    <w:bookmarkStart w:id="58" w:name="page59"/>
    <w:bookmarkEnd w:id="58"/>
    <w:p>
      <w:pPr>
        <w:spacing w:after="0" w:line="8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with our stockholders, and are sufficient to retain, motivate and adequately award each of our executives. This judgment is based in part on information provided by reviewing the equity compensation practices of companies that we believe to be our competitors and by other public companies with which we believe we generally compete for executives.</w:t>
      </w:r>
    </w:p>
    <w:p>
      <w:pPr>
        <w:spacing w:after="0" w:line="73"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We grant equity compensation to our executive officers and other employees under our Equity Plans. Most initial grants currently vest over a four year period from the date of grant, with 25% vesting on the first anniversary of the date of grant and the balance vesting monthly over a three year period. Subsequent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option grants to employees with over one year of service vest on a monthly basis over a four year period. Our stock options have a 10-year contractual term. Beginning on January 1, 2006, we began accounting for stock-based payments in accordance with the requirements of FASB Statement 123R. In addition, as of January 1, 2007, our employees, including our executive officers, are able to purchase shares of our stock under our 1999 Employee Stock Purchase Plan.</w:t>
      </w:r>
    </w:p>
    <w:p>
      <w:pPr>
        <w:spacing w:after="0" w:line="39"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The Committee reviews and approves all grants made to our officers under the Equity Plans and in connection with the initial hiring, promotions, extraordinary achievements or compensation adjustments. In addition to these factors, the size and timing of grants are generally subject to policies established by the Committee regarding the position of the grantee within our company, the overall number of options actually granted to the optionee in the past and the extent of vesting of prior grants. In general, the option grants are also subject to post-termination and change in control provisions. No options were granted to our executive officers during fiscal 2006.</w:t>
      </w:r>
    </w:p>
    <w:p>
      <w:pPr>
        <w:spacing w:after="0" w:line="80"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On December 28, 2006, our Board approved the acceleration of vesting of all unvested options to purchase shares of our common stock issued prior to June 30, 2006 held by our employees and Directors under our 1999 Equity Incentive Plan and our 2000 Nonqualified Stock Option Plan. The acceleration was effective as of December 29, 2006. All affected options had exercise prices in excess of then-current market values. Holders were given the election to decline the acceleration of the options if such acceleration would have had the effect of changing the status of the option for federal income tax purposes from an incentive stock option to a non-qualified stock option. Options to purchase approximately 2.1 million shares of common stock were subject to the acceleration. Of this amount, our executive officers held options to purchase 582,000 shares at a weighted average exercise price of $5.72 per share.</w:t>
      </w:r>
    </w:p>
    <w:p>
      <w:pPr>
        <w:spacing w:after="0" w:line="57"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In January 2007, for various business reasons, we generally discontinued the use of stock options as a form of equity compensation and instead began to issue restricted stock units on a limited basis.</w:t>
      </w:r>
    </w:p>
    <w:p>
      <w:pPr>
        <w:spacing w:after="0" w:line="62"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Consistent with its belief that equity ownership by our executive officers provides important incentives to make decisions and take actions that maximize long-term stockholder value, on January 30, 2007, the Committee granted Restricted Stock Unit awards to named executive officers as follows:</w:t>
      </w:r>
    </w:p>
    <w:p>
      <w:pPr>
        <w:spacing w:after="0" w:line="16" w:lineRule="exact"/>
        <w:rPr>
          <w:sz w:val="20"/>
          <w:szCs w:val="20"/>
          <w:color w:val="auto"/>
        </w:rPr>
      </w:pPr>
    </w:p>
    <w:p>
      <w:pPr>
        <w:ind w:left="500" w:hanging="13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Eric M. DeMarco: 987,500 shares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Deanna Lund: 200,000 shares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James R. Edwards: 170,000 shares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 Robin Mickle: 75,000 shares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Dariush G. Alipanah: 100,000 shares</w:t>
      </w:r>
    </w:p>
    <w:p>
      <w:pPr>
        <w:spacing w:after="0" w:line="117" w:lineRule="exact"/>
        <w:rPr>
          <w:sz w:val="20"/>
          <w:szCs w:val="20"/>
          <w:color w:val="auto"/>
        </w:rPr>
      </w:pPr>
    </w:p>
    <w:p>
      <w:pPr>
        <w:ind w:right="680" w:firstLine="360"/>
        <w:spacing w:after="0" w:line="277" w:lineRule="auto"/>
        <w:rPr>
          <w:sz w:val="20"/>
          <w:szCs w:val="20"/>
          <w:color w:val="auto"/>
        </w:rPr>
      </w:pPr>
      <w:r>
        <w:rPr>
          <w:rFonts w:ascii="Arial" w:cs="Arial" w:eastAsia="Arial" w:hAnsi="Arial"/>
          <w:sz w:val="18"/>
          <w:szCs w:val="18"/>
          <w:color w:val="auto"/>
        </w:rPr>
        <w:t>Further, in view of the significant challenges facing the Company, on March 26, 2007, the Committee granted Restricted Stock Unit awards as a retention tool as follows:</w:t>
      </w:r>
    </w:p>
    <w:p>
      <w:pPr>
        <w:spacing w:after="0" w:line="62" w:lineRule="exact"/>
        <w:rPr>
          <w:sz w:val="20"/>
          <w:szCs w:val="20"/>
          <w:color w:val="auto"/>
        </w:rPr>
      </w:pPr>
    </w:p>
    <w:p>
      <w:pPr>
        <w:ind w:left="500" w:hanging="13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Eric M. DeMarco: 493,750 shares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Deanna Lund: 100,000 shares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James R. Edwards: 85,000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provide our executive officers and other eligible highly compensated employees with the opportunity to defer up to 80% of their cash compensation derived from base salary, bonus awards and/or commissions pursuant to our Nonqualified Deferred Compensation Plan (“Deferred Compensation Plan”). The deferrals reduce a participant’s current taxable income and allow the participant to accumulate savings on a tax deferred basis. In addition, we may, in our sole and absolute discretion, make annual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discretionary contributions, including matching contributions, to the Deferred Compensation Plan. To date, we have not made any such contributions. Deferrals and contributions (if applicable) are adjusted for gain or loss based on the performance of one or more investment options selected by the participant from among investment funds chosen by a committee appointed by the Committee to administer the Deferred Compensation Plan. Generally, all distributions under the Deferred Compensation Plan will be made in a single lump sum, although participants that terminated their employment as a result of retirement may elect to receive distributions in annual installments.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Benefits and Perquisites</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All of our executives are eligible to participate in our employee benefit plans, including medical, dental, life insurance and 401(k) plans. These plans are available to all salaried employees and do not discriminate in favor of executive officers. It is generally our policy not to extend significant perquisites to our executives that are not available to our employees generally. We have no current plans to make changes to levels of benefits and perquisites provided to executives.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and Severance Benefits</w:t>
      </w:r>
    </w:p>
    <w:p>
      <w:pPr>
        <w:spacing w:after="0" w:line="117"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Pursuant to an employment agreement with Mr. DeMarco and change in control agreements with our other executive officers, we provide these officers the opportunity to receive additional compensation and benefits in the event of severance or change in control. Our severance and change in control</w:t>
      </w:r>
    </w:p>
    <w:p>
      <w:pPr>
        <w:sectPr>
          <w:pgSz w:w="11900" w:h="16921" w:orient="portrait"/>
          <w:cols w:equalWidth="0" w:num="1">
            <w:col w:w="11420"/>
          </w:cols>
          <w:pgMar w:left="240" w:top="125" w:right="239" w:bottom="0" w:gutter="0" w:footer="0" w:header="0"/>
        </w:sectPr>
      </w:pPr>
    </w:p>
    <w:bookmarkStart w:id="59" w:name="page60"/>
    <w:bookmarkEnd w:id="59"/>
    <w:p>
      <w:pPr>
        <w:jc w:val="both"/>
        <w:ind w:right="60"/>
        <w:spacing w:after="0" w:line="264" w:lineRule="auto"/>
        <w:rPr>
          <w:sz w:val="20"/>
          <w:szCs w:val="20"/>
          <w:color w:val="auto"/>
        </w:rPr>
      </w:pPr>
      <w:r>
        <w:rPr>
          <w:rFonts w:ascii="Arial" w:cs="Arial" w:eastAsia="Arial" w:hAnsi="Arial"/>
          <w:sz w:val="18"/>
          <w:szCs w:val="18"/>
          <w:color w:val="auto"/>
        </w:rPr>
        <w:t>provisions are summarized below in “Employment Agreements; Potential Payments Upon Termination or Change in Control”. Our analysis indicates that our severance and change in control provisions are consistent with the provisions and benefit levels of other companies disclosing such provisions as reported in public SEC filings. We believe our arrangements with our executive officers are reasonable.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SUMMARY COMPENSATION TABLE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Compensation $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w:t>
            </w:r>
          </w:p>
        </w:tc>
        <w:tc>
          <w:tcPr>
            <w:tcW w:w="1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rPr>
              <w:t>(h)</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9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Non-Equity</w:t>
            </w:r>
          </w:p>
        </w:tc>
        <w:tc>
          <w:tcPr>
            <w:tcW w:w="220" w:type="dxa"/>
            <w:vAlign w:val="bottom"/>
          </w:tcPr>
          <w:p>
            <w:pPr>
              <w:spacing w:after="0"/>
              <w:rPr>
                <w:sz w:val="8"/>
                <w:szCs w:val="8"/>
                <w:color w:val="auto"/>
              </w:rPr>
            </w:pPr>
          </w:p>
        </w:tc>
        <w:tc>
          <w:tcPr>
            <w:tcW w:w="780" w:type="dxa"/>
            <w:vAlign w:val="bottom"/>
            <w:vMerge w:val="restart"/>
          </w:tcPr>
          <w:p>
            <w:pPr>
              <w:jc w:val="center"/>
              <w:ind w:left="123"/>
              <w:spacing w:after="0"/>
              <w:rPr>
                <w:sz w:val="20"/>
                <w:szCs w:val="20"/>
                <w:color w:val="auto"/>
              </w:rPr>
            </w:pPr>
            <w:r>
              <w:rPr>
                <w:rFonts w:ascii="Arial" w:cs="Arial" w:eastAsia="Arial" w:hAnsi="Arial"/>
                <w:sz w:val="14"/>
                <w:szCs w:val="14"/>
                <w:b w:val="1"/>
                <w:bCs w:val="1"/>
                <w:color w:val="auto"/>
                <w:w w:val="98"/>
              </w:rPr>
              <w:t>All Other</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Salary</w:t>
            </w: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Bonus</w:t>
            </w:r>
          </w:p>
        </w:tc>
        <w:tc>
          <w:tcPr>
            <w:tcW w:w="840" w:type="dxa"/>
            <w:vAlign w:val="bottom"/>
            <w:gridSpan w:val="2"/>
            <w:vMerge w:val="continue"/>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Incentive Plan</w:t>
            </w:r>
          </w:p>
        </w:tc>
        <w:tc>
          <w:tcPr>
            <w:tcW w:w="7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gridSpan w:val="4"/>
            <w:vMerge w:val="restart"/>
          </w:tcPr>
          <w:p>
            <w:pPr>
              <w:ind w:left="1400"/>
              <w:spacing w:after="0"/>
              <w:rPr>
                <w:sz w:val="20"/>
                <w:szCs w:val="20"/>
                <w:color w:val="auto"/>
              </w:rPr>
            </w:pPr>
            <w:r>
              <w:rPr>
                <w:rFonts w:ascii="Arial" w:cs="Arial" w:eastAsia="Arial" w:hAnsi="Arial"/>
                <w:sz w:val="14"/>
                <w:szCs w:val="14"/>
                <w:b w:val="1"/>
                <w:bCs w:val="1"/>
                <w:color w:val="auto"/>
              </w:rPr>
              <w:t>Name and Principal Position</w:t>
            </w:r>
          </w:p>
        </w:tc>
        <w:tc>
          <w:tcPr>
            <w:tcW w:w="5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Year</w:t>
            </w: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Award(s)</w:t>
            </w: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2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Compensation</w:t>
            </w:r>
          </w:p>
        </w:tc>
        <w:tc>
          <w:tcPr>
            <w:tcW w:w="10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62"/>
        </w:trPr>
        <w:tc>
          <w:tcPr>
            <w:tcW w:w="3820" w:type="dxa"/>
            <w:vAlign w:val="bottom"/>
            <w:gridSpan w:val="4"/>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220" w:type="dxa"/>
            <w:vAlign w:val="bottom"/>
          </w:tcPr>
          <w:p>
            <w:pPr>
              <w:spacing w:after="0"/>
              <w:rPr>
                <w:sz w:val="14"/>
                <w:szCs w:val="14"/>
                <w:color w:val="auto"/>
              </w:rPr>
            </w:pPr>
          </w:p>
        </w:tc>
        <w:tc>
          <w:tcPr>
            <w:tcW w:w="780" w:type="dxa"/>
            <w:vAlign w:val="bottom"/>
          </w:tcPr>
          <w:p>
            <w:pPr>
              <w:jc w:val="center"/>
              <w:ind w:left="12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20" w:type="dxa"/>
            <w:vAlign w:val="bottom"/>
          </w:tcPr>
          <w:p>
            <w:pPr>
              <w:spacing w:after="0"/>
              <w:rPr>
                <w:sz w:val="16"/>
                <w:szCs w:val="16"/>
                <w:color w:val="auto"/>
              </w:rPr>
            </w:pPr>
          </w:p>
        </w:tc>
        <w:tc>
          <w:tcPr>
            <w:tcW w:w="2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Eric M. DeMarco</w:t>
            </w:r>
          </w:p>
        </w:tc>
        <w:tc>
          <w:tcPr>
            <w:tcW w:w="1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2006</w:t>
            </w: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373,465</w:t>
            </w: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200,000</w:t>
            </w: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1,988,385</w:t>
            </w:r>
          </w:p>
        </w:tc>
        <w:tc>
          <w:tcPr>
            <w:tcW w:w="1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1"/>
              </w:rPr>
              <w:t>(4)</w:t>
            </w: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2,574,600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2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President and Chief Executive</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2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Officer</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Arial" w:cs="Arial" w:eastAsia="Arial" w:hAnsi="Arial"/>
                <w:sz w:val="16"/>
                <w:szCs w:val="16"/>
                <w:color w:val="auto"/>
              </w:rPr>
              <w:t>Deanna Lund</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2006</w:t>
            </w:r>
          </w:p>
        </w:tc>
        <w:tc>
          <w:tcPr>
            <w:tcW w:w="1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261,767</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82,500</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550,716</w:t>
            </w:r>
          </w:p>
        </w:tc>
        <w:tc>
          <w:tcPr>
            <w:tcW w:w="140" w:type="dxa"/>
            <w:vAlign w:val="bottom"/>
          </w:tcPr>
          <w:p>
            <w:pPr>
              <w:spacing w:after="0"/>
              <w:rPr>
                <w:sz w:val="16"/>
                <w:szCs w:val="16"/>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103"/>
              <w:spacing w:after="0"/>
              <w:rPr>
                <w:sz w:val="20"/>
                <w:szCs w:val="20"/>
                <w:color w:val="auto"/>
              </w:rPr>
            </w:pPr>
            <w:r>
              <w:rPr>
                <w:rFonts w:ascii="Arial" w:cs="Arial" w:eastAsia="Arial" w:hAnsi="Arial"/>
                <w:sz w:val="16"/>
                <w:szCs w:val="16"/>
                <w:color w:val="auto"/>
              </w:rPr>
              <w:t>894,983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2400" w:type="dxa"/>
            <w:vAlign w:val="bottom"/>
            <w:gridSpan w:val="3"/>
          </w:tcPr>
          <w:p>
            <w:pPr>
              <w:ind w:left="140"/>
              <w:spacing w:after="0"/>
              <w:rPr>
                <w:sz w:val="20"/>
                <w:szCs w:val="20"/>
                <w:color w:val="auto"/>
              </w:rPr>
            </w:pPr>
            <w:r>
              <w:rPr>
                <w:rFonts w:ascii="Arial" w:cs="Arial" w:eastAsia="Arial" w:hAnsi="Arial"/>
                <w:sz w:val="16"/>
                <w:szCs w:val="16"/>
                <w:color w:val="auto"/>
                <w:w w:val="98"/>
              </w:rPr>
              <w:t>Senior Vice President and Chief</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tcPr>
          <w:p>
            <w:pPr>
              <w:spacing w:after="0"/>
              <w:rPr>
                <w:sz w:val="17"/>
                <w:szCs w:val="17"/>
                <w:color w:val="auto"/>
              </w:rPr>
            </w:pPr>
          </w:p>
        </w:tc>
        <w:tc>
          <w:tcPr>
            <w:tcW w:w="2400" w:type="dxa"/>
            <w:vAlign w:val="bottom"/>
            <w:gridSpan w:val="3"/>
          </w:tcPr>
          <w:p>
            <w:pPr>
              <w:ind w:left="140"/>
              <w:spacing w:after="0"/>
              <w:rPr>
                <w:sz w:val="20"/>
                <w:szCs w:val="20"/>
                <w:color w:val="auto"/>
              </w:rPr>
            </w:pPr>
            <w:r>
              <w:rPr>
                <w:rFonts w:ascii="Arial" w:cs="Arial" w:eastAsia="Arial" w:hAnsi="Arial"/>
                <w:sz w:val="16"/>
                <w:szCs w:val="16"/>
                <w:color w:val="auto"/>
              </w:rPr>
              <w:t>Financial Officer</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James R. Edwards</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2006</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234,215</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72,000</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467,187</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773,402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2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Senior Vice President, General</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2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Counsel and Secretary</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Arial" w:cs="Arial" w:eastAsia="Arial" w:hAnsi="Arial"/>
                <w:sz w:val="16"/>
                <w:szCs w:val="16"/>
                <w:color w:val="auto"/>
              </w:rPr>
              <w:t>D. Robin Mickle</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2006</w:t>
            </w:r>
          </w:p>
        </w:tc>
        <w:tc>
          <w:tcPr>
            <w:tcW w:w="1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206,054</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470,382</w:t>
            </w:r>
          </w:p>
        </w:tc>
        <w:tc>
          <w:tcPr>
            <w:tcW w:w="140" w:type="dxa"/>
            <w:vAlign w:val="bottom"/>
          </w:tcPr>
          <w:p>
            <w:pPr>
              <w:spacing w:after="0"/>
              <w:rPr>
                <w:sz w:val="16"/>
                <w:szCs w:val="16"/>
                <w:color w:val="auto"/>
              </w:rPr>
            </w:pPr>
          </w:p>
        </w:tc>
        <w:tc>
          <w:tcPr>
            <w:tcW w:w="960" w:type="dxa"/>
            <w:vAlign w:val="bottom"/>
          </w:tcPr>
          <w:p>
            <w:pPr>
              <w:jc w:val="right"/>
              <w:ind w:right="146"/>
              <w:spacing w:after="0"/>
              <w:rPr>
                <w:sz w:val="20"/>
                <w:szCs w:val="20"/>
                <w:color w:val="auto"/>
              </w:rPr>
            </w:pPr>
            <w:r>
              <w:rPr>
                <w:rFonts w:ascii="Arial" w:cs="Arial" w:eastAsia="Arial" w:hAnsi="Arial"/>
                <w:sz w:val="16"/>
                <w:szCs w:val="16"/>
                <w:color w:val="auto"/>
              </w:rPr>
              <w:t>51,250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103"/>
              <w:spacing w:after="0"/>
              <w:rPr>
                <w:sz w:val="20"/>
                <w:szCs w:val="20"/>
                <w:color w:val="auto"/>
              </w:rPr>
            </w:pPr>
            <w:r>
              <w:rPr>
                <w:rFonts w:ascii="Arial" w:cs="Arial" w:eastAsia="Arial" w:hAnsi="Arial"/>
                <w:sz w:val="16"/>
                <w:szCs w:val="16"/>
                <w:color w:val="auto"/>
              </w:rPr>
              <w:t>727,686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2400" w:type="dxa"/>
            <w:vAlign w:val="bottom"/>
            <w:gridSpan w:val="3"/>
          </w:tcPr>
          <w:p>
            <w:pPr>
              <w:ind w:left="140"/>
              <w:spacing w:after="0"/>
              <w:rPr>
                <w:sz w:val="20"/>
                <w:szCs w:val="20"/>
                <w:color w:val="auto"/>
              </w:rPr>
            </w:pPr>
            <w:r>
              <w:rPr>
                <w:rFonts w:ascii="Arial" w:cs="Arial" w:eastAsia="Arial" w:hAnsi="Arial"/>
                <w:sz w:val="16"/>
                <w:szCs w:val="16"/>
                <w:color w:val="auto"/>
              </w:rPr>
              <w:t>President, WFI Government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tcPr>
          <w:p>
            <w:pPr>
              <w:spacing w:after="0"/>
              <w:rPr>
                <w:sz w:val="17"/>
                <w:szCs w:val="17"/>
                <w:color w:val="auto"/>
              </w:rPr>
            </w:pPr>
          </w:p>
        </w:tc>
        <w:tc>
          <w:tcPr>
            <w:tcW w:w="2400" w:type="dxa"/>
            <w:vAlign w:val="bottom"/>
            <w:gridSpan w:val="3"/>
          </w:tcPr>
          <w:p>
            <w:pPr>
              <w:ind w:left="140"/>
              <w:spacing w:after="0"/>
              <w:rPr>
                <w:sz w:val="20"/>
                <w:szCs w:val="20"/>
                <w:color w:val="auto"/>
              </w:rPr>
            </w:pPr>
            <w:r>
              <w:rPr>
                <w:rFonts w:ascii="Arial" w:cs="Arial" w:eastAsia="Arial" w:hAnsi="Arial"/>
                <w:sz w:val="16"/>
                <w:szCs w:val="16"/>
                <w:color w:val="auto"/>
              </w:rPr>
              <w:t>Services, Inc.</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Dariush G. Alipanah(5)</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2006</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196,364</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303,685</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46"/>
              <w:spacing w:after="0"/>
              <w:rPr>
                <w:sz w:val="20"/>
                <w:szCs w:val="20"/>
                <w:color w:val="auto"/>
              </w:rPr>
            </w:pPr>
            <w:r>
              <w:rPr>
                <w:rFonts w:ascii="Arial" w:cs="Arial" w:eastAsia="Arial" w:hAnsi="Arial"/>
                <w:sz w:val="16"/>
                <w:szCs w:val="16"/>
                <w:color w:val="auto"/>
              </w:rPr>
              <w:t>50,000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550,049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2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Former Vice President, WNS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2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Engineering Services Division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discretionary cash bonus by the Committee to named executive officers earned in 2006 and paid in 2007 as described in further detail above.</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106</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6" w:lineRule="exact"/>
        <w:rPr>
          <w:rFonts w:ascii="Arial" w:cs="Arial" w:eastAsia="Arial" w:hAnsi="Arial"/>
          <w:sz w:val="16"/>
          <w:szCs w:val="16"/>
          <w:color w:val="auto"/>
        </w:rPr>
      </w:pPr>
    </w:p>
    <w:p>
      <w:pPr>
        <w:ind w:left="360" w:hanging="352"/>
        <w:spacing w:after="0" w:line="271" w:lineRule="auto"/>
        <w:tabs>
          <w:tab w:leader="none" w:pos="337"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amounts shown in column (f) represent the compensation costs of stock options for financial reporting purposes for fiscal year 2006 under FAS 123(R), rather than an amount paid to or realized by the named executive officer. The FAS 123(R) value as of the grant date for the stock option grants is spread over the number of months of service required for the grant to become non-forfeitable. Compensation costs shown in column (f) reflect ratable amounts expensed for grants that were made in prior fiscal years and with respect to which the exercise price of the subject stock option grants are above current market values. There can be no assurance that the FAS 123(R) amounts will ever by realized by the named executive officers.</w:t>
      </w:r>
    </w:p>
    <w:p>
      <w:pPr>
        <w:spacing w:after="0" w:line="82" w:lineRule="exact"/>
        <w:rPr>
          <w:rFonts w:ascii="Arial" w:cs="Arial" w:eastAsia="Arial" w:hAnsi="Arial"/>
          <w:sz w:val="16"/>
          <w:szCs w:val="16"/>
          <w:color w:val="auto"/>
        </w:rPr>
      </w:pPr>
    </w:p>
    <w:p>
      <w:pPr>
        <w:ind w:left="360" w:right="40" w:hanging="352"/>
        <w:spacing w:after="0" w:line="271" w:lineRule="auto"/>
        <w:tabs>
          <w:tab w:leader="none" w:pos="337"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bonus under the cash bonus plan to named executive officers earned in 2006 and paid in 2007. Annual cash bonus awards under the cash bonus plan are typically paid based on the achievement of certain individual and Company performance objectives approved by the Committee as described in further detail above. For fiscal 2006, the chief executive officer, not the Committee, determined individualized and Company performance objectives for Messrs. Mickle’s and Alipanah’s cash bonus awards. However, the Committee evaluated whether Messrs. Mickle and Alipanah achieved their individualized performance objectives and approved the payment of their bonuses under the cash bonus plan.</w:t>
      </w:r>
    </w:p>
    <w:p>
      <w:pPr>
        <w:spacing w:after="0" w:line="82" w:lineRule="exact"/>
        <w:rPr>
          <w:rFonts w:ascii="Arial" w:cs="Arial" w:eastAsia="Arial" w:hAnsi="Arial"/>
          <w:sz w:val="16"/>
          <w:szCs w:val="16"/>
          <w:color w:val="auto"/>
        </w:rPr>
      </w:pPr>
    </w:p>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the taxable income attributable to Mr. DeMarco for his use of a Company automobile in fiscal year 2006.</w:t>
      </w:r>
    </w:p>
    <w:p>
      <w:pPr>
        <w:spacing w:after="0" w:line="126" w:lineRule="exact"/>
        <w:rPr>
          <w:rFonts w:ascii="Arial" w:cs="Arial" w:eastAsia="Arial" w:hAnsi="Arial"/>
          <w:sz w:val="16"/>
          <w:szCs w:val="16"/>
          <w:color w:val="auto"/>
        </w:rPr>
      </w:pPr>
    </w:p>
    <w:p>
      <w:pPr>
        <w:ind w:left="360" w:right="480" w:hanging="352"/>
        <w:spacing w:after="0" w:line="293" w:lineRule="auto"/>
        <w:tabs>
          <w:tab w:leader="none" w:pos="337" w:val="left"/>
        </w:tabs>
        <w:numPr>
          <w:ilvl w:val="0"/>
          <w:numId w:val="47"/>
        </w:numPr>
        <w:rPr>
          <w:rFonts w:ascii="Arial" w:cs="Arial" w:eastAsia="Arial" w:hAnsi="Arial"/>
          <w:sz w:val="16"/>
          <w:szCs w:val="16"/>
          <w:color w:val="auto"/>
        </w:rPr>
      </w:pPr>
      <w:r>
        <w:rPr>
          <w:rFonts w:ascii="Arial" w:cs="Arial" w:eastAsia="Arial" w:hAnsi="Arial"/>
          <w:sz w:val="16"/>
          <w:szCs w:val="16"/>
          <w:color w:val="auto"/>
        </w:rPr>
        <w:t>Effective June 1, 2007, Mr. Alipanah’s employment with the Company was terminated in connection with the Company’s sale of all of the assets of its Engineering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-2150110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GRANTS OF PLAN-BASED AWARDS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500" w:type="dxa"/>
            <w:vAlign w:val="bottom"/>
            <w:gridSpan w:val="2"/>
          </w:tcPr>
          <w:p>
            <w:pPr>
              <w:ind w:left="1860"/>
              <w:spacing w:after="0"/>
              <w:rPr>
                <w:sz w:val="20"/>
                <w:szCs w:val="20"/>
                <w:color w:val="auto"/>
              </w:rPr>
            </w:pPr>
            <w:r>
              <w:rPr>
                <w:rFonts w:ascii="Arial" w:cs="Arial" w:eastAsia="Arial" w:hAnsi="Arial"/>
                <w:sz w:val="14"/>
                <w:szCs w:val="14"/>
                <w:b w:val="1"/>
                <w:bCs w:val="1"/>
                <w:color w:val="auto"/>
              </w:rPr>
              <w:t>(a)</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w:t>
            </w:r>
          </w:p>
        </w:tc>
        <w:tc>
          <w:tcPr>
            <w:tcW w:w="980" w:type="dxa"/>
            <w:vAlign w:val="bottom"/>
            <w:gridSpan w:val="2"/>
          </w:tcPr>
          <w:p>
            <w:pPr>
              <w:ind w:left="380"/>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102"/>
        </w:trPr>
        <w:tc>
          <w:tcPr>
            <w:tcW w:w="18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2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8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Estimated Future Payouts</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97"/>
              </w:rPr>
              <w:t>Under Non-Equity</w:t>
            </w:r>
          </w:p>
        </w:tc>
        <w:tc>
          <w:tcPr>
            <w:tcW w:w="0" w:type="dxa"/>
            <w:vAlign w:val="bottom"/>
          </w:tcPr>
          <w:p>
            <w:pPr>
              <w:spacing w:after="0"/>
              <w:rPr>
                <w:sz w:val="1"/>
                <w:szCs w:val="1"/>
                <w:color w:val="auto"/>
              </w:rPr>
            </w:pPr>
          </w:p>
        </w:tc>
      </w:tr>
      <w:tr>
        <w:trPr>
          <w:trHeight w:val="162"/>
        </w:trPr>
        <w:tc>
          <w:tcPr>
            <w:tcW w:w="6700" w:type="dxa"/>
            <w:vAlign w:val="bottom"/>
            <w:gridSpan w:val="4"/>
            <w:vMerge w:val="restart"/>
          </w:tcPr>
          <w:p>
            <w:pPr>
              <w:ind w:left="1840"/>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Grant Date</w:t>
            </w:r>
          </w:p>
        </w:tc>
        <w:tc>
          <w:tcPr>
            <w:tcW w:w="19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Incentive Plan Awards(1)</w:t>
            </w:r>
          </w:p>
        </w:tc>
        <w:tc>
          <w:tcPr>
            <w:tcW w:w="0" w:type="dxa"/>
            <w:vAlign w:val="bottom"/>
          </w:tcPr>
          <w:p>
            <w:pPr>
              <w:spacing w:after="0"/>
              <w:rPr>
                <w:sz w:val="1"/>
                <w:szCs w:val="1"/>
                <w:color w:val="auto"/>
              </w:rPr>
            </w:pPr>
          </w:p>
        </w:tc>
      </w:tr>
      <w:tr>
        <w:trPr>
          <w:trHeight w:val="129"/>
        </w:trPr>
        <w:tc>
          <w:tcPr>
            <w:tcW w:w="6700" w:type="dxa"/>
            <w:vAlign w:val="bottom"/>
            <w:gridSpan w:val="4"/>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6"/>
              </w:rPr>
              <w:t>Target($)</w:t>
            </w:r>
          </w:p>
        </w:tc>
        <w:tc>
          <w:tcPr>
            <w:tcW w:w="9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Maximum($)</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4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Eric M. DeMarco</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Deanna Lund</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R. Edwards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D. Robin Mickle</w:t>
            </w:r>
          </w:p>
        </w:tc>
        <w:tc>
          <w:tcPr>
            <w:tcW w:w="740" w:type="dxa"/>
            <w:vAlign w:val="bottom"/>
          </w:tcPr>
          <w:p>
            <w:pPr>
              <w:jc w:val="right"/>
              <w:spacing w:after="0"/>
              <w:rPr>
                <w:sz w:val="20"/>
                <w:szCs w:val="20"/>
                <w:color w:val="auto"/>
              </w:rPr>
            </w:pPr>
            <w:r>
              <w:rPr>
                <w:rFonts w:ascii="Arial" w:cs="Arial" w:eastAsia="Arial" w:hAnsi="Arial"/>
                <w:sz w:val="18"/>
                <w:szCs w:val="18"/>
                <w:color w:val="auto"/>
              </w:rPr>
              <w:t>7/31/06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$ 100,000</w:t>
            </w:r>
          </w:p>
        </w:tc>
        <w:tc>
          <w:tcPr>
            <w:tcW w:w="22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$ 110,000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Dariush G. Alipanah</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$ 120,000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hanging="352"/>
        <w:spacing w:after="0" w:line="293" w:lineRule="auto"/>
        <w:tabs>
          <w:tab w:leader="none" w:pos="345"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shown in columns (d) and (e) are the estimated possible payouts for fiscal year 2006 under our annual cash bonus plan. Annual cash bonus plan awards are determined based on the achievement of certain Company and individual performance objectives determined by the Committee. For fiscal 2006, the chief executive officer, not the Committee, determined individualized and Company performance objectives for Messrs. Mickle’s and Alipanah’s cash bonus plan awards. However, the Committee evaluated whether Messrs. Mickle and Alipanah achieved their individualized performance objectives and approved the payment of their bonues under the cash bonus plan. The cash bonus plan awards to the named executive officers are reported in the Fiscal Year 2006 Summary Compensation Table under the column “Non-Equity Incentive Plan Compensation.”</w:t>
      </w:r>
    </w:p>
    <w:p>
      <w:pPr>
        <w:spacing w:after="0" w:line="56" w:lineRule="exact"/>
        <w:rPr>
          <w:rFonts w:ascii="Arial" w:cs="Arial" w:eastAsia="Arial" w:hAnsi="Arial"/>
          <w:sz w:val="16"/>
          <w:szCs w:val="16"/>
          <w:color w:val="auto"/>
        </w:rPr>
      </w:pPr>
    </w:p>
    <w:p>
      <w:pPr>
        <w:ind w:left="360" w:right="600" w:hanging="352"/>
        <w:spacing w:after="0" w:line="277" w:lineRule="auto"/>
        <w:tabs>
          <w:tab w:leader="none" w:pos="3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Effective June 1, 2007, Mr. Alipanah’s employment with the Company was terminated in connection the Company’s sale of all of the assets of its Engineering Division</w:t>
      </w:r>
    </w:p>
    <w:p>
      <w:pPr>
        <w:spacing w:after="0" w:line="62"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The Company did not grant any equity based awards under incentive compensation plans to any named executive officers during the fiscal year ended December 31, 2006.</w:t>
      </w:r>
    </w:p>
    <w:p>
      <w:pPr>
        <w:sectPr>
          <w:pgSz w:w="11900" w:h="16838" w:orient="portrait"/>
          <w:cols w:equalWidth="0" w:num="1">
            <w:col w:w="11420"/>
          </w:cols>
          <w:pgMar w:left="240" w:top="125" w:right="239" w:bottom="35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50" w:gutter="0" w:footer="0" w:header="0"/>
          <w:type w:val="continuous"/>
        </w:sectPr>
      </w:pPr>
    </w:p>
    <w:bookmarkStart w:id="60" w:name="page61"/>
    <w:bookmarkEnd w:id="60"/>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tcPr>
          <w:p>
            <w:pPr>
              <w:ind w:left="1380"/>
              <w:spacing w:after="0"/>
              <w:rPr>
                <w:sz w:val="20"/>
                <w:szCs w:val="20"/>
                <w:color w:val="auto"/>
              </w:rPr>
            </w:pPr>
            <w:r>
              <w:rPr>
                <w:rFonts w:ascii="Arial" w:cs="Arial" w:eastAsia="Arial" w:hAnsi="Arial"/>
                <w:sz w:val="14"/>
                <w:szCs w:val="14"/>
                <w:b w:val="1"/>
                <w:bCs w:val="1"/>
                <w:color w:val="auto"/>
              </w:rPr>
              <w:t>(a)</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(e)</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(f)</w:t>
            </w:r>
          </w:p>
        </w:tc>
        <w:tc>
          <w:tcPr>
            <w:tcW w:w="0" w:type="dxa"/>
            <w:vAlign w:val="bottom"/>
          </w:tcPr>
          <w:p>
            <w:pPr>
              <w:spacing w:after="0"/>
              <w:rPr>
                <w:sz w:val="1"/>
                <w:szCs w:val="1"/>
                <w:color w:val="auto"/>
              </w:rPr>
            </w:pPr>
          </w:p>
        </w:tc>
      </w:tr>
      <w:tr>
        <w:trPr>
          <w:trHeight w:val="129"/>
        </w:trPr>
        <w:tc>
          <w:tcPr>
            <w:tcW w:w="184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2280" w:type="dxa"/>
            <w:vAlign w:val="bottom"/>
            <w:tcBorders>
              <w:top w:val="single" w:sz="8" w:color="auto"/>
              <w:bottom w:val="single" w:sz="8" w:color="auto"/>
            </w:tcBorders>
          </w:tcPr>
          <w:p>
            <w:pPr>
              <w:spacing w:after="0"/>
              <w:rPr>
                <w:sz w:val="11"/>
                <w:szCs w:val="11"/>
                <w:color w:val="auto"/>
              </w:rPr>
            </w:pPr>
          </w:p>
        </w:tc>
        <w:tc>
          <w:tcPr>
            <w:tcW w:w="2220" w:type="dxa"/>
            <w:vAlign w:val="bottom"/>
            <w:tcBorders>
              <w:top w:val="single" w:sz="8" w:color="auto"/>
              <w:bottom w:val="single" w:sz="8" w:color="auto"/>
            </w:tcBorders>
            <w:gridSpan w:val="3"/>
          </w:tcPr>
          <w:p>
            <w:pPr>
              <w:jc w:val="right"/>
              <w:ind w:right="476"/>
              <w:spacing w:after="0" w:line="129" w:lineRule="exact"/>
              <w:rPr>
                <w:sz w:val="20"/>
                <w:szCs w:val="20"/>
                <w:color w:val="auto"/>
              </w:rPr>
            </w:pPr>
            <w:r>
              <w:rPr>
                <w:rFonts w:ascii="Arial" w:cs="Arial" w:eastAsia="Arial" w:hAnsi="Arial"/>
                <w:sz w:val="14"/>
                <w:szCs w:val="14"/>
                <w:b w:val="1"/>
                <w:bCs w:val="1"/>
                <w:color w:val="auto"/>
              </w:rPr>
              <w:t>Option Awards</w:t>
            </w:r>
          </w:p>
        </w:tc>
        <w:tc>
          <w:tcPr>
            <w:tcW w:w="2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Number of</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Unexercised</w:t>
            </w:r>
          </w:p>
        </w:tc>
        <w:tc>
          <w:tcPr>
            <w:tcW w:w="200" w:type="dxa"/>
            <w:vAlign w:val="bottom"/>
          </w:tcPr>
          <w:p>
            <w:pPr>
              <w:spacing w:after="0"/>
              <w:rPr>
                <w:sz w:val="11"/>
                <w:szCs w:val="11"/>
                <w:color w:val="auto"/>
              </w:rPr>
            </w:pPr>
          </w:p>
        </w:tc>
        <w:tc>
          <w:tcPr>
            <w:tcW w:w="13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Options (#)</w:t>
            </w:r>
          </w:p>
        </w:tc>
        <w:tc>
          <w:tcPr>
            <w:tcW w:w="20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480" w:type="dxa"/>
            <w:vAlign w:val="bottom"/>
            <w:gridSpan w:val="3"/>
          </w:tcPr>
          <w:p>
            <w:pPr>
              <w:ind w:left="1820"/>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Exercisable(1)</w:t>
            </w:r>
          </w:p>
        </w:tc>
        <w:tc>
          <w:tcPr>
            <w:tcW w:w="20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Exercise Price($)</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Expiration Date(2)</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2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Eric M. DeMarco</w:t>
            </w: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1,250,000</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6.19(3)</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11/17/2013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500,000</w:t>
            </w:r>
          </w:p>
        </w:tc>
        <w:tc>
          <w:tcPr>
            <w:tcW w:w="13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6.05(8)</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8/18/2014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225,000</w:t>
            </w:r>
          </w:p>
        </w:tc>
        <w:tc>
          <w:tcPr>
            <w:tcW w:w="13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5.38(8)</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8/9/2015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2640" w:type="dxa"/>
            <w:vAlign w:val="bottom"/>
            <w:gridSpan w:val="2"/>
          </w:tcPr>
          <w:p>
            <w:pPr>
              <w:spacing w:after="0" w:line="201" w:lineRule="exact"/>
              <w:rPr>
                <w:sz w:val="20"/>
                <w:szCs w:val="20"/>
                <w:color w:val="auto"/>
              </w:rPr>
            </w:pPr>
            <w:r>
              <w:rPr>
                <w:rFonts w:ascii="Arial" w:cs="Arial" w:eastAsia="Arial" w:hAnsi="Arial"/>
                <w:sz w:val="18"/>
                <w:szCs w:val="18"/>
                <w:color w:val="auto"/>
              </w:rPr>
              <w:t>Deanna Lund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36"/>
              <w:spacing w:after="0" w:line="201" w:lineRule="exact"/>
              <w:rPr>
                <w:sz w:val="20"/>
                <w:szCs w:val="20"/>
                <w:color w:val="auto"/>
              </w:rPr>
            </w:pPr>
            <w:r>
              <w:rPr>
                <w:rFonts w:ascii="Arial" w:cs="Arial" w:eastAsia="Arial" w:hAnsi="Arial"/>
                <w:sz w:val="18"/>
                <w:szCs w:val="18"/>
                <w:color w:val="auto"/>
              </w:rPr>
              <w:t>200,000</w:t>
            </w:r>
          </w:p>
        </w:tc>
        <w:tc>
          <w:tcPr>
            <w:tcW w:w="1360" w:type="dxa"/>
            <w:vAlign w:val="bottom"/>
            <w:gridSpan w:val="3"/>
          </w:tcPr>
          <w:p>
            <w:pPr>
              <w:ind w:left="640"/>
              <w:spacing w:after="0" w:line="201" w:lineRule="exact"/>
              <w:rPr>
                <w:sz w:val="20"/>
                <w:szCs w:val="20"/>
                <w:color w:val="auto"/>
              </w:rPr>
            </w:pPr>
            <w:r>
              <w:rPr>
                <w:rFonts w:ascii="Arial" w:cs="Arial" w:eastAsia="Arial" w:hAnsi="Arial"/>
                <w:sz w:val="18"/>
                <w:szCs w:val="18"/>
                <w:color w:val="auto"/>
              </w:rPr>
              <w:t>6.19(4)</w:t>
            </w:r>
          </w:p>
        </w:tc>
        <w:tc>
          <w:tcPr>
            <w:tcW w:w="220" w:type="dxa"/>
            <w:vAlign w:val="bottom"/>
          </w:tcPr>
          <w:p>
            <w:pPr>
              <w:spacing w:after="0"/>
              <w:rPr>
                <w:sz w:val="17"/>
                <w:szCs w:val="17"/>
                <w:color w:val="auto"/>
              </w:rPr>
            </w:pPr>
          </w:p>
        </w:tc>
        <w:tc>
          <w:tcPr>
            <w:tcW w:w="128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4/20/2014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20" w:type="dxa"/>
            <w:vAlign w:val="bottom"/>
            <w:gridSpan w:val="3"/>
          </w:tcPr>
          <w:p>
            <w:pPr>
              <w:jc w:val="right"/>
              <w:ind w:right="36"/>
              <w:spacing w:after="0"/>
              <w:rPr>
                <w:sz w:val="20"/>
                <w:szCs w:val="20"/>
                <w:color w:val="auto"/>
              </w:rPr>
            </w:pPr>
            <w:r>
              <w:rPr>
                <w:rFonts w:ascii="Arial" w:cs="Arial" w:eastAsia="Arial" w:hAnsi="Arial"/>
                <w:sz w:val="18"/>
                <w:szCs w:val="18"/>
                <w:color w:val="auto"/>
              </w:rPr>
              <w:t>100,000</w:t>
            </w:r>
          </w:p>
        </w:tc>
        <w:tc>
          <w:tcPr>
            <w:tcW w:w="1360" w:type="dxa"/>
            <w:vAlign w:val="bottom"/>
            <w:gridSpan w:val="3"/>
          </w:tcPr>
          <w:p>
            <w:pPr>
              <w:ind w:left="640"/>
              <w:spacing w:after="0"/>
              <w:rPr>
                <w:sz w:val="20"/>
                <w:szCs w:val="20"/>
                <w:color w:val="auto"/>
              </w:rPr>
            </w:pPr>
            <w:r>
              <w:rPr>
                <w:rFonts w:ascii="Arial" w:cs="Arial" w:eastAsia="Arial" w:hAnsi="Arial"/>
                <w:sz w:val="18"/>
                <w:szCs w:val="18"/>
                <w:color w:val="auto"/>
              </w:rPr>
              <w:t>6.05(8)</w:t>
            </w:r>
          </w:p>
        </w:tc>
        <w:tc>
          <w:tcPr>
            <w:tcW w:w="22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8/18/2014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20" w:type="dxa"/>
            <w:vAlign w:val="bottom"/>
            <w:gridSpan w:val="3"/>
          </w:tcPr>
          <w:p>
            <w:pPr>
              <w:jc w:val="right"/>
              <w:ind w:right="36"/>
              <w:spacing w:after="0"/>
              <w:rPr>
                <w:sz w:val="20"/>
                <w:szCs w:val="20"/>
                <w:color w:val="auto"/>
              </w:rPr>
            </w:pPr>
            <w:r>
              <w:rPr>
                <w:rFonts w:ascii="Arial" w:cs="Arial" w:eastAsia="Arial" w:hAnsi="Arial"/>
                <w:sz w:val="18"/>
                <w:szCs w:val="18"/>
                <w:color w:val="auto"/>
              </w:rPr>
              <w:t>100,000</w:t>
            </w:r>
          </w:p>
        </w:tc>
        <w:tc>
          <w:tcPr>
            <w:tcW w:w="1360" w:type="dxa"/>
            <w:vAlign w:val="bottom"/>
            <w:gridSpan w:val="3"/>
          </w:tcPr>
          <w:p>
            <w:pPr>
              <w:ind w:left="640"/>
              <w:spacing w:after="0"/>
              <w:rPr>
                <w:sz w:val="20"/>
                <w:szCs w:val="20"/>
                <w:color w:val="auto"/>
              </w:rPr>
            </w:pPr>
            <w:r>
              <w:rPr>
                <w:rFonts w:ascii="Arial" w:cs="Arial" w:eastAsia="Arial" w:hAnsi="Arial"/>
                <w:sz w:val="18"/>
                <w:szCs w:val="18"/>
                <w:color w:val="auto"/>
              </w:rPr>
              <w:t>5.38(8)</w:t>
            </w:r>
          </w:p>
        </w:tc>
        <w:tc>
          <w:tcPr>
            <w:tcW w:w="220" w:type="dxa"/>
            <w:vAlign w:val="bottom"/>
          </w:tcPr>
          <w:p>
            <w:pPr>
              <w:spacing w:after="0"/>
              <w:rPr>
                <w:sz w:val="20"/>
                <w:szCs w:val="20"/>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8/9/2015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Edwards</w:t>
            </w:r>
          </w:p>
        </w:tc>
        <w:tc>
          <w:tcPr>
            <w:tcW w:w="10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170,000</w:t>
            </w:r>
          </w:p>
        </w:tc>
        <w:tc>
          <w:tcPr>
            <w:tcW w:w="13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6.19(4)</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4/20/2014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100,000</w:t>
            </w:r>
          </w:p>
        </w:tc>
        <w:tc>
          <w:tcPr>
            <w:tcW w:w="13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6.05(8)</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8/18/2014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70,000</w:t>
            </w:r>
          </w:p>
        </w:tc>
        <w:tc>
          <w:tcPr>
            <w:tcW w:w="13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5.38(8)</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8/9/2015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2640" w:type="dxa"/>
            <w:vAlign w:val="bottom"/>
            <w:gridSpan w:val="2"/>
          </w:tcPr>
          <w:p>
            <w:pPr>
              <w:spacing w:after="0" w:line="201" w:lineRule="exact"/>
              <w:rPr>
                <w:sz w:val="20"/>
                <w:szCs w:val="20"/>
                <w:color w:val="auto"/>
              </w:rPr>
            </w:pPr>
            <w:r>
              <w:rPr>
                <w:rFonts w:ascii="Arial" w:cs="Arial" w:eastAsia="Arial" w:hAnsi="Arial"/>
                <w:sz w:val="18"/>
                <w:szCs w:val="18"/>
                <w:color w:val="auto"/>
              </w:rPr>
              <w:t>D. Robin Mickle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36"/>
              <w:spacing w:after="0" w:line="201" w:lineRule="exact"/>
              <w:rPr>
                <w:sz w:val="20"/>
                <w:szCs w:val="20"/>
                <w:color w:val="auto"/>
              </w:rPr>
            </w:pPr>
            <w:r>
              <w:rPr>
                <w:rFonts w:ascii="Arial" w:cs="Arial" w:eastAsia="Arial" w:hAnsi="Arial"/>
                <w:sz w:val="18"/>
                <w:szCs w:val="18"/>
                <w:color w:val="auto"/>
              </w:rPr>
              <w:t>40,000</w:t>
            </w:r>
          </w:p>
        </w:tc>
        <w:tc>
          <w:tcPr>
            <w:tcW w:w="1360" w:type="dxa"/>
            <w:vAlign w:val="bottom"/>
            <w:gridSpan w:val="3"/>
          </w:tcPr>
          <w:p>
            <w:pPr>
              <w:ind w:left="640"/>
              <w:spacing w:after="0" w:line="201" w:lineRule="exact"/>
              <w:rPr>
                <w:sz w:val="20"/>
                <w:szCs w:val="20"/>
                <w:color w:val="auto"/>
              </w:rPr>
            </w:pPr>
            <w:r>
              <w:rPr>
                <w:rFonts w:ascii="Arial" w:cs="Arial" w:eastAsia="Arial" w:hAnsi="Arial"/>
                <w:sz w:val="18"/>
                <w:szCs w:val="18"/>
                <w:color w:val="auto"/>
              </w:rPr>
              <w:t>6.19(5)</w:t>
            </w:r>
          </w:p>
        </w:tc>
        <w:tc>
          <w:tcPr>
            <w:tcW w:w="220" w:type="dxa"/>
            <w:vAlign w:val="bottom"/>
          </w:tcPr>
          <w:p>
            <w:pPr>
              <w:spacing w:after="0"/>
              <w:rPr>
                <w:sz w:val="17"/>
                <w:szCs w:val="17"/>
                <w:color w:val="auto"/>
              </w:rPr>
            </w:pPr>
          </w:p>
        </w:tc>
        <w:tc>
          <w:tcPr>
            <w:tcW w:w="128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4/12/2015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20" w:type="dxa"/>
            <w:vAlign w:val="bottom"/>
            <w:gridSpan w:val="3"/>
          </w:tcPr>
          <w:p>
            <w:pPr>
              <w:jc w:val="right"/>
              <w:ind w:right="36"/>
              <w:spacing w:after="0"/>
              <w:rPr>
                <w:sz w:val="20"/>
                <w:szCs w:val="20"/>
                <w:color w:val="auto"/>
              </w:rPr>
            </w:pPr>
            <w:r>
              <w:rPr>
                <w:rFonts w:ascii="Arial" w:cs="Arial" w:eastAsia="Arial" w:hAnsi="Arial"/>
                <w:sz w:val="18"/>
                <w:szCs w:val="18"/>
                <w:color w:val="auto"/>
              </w:rPr>
              <w:t>10,000</w:t>
            </w:r>
          </w:p>
        </w:tc>
        <w:tc>
          <w:tcPr>
            <w:tcW w:w="1360" w:type="dxa"/>
            <w:vAlign w:val="bottom"/>
            <w:gridSpan w:val="3"/>
          </w:tcPr>
          <w:p>
            <w:pPr>
              <w:ind w:left="640"/>
              <w:spacing w:after="0"/>
              <w:rPr>
                <w:sz w:val="20"/>
                <w:szCs w:val="20"/>
                <w:color w:val="auto"/>
              </w:rPr>
            </w:pPr>
            <w:r>
              <w:rPr>
                <w:rFonts w:ascii="Arial" w:cs="Arial" w:eastAsia="Arial" w:hAnsi="Arial"/>
                <w:sz w:val="18"/>
                <w:szCs w:val="18"/>
                <w:color w:val="auto"/>
              </w:rPr>
              <w:t>5.90(8)</w:t>
            </w:r>
          </w:p>
        </w:tc>
        <w:tc>
          <w:tcPr>
            <w:tcW w:w="22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9/29/2015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20" w:type="dxa"/>
            <w:vAlign w:val="bottom"/>
            <w:gridSpan w:val="3"/>
          </w:tcPr>
          <w:p>
            <w:pPr>
              <w:jc w:val="right"/>
              <w:ind w:right="36"/>
              <w:spacing w:after="0"/>
              <w:rPr>
                <w:sz w:val="20"/>
                <w:szCs w:val="20"/>
                <w:color w:val="auto"/>
              </w:rPr>
            </w:pPr>
            <w:r>
              <w:rPr>
                <w:rFonts w:ascii="Arial" w:cs="Arial" w:eastAsia="Arial" w:hAnsi="Arial"/>
                <w:sz w:val="18"/>
                <w:szCs w:val="18"/>
                <w:color w:val="auto"/>
              </w:rPr>
              <w:t>100,000</w:t>
            </w:r>
          </w:p>
        </w:tc>
        <w:tc>
          <w:tcPr>
            <w:tcW w:w="1360" w:type="dxa"/>
            <w:vAlign w:val="bottom"/>
            <w:gridSpan w:val="3"/>
          </w:tcPr>
          <w:p>
            <w:pPr>
              <w:ind w:left="640"/>
              <w:spacing w:after="0"/>
              <w:rPr>
                <w:sz w:val="20"/>
                <w:szCs w:val="20"/>
                <w:color w:val="auto"/>
              </w:rPr>
            </w:pPr>
            <w:r>
              <w:rPr>
                <w:rFonts w:ascii="Arial" w:cs="Arial" w:eastAsia="Arial" w:hAnsi="Arial"/>
                <w:sz w:val="18"/>
                <w:szCs w:val="18"/>
                <w:color w:val="auto"/>
              </w:rPr>
              <w:t>5.43(8)</w:t>
            </w:r>
          </w:p>
        </w:tc>
        <w:tc>
          <w:tcPr>
            <w:tcW w:w="220" w:type="dxa"/>
            <w:vAlign w:val="bottom"/>
          </w:tcPr>
          <w:p>
            <w:pPr>
              <w:spacing w:after="0"/>
              <w:rPr>
                <w:sz w:val="20"/>
                <w:szCs w:val="20"/>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12/20/2015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Dariush G. Alipanah(9)</w:t>
            </w:r>
          </w:p>
        </w:tc>
        <w:tc>
          <w:tcPr>
            <w:tcW w:w="10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2,246</w:t>
            </w:r>
          </w:p>
        </w:tc>
        <w:tc>
          <w:tcPr>
            <w:tcW w:w="13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6.19(6)</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1/26/2010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743</w:t>
            </w:r>
          </w:p>
        </w:tc>
        <w:tc>
          <w:tcPr>
            <w:tcW w:w="13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6.19(6)</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12/1/2010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19,160</w:t>
            </w:r>
          </w:p>
        </w:tc>
        <w:tc>
          <w:tcPr>
            <w:tcW w:w="13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10/1/2011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36,000</w:t>
            </w:r>
          </w:p>
        </w:tc>
        <w:tc>
          <w:tcPr>
            <w:tcW w:w="13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4.23</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4/30/2012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22,000</w:t>
            </w:r>
          </w:p>
        </w:tc>
        <w:tc>
          <w:tcPr>
            <w:tcW w:w="13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6.19(7)</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5/23/2013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6.19(7)</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5/20/2014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7,500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6.05(8)</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8/18/2014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22,000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6.19(5)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4/12/2015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60,000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rPr>
              <w:t>6.19(8)</w:t>
            </w:r>
          </w:p>
        </w:tc>
        <w:tc>
          <w:tcPr>
            <w:tcW w:w="22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7/20/2015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-351155</wp:posOffset>
            </wp:positionV>
            <wp:extent cx="1466215" cy="274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66215" cy="274320"/>
                    </a:xfrm>
                    <a:prstGeom prst="rect">
                      <a:avLst/>
                    </a:prstGeom>
                    <a:noFill/>
                  </pic:spPr>
                </pic:pic>
              </a:graphicData>
            </a:graphic>
          </wp:anchor>
        </w:drawing>
      </w:r>
    </w:p>
    <w:p>
      <w:pPr>
        <w:spacing w:after="0" w:line="74"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options listed are fully vested and exercisable.</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Expiration date assumes that optionee remains in service of the Company through the full term of the stock option grant.</w:t>
      </w:r>
    </w:p>
    <w:p>
      <w:pPr>
        <w:spacing w:after="0" w:line="117" w:lineRule="exact"/>
        <w:rPr>
          <w:rFonts w:ascii="Arial" w:cs="Arial" w:eastAsia="Arial" w:hAnsi="Arial"/>
          <w:sz w:val="18"/>
          <w:szCs w:val="18"/>
          <w:color w:val="auto"/>
        </w:rPr>
      </w:pPr>
    </w:p>
    <w:p>
      <w:pPr>
        <w:ind w:left="360" w:right="20" w:hanging="352"/>
        <w:spacing w:after="0" w:line="276" w:lineRule="auto"/>
        <w:tabs>
          <w:tab w:leader="none" w:pos="345"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option shares originally granted to Mr. DeMarco on November 17, 2003 with respect to which the vesting was accelerated on May 18, 2005 pursuant to the Compensation Committee’s determination to accelerate the vesting on all outstanding and unvested stock options held by employees, officers and directors of the Company with an exercise price of more than $10.00 per share. The option was cancelled and re-issued on December 30, 2005 as part of a repricing of all outstanding employee stock options that were originally granted at exercise prices greater than 120% of the Company’s closing stock price on the Nasdaq Global Select Market on December 30, 2005.</w:t>
      </w:r>
    </w:p>
    <w:p>
      <w:pPr>
        <w:spacing w:after="0" w:line="64" w:lineRule="exact"/>
        <w:rPr>
          <w:rFonts w:ascii="Arial" w:cs="Arial" w:eastAsia="Arial" w:hAnsi="Arial"/>
          <w:sz w:val="17"/>
          <w:szCs w:val="17"/>
          <w:color w:val="auto"/>
        </w:rPr>
      </w:pPr>
    </w:p>
    <w:p>
      <w:pPr>
        <w:ind w:left="360" w:hanging="352"/>
        <w:spacing w:after="0"/>
        <w:tabs>
          <w:tab w:leader="none" w:pos="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option shares originally granted to Ms. Lund and Mr. Edwards on April 20, 2004 with respect to which the vesting was accelerated on</w:t>
      </w:r>
    </w:p>
    <w:p>
      <w:pPr>
        <w:spacing w:after="0" w:line="34" w:lineRule="exact"/>
        <w:rPr>
          <w:rFonts w:ascii="Arial" w:cs="Arial" w:eastAsia="Arial" w:hAnsi="Arial"/>
          <w:sz w:val="17"/>
          <w:szCs w:val="17"/>
          <w:color w:val="auto"/>
        </w:rPr>
      </w:pPr>
    </w:p>
    <w:p>
      <w:pPr>
        <w:jc w:val="both"/>
        <w:ind w:left="360" w:right="80"/>
        <w:spacing w:after="0" w:line="273" w:lineRule="auto"/>
        <w:rPr>
          <w:rFonts w:ascii="Arial" w:cs="Arial" w:eastAsia="Arial" w:hAnsi="Arial"/>
          <w:sz w:val="17"/>
          <w:szCs w:val="17"/>
          <w:color w:val="auto"/>
        </w:rPr>
      </w:pPr>
      <w:r>
        <w:rPr>
          <w:rFonts w:ascii="Arial" w:cs="Arial" w:eastAsia="Arial" w:hAnsi="Arial"/>
          <w:sz w:val="17"/>
          <w:szCs w:val="17"/>
          <w:color w:val="auto"/>
        </w:rPr>
        <w:t>May 18, 2005 pursuant to the Compensation Committee’s determination to accelerate the vesting on all outstanding and unvested stock options held by employees, officers and Directors of the Company with an exercise price of more than $10.00 per share. These options were cancelled and re-issued on December 30, 2005 as part of a repricing of all outstanding employee stock options that were originally granted at exercise prices greater than 120% of the Company’s closing stock price on the Nasdaq Global Select Market on December 30, 2005.</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20" w:hanging="352"/>
        <w:spacing w:after="0" w:line="257" w:lineRule="auto"/>
        <w:tabs>
          <w:tab w:leader="none" w:pos="3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option shares granted to Messrs. Mickle and Alipanah on April 12, 2005, which options were cancelled and re-issued on December 30, 2005 as part of a repricing of all outstanding employee stock options that were originally granted at exercise prices greater than 120% of the Company’s closing stock price on the Nasdaq Global Select Market on December 30, 2005. The vesting of these options was subsequently accelerated on December 31, 2006 when the Board approved the acceleration of vesting on all outstanding options issued prior to June 30, 2006 under our 1999 Equity Incentive and 2000 Nonqualified Stock Option Plans.</w:t>
      </w:r>
    </w:p>
    <w:p>
      <w:pPr>
        <w:spacing w:after="0" w:line="80" w:lineRule="exact"/>
        <w:rPr>
          <w:rFonts w:ascii="Arial" w:cs="Arial" w:eastAsia="Arial" w:hAnsi="Arial"/>
          <w:sz w:val="18"/>
          <w:szCs w:val="18"/>
          <w:color w:val="auto"/>
        </w:rPr>
      </w:pPr>
    </w:p>
    <w:p>
      <w:pPr>
        <w:jc w:val="both"/>
        <w:ind w:left="360" w:right="20" w:hanging="352"/>
        <w:spacing w:after="0" w:line="286" w:lineRule="auto"/>
        <w:tabs>
          <w:tab w:leader="none" w:pos="345"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Represents option shares that were originally granted to Mr. Alipanah on January 26, 2000 and December 1, 2000, which options were cancelled and re-issued on December 30, 2005 as part of a repricing of all outstanding employee stock options that were originally granted at exercise prices greater than 120% of the Company’s closing stock price on the Nasdaq Global Select Market on December 30, 2005.</w:t>
      </w:r>
    </w:p>
    <w:p>
      <w:pPr>
        <w:spacing w:after="0" w:line="57" w:lineRule="exact"/>
        <w:rPr>
          <w:rFonts w:ascii="Arial" w:cs="Arial" w:eastAsia="Arial" w:hAnsi="Arial"/>
          <w:sz w:val="17"/>
          <w:szCs w:val="17"/>
          <w:color w:val="auto"/>
        </w:rPr>
      </w:pPr>
    </w:p>
    <w:p>
      <w:pPr>
        <w:ind w:left="360" w:right="140" w:hanging="352"/>
        <w:spacing w:after="0" w:line="276" w:lineRule="auto"/>
        <w:tabs>
          <w:tab w:leader="none" w:pos="345"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Represents option shares originally granted to Mr. Alipanah on May 23, 2003 and May 20, 2004, respectively, with respect to which the vesting was accelerated on September 19, 2005 pursuant to the Compensation Committee’s determination to accelerate the vesting on all outstanding and unvested stock options held by employees, officers and directors of the Company with an exercise price of more than $8.00 per share. The option was cancelled and re-issued on December 30, 2005 as part of a repricing of all outstanding employee stock options that were originally granted at exercise prices greater than 120% of the Company’s closing stock price on the Nasdaq Global Select Market on December 30, 2005.</w:t>
      </w:r>
    </w:p>
    <w:p>
      <w:pPr>
        <w:spacing w:after="0" w:line="64" w:lineRule="exact"/>
        <w:rPr>
          <w:rFonts w:ascii="Arial" w:cs="Arial" w:eastAsia="Arial" w:hAnsi="Arial"/>
          <w:sz w:val="17"/>
          <w:szCs w:val="17"/>
          <w:color w:val="auto"/>
        </w:rPr>
      </w:pPr>
    </w:p>
    <w:p>
      <w:pPr>
        <w:ind w:left="360" w:hanging="352"/>
        <w:spacing w:after="0" w:line="264" w:lineRule="auto"/>
        <w:tabs>
          <w:tab w:leader="none" w:pos="3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option shares granted to Ms. Lund and Messrs. DeMarco, Edwards, Mickle and Alipanah with respect to which the vesting was subsequently accelerated when the Board approved the acceleration of vesting on all outstanding options issued prior to June 30, 2006 under our 1999 Equity Incentive and 2000 Nonqualified Stock Option Plans.</w:t>
      </w:r>
    </w:p>
    <w:p>
      <w:pPr>
        <w:spacing w:after="0" w:line="73" w:lineRule="exact"/>
        <w:rPr>
          <w:rFonts w:ascii="Arial" w:cs="Arial" w:eastAsia="Arial" w:hAnsi="Arial"/>
          <w:sz w:val="18"/>
          <w:szCs w:val="18"/>
          <w:color w:val="auto"/>
        </w:rPr>
      </w:pPr>
    </w:p>
    <w:p>
      <w:pPr>
        <w:ind w:left="360" w:right="160" w:hanging="352"/>
        <w:spacing w:after="0" w:line="277" w:lineRule="auto"/>
        <w:tabs>
          <w:tab w:leader="none" w:pos="3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Effective June 1, 2007, Mr. Alipanah’s employment with the Company was terminated in connection with the Company’s sale of all of the assets of its Engineering Division.</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OPTIONS EXERCISES AND STOCK VESTED</w:t>
      </w:r>
    </w:p>
    <w:p>
      <w:pPr>
        <w:spacing w:after="0" w:line="12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None of the named executive officers acquired any shares of the Company’s common stock through the exercise of stock options during the fiscal year ended December 31, 2006.</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did not have any outstanding stock based awards during the fiscal year ended December 31, 2006.</w:t>
      </w:r>
    </w:p>
    <w:p>
      <w:pPr>
        <w:sectPr>
          <w:pgSz w:w="11900" w:h="16847" w:orient="portrait"/>
          <w:cols w:equalWidth="0" w:num="1">
            <w:col w:w="11340"/>
          </w:cols>
          <w:pgMar w:left="240" w:top="364" w:right="319" w:bottom="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Pursuant to the Company’s Nonqualified Deferred Compensation Plan (the “Deferred Compensation Plan”), certain employees, including the named executive officers, may defer up to eighty percent (80%) of their cash compensation derived from base salary, bonus awards and/or commissions. The deferrals reduce a participant’s current taxable income and allow the participant to accumulate savings on a tax deferred basis. In addition, the Company may, in its sole and absolute discretion, make annual discretionary contributions to the Deferred Compensation Plan on behalf of participants, including matching contributions. To date, the Company has not made any contributions to the Deferred Compensation Plan.</w:t>
      </w:r>
    </w:p>
    <w:p>
      <w:pPr>
        <w:spacing w:after="0" w:line="64"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Deferrals, and Company contributions, if applicable, are adjusted for gain or loss based on the performance of one or more investment options selected solely by the participant from time to time from among investment funds chosen by a Plan Committee appointed by the Compensation Committee to administer the Deferred Compensation Plan. Generally, all distributions under the Deferred Compensation Plan will be made in a single lump sum, although participants that terminate their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employment as a result of their retirement may elect to receive distributions in annual installments. The Company may, in its sole discretion, suspend or terminate the Deferred Compensation Plan or revise it in any respect whatsoever; provided, however, that no such action may reduce amounts credited to deferral accounts and such accounts will continue to be owed to the participants or beneficiaries.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0" w:type="dxa"/>
            <w:vAlign w:val="bottom"/>
            <w:gridSpan w:val="2"/>
          </w:tcPr>
          <w:p>
            <w:pPr>
              <w:ind w:left="1720"/>
              <w:spacing w:after="0"/>
              <w:rPr>
                <w:sz w:val="20"/>
                <w:szCs w:val="20"/>
                <w:color w:val="auto"/>
              </w:rPr>
            </w:pPr>
            <w:r>
              <w:rPr>
                <w:rFonts w:ascii="Arial" w:cs="Arial" w:eastAsia="Arial" w:hAnsi="Arial"/>
                <w:sz w:val="14"/>
                <w:szCs w:val="14"/>
                <w:b w:val="1"/>
                <w:bCs w:val="1"/>
                <w:color w:val="auto"/>
              </w:rPr>
              <w:t>(a)</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(f)</w:t>
            </w:r>
          </w:p>
        </w:tc>
        <w:tc>
          <w:tcPr>
            <w:tcW w:w="0" w:type="dxa"/>
            <w:vAlign w:val="bottom"/>
          </w:tcPr>
          <w:p>
            <w:pPr>
              <w:spacing w:after="0"/>
              <w:rPr>
                <w:sz w:val="1"/>
                <w:szCs w:val="1"/>
                <w:color w:val="auto"/>
              </w:rPr>
            </w:pPr>
          </w:p>
        </w:tc>
      </w:tr>
      <w:tr>
        <w:trPr>
          <w:trHeight w:val="102"/>
        </w:trPr>
        <w:tc>
          <w:tcPr>
            <w:tcW w:w="18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9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Executive</w:t>
            </w:r>
          </w:p>
        </w:tc>
        <w:tc>
          <w:tcPr>
            <w:tcW w:w="220" w:type="dxa"/>
            <w:vAlign w:val="bottom"/>
          </w:tcPr>
          <w:p>
            <w:pPr>
              <w:spacing w:after="0"/>
              <w:rPr>
                <w:sz w:val="8"/>
                <w:szCs w:val="8"/>
                <w:color w:val="auto"/>
              </w:rPr>
            </w:pPr>
          </w:p>
        </w:tc>
        <w:tc>
          <w:tcPr>
            <w:tcW w:w="7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Aggregate</w:t>
            </w:r>
          </w:p>
        </w:tc>
        <w:tc>
          <w:tcPr>
            <w:tcW w:w="240" w:type="dxa"/>
            <w:vAlign w:val="bottom"/>
          </w:tcPr>
          <w:p>
            <w:pPr>
              <w:spacing w:after="0"/>
              <w:rPr>
                <w:sz w:val="8"/>
                <w:szCs w:val="8"/>
                <w:color w:val="auto"/>
              </w:rPr>
            </w:pPr>
          </w:p>
        </w:tc>
        <w:tc>
          <w:tcPr>
            <w:tcW w:w="8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Contributions in</w:t>
            </w: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Earnings in</w:t>
            </w: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5"/>
        </w:trPr>
        <w:tc>
          <w:tcPr>
            <w:tcW w:w="6400" w:type="dxa"/>
            <w:vAlign w:val="bottom"/>
            <w:gridSpan w:val="4"/>
            <w:vMerge w:val="restart"/>
          </w:tcPr>
          <w:p>
            <w:pPr>
              <w:ind w:left="1840"/>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Last FY</w:t>
            </w: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Last FY</w:t>
            </w: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Last FYE</w:t>
            </w:r>
          </w:p>
        </w:tc>
        <w:tc>
          <w:tcPr>
            <w:tcW w:w="0" w:type="dxa"/>
            <w:vAlign w:val="bottom"/>
          </w:tcPr>
          <w:p>
            <w:pPr>
              <w:spacing w:after="0"/>
              <w:rPr>
                <w:sz w:val="1"/>
                <w:szCs w:val="1"/>
                <w:color w:val="auto"/>
              </w:rPr>
            </w:pPr>
          </w:p>
        </w:tc>
      </w:tr>
      <w:tr>
        <w:trPr>
          <w:trHeight w:val="162"/>
        </w:trPr>
        <w:tc>
          <w:tcPr>
            <w:tcW w:w="6400" w:type="dxa"/>
            <w:vAlign w:val="bottom"/>
            <w:gridSpan w:val="4"/>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4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Eric M. DeMarco</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8"/>
                <w:szCs w:val="18"/>
                <w:color w:val="auto"/>
              </w:rPr>
              <w:t>91,731</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4,631</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151,373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Deanna Lund</w:t>
            </w:r>
          </w:p>
        </w:tc>
        <w:tc>
          <w:tcPr>
            <w:tcW w:w="1080" w:type="dxa"/>
            <w:vAlign w:val="bottom"/>
          </w:tcPr>
          <w:p>
            <w:pPr>
              <w:jc w:val="right"/>
              <w:ind w:right="201"/>
              <w:spacing w:after="0"/>
              <w:rPr>
                <w:sz w:val="20"/>
                <w:szCs w:val="20"/>
                <w:color w:val="auto"/>
              </w:rPr>
            </w:pPr>
            <w:r>
              <w:rPr>
                <w:rFonts w:ascii="Arial" w:cs="Arial" w:eastAsia="Arial" w:hAnsi="Arial"/>
                <w:sz w:val="18"/>
                <w:szCs w:val="18"/>
                <w:color w:val="auto"/>
              </w:rPr>
              <w:t>25,096</w:t>
            </w:r>
          </w:p>
        </w:tc>
        <w:tc>
          <w:tcPr>
            <w:tcW w:w="22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color w:val="auto"/>
              </w:rPr>
              <w:t>1,812</w:t>
            </w:r>
          </w:p>
        </w:tc>
        <w:tc>
          <w:tcPr>
            <w:tcW w:w="240" w:type="dxa"/>
            <w:vAlign w:val="bottom"/>
          </w:tcPr>
          <w:p>
            <w:pPr>
              <w:spacing w:after="0"/>
              <w:rPr>
                <w:sz w:val="18"/>
                <w:szCs w:val="18"/>
                <w:color w:val="auto"/>
              </w:rPr>
            </w:pPr>
          </w:p>
        </w:tc>
        <w:tc>
          <w:tcPr>
            <w:tcW w:w="820" w:type="dxa"/>
            <w:vAlign w:val="bottom"/>
          </w:tcPr>
          <w:p>
            <w:pPr>
              <w:jc w:val="right"/>
              <w:ind w:right="21"/>
              <w:spacing w:after="0"/>
              <w:rPr>
                <w:sz w:val="20"/>
                <w:szCs w:val="20"/>
                <w:color w:val="auto"/>
              </w:rPr>
            </w:pPr>
            <w:r>
              <w:rPr>
                <w:rFonts w:ascii="Arial" w:cs="Arial" w:eastAsia="Arial" w:hAnsi="Arial"/>
                <w:sz w:val="18"/>
                <w:szCs w:val="18"/>
                <w:color w:val="auto"/>
              </w:rPr>
              <w:t>26,908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R. Edwards</w:t>
            </w:r>
          </w:p>
        </w:tc>
        <w:tc>
          <w:tcPr>
            <w:tcW w:w="108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6,490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1,580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14,163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D. Robin Mickle</w:t>
            </w:r>
          </w:p>
        </w:tc>
        <w:tc>
          <w:tcPr>
            <w:tcW w:w="1080" w:type="dxa"/>
            <w:vAlign w:val="bottom"/>
          </w:tcPr>
          <w:p>
            <w:pPr>
              <w:jc w:val="right"/>
              <w:ind w:right="201"/>
              <w:spacing w:after="0"/>
              <w:rPr>
                <w:sz w:val="20"/>
                <w:szCs w:val="20"/>
                <w:color w:val="auto"/>
              </w:rPr>
            </w:pPr>
            <w:r>
              <w:rPr>
                <w:rFonts w:ascii="Arial" w:cs="Arial" w:eastAsia="Arial" w:hAnsi="Arial"/>
                <w:sz w:val="18"/>
                <w:szCs w:val="18"/>
                <w:color w:val="auto"/>
              </w:rPr>
              <w:t>10,226</w:t>
            </w:r>
          </w:p>
        </w:tc>
        <w:tc>
          <w:tcPr>
            <w:tcW w:w="22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color w:val="auto"/>
              </w:rPr>
              <w:t>905</w:t>
            </w:r>
          </w:p>
        </w:tc>
        <w:tc>
          <w:tcPr>
            <w:tcW w:w="240" w:type="dxa"/>
            <w:vAlign w:val="bottom"/>
          </w:tcPr>
          <w:p>
            <w:pPr>
              <w:spacing w:after="0"/>
              <w:rPr>
                <w:sz w:val="18"/>
                <w:szCs w:val="18"/>
                <w:color w:val="auto"/>
              </w:rPr>
            </w:pPr>
          </w:p>
        </w:tc>
        <w:tc>
          <w:tcPr>
            <w:tcW w:w="820" w:type="dxa"/>
            <w:vAlign w:val="bottom"/>
          </w:tcPr>
          <w:p>
            <w:pPr>
              <w:jc w:val="right"/>
              <w:ind w:right="21"/>
              <w:spacing w:after="0"/>
              <w:rPr>
                <w:sz w:val="20"/>
                <w:szCs w:val="20"/>
                <w:color w:val="auto"/>
              </w:rPr>
            </w:pPr>
            <w:r>
              <w:rPr>
                <w:rFonts w:ascii="Arial" w:cs="Arial" w:eastAsia="Arial" w:hAnsi="Arial"/>
                <w:sz w:val="18"/>
                <w:szCs w:val="18"/>
                <w:color w:val="auto"/>
              </w:rPr>
              <w:t>14,754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Dariush G. Alipanah(3)</w:t>
            </w:r>
          </w:p>
        </w:tc>
        <w:tc>
          <w:tcPr>
            <w:tcW w:w="108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39,433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11,034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91,773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260" w:hanging="352"/>
        <w:spacing w:after="0" w:line="277" w:lineRule="auto"/>
        <w:tabs>
          <w:tab w:leader="none" w:pos="3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in this column are also included in the Summary Compensation Table on page 106, in the summary column or non-equity incentive plan compensation column.</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Of the totals in this column, the following totals have previously been reported in the Summary Compensation Table for this year, and for previous years:</w:t>
      </w:r>
    </w:p>
    <w:p>
      <w:pPr>
        <w:spacing w:after="0" w:line="140" w:lineRule="exact"/>
        <w:rPr>
          <w:rFonts w:ascii="Arial" w:cs="Arial" w:eastAsia="Arial" w:hAnsi="Arial"/>
          <w:sz w:val="16"/>
          <w:szCs w:val="16"/>
          <w:color w:val="auto"/>
        </w:rPr>
      </w:pPr>
    </w:p>
    <w:p>
      <w:pPr>
        <w:ind w:left="360" w:right="220" w:hanging="352"/>
        <w:spacing w:after="0" w:line="277" w:lineRule="auto"/>
        <w:tabs>
          <w:tab w:leader="none" w:pos="3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Effective June 1, 2007, Mr. Alipanah’s employment with the Company was terminated in connection with the Company’s sale of all of the assets of its Engineering Division.</w:t>
      </w:r>
    </w:p>
    <w:p>
      <w:pPr>
        <w:spacing w:after="0" w:line="13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u w:val="single" w:color="auto"/>
                <w:color w:val="auto"/>
                <w:w w:val="99"/>
              </w:rPr>
              <w:t>2006($</w:t>
            </w:r>
            <w:r>
              <w:rPr>
                <w:rFonts w:ascii="Arial" w:cs="Arial" w:eastAsia="Arial" w:hAnsi="Arial"/>
                <w:sz w:val="14"/>
                <w:szCs w:val="14"/>
                <w:b w:val="1"/>
                <w:bCs w:val="1"/>
                <w:color w:val="auto"/>
                <w:w w:val="99"/>
              </w:rPr>
              <w:t>)</w:t>
            </w:r>
          </w:p>
        </w:tc>
        <w:tc>
          <w:tcPr>
            <w:tcW w:w="2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Previous</w:t>
            </w: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3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Eric M. DeMarco</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91,731</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55,012</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146,743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Deanna Lund</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25,096</w:t>
            </w:r>
          </w:p>
        </w:tc>
        <w:tc>
          <w:tcPr>
            <w:tcW w:w="2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Edwards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D. Robin Mickle</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10,226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3,623</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Dariush G. Alipanah</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39,433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Potential Payments Upon Termination or Change in Control</w:t>
      </w:r>
    </w:p>
    <w:p>
      <w:pPr>
        <w:spacing w:after="0" w:line="121"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In addition to other compensation arrangements described elsewhere in this proxy statement, we have entered into agreements with three of the named executive officers herein as follows:</w:t>
      </w:r>
    </w:p>
    <w:p>
      <w:pPr>
        <w:spacing w:after="0" w:line="62"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On November 14, 2003, we entered into an Executive Employment Agreement with Mr. DeMarco in connection with his duties as an executive of the Company. Among other things, the terms of the agreement provide for Mr. DeMarco’s compensation, eligibility to receive annual incentive awards and to participate in long-term incentive, employee benefit and retirement programs. In the event that Mr. DeMarco is terminated without cause, he will be entitled to a lump sum equal to three times the sum of his current base salary, plus three times his target bonus potential for the year, less any bonus already received for such year, vesting of all outstanding stock options and participation for Mr. DeMarco and his dependents in our employee health care program for one-year or, if earlier, until Mr. DeMarco procures health care coverage through another employer. Additionally, in the event that there is a change of control of the Company, Mr. DeMarco shall be entitled to accelerated vesting of 50% of all outstanding and unvested stock options. Furthermore, Mr. DeMarco shall also be entitled to the severance compensation described above should Mr. DeMarco’s employment be terminated as a result of such change in control. If Mr. DeMarco had been terminated on December 31, 2006 without cause or in connection with a change in control, he would have received the following benefits under his employment agreement: (i) a lump sum payment of $1,800,000 equal to three times his current base salary, plus three times his target bonus potential for the year, (ii) vesting of any unvested stock options then held by Mr. DeMarco and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firstLine="8"/>
        <w:spacing w:after="0" w:line="302" w:lineRule="auto"/>
        <w:tabs>
          <w:tab w:leader="none" w:pos="315"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continued participation by Mr. DeMarco and his family in the Company’s group health insurance benefits on the same terms as during his employment until the earlier of one year following his termination or procurement of health care coverage through another employer, provided that if the Company’s insurance carrier will not allow for such benefits continuation the Company shall pay the premiums required to continue Mr. DeMarco’s group health care coverage during the period under the applicable provisions of the Consolidated Omnibus Budget Reconciliation Act of 1985 (“COBRA”).</w:t>
      </w:r>
    </w:p>
    <w:p>
      <w:pPr>
        <w:spacing w:after="0" w:line="46"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Under Mr. DeMarco’s agreement, a change in control is deemed to have occurred in the event of any one of the following occurrences: (i) the acquisition by an individual person or entity or a group of individuals or entities acting in concert, directly or indirectly, through one transaction or a series of related transactions of more than 50% of the Company’s outstanding voting securities; (ii) a merger or consolidation of the Company with or into another entity after which the Company’s stockholders immediately prior to such transaction hold less than 50% of the voting securities of the surviving entity; (iii) a sale of all or substantially all of the Company’s assets; or (iv) the change in the majority of the Board pursuant to a successful hostile proxy contest.</w:t>
      </w:r>
    </w:p>
    <w:p>
      <w:pPr>
        <w:sectPr>
          <w:pgSz w:w="11900" w:h="16838" w:orient="portrait"/>
          <w:cols w:equalWidth="0" w:num="1">
            <w:col w:w="11400"/>
          </w:cols>
          <w:pgMar w:left="240" w:top="121" w:right="259" w:bottom="0" w:gutter="0" w:footer="0" w:header="0"/>
        </w:sectPr>
      </w:pPr>
    </w:p>
    <w:bookmarkStart w:id="62" w:name="page63"/>
    <w:bookmarkEnd w:id="62"/>
    <w:p>
      <w:pPr>
        <w:ind w:right="200" w:firstLine="360"/>
        <w:spacing w:after="0" w:line="293" w:lineRule="auto"/>
        <w:rPr>
          <w:sz w:val="20"/>
          <w:szCs w:val="20"/>
          <w:color w:val="auto"/>
        </w:rPr>
      </w:pPr>
      <w:r>
        <w:rPr>
          <w:rFonts w:ascii="Arial" w:cs="Arial" w:eastAsia="Arial" w:hAnsi="Arial"/>
          <w:sz w:val="16"/>
          <w:szCs w:val="16"/>
          <w:color w:val="auto"/>
        </w:rPr>
        <w:t>On March 28, 2005, we entered into Change in Control Agreements (the “Change in Control Agreements”) with Ms. Lund and Mr. Edwards (each an “Officer” and collectively the “Officers”), which were subsequently Amended and Restated on March 28, 2006. The terms of these agreements provide that upon a change in control of the Company, the Officers shall be entitled to accelerated vesting of 50% of all of their outstanding and unvested stock options and any applicable stock appreciation rights. Upon the one-year anniversary or a Triggering Event (as defined below), whichever occurs first, all remaining unvested stock options and applicable stock appreciation rights shall be fully vested. Additionally, in the event of a termination without cause the Officers shall be entitled to accelerated vesting of 100% of all of their outstanding and unvested stock options and any applicable stock appreciation rights.</w:t>
      </w:r>
    </w:p>
    <w:p>
      <w:pPr>
        <w:spacing w:after="0" w:line="57"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The Change in Control Agreements also provide for severance payments to the Officers as follows: (i) if an Officer is terminated without cause, the Officer is entitled to (A) severance compensation equal to one year of the Officer’s base salary then in effect, (B) continuation of the Officer’s then current health insurance coverage at the same cost to the Officer as prior to termination for a period of one year following termination, and (C) the vesting of any then unvested stock options held by the Officer or (ii) if an Officer voluntarily resigns after a change in control as a result of a material change in the nature of such Officer’s role or job responsibilities or the relocation of such Officer’s principal place of work to a location more than thirty (30) miles from such Officer’s work location immediately prior to the change in control (each a “Triggering Event”), the Officer shall be entitled to: (A) severance compensation, equal to two years of the Officer’s base salary then in effect, plus the Officer’s maximum bonus amount for two years and (B) continuation of the Officer’s then current health insurance coverage at the same cost to the Officer as prior to termination for a period of two years following termination or resignation.</w:t>
      </w:r>
    </w:p>
    <w:p>
      <w:pPr>
        <w:spacing w:after="0" w:line="58"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Under the Change in Control Agreements, a Change in Control is deemed to have occurred in the event of (i) the acquisition by an individual person or entity or a group of individuals or entities acting in concert, directly or indirectly, through one transaction or a series of transactions, of more than 50% of the outstanding voting securities of the Company; (ii) a merger or consolidation of the Company with or into another entity after which the stockholders of the Company immediately prior to such transaction hold less than 50% of the voting securities of the surviving entity; (iii) any action or event that results in the Board consisting of fewer than a majority of Incumbent Directors (“Incumbent Directors” shall mean directors who either (A) are directors of the Company as of the date of the Change in Control Agreements, or (B) are elected or nominated for election, to the Board with the affirmative votes of at least a majority of the Incumbent Directors at the time of such election or nomination); or (iv) a sale of all or substantially all of the assets of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85" w:lineRule="auto"/>
        <w:rPr>
          <w:sz w:val="20"/>
          <w:szCs w:val="20"/>
          <w:color w:val="auto"/>
        </w:rPr>
      </w:pPr>
      <w:r>
        <w:rPr>
          <w:rFonts w:ascii="Arial" w:cs="Arial" w:eastAsia="Arial" w:hAnsi="Arial"/>
          <w:sz w:val="16"/>
          <w:szCs w:val="16"/>
          <w:color w:val="auto"/>
        </w:rPr>
        <w:t>Under her Change in Control Agreement, if Ms. Lund had been terminated without cause on December 31, 2006, she would have received the following benefits: (i) severance compensation equal to one year of her base salary then in effect in the amount of $225,000, (ii) continuation of her then current health insurance coverage at the same cost to her as prior to her termination for a period of one year following termination and (iii) the vesting of any unvested stock options then held by Ms. Lund. If Ms. Lund had voluntarily resigned on December 31, 2006 following a Triggering Event and a Change in Control she would have received the following benefits: (i) severance compensation equal to two years of her base salary then in effect in the amount of $450,000,</w:t>
      </w:r>
    </w:p>
    <w:p>
      <w:pPr>
        <w:spacing w:after="0" w:line="2" w:lineRule="exact"/>
        <w:rPr>
          <w:sz w:val="20"/>
          <w:szCs w:val="20"/>
          <w:color w:val="auto"/>
        </w:rPr>
      </w:pPr>
    </w:p>
    <w:p>
      <w:pPr>
        <w:ind w:right="820" w:firstLine="8"/>
        <w:spacing w:after="0" w:line="261" w:lineRule="auto"/>
        <w:tabs>
          <w:tab w:leader="none" w:pos="2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continuation of her then current health insurance coverage at the same cost to her as prior to her termination for a period of two years following termination, and (iii) the vesting of any unvested stock options then held by Ms. Lund.</w:t>
      </w:r>
    </w:p>
    <w:p>
      <w:pPr>
        <w:spacing w:after="0" w:line="76"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Under his Change in Control Agreement, if Mr. Edwards had been terminated without cause on December 31, 2006, he would have received the following benefits: (i) severance compensation equal to one year of his base salary then in effect in the amount of $215,000, (ii) continuation of his then current health insurance coverage at the same cost to him as prior to his termination for a period of one year following termination and (iii) the vesting of any unvested stock options then held by Mr. Edwards. If Mr. Edwards had voluntarily resigned on December 31, 2006 following a Triggering Event and in connection with a Change in Control he would have received the following benefits: (i) severance compensation equal to two years of his base salary then in effect in the amount of $430,000, (ii) continuation of his then current health insurance coverage at the same cost to him as prior to his termination for a period of two years following termination, and (iii) the vesting of any unvested stock options then held by Mr. Edwards.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 following quarterly retainer and committee fees were payable to the Company’s non-employee Directors during the fiscal year ended December 31, 2006:</w:t>
      </w:r>
    </w:p>
    <w:p>
      <w:pPr>
        <w:spacing w:after="0" w:line="185"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Quarterly Retainer</w:t>
            </w:r>
          </w:p>
        </w:tc>
        <w:tc>
          <w:tcPr>
            <w:tcW w:w="2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$3,500</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Audit Committee Chair</w:t>
            </w:r>
          </w:p>
        </w:tc>
        <w:tc>
          <w:tcPr>
            <w:tcW w:w="2540" w:type="dxa"/>
            <w:vAlign w:val="bottom"/>
          </w:tcPr>
          <w:p>
            <w:pPr>
              <w:ind w:left="1060"/>
              <w:spacing w:after="0"/>
              <w:rPr>
                <w:sz w:val="20"/>
                <w:szCs w:val="20"/>
                <w:color w:val="auto"/>
              </w:rPr>
            </w:pPr>
            <w:r>
              <w:rPr>
                <w:rFonts w:ascii="Arial" w:cs="Arial" w:eastAsia="Arial" w:hAnsi="Arial"/>
                <w:sz w:val="18"/>
                <w:szCs w:val="18"/>
                <w:color w:val="auto"/>
              </w:rPr>
              <w:t>$3,000</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 Regular Meeting Fee</w:t>
            </w:r>
          </w:p>
        </w:tc>
        <w:tc>
          <w:tcPr>
            <w:tcW w:w="2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$2,000</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Audit Committee Chair Calls</w:t>
            </w:r>
          </w:p>
        </w:tc>
        <w:tc>
          <w:tcPr>
            <w:tcW w:w="2540" w:type="dxa"/>
            <w:vAlign w:val="bottom"/>
          </w:tcPr>
          <w:p>
            <w:pPr>
              <w:ind w:left="10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Audit Committee Matters</w:t>
            </w:r>
          </w:p>
        </w:tc>
        <w:tc>
          <w:tcPr>
            <w:tcW w:w="2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$1,000 to $4,000*</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Committee Chair Retainer</w:t>
            </w:r>
          </w:p>
        </w:tc>
        <w:tc>
          <w:tcPr>
            <w:tcW w:w="2540" w:type="dxa"/>
            <w:vAlign w:val="bottom"/>
          </w:tcPr>
          <w:p>
            <w:pPr>
              <w:ind w:left="10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Board Meetings</w:t>
            </w:r>
          </w:p>
        </w:tc>
        <w:tc>
          <w:tcPr>
            <w:tcW w:w="2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$4,000</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Board Conference Calls</w:t>
            </w:r>
          </w:p>
        </w:tc>
        <w:tc>
          <w:tcPr>
            <w:tcW w:w="2540" w:type="dxa"/>
            <w:vAlign w:val="bottom"/>
          </w:tcPr>
          <w:p>
            <w:pPr>
              <w:ind w:left="1060"/>
              <w:spacing w:after="0"/>
              <w:rPr>
                <w:sz w:val="20"/>
                <w:szCs w:val="20"/>
                <w:color w:val="auto"/>
              </w:rPr>
            </w:pPr>
            <w:r>
              <w:rPr>
                <w:rFonts w:ascii="Arial" w:cs="Arial" w:eastAsia="Arial" w:hAnsi="Arial"/>
                <w:sz w:val="18"/>
                <w:szCs w:val="18"/>
                <w:color w:val="auto"/>
              </w:rPr>
              <w:t>$2,000</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Committee Meetings</w:t>
            </w:r>
          </w:p>
        </w:tc>
        <w:tc>
          <w:tcPr>
            <w:tcW w:w="2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Committee Conference Calls</w:t>
            </w:r>
          </w:p>
        </w:tc>
        <w:tc>
          <w:tcPr>
            <w:tcW w:w="2540" w:type="dxa"/>
            <w:vAlign w:val="bottom"/>
          </w:tcPr>
          <w:p>
            <w:pPr>
              <w:ind w:left="1060"/>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Annual Stock Option Grant</w:t>
            </w:r>
          </w:p>
        </w:tc>
        <w:tc>
          <w:tcPr>
            <w:tcW w:w="2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20,000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right="8420" w:firstLine="8"/>
        <w:spacing w:after="0" w:line="422" w:lineRule="auto"/>
        <w:tabs>
          <w:tab w:leader="none" w:pos="4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determined by Board Chairman) All fees are paid quarterly in arrears.</w:t>
      </w:r>
    </w:p>
    <w:p>
      <w:pPr>
        <w:spacing w:after="0" w:line="1" w:lineRule="exact"/>
        <w:rPr>
          <w:sz w:val="20"/>
          <w:szCs w:val="20"/>
          <w:color w:val="auto"/>
        </w:rPr>
      </w:pPr>
    </w:p>
    <w:p>
      <w:pPr>
        <w:ind w:right="220" w:firstLine="360"/>
        <w:spacing w:after="0" w:line="255" w:lineRule="auto"/>
        <w:rPr>
          <w:sz w:val="20"/>
          <w:szCs w:val="20"/>
          <w:color w:val="auto"/>
        </w:rPr>
      </w:pPr>
      <w:r>
        <w:rPr>
          <w:rFonts w:ascii="Arial" w:cs="Arial" w:eastAsia="Arial" w:hAnsi="Arial"/>
          <w:sz w:val="18"/>
          <w:szCs w:val="18"/>
          <w:color w:val="auto"/>
        </w:rPr>
        <w:t>The Directors compensation schedule was approved by the Board on June 2, 2004 upon recommendation of the Committee and was modified on November 18, 2004 with respect to Audit Committee and Audit Committee Chair fees in light of the increased responsibilities of the Audit Committee as a result of the Sarbanes-Oxley Act. Additionally, in February 2005 the Board approved a Non-Management Directors Stock Fee Program whereby our non-management Directors may elect to receive all or a portion of their fees in shares of our common stock. Further, in July 2005, the Board approved a Non-Management Directors Stock Option Fee Program similar to the Non-Management Directors Stock Fee Program, whereby our non-management Directors may elect to receive all or a</w:t>
      </w:r>
    </w:p>
    <w:p>
      <w:pPr>
        <w:sectPr>
          <w:pgSz w:w="11900" w:h="16838" w:orient="portrait"/>
          <w:cols w:equalWidth="0" w:num="1">
            <w:col w:w="11420"/>
          </w:cols>
          <w:pgMar w:left="240" w:top="125" w:right="239" w:bottom="526"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26" w:gutter="0" w:footer="0" w:header="0"/>
          <w:type w:val="continuous"/>
        </w:sectPr>
      </w:pPr>
    </w:p>
    <w:bookmarkStart w:id="63" w:name="page64"/>
    <w:bookmarkEnd w:id="63"/>
    <w:p>
      <w:pPr>
        <w:spacing w:after="0" w:line="302" w:lineRule="auto"/>
        <w:rPr>
          <w:sz w:val="20"/>
          <w:szCs w:val="20"/>
          <w:color w:val="auto"/>
        </w:rPr>
      </w:pPr>
      <w:r>
        <w:rPr>
          <w:rFonts w:ascii="Arial" w:cs="Arial" w:eastAsia="Arial" w:hAnsi="Arial"/>
          <w:sz w:val="16"/>
          <w:szCs w:val="16"/>
          <w:color w:val="auto"/>
        </w:rPr>
        <w:t>portion of their accrued Directors fees in the form of a fully-vested stock option grant. If elected under either of these plans, the common stock, or the exercise price of the stock option grant, each such Director shall receive, is valued based on the closing trading price of our common stock on the trading day immediately preceding the regularly scheduled Board Meeting for the respective quarter in which the Directors fees are being paid. Our Directors also receive reimbursement for all out-of-pocket expenses related to their duties, including, but not limited to, travel, car rental and lodging fees.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fees paid to those members of the Company’s Board for the fiscal year ended December 31, 2006:</w:t>
      </w:r>
    </w:p>
    <w:p>
      <w:pPr>
        <w:spacing w:after="0" w:line="203" w:lineRule="exact"/>
        <w:rPr>
          <w:sz w:val="20"/>
          <w:szCs w:val="20"/>
          <w:color w:val="auto"/>
        </w:rPr>
      </w:pPr>
    </w:p>
    <w:tbl>
      <w:tblPr>
        <w:tblLayout w:type="fixed"/>
        <w:tblInd w:w="2200" w:type="dxa"/>
        <w:tblCellMar>
          <w:top w:w="0" w:type="dxa"/>
          <w:left w:w="0" w:type="dxa"/>
          <w:bottom w:w="0" w:type="dxa"/>
          <w:right w:w="0" w:type="dxa"/>
        </w:tblCellMar>
      </w:tblPr>
      <w:tr>
        <w:trPr>
          <w:trHeight w:val="171"/>
        </w:trPr>
        <w:tc>
          <w:tcPr>
            <w:tcW w:w="3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Fees Earned or</w:t>
            </w:r>
          </w:p>
        </w:tc>
        <w:tc>
          <w:tcPr>
            <w:tcW w:w="180" w:type="dxa"/>
            <w:vAlign w:val="bottom"/>
          </w:tcPr>
          <w:p>
            <w:pPr>
              <w:spacing w:after="0"/>
              <w:rPr>
                <w:sz w:val="8"/>
                <w:szCs w:val="8"/>
                <w:color w:val="auto"/>
              </w:rPr>
            </w:pPr>
          </w:p>
        </w:tc>
        <w:tc>
          <w:tcPr>
            <w:tcW w:w="6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Option</w:t>
            </w:r>
          </w:p>
        </w:tc>
        <w:tc>
          <w:tcPr>
            <w:tcW w:w="340" w:type="dxa"/>
            <w:vAlign w:val="bottom"/>
          </w:tcPr>
          <w:p>
            <w:pPr>
              <w:spacing w:after="0"/>
              <w:rPr>
                <w:sz w:val="8"/>
                <w:szCs w:val="8"/>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Paid in Cash</w:t>
            </w:r>
          </w:p>
        </w:tc>
        <w:tc>
          <w:tcPr>
            <w:tcW w:w="9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Awards</w:t>
            </w: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6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I. Anderson</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79,000</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161,788</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240,788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Bandel L. Carano</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177,039(2)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177,039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A. Hoglund</w:t>
            </w:r>
          </w:p>
        </w:tc>
        <w:tc>
          <w:tcPr>
            <w:tcW w:w="10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59,500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161,784</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221,284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Scot B. Jarvis</w:t>
            </w:r>
          </w:p>
        </w:tc>
        <w:tc>
          <w:tcPr>
            <w:tcW w:w="1000" w:type="dxa"/>
            <w:vAlign w:val="bottom"/>
          </w:tcPr>
          <w:p>
            <w:pPr>
              <w:jc w:val="right"/>
              <w:ind w:right="159"/>
              <w:spacing w:after="0"/>
              <w:rPr>
                <w:sz w:val="20"/>
                <w:szCs w:val="20"/>
                <w:color w:val="auto"/>
              </w:rPr>
            </w:pPr>
            <w:r>
              <w:rPr>
                <w:rFonts w:ascii="Arial" w:cs="Arial" w:eastAsia="Arial" w:hAnsi="Arial"/>
                <w:sz w:val="18"/>
                <w:szCs w:val="18"/>
                <w:color w:val="auto"/>
              </w:rPr>
              <w:t>69,000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161,788</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230,788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 Leitch(3)</w:t>
            </w:r>
          </w:p>
        </w:tc>
        <w:tc>
          <w:tcPr>
            <w:tcW w:w="10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32,750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Masood K. Tayebi(4)</w:t>
            </w:r>
          </w:p>
        </w:tc>
        <w:tc>
          <w:tcPr>
            <w:tcW w:w="1000" w:type="dxa"/>
            <w:vAlign w:val="bottom"/>
          </w:tcPr>
          <w:p>
            <w:pPr>
              <w:jc w:val="right"/>
              <w:ind w:right="159"/>
              <w:spacing w:after="0"/>
              <w:rPr>
                <w:sz w:val="20"/>
                <w:szCs w:val="20"/>
                <w:color w:val="auto"/>
              </w:rPr>
            </w:pPr>
            <w:r>
              <w:rPr>
                <w:rFonts w:ascii="Arial" w:cs="Arial" w:eastAsia="Arial" w:hAnsi="Arial"/>
                <w:sz w:val="18"/>
                <w:szCs w:val="18"/>
                <w:color w:val="auto"/>
              </w:rPr>
              <w:t>38,000</w:t>
            </w:r>
          </w:p>
        </w:tc>
        <w:tc>
          <w:tcPr>
            <w:tcW w:w="18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893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1"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amounts shown in column (d) represent the compensation costs of stock options for financial reporting purposes for fiscal year 2006 under</w:t>
      </w:r>
    </w:p>
    <w:p>
      <w:pPr>
        <w:spacing w:after="0" w:line="34" w:lineRule="exact"/>
        <w:rPr>
          <w:rFonts w:ascii="Arial" w:cs="Arial" w:eastAsia="Arial" w:hAnsi="Arial"/>
          <w:sz w:val="17"/>
          <w:szCs w:val="17"/>
          <w:color w:val="auto"/>
        </w:rPr>
      </w:pPr>
    </w:p>
    <w:p>
      <w:pPr>
        <w:ind w:left="360"/>
        <w:spacing w:after="0" w:line="273" w:lineRule="auto"/>
        <w:rPr>
          <w:rFonts w:ascii="Arial" w:cs="Arial" w:eastAsia="Arial" w:hAnsi="Arial"/>
          <w:sz w:val="17"/>
          <w:szCs w:val="17"/>
          <w:color w:val="auto"/>
        </w:rPr>
      </w:pPr>
      <w:r>
        <w:rPr>
          <w:rFonts w:ascii="Arial" w:cs="Arial" w:eastAsia="Arial" w:hAnsi="Arial"/>
          <w:sz w:val="17"/>
          <w:szCs w:val="17"/>
          <w:color w:val="auto"/>
        </w:rPr>
        <w:t>FAS 123(R), rather than an amount paid to or realized by the Company’s Directors. The FAS 123(R) value as of the grant date for the stock option grants is spread over the number of months of service required for the grant to become non-forfeitable. Compensation costs shown in column (d) reflect ratable amounts expensed for grants that were made in prior fiscal years and the exercise price of the subject stock option grants are above current market values. There can be no assurance that the FAS 123(R) amounts will ever by realized by the Company’s Directors.</w:t>
      </w:r>
    </w:p>
    <w:p>
      <w:pPr>
        <w:spacing w:after="0" w:line="68" w:lineRule="exact"/>
        <w:rPr>
          <w:rFonts w:ascii="Arial" w:cs="Arial" w:eastAsia="Arial" w:hAnsi="Arial"/>
          <w:sz w:val="17"/>
          <w:szCs w:val="17"/>
          <w:color w:val="auto"/>
        </w:rPr>
      </w:pPr>
    </w:p>
    <w:p>
      <w:pPr>
        <w:ind w:left="360" w:hanging="352"/>
        <w:spacing w:after="0"/>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fully vested stock option grants granted to Mr. Carano in lieu of accrued Directors Fees as follows:</w:t>
      </w:r>
    </w:p>
    <w:p>
      <w:pPr>
        <w:spacing w:after="0" w:line="117" w:lineRule="exact"/>
        <w:rPr>
          <w:rFonts w:ascii="Arial" w:cs="Arial" w:eastAsia="Arial" w:hAnsi="Arial"/>
          <w:sz w:val="18"/>
          <w:szCs w:val="18"/>
          <w:color w:val="auto"/>
        </w:rPr>
      </w:pPr>
    </w:p>
    <w:p>
      <w:pPr>
        <w:ind w:left="360" w:right="120" w:firstLine="548"/>
        <w:spacing w:after="0" w:line="277" w:lineRule="auto"/>
        <w:tabs>
          <w:tab w:leader="none" w:pos="13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March 22, 2006, stock option to purchase 4,511 shares of common stock granted at $3.88/share in lieu of $17,500 accrued Directors Fees, which option is fully vested, has an exercise price of $3.88 per share and expires on March 22, 2016;</w:t>
      </w:r>
    </w:p>
    <w:p>
      <w:pPr>
        <w:spacing w:after="0" w:line="62" w:lineRule="exact"/>
        <w:rPr>
          <w:rFonts w:ascii="Arial" w:cs="Arial" w:eastAsia="Arial" w:hAnsi="Arial"/>
          <w:sz w:val="18"/>
          <w:szCs w:val="18"/>
          <w:color w:val="auto"/>
        </w:rPr>
      </w:pPr>
    </w:p>
    <w:p>
      <w:pPr>
        <w:ind w:left="360" w:right="380" w:firstLine="548"/>
        <w:spacing w:after="0" w:line="277" w:lineRule="auto"/>
        <w:tabs>
          <w:tab w:leader="none" w:pos="1305" w:val="left"/>
        </w:tabs>
        <w:numPr>
          <w:ilvl w:val="1"/>
          <w:numId w:val="55"/>
        </w:numPr>
        <w:rPr>
          <w:rFonts w:ascii="Arial" w:cs="Arial" w:eastAsia="Arial" w:hAnsi="Arial"/>
          <w:sz w:val="18"/>
          <w:szCs w:val="18"/>
          <w:color w:val="auto"/>
        </w:rPr>
      </w:pPr>
      <w:r>
        <w:rPr>
          <w:rFonts w:ascii="Arial" w:cs="Arial" w:eastAsia="Arial" w:hAnsi="Arial"/>
          <w:sz w:val="18"/>
          <w:szCs w:val="18"/>
          <w:color w:val="auto"/>
        </w:rPr>
        <w:t>May 17, 2006, stock option to purchase 2,304 shares of common stock granted at $3.69/share in lieu of $8,500 accrued Directors Fees, which option is fully vested, has an exercise price of $3.69 per share and expires on May 17, 2016;</w:t>
      </w:r>
    </w:p>
    <w:p>
      <w:pPr>
        <w:spacing w:after="0" w:line="62" w:lineRule="exact"/>
        <w:rPr>
          <w:rFonts w:ascii="Arial" w:cs="Arial" w:eastAsia="Arial" w:hAnsi="Arial"/>
          <w:sz w:val="18"/>
          <w:szCs w:val="18"/>
          <w:color w:val="auto"/>
        </w:rPr>
      </w:pPr>
    </w:p>
    <w:p>
      <w:pPr>
        <w:ind w:left="360" w:firstLine="548"/>
        <w:spacing w:after="0" w:line="277" w:lineRule="auto"/>
        <w:tabs>
          <w:tab w:leader="none" w:pos="13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September 6, 2006, stock option to purchase 1,556 shares of common stock granted at $2.25/share in lieu of $3,500 accrued Directors Fees, which option is fully vested, has an exercise price of $2.25 per share and expires on September 6, 2016; and</w:t>
      </w:r>
    </w:p>
    <w:p>
      <w:pPr>
        <w:spacing w:after="0" w:line="62" w:lineRule="exact"/>
        <w:rPr>
          <w:rFonts w:ascii="Arial" w:cs="Arial" w:eastAsia="Arial" w:hAnsi="Arial"/>
          <w:sz w:val="18"/>
          <w:szCs w:val="18"/>
          <w:color w:val="auto"/>
        </w:rPr>
      </w:pPr>
    </w:p>
    <w:p>
      <w:pPr>
        <w:ind w:left="360" w:right="380" w:firstLine="548"/>
        <w:spacing w:after="0" w:line="277" w:lineRule="auto"/>
        <w:tabs>
          <w:tab w:leader="none" w:pos="1305"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November 15, 2006, stock option to purchase 5,896 shares of common stock granted at 2.29/share in lieu of $13,500 accrued Directors Fees, which option is fully vested, has an exercise price of $2.29 per share and expires on November 16, 2016.</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Effective May 17, 2006, Mr. Leitch’s term as a Director of the Company expired.</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Effective March 6, 2007, Dr. Tayebi resigned as a Director of the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The Compensation Committee is comprised entirely of independent directors. None of the members of our Compensation Committee is or has ever been one of our officers or employees. No interlocking relationship exists between our Board or Compensation Committee and the board of directors or compensation committee of any other entity.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08"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Annual Report on Form 10-K.</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COMPENSATION COMMITTEE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Bandel L. Carano</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Scot B. Jarvis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William A. Hoglund</w:t>
      </w:r>
    </w:p>
    <w:p>
      <w:pPr>
        <w:spacing w:after="0" w:line="247" w:lineRule="exact"/>
        <w:rPr>
          <w:sz w:val="20"/>
          <w:szCs w:val="20"/>
          <w:color w:val="auto"/>
        </w:rPr>
      </w:pPr>
    </w:p>
    <w:p>
      <w:pPr>
        <w:ind w:right="3020"/>
        <w:spacing w:after="0" w:line="354"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Ownership of more than 5%</w:t>
      </w:r>
    </w:p>
    <w:p>
      <w:pPr>
        <w:spacing w:after="0" w:line="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following table shows stock ownership information as of July 31, 2007 with respect to beneficial ownership of our common stock and our Series B Convertible preferred stock by each person known to us to be the beneficial owner of more than 5% of such stock. As of July 31, 2007, there were 74,061,650 shares of our common stock and 10,000 shares of our Series B preferred stock issued and outstanding. Information with respect to beneficial owners of more than 5% of the common stock is based upon the most recent Schedule 13G these owners have filed with SEC.</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Beneficial Ownership(1)</w:t>
            </w: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620" w:type="dxa"/>
            <w:vAlign w:val="bottom"/>
            <w:gridSpan w:val="4"/>
          </w:tcPr>
          <w:p>
            <w:pPr>
              <w:jc w:val="center"/>
              <w:ind w:right="120"/>
              <w:spacing w:after="0" w:line="102" w:lineRule="exact"/>
              <w:rPr>
                <w:sz w:val="20"/>
                <w:szCs w:val="20"/>
                <w:color w:val="auto"/>
              </w:rPr>
            </w:pPr>
            <w:r>
              <w:rPr>
                <w:rFonts w:ascii="Arial" w:cs="Arial" w:eastAsia="Arial" w:hAnsi="Arial"/>
                <w:sz w:val="11"/>
                <w:szCs w:val="11"/>
                <w:b w:val="1"/>
                <w:bCs w:val="1"/>
                <w:color w:val="auto"/>
              </w:rPr>
              <w:t>Series B Convertible</w:t>
            </w:r>
          </w:p>
        </w:tc>
        <w:tc>
          <w:tcPr>
            <w:tcW w:w="2040" w:type="dxa"/>
            <w:vAlign w:val="bottom"/>
            <w:gridSpan w:val="3"/>
          </w:tcPr>
          <w:p>
            <w:pPr>
              <w:ind w:left="280"/>
              <w:spacing w:after="0" w:line="102" w:lineRule="exact"/>
              <w:rPr>
                <w:sz w:val="20"/>
                <w:szCs w:val="20"/>
                <w:color w:val="auto"/>
              </w:rPr>
            </w:pPr>
            <w:r>
              <w:rPr>
                <w:rFonts w:ascii="Arial" w:cs="Arial" w:eastAsia="Arial" w:hAnsi="Arial"/>
                <w:sz w:val="11"/>
                <w:szCs w:val="11"/>
                <w:b w:val="1"/>
                <w:bCs w:val="1"/>
                <w:color w:val="auto"/>
              </w:rPr>
              <w:t>Common Shares On An</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Identity of Owner or Group</w:t>
            </w:r>
          </w:p>
        </w:tc>
        <w:tc>
          <w:tcPr>
            <w:tcW w:w="10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Preferred Stock</w:t>
            </w:r>
          </w:p>
        </w:tc>
        <w:tc>
          <w:tcPr>
            <w:tcW w:w="2100" w:type="dxa"/>
            <w:vAlign w:val="bottom"/>
            <w:gridSpan w:val="4"/>
          </w:tcPr>
          <w:p>
            <w:pPr>
              <w:ind w:left="420"/>
              <w:spacing w:after="0"/>
              <w:rPr>
                <w:sz w:val="20"/>
                <w:szCs w:val="20"/>
                <w:color w:val="auto"/>
              </w:rPr>
            </w:pPr>
            <w:r>
              <w:rPr>
                <w:rFonts w:ascii="Arial" w:cs="Arial" w:eastAsia="Arial" w:hAnsi="Arial"/>
                <w:sz w:val="14"/>
                <w:szCs w:val="14"/>
                <w:b w:val="1"/>
                <w:bCs w:val="1"/>
                <w:color w:val="auto"/>
              </w:rPr>
              <w:t>As-Converted Basis</w:t>
            </w:r>
          </w:p>
        </w:tc>
        <w:tc>
          <w:tcPr>
            <w:tcW w:w="0" w:type="dxa"/>
            <w:vAlign w:val="bottom"/>
          </w:tcPr>
          <w:p>
            <w:pPr>
              <w:spacing w:after="0"/>
              <w:rPr>
                <w:sz w:val="1"/>
                <w:szCs w:val="1"/>
                <w:color w:val="auto"/>
              </w:rPr>
            </w:pPr>
          </w:p>
        </w:tc>
      </w:tr>
      <w:tr>
        <w:trPr>
          <w:trHeight w:val="129"/>
        </w:trPr>
        <w:tc>
          <w:tcPr>
            <w:tcW w:w="2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Shares</w:t>
            </w: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 Ownership</w:t>
            </w:r>
          </w:p>
        </w:tc>
        <w:tc>
          <w:tcPr>
            <w:tcW w:w="100" w:type="dxa"/>
            <w:vAlign w:val="bottom"/>
          </w:tcPr>
          <w:p>
            <w:pPr>
              <w:spacing w:after="0"/>
              <w:rPr>
                <w:sz w:val="11"/>
                <w:szCs w:val="11"/>
                <w:color w:val="auto"/>
              </w:rPr>
            </w:pPr>
          </w:p>
        </w:tc>
        <w:tc>
          <w:tcPr>
            <w:tcW w:w="60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Shares</w:t>
            </w: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 Ownership</w:t>
            </w:r>
          </w:p>
        </w:tc>
        <w:tc>
          <w:tcPr>
            <w:tcW w:w="100" w:type="dxa"/>
            <w:vAlign w:val="bottom"/>
          </w:tcPr>
          <w:p>
            <w:pPr>
              <w:spacing w:after="0"/>
              <w:rPr>
                <w:sz w:val="11"/>
                <w:szCs w:val="11"/>
                <w:color w:val="auto"/>
              </w:rPr>
            </w:pPr>
          </w:p>
        </w:tc>
        <w:tc>
          <w:tcPr>
            <w:tcW w:w="1080" w:type="dxa"/>
            <w:vAlign w:val="bottom"/>
            <w:tcBorders>
              <w:top w:val="single" w:sz="8" w:color="auto"/>
            </w:tcBorders>
            <w:gridSpan w:val="2"/>
          </w:tcPr>
          <w:p>
            <w:pPr>
              <w:ind w:left="280"/>
              <w:spacing w:after="0" w:line="129" w:lineRule="exact"/>
              <w:rPr>
                <w:sz w:val="20"/>
                <w:szCs w:val="20"/>
                <w:color w:val="auto"/>
              </w:rPr>
            </w:pPr>
            <w:r>
              <w:rPr>
                <w:rFonts w:ascii="Arial" w:cs="Arial" w:eastAsia="Arial" w:hAnsi="Arial"/>
                <w:sz w:val="14"/>
                <w:szCs w:val="14"/>
                <w:b w:val="1"/>
                <w:bCs w:val="1"/>
                <w:color w:val="auto"/>
              </w:rPr>
              <w:t>Shares</w:t>
            </w: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 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ICM Asset Management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3,717,872</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5.02</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3,717,872</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601 W. Main Avenue, Suite 600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Spokane, WA 99201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T. Rowe Price</w:t>
            </w: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5,996,762</w:t>
            </w:r>
          </w:p>
        </w:tc>
        <w:tc>
          <w:tcPr>
            <w:tcW w:w="26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1"/>
              </w:rPr>
              <w:t>8.10</w:t>
            </w:r>
          </w:p>
        </w:tc>
        <w:tc>
          <w:tcPr>
            <w:tcW w:w="100" w:type="dxa"/>
            <w:vAlign w:val="bottom"/>
          </w:tcPr>
          <w:p>
            <w:pPr>
              <w:spacing w:after="0"/>
              <w:rPr>
                <w:sz w:val="17"/>
                <w:szCs w:val="17"/>
                <w:color w:val="auto"/>
              </w:rPr>
            </w:pPr>
          </w:p>
        </w:tc>
        <w:tc>
          <w:tcPr>
            <w:tcW w:w="6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22"/>
              <w:spacing w:after="0" w:line="201" w:lineRule="exact"/>
              <w:rPr>
                <w:sz w:val="20"/>
                <w:szCs w:val="20"/>
                <w:color w:val="auto"/>
              </w:rPr>
            </w:pPr>
            <w:r>
              <w:rPr>
                <w:rFonts w:ascii="Arial" w:cs="Arial" w:eastAsia="Arial" w:hAnsi="Arial"/>
                <w:sz w:val="18"/>
                <w:szCs w:val="18"/>
                <w:color w:val="auto"/>
              </w:rPr>
              <w:t>5,996,762</w:t>
            </w:r>
          </w:p>
        </w:tc>
        <w:tc>
          <w:tcPr>
            <w:tcW w:w="10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91"/>
              </w:rPr>
              <w:t>7.99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100 E. Pratt Street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80"/>
              <w:spacing w:after="0"/>
              <w:rPr>
                <w:sz w:val="20"/>
                <w:szCs w:val="20"/>
                <w:color w:val="auto"/>
              </w:rPr>
            </w:pPr>
            <w:r>
              <w:rPr>
                <w:rFonts w:ascii="Arial" w:cs="Arial" w:eastAsia="Arial" w:hAnsi="Arial"/>
                <w:sz w:val="18"/>
                <w:szCs w:val="18"/>
                <w:color w:val="auto"/>
              </w:rPr>
              <w:t>Baltimore, MD 21202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4"/>
              </w:rPr>
              <w:t>State of Wisconsin Investment Board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5,488,365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7.41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5,488,365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64" w:name="page65"/>
    <w:bookmarkEnd w:id="64"/>
    <w:p>
      <w:pPr>
        <w:spacing w:after="0" w:line="39"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 Box 7842</w:t>
            </w:r>
          </w:p>
        </w:tc>
        <w:tc>
          <w:tcPr>
            <w:tcW w:w="1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Madison, WI 53707</w:t>
            </w:r>
          </w:p>
        </w:tc>
        <w:tc>
          <w:tcPr>
            <w:tcW w:w="1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Massih Tayebi BridgeWest LLC</w:t>
            </w:r>
          </w:p>
        </w:tc>
        <w:tc>
          <w:tcPr>
            <w:tcW w:w="12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6,054,898(3)</w:t>
            </w:r>
          </w:p>
        </w:tc>
        <w:tc>
          <w:tcPr>
            <w:tcW w:w="76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8.18</w:t>
            </w:r>
          </w:p>
        </w:tc>
        <w:tc>
          <w:tcPr>
            <w:tcW w:w="780" w:type="dxa"/>
            <w:vAlign w:val="bottom"/>
          </w:tcPr>
          <w:p>
            <w:pPr>
              <w:ind w:left="280"/>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6,054,898</w:t>
            </w:r>
          </w:p>
        </w:tc>
        <w:tc>
          <w:tcPr>
            <w:tcW w:w="96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8.07</w:t>
            </w:r>
          </w:p>
        </w:tc>
      </w:tr>
      <w:tr>
        <w:trPr>
          <w:trHeight w:val="230"/>
        </w:trPr>
        <w:tc>
          <w:tcPr>
            <w:tcW w:w="2800" w:type="dxa"/>
            <w:vAlign w:val="bottom"/>
          </w:tcPr>
          <w:p>
            <w:pPr>
              <w:ind w:left="180"/>
              <w:spacing w:after="0"/>
              <w:rPr>
                <w:sz w:val="20"/>
                <w:szCs w:val="20"/>
                <w:color w:val="auto"/>
              </w:rPr>
            </w:pPr>
            <w:r>
              <w:rPr>
                <w:rFonts w:ascii="Arial" w:cs="Arial" w:eastAsia="Arial" w:hAnsi="Arial"/>
                <w:sz w:val="18"/>
                <w:szCs w:val="18"/>
                <w:color w:val="auto"/>
                <w:w w:val="98"/>
              </w:rPr>
              <w:t>4350 La Jolla Village Drive, Suite</w:t>
            </w: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ind w:left="1560"/>
        <w:spacing w:after="0"/>
        <w:rPr>
          <w:sz w:val="20"/>
          <w:szCs w:val="20"/>
          <w:color w:val="auto"/>
        </w:rPr>
      </w:pPr>
      <w:r>
        <w:rPr>
          <w:rFonts w:ascii="Arial" w:cs="Arial" w:eastAsia="Arial" w:hAnsi="Arial"/>
          <w:sz w:val="18"/>
          <w:szCs w:val="18"/>
          <w:color w:val="auto"/>
        </w:rPr>
        <w:t>450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San Diego, CA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3893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4" w:lineRule="exact"/>
        <w:rPr>
          <w:sz w:val="20"/>
          <w:szCs w:val="20"/>
          <w:color w:val="auto"/>
        </w:rPr>
      </w:pPr>
    </w:p>
    <w:p>
      <w:pPr>
        <w:ind w:left="360" w:right="100" w:hanging="352"/>
        <w:spacing w:after="0" w:line="259" w:lineRule="auto"/>
        <w:tabs>
          <w:tab w:leader="none" w:pos="3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table is based upon information supplied principal stockholders and Schedules 13G filed with the SEC, and the information is not necessarily indicative of beneficial ownership for any other purpose. Under such rules, beneficial ownership includes any shares as to which the individual or entity has sole or shared voting power or investment power and any shares as to which the individual or entity has the right to acquire beneficial ownership within 60 days of July 31, 2007 through the exercise of any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40"/>
        <w:spacing w:after="0" w:line="264" w:lineRule="auto"/>
        <w:rPr>
          <w:sz w:val="20"/>
          <w:szCs w:val="20"/>
          <w:color w:val="auto"/>
        </w:rPr>
      </w:pPr>
      <w:r>
        <w:rPr>
          <w:rFonts w:ascii="Arial" w:cs="Arial" w:eastAsia="Arial" w:hAnsi="Arial"/>
          <w:sz w:val="18"/>
          <w:szCs w:val="18"/>
          <w:color w:val="auto"/>
        </w:rPr>
        <w:t>option or other right. The inclusion of such shares, however, does not constitute an admission that the named stockholder is a direct or indirect beneficial owner of, or receives the economic benefit from, such shares. Applicable percentages are based on 74,061,650 shares of common stock, and 10,000 shares of Series B convertible preferred stock outstanding on July 31, 2007.</w:t>
      </w:r>
    </w:p>
    <w:p>
      <w:pPr>
        <w:spacing w:after="0" w:line="60" w:lineRule="exact"/>
        <w:rPr>
          <w:sz w:val="20"/>
          <w:szCs w:val="20"/>
          <w:color w:val="auto"/>
        </w:rPr>
      </w:pPr>
    </w:p>
    <w:p>
      <w:pPr>
        <w:ind w:left="360" w:hanging="352"/>
        <w:spacing w:after="0" w:line="259" w:lineRule="auto"/>
        <w:tabs>
          <w:tab w:leader="none" w:pos="3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These securities are owned by various individual and institutional investors, which Price Associates serves as an investment adviser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in fact, the beneficial owner of such securities.</w:t>
      </w:r>
    </w:p>
    <w:p>
      <w:pPr>
        <w:spacing w:after="0" w:line="51" w:lineRule="exact"/>
        <w:rPr>
          <w:rFonts w:ascii="Arial" w:cs="Arial" w:eastAsia="Arial" w:hAnsi="Arial"/>
          <w:sz w:val="18"/>
          <w:szCs w:val="18"/>
          <w:color w:val="auto"/>
        </w:rPr>
      </w:pPr>
    </w:p>
    <w:p>
      <w:pPr>
        <w:ind w:left="360" w:hanging="352"/>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Does not include 52,762 shares held by spouse of Massih Tayebi. Massih Tayebi disclaims beneficial ownership of such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by Directors and Executive Officers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shows the amount of our common stock and our Series B convertible preferred stock beneficially owned by our (i) our Directors,</w:t>
      </w:r>
    </w:p>
    <w:p>
      <w:pPr>
        <w:spacing w:after="0" w:line="35" w:lineRule="exact"/>
        <w:rPr>
          <w:sz w:val="20"/>
          <w:szCs w:val="20"/>
          <w:color w:val="auto"/>
        </w:rPr>
      </w:pPr>
    </w:p>
    <w:p>
      <w:pPr>
        <w:ind w:right="40" w:firstLine="8"/>
        <w:spacing w:after="0" w:line="255" w:lineRule="auto"/>
        <w:tabs>
          <w:tab w:leader="none" w:pos="2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the named executive officers in the Summary Compensation Table, and (iii) our Directors and executive officers as a group. All information in the following table is presented as of July 31, 2007. Unless otherwise indicated in the table set forth below, each person named below has an address in care of the Company’s principal executive offices.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Beneficial Ownership(1)</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2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680" w:type="dxa"/>
            <w:vAlign w:val="bottom"/>
            <w:gridSpan w:val="4"/>
          </w:tcPr>
          <w:p>
            <w:pPr>
              <w:jc w:val="center"/>
              <w:ind w:right="160"/>
              <w:spacing w:after="0" w:line="102" w:lineRule="exact"/>
              <w:rPr>
                <w:sz w:val="20"/>
                <w:szCs w:val="20"/>
                <w:color w:val="auto"/>
              </w:rPr>
            </w:pPr>
            <w:r>
              <w:rPr>
                <w:rFonts w:ascii="Arial" w:cs="Arial" w:eastAsia="Arial" w:hAnsi="Arial"/>
                <w:sz w:val="11"/>
                <w:szCs w:val="11"/>
                <w:b w:val="1"/>
                <w:bCs w:val="1"/>
                <w:color w:val="auto"/>
              </w:rPr>
              <w:t>Series B Convertible</w:t>
            </w:r>
          </w:p>
        </w:tc>
        <w:tc>
          <w:tcPr>
            <w:tcW w:w="1980" w:type="dxa"/>
            <w:vAlign w:val="bottom"/>
            <w:gridSpan w:val="3"/>
          </w:tcPr>
          <w:p>
            <w:pPr>
              <w:jc w:val="center"/>
              <w:spacing w:after="0" w:line="102" w:lineRule="exact"/>
              <w:rPr>
                <w:sz w:val="20"/>
                <w:szCs w:val="20"/>
                <w:color w:val="auto"/>
              </w:rPr>
            </w:pPr>
            <w:r>
              <w:rPr>
                <w:rFonts w:ascii="Arial" w:cs="Arial" w:eastAsia="Arial" w:hAnsi="Arial"/>
                <w:sz w:val="11"/>
                <w:szCs w:val="11"/>
                <w:b w:val="1"/>
                <w:bCs w:val="1"/>
                <w:color w:val="auto"/>
              </w:rPr>
              <w:t>Common Shares On An</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340" w:type="dxa"/>
            <w:vAlign w:val="bottom"/>
            <w:gridSpan w:val="4"/>
            <w:vMerge w:val="restart"/>
          </w:tcPr>
          <w:p>
            <w:pPr>
              <w:ind w:left="1360"/>
              <w:spacing w:after="0"/>
              <w:rPr>
                <w:sz w:val="20"/>
                <w:szCs w:val="20"/>
                <w:color w:val="auto"/>
              </w:rPr>
            </w:pPr>
            <w:r>
              <w:rPr>
                <w:rFonts w:ascii="Arial" w:cs="Arial" w:eastAsia="Arial" w:hAnsi="Arial"/>
                <w:sz w:val="14"/>
                <w:szCs w:val="14"/>
                <w:b w:val="1"/>
                <w:bCs w:val="1"/>
                <w:color w:val="auto"/>
              </w:rPr>
              <w:t>Identity of Owner or Group</w:t>
            </w:r>
          </w:p>
        </w:tc>
        <w:tc>
          <w:tcPr>
            <w:tcW w:w="2020" w:type="dxa"/>
            <w:vAlign w:val="bottom"/>
            <w:gridSpan w:val="4"/>
            <w:vMerge w:val="continue"/>
          </w:tcPr>
          <w:p>
            <w:pPr>
              <w:spacing w:after="0"/>
              <w:rPr>
                <w:sz w:val="14"/>
                <w:szCs w:val="14"/>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2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As-Converted Basis</w:t>
            </w:r>
          </w:p>
        </w:tc>
        <w:tc>
          <w:tcPr>
            <w:tcW w:w="0" w:type="dxa"/>
            <w:vAlign w:val="bottom"/>
          </w:tcPr>
          <w:p>
            <w:pPr>
              <w:spacing w:after="0"/>
              <w:rPr>
                <w:sz w:val="1"/>
                <w:szCs w:val="1"/>
                <w:color w:val="auto"/>
              </w:rPr>
            </w:pPr>
          </w:p>
        </w:tc>
      </w:tr>
      <w:tr>
        <w:trPr>
          <w:trHeight w:val="129"/>
        </w:trPr>
        <w:tc>
          <w:tcPr>
            <w:tcW w:w="4340" w:type="dxa"/>
            <w:vAlign w:val="bottom"/>
            <w:gridSpan w:val="4"/>
            <w:vMerge w:val="continue"/>
          </w:tcPr>
          <w:p>
            <w:pPr>
              <w:spacing w:after="0"/>
              <w:rPr>
                <w:sz w:val="11"/>
                <w:szCs w:val="11"/>
                <w:color w:val="auto"/>
              </w:rPr>
            </w:pPr>
          </w:p>
        </w:tc>
        <w:tc>
          <w:tcPr>
            <w:tcW w:w="100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Shares</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 Ownership</w:t>
            </w:r>
          </w:p>
        </w:tc>
        <w:tc>
          <w:tcPr>
            <w:tcW w:w="120" w:type="dxa"/>
            <w:vAlign w:val="bottom"/>
          </w:tcPr>
          <w:p>
            <w:pPr>
              <w:spacing w:after="0"/>
              <w:rPr>
                <w:sz w:val="11"/>
                <w:szCs w:val="11"/>
                <w:color w:val="auto"/>
              </w:rPr>
            </w:pPr>
          </w:p>
        </w:tc>
        <w:tc>
          <w:tcPr>
            <w:tcW w:w="62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9"/>
              </w:rPr>
              <w:t>% Ownership</w:t>
            </w:r>
          </w:p>
        </w:tc>
        <w:tc>
          <w:tcPr>
            <w:tcW w:w="140" w:type="dxa"/>
            <w:vAlign w:val="bottom"/>
          </w:tcPr>
          <w:p>
            <w:pPr>
              <w:spacing w:after="0"/>
              <w:rPr>
                <w:sz w:val="11"/>
                <w:szCs w:val="11"/>
                <w:color w:val="auto"/>
              </w:rPr>
            </w:pPr>
          </w:p>
        </w:tc>
        <w:tc>
          <w:tcPr>
            <w:tcW w:w="102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4"/>
                <w:szCs w:val="14"/>
                <w:b w:val="1"/>
                <w:bCs w:val="1"/>
                <w:color w:val="auto"/>
              </w:rPr>
              <w:t>Shares</w:t>
            </w:r>
          </w:p>
        </w:tc>
        <w:tc>
          <w:tcPr>
            <w:tcW w:w="9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9"/>
              </w:rPr>
              <w:t>% Ownership</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28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Directors</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380" w:type="dxa"/>
            <w:vAlign w:val="bottom"/>
          </w:tcPr>
          <w:p>
            <w:pPr>
              <w:spacing w:after="0"/>
              <w:rPr>
                <w:sz w:val="11"/>
                <w:szCs w:val="11"/>
                <w:color w:val="auto"/>
              </w:rPr>
            </w:pPr>
          </w:p>
        </w:tc>
        <w:tc>
          <w:tcPr>
            <w:tcW w:w="2960" w:type="dxa"/>
            <w:vAlign w:val="bottom"/>
            <w:gridSpan w:val="3"/>
          </w:tcPr>
          <w:p>
            <w:pPr>
              <w:spacing w:after="0" w:line="130" w:lineRule="exact"/>
              <w:rPr>
                <w:sz w:val="20"/>
                <w:szCs w:val="20"/>
                <w:color w:val="auto"/>
              </w:rPr>
            </w:pPr>
            <w:r>
              <w:rPr>
                <w:rFonts w:ascii="Arial" w:cs="Arial" w:eastAsia="Arial" w:hAnsi="Arial"/>
                <w:sz w:val="14"/>
                <w:szCs w:val="14"/>
                <w:color w:val="auto"/>
              </w:rPr>
              <w:t>Scott I. Anderson</w:t>
            </w:r>
          </w:p>
        </w:tc>
        <w:tc>
          <w:tcPr>
            <w:tcW w:w="10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734,012(2)</w:t>
            </w:r>
          </w:p>
        </w:tc>
        <w:tc>
          <w:tcPr>
            <w:tcW w:w="900" w:type="dxa"/>
            <w:vAlign w:val="bottom"/>
          </w:tcPr>
          <w:p>
            <w:pPr>
              <w:jc w:val="right"/>
              <w:ind w:right="228"/>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w w:val="99"/>
              </w:rPr>
              <w:t>—</w:t>
            </w:r>
          </w:p>
        </w:tc>
        <w:tc>
          <w:tcPr>
            <w:tcW w:w="10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line="130" w:lineRule="exact"/>
              <w:rPr>
                <w:sz w:val="20"/>
                <w:szCs w:val="20"/>
                <w:color w:val="auto"/>
              </w:rPr>
            </w:pPr>
            <w:r>
              <w:rPr>
                <w:rFonts w:ascii="Arial" w:cs="Arial" w:eastAsia="Arial" w:hAnsi="Arial"/>
                <w:sz w:val="14"/>
                <w:szCs w:val="14"/>
                <w:color w:val="auto"/>
              </w:rPr>
              <w:t>734,012</w:t>
            </w:r>
          </w:p>
        </w:tc>
        <w:tc>
          <w:tcPr>
            <w:tcW w:w="140" w:type="dxa"/>
            <w:vAlign w:val="bottom"/>
          </w:tcPr>
          <w:p>
            <w:pPr>
              <w:spacing w:after="0"/>
              <w:rPr>
                <w:sz w:val="11"/>
                <w:szCs w:val="11"/>
                <w:color w:val="auto"/>
              </w:rPr>
            </w:pPr>
          </w:p>
        </w:tc>
        <w:tc>
          <w:tcPr>
            <w:tcW w:w="960" w:type="dxa"/>
            <w:vAlign w:val="bottom"/>
          </w:tcPr>
          <w:p>
            <w:pPr>
              <w:jc w:val="right"/>
              <w:ind w:right="248"/>
              <w:spacing w:after="0" w:line="13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 Cedar Grove Investments, LLC</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3825 Issaquah Pine Lake Road</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2960" w:type="dxa"/>
            <w:vAlign w:val="bottom"/>
            <w:gridSpan w:val="3"/>
          </w:tcPr>
          <w:p>
            <w:pPr>
              <w:ind w:left="120"/>
              <w:spacing w:after="0"/>
              <w:rPr>
                <w:sz w:val="20"/>
                <w:szCs w:val="20"/>
                <w:color w:val="auto"/>
              </w:rPr>
            </w:pPr>
            <w:r>
              <w:rPr>
                <w:rFonts w:ascii="Arial" w:cs="Arial" w:eastAsia="Arial" w:hAnsi="Arial"/>
                <w:sz w:val="14"/>
                <w:szCs w:val="14"/>
                <w:color w:val="auto"/>
              </w:rPr>
              <w:t>Sammamish, WA 9807</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tcPr>
          <w:p>
            <w:pPr>
              <w:spacing w:after="0"/>
              <w:rPr>
                <w:sz w:val="11"/>
                <w:szCs w:val="11"/>
                <w:color w:val="auto"/>
              </w:rPr>
            </w:pPr>
          </w:p>
        </w:tc>
        <w:tc>
          <w:tcPr>
            <w:tcW w:w="29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Bandel L. Carano</w:t>
            </w:r>
          </w:p>
        </w:tc>
        <w:tc>
          <w:tcPr>
            <w:tcW w:w="10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5,535,701(3)</w:t>
            </w:r>
          </w:p>
        </w:tc>
        <w:tc>
          <w:tcPr>
            <w:tcW w:w="900" w:type="dxa"/>
            <w:vAlign w:val="bottom"/>
            <w:shd w:val="clear" w:color="auto" w:fill="CCEEFF"/>
          </w:tcPr>
          <w:p>
            <w:pPr>
              <w:jc w:val="right"/>
              <w:ind w:right="228"/>
              <w:spacing w:after="0" w:line="130" w:lineRule="exact"/>
              <w:rPr>
                <w:sz w:val="20"/>
                <w:szCs w:val="20"/>
                <w:color w:val="auto"/>
              </w:rPr>
            </w:pPr>
            <w:r>
              <w:rPr>
                <w:rFonts w:ascii="Arial" w:cs="Arial" w:eastAsia="Arial" w:hAnsi="Arial"/>
                <w:sz w:val="14"/>
                <w:szCs w:val="14"/>
                <w:color w:val="auto"/>
              </w:rPr>
              <w:t>7.46</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9"/>
              </w:rPr>
              <w:t>—</w:t>
            </w:r>
          </w:p>
        </w:tc>
        <w:tc>
          <w:tcPr>
            <w:tcW w:w="10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rPr>
              <w:t>5,535,701</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248"/>
              <w:spacing w:after="0" w:line="130" w:lineRule="exact"/>
              <w:rPr>
                <w:sz w:val="20"/>
                <w:szCs w:val="20"/>
                <w:color w:val="auto"/>
              </w:rPr>
            </w:pPr>
            <w:r>
              <w:rPr>
                <w:rFonts w:ascii="Arial" w:cs="Arial" w:eastAsia="Arial" w:hAnsi="Arial"/>
                <w:sz w:val="14"/>
                <w:szCs w:val="14"/>
                <w:color w:val="auto"/>
              </w:rPr>
              <w:t>7.36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Oak Investment Partners</w:t>
            </w: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525 University Avenue, Suite 1300</w:t>
            </w: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Palo Alto, CA 94302</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tcPr>
          <w:p>
            <w:pPr>
              <w:spacing w:after="0" w:line="149" w:lineRule="exact"/>
              <w:rPr>
                <w:sz w:val="20"/>
                <w:szCs w:val="20"/>
                <w:color w:val="auto"/>
              </w:rPr>
            </w:pPr>
            <w:r>
              <w:rPr>
                <w:rFonts w:ascii="Arial" w:cs="Arial" w:eastAsia="Arial" w:hAnsi="Arial"/>
                <w:sz w:val="14"/>
                <w:szCs w:val="14"/>
                <w:color w:val="auto"/>
              </w:rPr>
              <w:t>Eric M. DeMarco</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2,032,949(4)</w:t>
            </w:r>
          </w:p>
        </w:tc>
        <w:tc>
          <w:tcPr>
            <w:tcW w:w="9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2.67</w:t>
            </w:r>
          </w:p>
        </w:tc>
        <w:tc>
          <w:tcPr>
            <w:tcW w:w="12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0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2,032,949</w:t>
            </w:r>
          </w:p>
        </w:tc>
        <w:tc>
          <w:tcPr>
            <w:tcW w:w="14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380" w:type="dxa"/>
            <w:vAlign w:val="bottom"/>
          </w:tcPr>
          <w:p>
            <w:pPr>
              <w:spacing w:after="0"/>
              <w:rPr>
                <w:sz w:val="11"/>
                <w:szCs w:val="11"/>
                <w:color w:val="auto"/>
              </w:rPr>
            </w:pPr>
          </w:p>
        </w:tc>
        <w:tc>
          <w:tcPr>
            <w:tcW w:w="29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William A. Hoglund</w:t>
            </w:r>
          </w:p>
        </w:tc>
        <w:tc>
          <w:tcPr>
            <w:tcW w:w="10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251,626(5)</w:t>
            </w:r>
          </w:p>
        </w:tc>
        <w:tc>
          <w:tcPr>
            <w:tcW w:w="900" w:type="dxa"/>
            <w:vAlign w:val="bottom"/>
            <w:shd w:val="clear" w:color="auto" w:fill="CCEEFF"/>
          </w:tcPr>
          <w:p>
            <w:pPr>
              <w:jc w:val="right"/>
              <w:ind w:right="228"/>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9"/>
              </w:rPr>
              <w:t>—</w:t>
            </w:r>
          </w:p>
        </w:tc>
        <w:tc>
          <w:tcPr>
            <w:tcW w:w="10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rPr>
              <w:t>251,626</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248"/>
              <w:spacing w:after="0" w:line="13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434 35th Avenue</w:t>
            </w: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Seattle, WA 98122</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tcPr>
          <w:p>
            <w:pPr>
              <w:spacing w:after="0"/>
              <w:rPr>
                <w:sz w:val="11"/>
                <w:szCs w:val="11"/>
                <w:color w:val="auto"/>
              </w:rPr>
            </w:pPr>
          </w:p>
        </w:tc>
        <w:tc>
          <w:tcPr>
            <w:tcW w:w="2960" w:type="dxa"/>
            <w:vAlign w:val="bottom"/>
            <w:gridSpan w:val="3"/>
          </w:tcPr>
          <w:p>
            <w:pPr>
              <w:spacing w:after="0" w:line="130" w:lineRule="exact"/>
              <w:rPr>
                <w:sz w:val="20"/>
                <w:szCs w:val="20"/>
                <w:color w:val="auto"/>
              </w:rPr>
            </w:pPr>
            <w:r>
              <w:rPr>
                <w:rFonts w:ascii="Arial" w:cs="Arial" w:eastAsia="Arial" w:hAnsi="Arial"/>
                <w:sz w:val="14"/>
                <w:szCs w:val="14"/>
                <w:color w:val="auto"/>
              </w:rPr>
              <w:t>Scot B. Jarvis</w:t>
            </w:r>
          </w:p>
        </w:tc>
        <w:tc>
          <w:tcPr>
            <w:tcW w:w="10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734,012(6)</w:t>
            </w:r>
          </w:p>
        </w:tc>
        <w:tc>
          <w:tcPr>
            <w:tcW w:w="900" w:type="dxa"/>
            <w:vAlign w:val="bottom"/>
          </w:tcPr>
          <w:p>
            <w:pPr>
              <w:jc w:val="right"/>
              <w:ind w:right="228"/>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w w:val="99"/>
              </w:rPr>
              <w:t>—</w:t>
            </w:r>
          </w:p>
        </w:tc>
        <w:tc>
          <w:tcPr>
            <w:tcW w:w="10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line="130" w:lineRule="exact"/>
              <w:rPr>
                <w:sz w:val="20"/>
                <w:szCs w:val="20"/>
                <w:color w:val="auto"/>
              </w:rPr>
            </w:pPr>
            <w:r>
              <w:rPr>
                <w:rFonts w:ascii="Arial" w:cs="Arial" w:eastAsia="Arial" w:hAnsi="Arial"/>
                <w:sz w:val="14"/>
                <w:szCs w:val="14"/>
                <w:color w:val="auto"/>
              </w:rPr>
              <w:t>734,012</w:t>
            </w:r>
          </w:p>
        </w:tc>
        <w:tc>
          <w:tcPr>
            <w:tcW w:w="140" w:type="dxa"/>
            <w:vAlign w:val="bottom"/>
          </w:tcPr>
          <w:p>
            <w:pPr>
              <w:spacing w:after="0"/>
              <w:rPr>
                <w:sz w:val="11"/>
                <w:szCs w:val="11"/>
                <w:color w:val="auto"/>
              </w:rPr>
            </w:pPr>
          </w:p>
        </w:tc>
        <w:tc>
          <w:tcPr>
            <w:tcW w:w="960" w:type="dxa"/>
            <w:vAlign w:val="bottom"/>
          </w:tcPr>
          <w:p>
            <w:pPr>
              <w:jc w:val="right"/>
              <w:ind w:right="248"/>
              <w:spacing w:after="0" w:line="13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 Cedar Grove Investments, LLC</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3825 Issaquah Pine Lake Road Sammamish,</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2960" w:type="dxa"/>
            <w:vAlign w:val="bottom"/>
            <w:gridSpan w:val="3"/>
          </w:tcPr>
          <w:p>
            <w:pPr>
              <w:ind w:left="120"/>
              <w:spacing w:after="0"/>
              <w:rPr>
                <w:sz w:val="20"/>
                <w:szCs w:val="20"/>
                <w:color w:val="auto"/>
              </w:rPr>
            </w:pPr>
            <w:r>
              <w:rPr>
                <w:rFonts w:ascii="Arial" w:cs="Arial" w:eastAsia="Arial" w:hAnsi="Arial"/>
                <w:sz w:val="14"/>
                <w:szCs w:val="14"/>
                <w:color w:val="auto"/>
              </w:rPr>
              <w:t>WA 9807</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tcPr>
          <w:p>
            <w:pPr>
              <w:spacing w:after="0"/>
              <w:rPr>
                <w:sz w:val="11"/>
                <w:szCs w:val="11"/>
                <w:color w:val="auto"/>
              </w:rPr>
            </w:pPr>
          </w:p>
        </w:tc>
        <w:tc>
          <w:tcPr>
            <w:tcW w:w="29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Masood Tayebi(7)</w:t>
            </w:r>
          </w:p>
        </w:tc>
        <w:tc>
          <w:tcPr>
            <w:tcW w:w="10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6,466,529(8)</w:t>
            </w:r>
          </w:p>
        </w:tc>
        <w:tc>
          <w:tcPr>
            <w:tcW w:w="900" w:type="dxa"/>
            <w:vAlign w:val="bottom"/>
            <w:shd w:val="clear" w:color="auto" w:fill="CCEEFF"/>
          </w:tcPr>
          <w:p>
            <w:pPr>
              <w:jc w:val="right"/>
              <w:ind w:right="228"/>
              <w:spacing w:after="0" w:line="130" w:lineRule="exact"/>
              <w:rPr>
                <w:sz w:val="20"/>
                <w:szCs w:val="20"/>
                <w:color w:val="auto"/>
              </w:rPr>
            </w:pPr>
            <w:r>
              <w:rPr>
                <w:rFonts w:ascii="Arial" w:cs="Arial" w:eastAsia="Arial" w:hAnsi="Arial"/>
                <w:sz w:val="14"/>
                <w:szCs w:val="14"/>
                <w:color w:val="auto"/>
              </w:rPr>
              <w:t>8.73</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9"/>
              </w:rPr>
              <w:t>—</w:t>
            </w:r>
          </w:p>
        </w:tc>
        <w:tc>
          <w:tcPr>
            <w:tcW w:w="10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rPr>
              <w:t>6,466,529</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248"/>
              <w:spacing w:after="0" w:line="130" w:lineRule="exact"/>
              <w:rPr>
                <w:sz w:val="20"/>
                <w:szCs w:val="20"/>
                <w:color w:val="auto"/>
              </w:rPr>
            </w:pPr>
            <w:r>
              <w:rPr>
                <w:rFonts w:ascii="Arial" w:cs="Arial" w:eastAsia="Arial" w:hAnsi="Arial"/>
                <w:sz w:val="14"/>
                <w:szCs w:val="14"/>
                <w:color w:val="auto"/>
              </w:rPr>
              <w:t>8.61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4350 La Jolla Village Drive,</w:t>
            </w: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Suite 450 San Diego, CA 92121</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Officers</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Deanna Lund</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407,615(9)</w:t>
            </w:r>
          </w:p>
        </w:tc>
        <w:tc>
          <w:tcPr>
            <w:tcW w:w="90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0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407,615</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tcPr>
          <w:p>
            <w:pPr>
              <w:spacing w:after="0" w:line="149" w:lineRule="exact"/>
              <w:rPr>
                <w:sz w:val="20"/>
                <w:szCs w:val="20"/>
                <w:color w:val="auto"/>
              </w:rPr>
            </w:pPr>
            <w:r>
              <w:rPr>
                <w:rFonts w:ascii="Arial" w:cs="Arial" w:eastAsia="Arial" w:hAnsi="Arial"/>
                <w:sz w:val="14"/>
                <w:szCs w:val="14"/>
                <w:color w:val="auto"/>
              </w:rPr>
              <w:t>James R. Edwards</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351,216(10)</w:t>
            </w:r>
          </w:p>
        </w:tc>
        <w:tc>
          <w:tcPr>
            <w:tcW w:w="9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0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351,216</w:t>
            </w:r>
          </w:p>
        </w:tc>
        <w:tc>
          <w:tcPr>
            <w:tcW w:w="14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 Robin Mickle</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155,823(11)</w:t>
            </w:r>
          </w:p>
        </w:tc>
        <w:tc>
          <w:tcPr>
            <w:tcW w:w="90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0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155,823</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tcPr>
          <w:p>
            <w:pPr>
              <w:spacing w:after="0" w:line="149" w:lineRule="exact"/>
              <w:rPr>
                <w:sz w:val="20"/>
                <w:szCs w:val="20"/>
                <w:color w:val="auto"/>
              </w:rPr>
            </w:pPr>
            <w:r>
              <w:rPr>
                <w:rFonts w:ascii="Arial" w:cs="Arial" w:eastAsia="Arial" w:hAnsi="Arial"/>
                <w:sz w:val="14"/>
                <w:szCs w:val="14"/>
                <w:color w:val="auto"/>
              </w:rPr>
              <w:t>Dariush G. Alipanah(12)</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7,545</w:t>
            </w:r>
          </w:p>
        </w:tc>
        <w:tc>
          <w:tcPr>
            <w:tcW w:w="300" w:type="dxa"/>
            <w:vAlign w:val="bottom"/>
          </w:tcPr>
          <w:p>
            <w:pPr>
              <w:spacing w:after="0"/>
              <w:rPr>
                <w:sz w:val="12"/>
                <w:szCs w:val="12"/>
                <w:color w:val="auto"/>
              </w:rPr>
            </w:pPr>
          </w:p>
        </w:tc>
        <w:tc>
          <w:tcPr>
            <w:tcW w:w="9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0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7,545</w:t>
            </w:r>
          </w:p>
        </w:tc>
        <w:tc>
          <w:tcPr>
            <w:tcW w:w="14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80" w:type="dxa"/>
            <w:vAlign w:val="bottom"/>
          </w:tcPr>
          <w:p>
            <w:pPr>
              <w:spacing w:after="0"/>
              <w:rPr>
                <w:sz w:val="10"/>
                <w:szCs w:val="10"/>
                <w:color w:val="auto"/>
              </w:rPr>
            </w:pPr>
          </w:p>
        </w:tc>
        <w:tc>
          <w:tcPr>
            <w:tcW w:w="2960" w:type="dxa"/>
            <w:vAlign w:val="bottom"/>
            <w:gridSpan w:val="3"/>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All Directors and Officers as a Group</w:t>
            </w:r>
          </w:p>
        </w:tc>
        <w:tc>
          <w:tcPr>
            <w:tcW w:w="7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(11 persons)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16,807,909(13)</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22.69%</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16,807,909</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22.39%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tcPr>
          <w:p>
            <w:pPr>
              <w:spacing w:after="0" w:line="149" w:lineRule="exact"/>
              <w:rPr>
                <w:sz w:val="20"/>
                <w:szCs w:val="20"/>
                <w:color w:val="auto"/>
              </w:rPr>
            </w:pPr>
            <w:r>
              <w:rPr>
                <w:rFonts w:ascii="Arial" w:cs="Arial" w:eastAsia="Arial" w:hAnsi="Arial"/>
                <w:sz w:val="14"/>
                <w:szCs w:val="14"/>
                <w:color w:val="auto"/>
              </w:rPr>
              <w:t>Total Shares Outstanding</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74,061,650</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380" w:type="dxa"/>
            <w:vAlign w:val="bottom"/>
          </w:tcPr>
          <w:p>
            <w:pPr>
              <w:spacing w:after="0"/>
              <w:rPr>
                <w:sz w:val="11"/>
                <w:szCs w:val="11"/>
                <w:color w:val="auto"/>
              </w:rPr>
            </w:pPr>
          </w:p>
        </w:tc>
        <w:tc>
          <w:tcPr>
            <w:tcW w:w="29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6"/>
              </w:rPr>
              <w:t>Adjusted for Preferred Shares Conversion Series</w:t>
            </w: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B</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If Converted Additional Shares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Adjusted Common Shares (If Converted)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75,061,650</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3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Less than one percent.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right="140" w:hanging="217"/>
        <w:spacing w:after="0" w:line="247" w:lineRule="auto"/>
        <w:tabs>
          <w:tab w:leader="none" w:pos="339"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table is based upon information supplied by officers, directors and principal stockholders and Schedules 13G filed with the SEC, and the information is not necessarily indicative of beneficial ownership for any other purpose. Under such rules, beneficial ownership includes any shares as to which the individual or entity has sole or shared voting power or investment power and any shares as to which the individual or entity has the right to acquire beneficial ownership within 60 days of July 31, 2007 through the exercise of any stock option or other right. The inclusion of such shares, however, does not constitute an admission that the named stockholder is a direct or indirect beneficial owner of, or receives the economic benefit from, such shares. Applicable percentages are based on 74,061,650 shares of common stock, and 10,000 shares of Series B convertible preferred stock outstanding on July 31, 2007. In addition, shares issuable pursuant to options which may be exercised within 60 days of July 31, 2007 are deemed to be issued and outstanding and have been treated as outstanding in calculating the percentage ownership of those individuals possessing such interest, but not for any other individual, pursuant to SEC Rule 13d-3(d)(1).</w:t>
      </w:r>
    </w:p>
    <w:p>
      <w:pPr>
        <w:spacing w:after="0" w:line="70" w:lineRule="exact"/>
        <w:rPr>
          <w:rFonts w:ascii="Arial" w:cs="Arial" w:eastAsia="Arial" w:hAnsi="Arial"/>
          <w:sz w:val="13"/>
          <w:szCs w:val="13"/>
          <w:color w:val="auto"/>
        </w:rPr>
      </w:pPr>
    </w:p>
    <w:p>
      <w:pPr>
        <w:ind w:left="340" w:hanging="197"/>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130,000 shares subject to options exercisable within 60 days of July 31, 2007.</w:t>
      </w:r>
    </w:p>
    <w:p>
      <w:pPr>
        <w:spacing w:after="0" w:line="95" w:lineRule="exact"/>
        <w:rPr>
          <w:rFonts w:ascii="Arial" w:cs="Arial" w:eastAsia="Arial" w:hAnsi="Arial"/>
          <w:sz w:val="14"/>
          <w:szCs w:val="14"/>
          <w:color w:val="auto"/>
        </w:rPr>
      </w:pPr>
    </w:p>
    <w:p>
      <w:pPr>
        <w:ind w:left="360" w:right="40" w:hanging="217"/>
        <w:spacing w:after="0" w:line="251" w:lineRule="auto"/>
        <w:tabs>
          <w:tab w:leader="none" w:pos="339"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149,546 shares subject to options exercisable within 60 days of July 31, 2007. Includes 2,554 shares of common stock held directly by Mr. Carano, 14,828 shares of common stock held by Oak Investment Partners VI, L.P., 346 shares of common stock held by Oak VI Affiliates Fund, L.P., 1,402,084 shares of common stock held by Oak Investment Partners IX, Limited Partnership, 14,942 shares of common stock held by Oak IX Affiliates Fund, Limited Partnership, 33,655 shares of common stock held by Oak IX Affiliates Fund-A, Limited Partnership, 48,957 shares held by Oak IX Affiliates, LLC, 3,808,026 shares of common stock held by Oak Investment Partners X, Limited Partnership, 61,123 shares of common stock held by Oak X Affiliates Fund, Limited Partnership. Bandel Carano is a general partner of Oak Investment Partners VI, L.P., Oak VI Affiliates Fund, L.P., Oak Investment Partners IX, L.P., Oak IX Affiliates</w:t>
      </w:r>
    </w:p>
    <w:p>
      <w:pPr>
        <w:sectPr>
          <w:pgSz w:w="11900" w:h="16877" w:orient="portrait"/>
          <w:cols w:equalWidth="0" w:num="1">
            <w:col w:w="11420"/>
          </w:cols>
          <w:pgMar w:left="240" w:top="148" w:right="239" w:bottom="0" w:gutter="0" w:footer="0" w:header="0"/>
        </w:sectPr>
      </w:pPr>
    </w:p>
    <w:bookmarkStart w:id="65" w:name="page66"/>
    <w:bookmarkEnd w:id="65"/>
    <w:p>
      <w:pPr>
        <w:spacing w:after="0" w:line="19" w:lineRule="exact"/>
        <w:rPr>
          <w:sz w:val="20"/>
          <w:szCs w:val="20"/>
          <w:color w:val="auto"/>
        </w:rPr>
      </w:pPr>
    </w:p>
    <w:p>
      <w:pPr>
        <w:ind w:left="360" w:right="40"/>
        <w:spacing w:after="0" w:line="264" w:lineRule="auto"/>
        <w:rPr>
          <w:sz w:val="20"/>
          <w:szCs w:val="20"/>
          <w:color w:val="auto"/>
        </w:rPr>
      </w:pPr>
      <w:r>
        <w:rPr>
          <w:rFonts w:ascii="Arial" w:cs="Arial" w:eastAsia="Arial" w:hAnsi="Arial"/>
          <w:sz w:val="13"/>
          <w:szCs w:val="13"/>
          <w:color w:val="auto"/>
        </w:rPr>
        <w:t>Fund, L.P., Oak IX Affiliates Fund-A, L.P., Oak IX Affiliates, LLC, Oak Investment Partners X, L.P. and Oak X Affiliates Fund, L.P. Mr. Carano has indirect ownership of these shares and has shared power to vote and dispose of these shares. Mr. Carano disclaims beneficial ownership of the shares held by Oak Investment Partners VI, L.P., Oak VI Affiliates Fund, L.P., Oak Investment Partners IX, L.P., Oak IX Affiliates Fund, L.P., Oak IX Affiliates Fund-A, L.P., Oak IX Affiliates, LLC, Oak Investment Partners X, L.P. and Oak X Affiliates Fund, L.P.</w:t>
      </w:r>
    </w:p>
    <w:p>
      <w:pPr>
        <w:spacing w:after="0" w:line="60" w:lineRule="exact"/>
        <w:rPr>
          <w:sz w:val="20"/>
          <w:szCs w:val="20"/>
          <w:color w:val="auto"/>
        </w:rPr>
      </w:pPr>
    </w:p>
    <w:p>
      <w:pPr>
        <w:ind w:left="340" w:hanging="197"/>
        <w:spacing w:after="0"/>
        <w:tabs>
          <w:tab w:leader="none" w:pos="3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Includes 7,949 shares held in the Company’s 401(k) Plan and 1,975,000 shares subject to options exercisable within 60 days from July 31, 2007.</w:t>
      </w:r>
    </w:p>
    <w:p>
      <w:pPr>
        <w:spacing w:after="0" w:line="95" w:lineRule="exact"/>
        <w:rPr>
          <w:rFonts w:ascii="Arial" w:cs="Arial" w:eastAsia="Arial" w:hAnsi="Arial"/>
          <w:sz w:val="14"/>
          <w:szCs w:val="14"/>
          <w:color w:val="auto"/>
        </w:rPr>
      </w:pPr>
    </w:p>
    <w:p>
      <w:pPr>
        <w:ind w:left="340" w:hanging="197"/>
        <w:spacing w:after="0"/>
        <w:tabs>
          <w:tab w:leader="none" w:pos="3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Includes 195,000 shares subject to options exercisable within 60 days from July 31, 2007.</w:t>
      </w:r>
    </w:p>
    <w:p>
      <w:pPr>
        <w:spacing w:after="0" w:line="95" w:lineRule="exact"/>
        <w:rPr>
          <w:rFonts w:ascii="Arial" w:cs="Arial" w:eastAsia="Arial" w:hAnsi="Arial"/>
          <w:sz w:val="14"/>
          <w:szCs w:val="14"/>
          <w:color w:val="auto"/>
        </w:rPr>
      </w:pPr>
    </w:p>
    <w:p>
      <w:pPr>
        <w:ind w:left="340" w:hanging="197"/>
        <w:spacing w:after="0"/>
        <w:tabs>
          <w:tab w:leader="none" w:pos="3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Includes 130,000 shares subject to options exercisable within 60 days from July 31, 2007.</w:t>
      </w:r>
    </w:p>
    <w:p>
      <w:pPr>
        <w:spacing w:after="0" w:line="95" w:lineRule="exact"/>
        <w:rPr>
          <w:rFonts w:ascii="Arial" w:cs="Arial" w:eastAsia="Arial" w:hAnsi="Arial"/>
          <w:sz w:val="14"/>
          <w:szCs w:val="14"/>
          <w:color w:val="auto"/>
        </w:rPr>
      </w:pPr>
    </w:p>
    <w:p>
      <w:pPr>
        <w:ind w:left="340" w:hanging="197"/>
        <w:spacing w:after="0"/>
        <w:tabs>
          <w:tab w:leader="none" w:pos="3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Effective March 6, 2007, Masood Tayebi, resigned from our Board.</w:t>
      </w:r>
    </w:p>
    <w:p>
      <w:pPr>
        <w:spacing w:after="0" w:line="95" w:lineRule="exact"/>
        <w:rPr>
          <w:rFonts w:ascii="Arial" w:cs="Arial" w:eastAsia="Arial" w:hAnsi="Arial"/>
          <w:sz w:val="14"/>
          <w:szCs w:val="14"/>
          <w:color w:val="auto"/>
        </w:rPr>
      </w:pPr>
    </w:p>
    <w:p>
      <w:pPr>
        <w:jc w:val="both"/>
        <w:ind w:left="360" w:right="120" w:hanging="217"/>
        <w:spacing w:after="0" w:line="238" w:lineRule="auto"/>
        <w:tabs>
          <w:tab w:leader="none" w:pos="339" w:val="left"/>
        </w:tabs>
        <w:numPr>
          <w:ilvl w:val="1"/>
          <w:numId w:val="60"/>
        </w:numPr>
        <w:rPr>
          <w:rFonts w:ascii="Arial" w:cs="Arial" w:eastAsia="Arial" w:hAnsi="Arial"/>
          <w:sz w:val="14"/>
          <w:szCs w:val="14"/>
          <w:color w:val="auto"/>
        </w:rPr>
      </w:pPr>
      <w:r>
        <w:rPr>
          <w:rFonts w:ascii="Arial" w:cs="Arial" w:eastAsia="Arial" w:hAnsi="Arial"/>
          <w:sz w:val="14"/>
          <w:szCs w:val="14"/>
          <w:color w:val="auto"/>
        </w:rPr>
        <w:t>Includes 6,466,529 shares held directly by Masood K. Tayebi or over which Dr. Tayebi has sole voting power. Excludes: 404,693 shares held directly by Dr. Tayebi’s spouse; 2,000,000 shares held in a revocable living trust of which Dr. Tayebi’s spouse is trustee; and 646,137 shares held in a grantor retained annuity trust of which Dr. Tayebi’s spouse is trustee. Dr. Tayebi disclaims beneficial ownership of all such shares.</w:t>
      </w:r>
    </w:p>
    <w:p>
      <w:pPr>
        <w:spacing w:after="0" w:line="74" w:lineRule="exact"/>
        <w:rPr>
          <w:rFonts w:ascii="Arial" w:cs="Arial" w:eastAsia="Arial" w:hAnsi="Arial"/>
          <w:sz w:val="14"/>
          <w:szCs w:val="14"/>
          <w:color w:val="auto"/>
        </w:rPr>
      </w:pPr>
    </w:p>
    <w:p>
      <w:pPr>
        <w:ind w:left="340" w:hanging="197"/>
        <w:spacing w:after="0"/>
        <w:tabs>
          <w:tab w:leader="none" w:pos="3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Includes 7,615 shares held in the Company’s 401(k) Plan and 400,000 shares subject to options exercisable within 60-days from July 31, 2007.</w:t>
      </w:r>
    </w:p>
    <w:p>
      <w:pPr>
        <w:spacing w:after="0" w:line="95" w:lineRule="exact"/>
        <w:rPr>
          <w:rFonts w:ascii="Arial" w:cs="Arial" w:eastAsia="Arial" w:hAnsi="Arial"/>
          <w:sz w:val="14"/>
          <w:szCs w:val="14"/>
          <w:color w:val="auto"/>
        </w:rPr>
      </w:pPr>
    </w:p>
    <w:p>
      <w:pPr>
        <w:ind w:left="340" w:hanging="278"/>
        <w:spacing w:after="0"/>
        <w:tabs>
          <w:tab w:leader="none" w:pos="3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Includes 7,251 shares held in the Company’s 401(k) Plan and 340,000 shares subject to options exercisable within 60 days from July 31, 2007.</w:t>
      </w:r>
    </w:p>
    <w:p>
      <w:pPr>
        <w:spacing w:after="0" w:line="95" w:lineRule="exact"/>
        <w:rPr>
          <w:rFonts w:ascii="Arial" w:cs="Arial" w:eastAsia="Arial" w:hAnsi="Arial"/>
          <w:sz w:val="14"/>
          <w:szCs w:val="14"/>
          <w:color w:val="auto"/>
        </w:rPr>
      </w:pPr>
    </w:p>
    <w:p>
      <w:pPr>
        <w:ind w:left="340" w:hanging="278"/>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5,823 shares held in the Company’s 401(k) Plan and 150,000 shares subject to options exercisable within 60-days of July 31, 2007.</w:t>
      </w:r>
    </w:p>
    <w:p>
      <w:pPr>
        <w:spacing w:after="0" w:line="95" w:lineRule="exact"/>
        <w:rPr>
          <w:rFonts w:ascii="Arial" w:cs="Arial" w:eastAsia="Arial" w:hAnsi="Arial"/>
          <w:sz w:val="14"/>
          <w:szCs w:val="14"/>
          <w:color w:val="auto"/>
        </w:rPr>
      </w:pPr>
    </w:p>
    <w:p>
      <w:pPr>
        <w:ind w:left="340" w:hanging="278"/>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Effective June 1, 2007, Mr. Alipanah’s employment with the Company was terminated in connection the Company’s sale of all of the assets of its Engineering Division.</w:t>
      </w:r>
    </w:p>
    <w:p>
      <w:pPr>
        <w:spacing w:after="0" w:line="95" w:lineRule="exact"/>
        <w:rPr>
          <w:rFonts w:ascii="Arial" w:cs="Arial" w:eastAsia="Arial" w:hAnsi="Arial"/>
          <w:sz w:val="14"/>
          <w:szCs w:val="14"/>
          <w:color w:val="auto"/>
        </w:rPr>
      </w:pPr>
    </w:p>
    <w:p>
      <w:pPr>
        <w:ind w:left="340" w:hanging="278"/>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3,592,134 shares subject to options exercisable within 60 days of July 31, 2007.</w:t>
      </w:r>
    </w:p>
    <w:p>
      <w:pPr>
        <w:spacing w:after="0" w:line="20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In December 2005, our Board made the decision to exit our Mexican operations and certain of our other deployment businesses in South America. Prior to this decision, these operations had been reported in our Wireless Network Services segment. We determined that these operations meet the criteria to be classified as held for sale. Accordingly, we have reflected these operations as discontinued in accordance with SFAS No. 144, “Accounting for the Impairment or Disposal of Long-Lived Assets.” Our South American deployment operations were substantially shut down as of the end of December 2005.</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February 17, 2006, we entered into a definitive agreement with Sakoki LLC to divest all of our operations in Mexico for total approximate cash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consideration of $18 million, payable in installments, subject to adjustment, which approximates the net book value of the operations, including $13.2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liabilities associated with a loss contingency. The transaction was finalized on March 10, 2006. The transaction was structured as a sale of our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Mexico, and the purchase price consisted of $1.5 million in cash paid on February 17, 2006, plus a secured promissory note in the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$16.5 million which was payable in installments through December 31, 2006, subject to adjustment. The note is secured by pledges of assets and a personal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guaranty.</w:t>
      </w:r>
    </w:p>
    <w:p>
      <w:pPr>
        <w:spacing w:after="0" w:line="103" w:lineRule="exact"/>
        <w:rPr>
          <w:sz w:val="20"/>
          <w:szCs w:val="20"/>
          <w:color w:val="auto"/>
        </w:rPr>
      </w:pPr>
    </w:p>
    <w:p>
      <w:pPr>
        <w:jc w:val="both"/>
        <w:ind w:right="180" w:firstLine="360"/>
        <w:spacing w:after="0" w:line="286" w:lineRule="auto"/>
        <w:rPr>
          <w:sz w:val="20"/>
          <w:szCs w:val="20"/>
          <w:color w:val="auto"/>
        </w:rPr>
      </w:pPr>
      <w:r>
        <w:rPr>
          <w:rFonts w:ascii="Arial" w:cs="Arial" w:eastAsia="Arial" w:hAnsi="Arial"/>
          <w:sz w:val="17"/>
          <w:szCs w:val="17"/>
          <w:color w:val="auto"/>
        </w:rPr>
        <w:t>In making this decision, our Board considered a number of business factors occurring in the region to arrive at the conclusion that the divesture was in the best interests of our stockholders. The benefits associated with this transaction would improve our free cash flow, improve overall liquidity, and allow us to focus more of our resources on our domestic operations, including investing in the growth of our government business.</w:t>
      </w:r>
    </w:p>
    <w:p>
      <w:pPr>
        <w:spacing w:after="0" w:line="57" w:lineRule="exact"/>
        <w:rPr>
          <w:sz w:val="20"/>
          <w:szCs w:val="20"/>
          <w:color w:val="auto"/>
        </w:rPr>
      </w:pPr>
    </w:p>
    <w:p>
      <w:pPr>
        <w:ind w:right="260" w:firstLine="360"/>
        <w:spacing w:after="0" w:line="273" w:lineRule="auto"/>
        <w:rPr>
          <w:sz w:val="20"/>
          <w:szCs w:val="20"/>
          <w:color w:val="auto"/>
        </w:rPr>
      </w:pPr>
      <w:r>
        <w:rPr>
          <w:rFonts w:ascii="Arial" w:cs="Arial" w:eastAsia="Arial" w:hAnsi="Arial"/>
          <w:sz w:val="17"/>
          <w:szCs w:val="17"/>
          <w:color w:val="auto"/>
        </w:rPr>
        <w:t>The decision to divest the Mexican operations was prompted by the changing business climate in Mexico and a review of the strategic alternatives for our free cash flow. Unfavorable contractual terms that had been proposed by our largest customer in Mexico would further increase the extensive working capital required to operate a Mexican deployment company while pricing pressure threatens to adversely affect the future profitability of the Mexican operations. Further, the refinements of the cell site build plans by our largest customers had resulted in the cancellation of a number of sites that we were building in Mexico and certain South American locations. This resulted in a write-off of unrecoverable expenses of approximately $5.0 million in 2005, for which we had not been able to negotiate any termination settlements with our customers to offset these costs.</w:t>
      </w:r>
    </w:p>
    <w:p>
      <w:pPr>
        <w:spacing w:after="0" w:line="70"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The purchaser, Sakoki LLC, a newly-formed entity is controlled by Massih Tayebi. Although Massih Tayebi has no current role with the Company, he was one of our co-founders, having served as our Chief Executive Officer from inception in 1994 through September 2000, and as one of our Directors from inception through April 2002. In addition, at the time of the transaction, Massih Tayebi owned or controls approximately 11% of the total voting power of our capital stock. He is also the brother of Masood Tayebi, the former Chairman of our Board. Masood Tayebi had no personal financial interest in the transaction has never had any role with the entity that purchased the Mexico operations. The transaction was approved by the disinterested members of our Board of Directors after consideration of other expressions of interest and a valuation analysis by an independent firm.</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Sakoki LLC paid the note in full to the Company in December 2006 and the Company released all secured assets to Massih Tayebi.</w:t>
      </w:r>
    </w:p>
    <w:p>
      <w:pPr>
        <w:spacing w:after="0" w:line="117"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Based upon a review by disinterested members of management and our Board regarding the terms of comparable transactions available from or involving third parties, we believe that all transactions with related parties described above were made on terms no less favorable to us than could have been obtained from unaffiliated third parties. All transactions between the Company and related parties are subject to review by the Audit Committee and the independent members of the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Procedures for Approval of Related Party Transactions</w:t>
      </w:r>
    </w:p>
    <w:p>
      <w:pPr>
        <w:spacing w:after="0" w:line="117"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Under its charter the Audit Committee of our Board is charged with reviewing all potential related party transactions. Our policy has been that the Audit Committee, which is comprised solely of independent, disinterested Directors, then recommends such related party transactions to the entire Board for further review and approval. All such related party transactions are then required to be reported under applicable SEC rules. Otherwise, the Company has not adopted procedures for review of, or standards for approval of, these transactions, but instead reviews such transactions on a case-by-case basis.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00" w:type="dxa"/>
            <w:vAlign w:val="bottom"/>
          </w:tcPr>
          <w:p>
            <w:pPr>
              <w:jc w:val="right"/>
              <w:ind w:right="157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75"/>
        </w:trPr>
        <w:tc>
          <w:tcPr>
            <w:tcW w:w="190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940" w:type="dxa"/>
            <w:vAlign w:val="bottom"/>
            <w:tcBorders>
              <w:bottom w:val="single" w:sz="8" w:color="010101"/>
            </w:tcBorders>
          </w:tcPr>
          <w:p>
            <w:pPr>
              <w:spacing w:after="0"/>
              <w:rPr>
                <w:sz w:val="24"/>
                <w:szCs w:val="24"/>
                <w:color w:val="auto"/>
              </w:rPr>
            </w:pPr>
          </w:p>
        </w:tc>
      </w:tr>
      <w:tr>
        <w:trPr>
          <w:trHeight w:val="56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51"/>
        </w:trPr>
        <w:tc>
          <w:tcPr>
            <w:tcW w:w="1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Fiscal 2005</w:t>
            </w:r>
          </w:p>
        </w:tc>
        <w:tc>
          <w:tcPr>
            <w:tcW w:w="2880" w:type="dxa"/>
            <w:vAlign w:val="bottom"/>
            <w:gridSpan w:val="4"/>
          </w:tcPr>
          <w:p>
            <w:pPr>
              <w:ind w:left="80"/>
              <w:spacing w:after="0"/>
              <w:rPr>
                <w:sz w:val="20"/>
                <w:szCs w:val="20"/>
                <w:color w:val="auto"/>
              </w:rPr>
            </w:pPr>
            <w:r>
              <w:rPr>
                <w:rFonts w:ascii="Arial" w:cs="Arial" w:eastAsia="Arial" w:hAnsi="Arial"/>
                <w:sz w:val="14"/>
                <w:szCs w:val="14"/>
                <w:b w:val="1"/>
                <w:bCs w:val="1"/>
                <w:color w:val="auto"/>
              </w:rPr>
              <w:t>Fiscal 2006</w:t>
            </w:r>
          </w:p>
        </w:tc>
      </w:tr>
      <w:tr>
        <w:trPr>
          <w:trHeight w:val="210"/>
        </w:trPr>
        <w:tc>
          <w:tcPr>
            <w:tcW w:w="190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Audit Fees(1)</w:t>
            </w:r>
          </w:p>
        </w:tc>
        <w:tc>
          <w:tcPr>
            <w:tcW w:w="2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2,642,755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3,045,734</w:t>
            </w:r>
          </w:p>
        </w:tc>
        <w:tc>
          <w:tcPr>
            <w:tcW w:w="80" w:type="dxa"/>
            <w:vAlign w:val="bottom"/>
            <w:tcBorders>
              <w:top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Audit-Related Fees(2)</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Tax Fees(3)</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18"/>
                <w:szCs w:val="18"/>
                <w:color w:val="auto"/>
              </w:rPr>
            </w:pPr>
          </w:p>
        </w:tc>
      </w:tr>
      <w:tr>
        <w:trPr>
          <w:trHeight w:val="230"/>
        </w:trPr>
        <w:tc>
          <w:tcPr>
            <w:tcW w:w="190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All Other Fees(4)</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-1176655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-1176655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8" w:orient="portrait"/>
          <w:cols w:equalWidth="0" w:num="1">
            <w:col w:w="11460"/>
          </w:cols>
          <w:pgMar w:left="240" w:top="122" w:right="199" w:bottom="0" w:gutter="0" w:footer="0" w:header="0"/>
        </w:sectPr>
      </w:pPr>
    </w:p>
    <w:bookmarkStart w:id="66" w:name="page67"/>
    <w:bookmarkEnd w:id="66"/>
    <w:p>
      <w:pPr>
        <w:ind w:left="360" w:right="100" w:hanging="352"/>
        <w:spacing w:after="0" w:line="264" w:lineRule="auto"/>
        <w:tabs>
          <w:tab w:leader="none" w:pos="34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893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89380" cy="8890"/>
                    </a:xfrm>
                    <a:prstGeom prst="rect">
                      <a:avLst/>
                    </a:prstGeom>
                    <a:noFill/>
                  </pic:spPr>
                </pic:pic>
              </a:graphicData>
            </a:graphic>
          </wp:anchor>
        </w:drawing>
        <w:t xml:space="preserve">Audit Fees </w:t>
      </w:r>
      <w:r>
        <w:rPr>
          <w:rFonts w:ascii="Arial" w:cs="Arial" w:eastAsia="Arial" w:hAnsi="Arial"/>
          <w:sz w:val="18"/>
          <w:szCs w:val="18"/>
          <w:color w:val="auto"/>
        </w:rPr>
        <w:t>consist of fees billed and expected to be billed for professional services rendered for the integrated audit of our consolidated annual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review of the interim consolidated financial statements included in quarterly reports and services that are normally provided by Grant Thornton in connection with statutory and regulatory filings or engagements.</w:t>
      </w:r>
    </w:p>
    <w:p>
      <w:pPr>
        <w:spacing w:after="0" w:line="73" w:lineRule="exact"/>
        <w:rPr>
          <w:rFonts w:ascii="Arial" w:cs="Arial" w:eastAsia="Arial" w:hAnsi="Arial"/>
          <w:sz w:val="18"/>
          <w:szCs w:val="18"/>
          <w:color w:val="auto"/>
        </w:rPr>
      </w:pPr>
    </w:p>
    <w:p>
      <w:pPr>
        <w:ind w:left="360" w:hanging="352"/>
        <w:spacing w:after="0" w:line="255" w:lineRule="auto"/>
        <w:tabs>
          <w:tab w:leader="none" w:pos="34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consist of fees billed and expected to be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consolidated financial statements and are not reported under “Audit Fees.” This category includes fees related to due diligence services pertaining to potential business acquisitions/disposition; and consultation regarding accounting or disclosure treatment of transactions or events and/or the actual or potential impact of final or proposed rules, standard or interpretation by the SEC, FASB or other regulatory or standard-setting bodies. General assistance with implementation of the requirements of SEC rules or listing standards promulgated pursuant to the Sarbanes-Oxley Act of 2002.</w:t>
      </w:r>
    </w:p>
    <w:p>
      <w:pPr>
        <w:spacing w:after="0" w:line="85" w:lineRule="exact"/>
        <w:rPr>
          <w:rFonts w:ascii="Arial" w:cs="Arial" w:eastAsia="Arial" w:hAnsi="Arial"/>
          <w:sz w:val="18"/>
          <w:szCs w:val="18"/>
          <w:color w:val="auto"/>
        </w:rPr>
      </w:pPr>
    </w:p>
    <w:p>
      <w:pPr>
        <w:ind w:left="360" w:right="340" w:hanging="352"/>
        <w:spacing w:after="0" w:line="264" w:lineRule="auto"/>
        <w:tabs>
          <w:tab w:leader="none" w:pos="34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consist of fees billed and expected to be billed for professional services rendered for tax compliance, tax advice and tax planning. These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include assistance regarding federal state and local tax compliance, planning and advice; international tax compliance, planning and advice; review of federal, state, local and international income franchising and other tax returns.</w:t>
      </w:r>
    </w:p>
    <w:p>
      <w:pPr>
        <w:spacing w:after="0" w:line="73" w:lineRule="exact"/>
        <w:rPr>
          <w:rFonts w:ascii="Arial" w:cs="Arial" w:eastAsia="Arial" w:hAnsi="Arial"/>
          <w:sz w:val="18"/>
          <w:szCs w:val="18"/>
          <w:color w:val="auto"/>
        </w:rPr>
      </w:pPr>
    </w:p>
    <w:p>
      <w:pPr>
        <w:ind w:left="360" w:hanging="352"/>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consist of fees for products and services other than the services reported above.</w:t>
      </w:r>
    </w:p>
    <w:p>
      <w:pPr>
        <w:spacing w:after="0" w:line="117"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The Audit Committee’s policy is to pre-approve all audit and permissible non-audit services provided by our independent auditors. These services may include audit services, audit-related services, tax services and other services. Pre-approval is generally provided for up to one year and any pre-approval is detailed as to the particular service or category of services. The Audit Committee has delegated pre-approval authority to the Audit Committee Chairperson. The independent auditor and management are required to periodically report to the Audit Committee regarding the extent of services provided by the independent auditor in accordance with this pre-approval.</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21"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Statements and Financial Statement Schedules</w:t>
      </w:r>
    </w:p>
    <w:p>
      <w:pPr>
        <w:spacing w:after="0" w:line="117" w:lineRule="exact"/>
        <w:rPr>
          <w:rFonts w:ascii="Arial" w:cs="Arial" w:eastAsia="Arial" w:hAnsi="Arial"/>
          <w:sz w:val="18"/>
          <w:szCs w:val="18"/>
          <w:b w:val="1"/>
          <w:bCs w:val="1"/>
          <w:color w:val="auto"/>
        </w:rPr>
      </w:pPr>
    </w:p>
    <w:p>
      <w:pPr>
        <w:ind w:left="720" w:right="6020" w:hanging="352"/>
        <w:spacing w:after="0" w:line="422" w:lineRule="auto"/>
        <w:tabs>
          <w:tab w:leader="none" w:pos="691" w:val="left"/>
        </w:tabs>
        <w:numPr>
          <w:ilvl w:val="1"/>
          <w:numId w:val="63"/>
        </w:numPr>
        <w:rPr>
          <w:rFonts w:ascii="Arial" w:cs="Arial" w:eastAsia="Arial" w:hAnsi="Arial"/>
          <w:sz w:val="16"/>
          <w:szCs w:val="16"/>
          <w:color w:val="auto"/>
        </w:rPr>
      </w:pPr>
      <w:r>
        <w:rPr>
          <w:rFonts w:ascii="Arial" w:cs="Arial" w:eastAsia="Arial" w:hAnsi="Arial"/>
          <w:sz w:val="16"/>
          <w:szCs w:val="16"/>
          <w:color w:val="auto"/>
        </w:rPr>
        <w:t>Report of Independent Registered Public Accounting Firm Report of Independent Registered Public Accounting Firm Consolidated Balance Sheets as of December 31, 2005 and 2006</w:t>
      </w:r>
    </w:p>
    <w:p>
      <w:pPr>
        <w:spacing w:after="0" w:line="1" w:lineRule="exact"/>
        <w:rPr>
          <w:rFonts w:ascii="Arial" w:cs="Arial" w:eastAsia="Arial" w:hAnsi="Arial"/>
          <w:sz w:val="16"/>
          <w:szCs w:val="16"/>
          <w:color w:val="auto"/>
        </w:rPr>
      </w:pPr>
    </w:p>
    <w:p>
      <w:pPr>
        <w:ind w:left="720" w:right="3040"/>
        <w:spacing w:after="0" w:line="422" w:lineRule="auto"/>
        <w:rPr>
          <w:rFonts w:ascii="Arial" w:cs="Arial" w:eastAsia="Arial" w:hAnsi="Arial"/>
          <w:sz w:val="16"/>
          <w:szCs w:val="16"/>
          <w:color w:val="auto"/>
        </w:rPr>
      </w:pPr>
      <w:r>
        <w:rPr>
          <w:rFonts w:ascii="Arial" w:cs="Arial" w:eastAsia="Arial" w:hAnsi="Arial"/>
          <w:sz w:val="16"/>
          <w:szCs w:val="16"/>
          <w:color w:val="auto"/>
        </w:rPr>
        <w:t>Consolidated Statements of Operations for the Years Ended December 31, 2004, 2005 and 2006 Consolidated Statements of Stockholders’ Equity for the Years Ended December 31, 2004, 2005 and 2006 Consolidated Statements of Cash Flows for the Years Ended December 31, 2004, 2005 and 2006</w:t>
      </w:r>
    </w:p>
    <w:p>
      <w:pPr>
        <w:spacing w:after="0" w:line="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 are not required under the related instructions or are inapplicable and therefore have been omitted.</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  Exhibits</w:t>
      </w:r>
    </w:p>
    <w:p>
      <w:pPr>
        <w:spacing w:after="0" w:line="203"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02"/>
        </w:trPr>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ind w:left="320"/>
              <w:spacing w:after="0" w:line="102" w:lineRule="exact"/>
              <w:rPr>
                <w:sz w:val="20"/>
                <w:szCs w:val="20"/>
                <w:color w:val="auto"/>
              </w:rPr>
            </w:pPr>
            <w:r>
              <w:rPr>
                <w:rFonts w:ascii="Arial" w:cs="Arial" w:eastAsia="Arial" w:hAnsi="Arial"/>
                <w:sz w:val="11"/>
                <w:szCs w:val="11"/>
                <w:b w:val="1"/>
                <w:bCs w:val="1"/>
                <w:color w:val="auto"/>
              </w:rPr>
              <w:t>Filing</w:t>
            </w: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80" w:type="dxa"/>
            <w:vAlign w:val="bottom"/>
            <w:gridSpan w:val="2"/>
            <w:vMerge w:val="continue"/>
          </w:tcPr>
          <w:p>
            <w:pPr>
              <w:spacing w:after="0"/>
              <w:rPr>
                <w:sz w:val="11"/>
                <w:szCs w:val="11"/>
                <w:color w:val="auto"/>
              </w:rPr>
            </w:pPr>
          </w:p>
        </w:tc>
        <w:tc>
          <w:tcPr>
            <w:tcW w:w="5080" w:type="dxa"/>
            <w:vAlign w:val="bottom"/>
            <w:gridSpan w:val="2"/>
            <w:vMerge w:val="restart"/>
          </w:tcPr>
          <w:p>
            <w:pPr>
              <w:ind w:left="1860"/>
              <w:spacing w:after="0"/>
              <w:rPr>
                <w:sz w:val="20"/>
                <w:szCs w:val="20"/>
                <w:color w:val="auto"/>
              </w:rPr>
            </w:pPr>
            <w:r>
              <w:rPr>
                <w:rFonts w:ascii="Arial" w:cs="Arial" w:eastAsia="Arial" w:hAnsi="Arial"/>
                <w:sz w:val="14"/>
                <w:szCs w:val="14"/>
                <w:b w:val="1"/>
                <w:bCs w:val="1"/>
                <w:color w:val="auto"/>
              </w:rPr>
              <w:t>Exhibit Description</w:t>
            </w: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Form</w:t>
            </w:r>
          </w:p>
        </w:tc>
        <w:tc>
          <w:tcPr>
            <w:tcW w:w="116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Date/Period</w:t>
            </w:r>
          </w:p>
        </w:tc>
        <w:tc>
          <w:tcPr>
            <w:tcW w:w="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62"/>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0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End Date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5"/>
        </w:trPr>
        <w:tc>
          <w:tcPr>
            <w:tcW w:w="540" w:type="dxa"/>
            <w:vAlign w:val="bottom"/>
            <w:tcBorders>
              <w:top w:val="single" w:sz="8" w:color="auto"/>
            </w:tcBorders>
          </w:tcPr>
          <w:p>
            <w:pPr>
              <w:jc w:val="right"/>
              <w:ind w:right="173"/>
              <w:spacing w:after="0" w:line="195"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6"/>
                <w:szCs w:val="16"/>
                <w:color w:val="auto"/>
              </w:rPr>
            </w:pPr>
          </w:p>
        </w:tc>
        <w:tc>
          <w:tcPr>
            <w:tcW w:w="4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Stock Purchase Agreement by and among the Company, JMA</w:t>
            </w:r>
          </w:p>
        </w:tc>
        <w:tc>
          <w:tcPr>
            <w:tcW w:w="140" w:type="dxa"/>
            <w:vAlign w:val="bottom"/>
          </w:tcPr>
          <w:p>
            <w:pPr>
              <w:spacing w:after="0"/>
              <w:rPr>
                <w:sz w:val="16"/>
                <w:szCs w:val="16"/>
                <w:color w:val="auto"/>
              </w:rPr>
            </w:pPr>
          </w:p>
        </w:tc>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S-1</w:t>
            </w:r>
          </w:p>
        </w:tc>
        <w:tc>
          <w:tcPr>
            <w:tcW w:w="160" w:type="dxa"/>
            <w:vAlign w:val="bottom"/>
          </w:tcPr>
          <w:p>
            <w:pPr>
              <w:spacing w:after="0"/>
              <w:rPr>
                <w:sz w:val="16"/>
                <w:szCs w:val="16"/>
                <w:color w:val="auto"/>
              </w:rPr>
            </w:pPr>
          </w:p>
        </w:tc>
        <w:tc>
          <w:tcPr>
            <w:tcW w:w="102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08/18/99</w:t>
            </w:r>
          </w:p>
        </w:tc>
        <w:tc>
          <w:tcPr>
            <w:tcW w:w="1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Associates, Inc. d/b/a TLA Associates, and the Stockholders of</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JMA Associates, Inc., dated as of January 27, 2005.</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40" w:type="dxa"/>
            <w:vAlign w:val="bottom"/>
          </w:tcPr>
          <w:p>
            <w:pPr>
              <w:jc w:val="right"/>
              <w:ind w:right="173"/>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3"/>
                <w:szCs w:val="23"/>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Equity Purchase Agreement, dated February 17, 2006, by and</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0"/>
              <w:spacing w:after="0"/>
              <w:rPr>
                <w:sz w:val="20"/>
                <w:szCs w:val="20"/>
                <w:color w:val="auto"/>
              </w:rPr>
            </w:pPr>
            <w:r>
              <w:rPr>
                <w:rFonts w:ascii="Arial" w:cs="Arial" w:eastAsia="Arial" w:hAnsi="Arial"/>
                <w:sz w:val="18"/>
                <w:szCs w:val="18"/>
                <w:color w:val="auto"/>
              </w:rPr>
              <w:t>02/23/06</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between Sakoki LLC and the Company.</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40" w:type="dxa"/>
            <w:vAlign w:val="bottom"/>
          </w:tcPr>
          <w:p>
            <w:pPr>
              <w:jc w:val="right"/>
              <w:ind w:right="173"/>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3"/>
                <w:szCs w:val="23"/>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w w:val="94"/>
              </w:rPr>
              <w:t>Addendum and Waiver Related to the Equity Purchase Agreement,</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0"/>
              <w:spacing w:after="0"/>
              <w:rPr>
                <w:sz w:val="20"/>
                <w:szCs w:val="20"/>
                <w:color w:val="auto"/>
              </w:rPr>
            </w:pPr>
            <w:r>
              <w:rPr>
                <w:rFonts w:ascii="Arial" w:cs="Arial" w:eastAsia="Arial" w:hAnsi="Arial"/>
                <w:sz w:val="18"/>
                <w:szCs w:val="18"/>
                <w:color w:val="auto"/>
              </w:rPr>
              <w:t>06/30/06</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dated June 26, 2006, by and between Sakoki LLC and the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40" w:type="dxa"/>
            <w:vAlign w:val="bottom"/>
          </w:tcPr>
          <w:p>
            <w:pPr>
              <w:jc w:val="right"/>
              <w:ind w:right="173"/>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3"/>
                <w:szCs w:val="23"/>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Merger Agreement, dated August 8, 2006, by and among the</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0"/>
              <w:spacing w:after="0"/>
              <w:rPr>
                <w:sz w:val="20"/>
                <w:szCs w:val="20"/>
                <w:color w:val="auto"/>
              </w:rPr>
            </w:pPr>
            <w:r>
              <w:rPr>
                <w:rFonts w:ascii="Arial" w:cs="Arial" w:eastAsia="Arial" w:hAnsi="Arial"/>
                <w:sz w:val="18"/>
                <w:szCs w:val="18"/>
                <w:color w:val="auto"/>
              </w:rPr>
              <w:t>08/14/06</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w w:val="94"/>
              </w:rPr>
              <w:t>Company, WFI Government Services, Inc., MRC Merger Company,</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Inc. and Madison Research Corporation.</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40" w:type="dxa"/>
            <w:vAlign w:val="bottom"/>
          </w:tcPr>
          <w:p>
            <w:pPr>
              <w:jc w:val="right"/>
              <w:ind w:right="173"/>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3"/>
                <w:szCs w:val="23"/>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Agreement dated as of March 9, 2007 by and between LCC</w:t>
            </w: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Wireless Engineering Services Limited and the Company.</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40" w:type="dxa"/>
            <w:vAlign w:val="bottom"/>
          </w:tcPr>
          <w:p>
            <w:pPr>
              <w:jc w:val="right"/>
              <w:ind w:right="173"/>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3"/>
                <w:szCs w:val="23"/>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w w:val="96"/>
              </w:rPr>
              <w:t>Asset Purchase Agreement, dated May 29, 2007, by and between</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0"/>
              <w:spacing w:after="0"/>
              <w:rPr>
                <w:sz w:val="20"/>
                <w:szCs w:val="20"/>
                <w:color w:val="auto"/>
              </w:rPr>
            </w:pPr>
            <w:r>
              <w:rPr>
                <w:rFonts w:ascii="Arial" w:cs="Arial" w:eastAsia="Arial" w:hAnsi="Arial"/>
                <w:sz w:val="18"/>
                <w:szCs w:val="18"/>
                <w:color w:val="auto"/>
              </w:rPr>
              <w:t>05/30/07</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the Company and LCC International, Inc.</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40" w:type="dxa"/>
            <w:vAlign w:val="bottom"/>
          </w:tcPr>
          <w:p>
            <w:pPr>
              <w:jc w:val="right"/>
              <w:ind w:right="173"/>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3"/>
                <w:szCs w:val="23"/>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w w:val="93"/>
              </w:rPr>
              <w:t>Asset Purchase Agreement, dated July 7, 2007, by and between the</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0"/>
              <w:spacing w:after="0"/>
              <w:rPr>
                <w:sz w:val="20"/>
                <w:szCs w:val="20"/>
                <w:color w:val="auto"/>
              </w:rPr>
            </w:pPr>
            <w:r>
              <w:rPr>
                <w:rFonts w:ascii="Arial" w:cs="Arial" w:eastAsia="Arial" w:hAnsi="Arial"/>
                <w:sz w:val="18"/>
                <w:szCs w:val="18"/>
                <w:color w:val="auto"/>
              </w:rPr>
              <w:t>07/12/07</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Company and Burgundy Acquisition Corporation.</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40" w:type="dxa"/>
            <w:vAlign w:val="bottom"/>
          </w:tcPr>
          <w:p>
            <w:pPr>
              <w:jc w:val="right"/>
              <w:ind w:right="173"/>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0"/>
              <w:spacing w:after="0"/>
              <w:rPr>
                <w:sz w:val="20"/>
                <w:szCs w:val="20"/>
                <w:color w:val="auto"/>
              </w:rPr>
            </w:pPr>
            <w:r>
              <w:rPr>
                <w:rFonts w:ascii="Arial" w:cs="Arial" w:eastAsia="Arial" w:hAnsi="Arial"/>
                <w:sz w:val="18"/>
                <w:szCs w:val="18"/>
                <w:color w:val="auto"/>
              </w:rPr>
              <w:t>09/30/01</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0" w:type="dxa"/>
            <w:vAlign w:val="bottom"/>
          </w:tcPr>
          <w:p>
            <w:pPr>
              <w:jc w:val="right"/>
              <w:ind w:right="173"/>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Bylaws in effect since Novmeber 5, 1999.</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1020" w:type="dxa"/>
            <w:vAlign w:val="bottom"/>
          </w:tcPr>
          <w:p>
            <w:pPr>
              <w:ind w:left="200"/>
              <w:spacing w:after="0"/>
              <w:rPr>
                <w:sz w:val="20"/>
                <w:szCs w:val="20"/>
                <w:color w:val="auto"/>
              </w:rPr>
            </w:pPr>
            <w:r>
              <w:rPr>
                <w:rFonts w:ascii="Arial" w:cs="Arial" w:eastAsia="Arial" w:hAnsi="Arial"/>
                <w:sz w:val="18"/>
                <w:szCs w:val="18"/>
                <w:color w:val="auto"/>
              </w:rPr>
              <w:t>08/18/99</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40" w:type="dxa"/>
            <w:vAlign w:val="bottom"/>
          </w:tcPr>
          <w:p>
            <w:pPr>
              <w:jc w:val="right"/>
              <w:ind w:right="173"/>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3"/>
                <w:szCs w:val="23"/>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Certificate of Designations, Preferences and Rights of Series A</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0"/>
              <w:spacing w:after="0"/>
              <w:rPr>
                <w:sz w:val="20"/>
                <w:szCs w:val="20"/>
                <w:color w:val="auto"/>
              </w:rPr>
            </w:pPr>
            <w:r>
              <w:rPr>
                <w:rFonts w:ascii="Arial" w:cs="Arial" w:eastAsia="Arial" w:hAnsi="Arial"/>
                <w:sz w:val="18"/>
                <w:szCs w:val="18"/>
                <w:color w:val="auto"/>
              </w:rPr>
              <w:t>09/30/01</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40" w:type="dxa"/>
            <w:vAlign w:val="bottom"/>
          </w:tcPr>
          <w:p>
            <w:pPr>
              <w:jc w:val="right"/>
              <w:ind w:right="173"/>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3"/>
                <w:szCs w:val="23"/>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Certificate of Designations, Preferences and Rights of Series B</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rPr>
              <w:t>8-K/A</w:t>
            </w:r>
          </w:p>
        </w:tc>
        <w:tc>
          <w:tcPr>
            <w:tcW w:w="1020" w:type="dxa"/>
            <w:vAlign w:val="bottom"/>
          </w:tcPr>
          <w:p>
            <w:pPr>
              <w:ind w:left="200"/>
              <w:spacing w:after="0"/>
              <w:rPr>
                <w:sz w:val="20"/>
                <w:szCs w:val="20"/>
                <w:color w:val="auto"/>
              </w:rPr>
            </w:pPr>
            <w:r>
              <w:rPr>
                <w:rFonts w:ascii="Arial" w:cs="Arial" w:eastAsia="Arial" w:hAnsi="Arial"/>
                <w:sz w:val="18"/>
                <w:szCs w:val="18"/>
                <w:color w:val="auto"/>
              </w:rPr>
              <w:t>06/05/02</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47" w:right="25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ind w:left="1500"/>
              <w:spacing w:after="0"/>
              <w:rPr>
                <w:sz w:val="20"/>
                <w:szCs w:val="20"/>
                <w:color w:val="auto"/>
              </w:rPr>
            </w:pPr>
            <w:r>
              <w:rPr>
                <w:rFonts w:ascii="Arial" w:cs="Arial" w:eastAsia="Arial" w:hAnsi="Arial"/>
                <w:sz w:val="18"/>
                <w:szCs w:val="18"/>
                <w:color w:val="auto"/>
              </w:rPr>
              <w:t>3.5</w:t>
            </w:r>
          </w:p>
        </w:tc>
        <w:tc>
          <w:tcPr>
            <w:tcW w:w="5060" w:type="dxa"/>
            <w:vAlign w:val="bottom"/>
          </w:tcPr>
          <w:p>
            <w:pPr>
              <w:ind w:left="160"/>
              <w:spacing w:after="0"/>
              <w:rPr>
                <w:sz w:val="20"/>
                <w:szCs w:val="20"/>
                <w:color w:val="auto"/>
              </w:rPr>
            </w:pPr>
            <w:r>
              <w:rPr>
                <w:rFonts w:ascii="Arial" w:cs="Arial" w:eastAsia="Arial" w:hAnsi="Arial"/>
                <w:sz w:val="18"/>
                <w:szCs w:val="18"/>
                <w:color w:val="auto"/>
              </w:rPr>
              <w:t>Certificate of Designation of Series C Preferred Stock.</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460" w:type="dxa"/>
            <w:vAlign w:val="bottom"/>
          </w:tcPr>
          <w:p>
            <w:pPr>
              <w:jc w:val="right"/>
              <w:ind w:right="2490"/>
              <w:spacing w:after="0"/>
              <w:rPr>
                <w:sz w:val="20"/>
                <w:szCs w:val="20"/>
                <w:color w:val="auto"/>
              </w:rPr>
            </w:pPr>
            <w:r>
              <w:rPr>
                <w:rFonts w:ascii="Arial" w:cs="Arial" w:eastAsia="Arial" w:hAnsi="Arial"/>
                <w:sz w:val="18"/>
                <w:szCs w:val="18"/>
                <w:color w:val="auto"/>
              </w:rPr>
              <w:t>12/17/04</w:t>
            </w:r>
          </w:p>
        </w:tc>
      </w:tr>
      <w:tr>
        <w:trPr>
          <w:trHeight w:val="284"/>
        </w:trPr>
        <w:tc>
          <w:tcPr>
            <w:tcW w:w="1960" w:type="dxa"/>
            <w:vAlign w:val="bottom"/>
          </w:tcPr>
          <w:p>
            <w:pPr>
              <w:ind w:left="1500"/>
              <w:spacing w:after="0"/>
              <w:rPr>
                <w:sz w:val="20"/>
                <w:szCs w:val="20"/>
                <w:color w:val="auto"/>
              </w:rPr>
            </w:pPr>
            <w:r>
              <w:rPr>
                <w:rFonts w:ascii="Arial" w:cs="Arial" w:eastAsia="Arial" w:hAnsi="Arial"/>
                <w:sz w:val="18"/>
                <w:szCs w:val="18"/>
                <w:color w:val="auto"/>
              </w:rPr>
              <w:t>4.1</w:t>
            </w:r>
          </w:p>
        </w:tc>
        <w:tc>
          <w:tcPr>
            <w:tcW w:w="5060" w:type="dxa"/>
            <w:vAlign w:val="bottom"/>
          </w:tcPr>
          <w:p>
            <w:pPr>
              <w:ind w:left="160"/>
              <w:spacing w:after="0"/>
              <w:rPr>
                <w:sz w:val="20"/>
                <w:szCs w:val="20"/>
                <w:color w:val="auto"/>
              </w:rPr>
            </w:pPr>
            <w:r>
              <w:rPr>
                <w:rFonts w:ascii="Arial" w:cs="Arial" w:eastAsia="Arial" w:hAnsi="Arial"/>
                <w:sz w:val="18"/>
                <w:szCs w:val="18"/>
                <w:color w:val="auto"/>
              </w:rPr>
              <w:t>Reference is made to Exhibits 3.1 and 3.2.</w:t>
            </w:r>
          </w:p>
        </w:tc>
        <w:tc>
          <w:tcPr>
            <w:tcW w:w="9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84"/>
        </w:trPr>
        <w:tc>
          <w:tcPr>
            <w:tcW w:w="1960" w:type="dxa"/>
            <w:vAlign w:val="bottom"/>
          </w:tcPr>
          <w:p>
            <w:pPr>
              <w:ind w:left="1500"/>
              <w:spacing w:after="0"/>
              <w:rPr>
                <w:sz w:val="20"/>
                <w:szCs w:val="20"/>
                <w:color w:val="auto"/>
              </w:rPr>
            </w:pPr>
            <w:r>
              <w:rPr>
                <w:rFonts w:ascii="Arial" w:cs="Arial" w:eastAsia="Arial" w:hAnsi="Arial"/>
                <w:sz w:val="18"/>
                <w:szCs w:val="18"/>
                <w:color w:val="auto"/>
              </w:rPr>
              <w:t>4.2</w:t>
            </w:r>
          </w:p>
        </w:tc>
        <w:tc>
          <w:tcPr>
            <w:tcW w:w="5060" w:type="dxa"/>
            <w:vAlign w:val="bottom"/>
          </w:tcPr>
          <w:p>
            <w:pPr>
              <w:ind w:left="160"/>
              <w:spacing w:after="0"/>
              <w:rPr>
                <w:sz w:val="20"/>
                <w:szCs w:val="20"/>
                <w:color w:val="auto"/>
              </w:rPr>
            </w:pPr>
            <w:r>
              <w:rPr>
                <w:rFonts w:ascii="Arial" w:cs="Arial" w:eastAsia="Arial" w:hAnsi="Arial"/>
                <w:sz w:val="18"/>
                <w:szCs w:val="18"/>
                <w:color w:val="auto"/>
              </w:rPr>
              <w:t>Specimen Stock Certificate.</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3460" w:type="dxa"/>
            <w:vAlign w:val="bottom"/>
          </w:tcPr>
          <w:p>
            <w:pPr>
              <w:jc w:val="right"/>
              <w:ind w:right="2490"/>
              <w:spacing w:after="0"/>
              <w:rPr>
                <w:sz w:val="20"/>
                <w:szCs w:val="20"/>
                <w:color w:val="auto"/>
              </w:rPr>
            </w:pPr>
            <w:r>
              <w:rPr>
                <w:rFonts w:ascii="Arial" w:cs="Arial" w:eastAsia="Arial" w:hAnsi="Arial"/>
                <w:sz w:val="18"/>
                <w:szCs w:val="18"/>
                <w:color w:val="auto"/>
              </w:rPr>
              <w:t>08/18/99</w:t>
            </w:r>
          </w:p>
        </w:tc>
      </w:tr>
      <w:tr>
        <w:trPr>
          <w:trHeight w:val="269"/>
        </w:trPr>
        <w:tc>
          <w:tcPr>
            <w:tcW w:w="1960" w:type="dxa"/>
            <w:vAlign w:val="bottom"/>
          </w:tcPr>
          <w:p>
            <w:pPr>
              <w:ind w:left="1500"/>
              <w:spacing w:after="0"/>
              <w:rPr>
                <w:sz w:val="20"/>
                <w:szCs w:val="20"/>
                <w:color w:val="auto"/>
              </w:rPr>
            </w:pPr>
            <w:r>
              <w:rPr>
                <w:rFonts w:ascii="Arial" w:cs="Arial" w:eastAsia="Arial" w:hAnsi="Arial"/>
                <w:sz w:val="18"/>
                <w:szCs w:val="18"/>
                <w:color w:val="auto"/>
              </w:rPr>
              <w:t>4.3</w:t>
            </w:r>
          </w:p>
        </w:tc>
        <w:tc>
          <w:tcPr>
            <w:tcW w:w="5060" w:type="dxa"/>
            <w:vAlign w:val="bottom"/>
          </w:tcPr>
          <w:p>
            <w:pPr>
              <w:ind w:left="160"/>
              <w:spacing w:after="0"/>
              <w:rPr>
                <w:sz w:val="20"/>
                <w:szCs w:val="20"/>
                <w:color w:val="auto"/>
              </w:rPr>
            </w:pPr>
            <w:r>
              <w:rPr>
                <w:rFonts w:ascii="Arial" w:cs="Arial" w:eastAsia="Arial" w:hAnsi="Arial"/>
                <w:sz w:val="18"/>
                <w:szCs w:val="18"/>
                <w:color w:val="auto"/>
                <w:w w:val="94"/>
              </w:rPr>
              <w:t>Rights Agreement, dated as of December 16, 2004, between the</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460" w:type="dxa"/>
            <w:vAlign w:val="bottom"/>
          </w:tcPr>
          <w:p>
            <w:pPr>
              <w:jc w:val="right"/>
              <w:ind w:right="2490"/>
              <w:spacing w:after="0"/>
              <w:rPr>
                <w:sz w:val="20"/>
                <w:szCs w:val="20"/>
                <w:color w:val="auto"/>
              </w:rPr>
            </w:pPr>
            <w:r>
              <w:rPr>
                <w:rFonts w:ascii="Arial" w:cs="Arial" w:eastAsia="Arial" w:hAnsi="Arial"/>
                <w:sz w:val="18"/>
                <w:szCs w:val="18"/>
                <w:color w:val="auto"/>
              </w:rPr>
              <w:t>12/17/04</w:t>
            </w:r>
          </w:p>
        </w:tc>
      </w:tr>
      <w:tr>
        <w:trPr>
          <w:trHeight w:val="230"/>
        </w:trPr>
        <w:tc>
          <w:tcPr>
            <w:tcW w:w="196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Company and Wells Fargo, N.A.</w:t>
            </w:r>
          </w:p>
        </w:tc>
        <w:tc>
          <w:tcPr>
            <w:tcW w:w="98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84"/>
        </w:trPr>
        <w:tc>
          <w:tcPr>
            <w:tcW w:w="1960" w:type="dxa"/>
            <w:vAlign w:val="bottom"/>
          </w:tcPr>
          <w:p>
            <w:pPr>
              <w:ind w:left="1500"/>
              <w:spacing w:after="0"/>
              <w:rPr>
                <w:sz w:val="20"/>
                <w:szCs w:val="20"/>
                <w:color w:val="auto"/>
              </w:rPr>
            </w:pPr>
            <w:r>
              <w:rPr>
                <w:rFonts w:ascii="Arial" w:cs="Arial" w:eastAsia="Arial" w:hAnsi="Arial"/>
                <w:sz w:val="18"/>
                <w:szCs w:val="18"/>
                <w:color w:val="auto"/>
              </w:rPr>
              <w:t>10.1</w:t>
            </w:r>
          </w:p>
        </w:tc>
        <w:tc>
          <w:tcPr>
            <w:tcW w:w="5060" w:type="dxa"/>
            <w:vAlign w:val="bottom"/>
          </w:tcPr>
          <w:p>
            <w:pPr>
              <w:ind w:left="160"/>
              <w:spacing w:after="0"/>
              <w:rPr>
                <w:sz w:val="20"/>
                <w:szCs w:val="20"/>
                <w:color w:val="auto"/>
              </w:rPr>
            </w:pPr>
            <w:r>
              <w:rPr>
                <w:rFonts w:ascii="Arial" w:cs="Arial" w:eastAsia="Arial" w:hAnsi="Arial"/>
                <w:sz w:val="18"/>
                <w:szCs w:val="18"/>
                <w:color w:val="auto"/>
              </w:rPr>
              <w:t>1997 Stock Option Plan.</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3460" w:type="dxa"/>
            <w:vAlign w:val="bottom"/>
          </w:tcPr>
          <w:p>
            <w:pPr>
              <w:jc w:val="right"/>
              <w:ind w:right="2490"/>
              <w:spacing w:after="0"/>
              <w:rPr>
                <w:sz w:val="20"/>
                <w:szCs w:val="20"/>
                <w:color w:val="auto"/>
              </w:rPr>
            </w:pPr>
            <w:r>
              <w:rPr>
                <w:rFonts w:ascii="Arial" w:cs="Arial" w:eastAsia="Arial" w:hAnsi="Arial"/>
                <w:sz w:val="18"/>
                <w:szCs w:val="18"/>
                <w:color w:val="auto"/>
              </w:rPr>
              <w:t>08/18/99</w:t>
            </w:r>
          </w:p>
        </w:tc>
      </w:tr>
      <w:tr>
        <w:trPr>
          <w:trHeight w:val="269"/>
        </w:trPr>
        <w:tc>
          <w:tcPr>
            <w:tcW w:w="1960" w:type="dxa"/>
            <w:vAlign w:val="bottom"/>
          </w:tcPr>
          <w:p>
            <w:pPr>
              <w:ind w:left="1500"/>
              <w:spacing w:after="0"/>
              <w:rPr>
                <w:sz w:val="20"/>
                <w:szCs w:val="20"/>
                <w:color w:val="auto"/>
              </w:rPr>
            </w:pPr>
            <w:r>
              <w:rPr>
                <w:rFonts w:ascii="Arial" w:cs="Arial" w:eastAsia="Arial" w:hAnsi="Arial"/>
                <w:sz w:val="18"/>
                <w:szCs w:val="18"/>
                <w:color w:val="auto"/>
              </w:rPr>
              <w:t>10.2</w:t>
            </w:r>
          </w:p>
        </w:tc>
        <w:tc>
          <w:tcPr>
            <w:tcW w:w="5060" w:type="dxa"/>
            <w:vAlign w:val="bottom"/>
          </w:tcPr>
          <w:p>
            <w:pPr>
              <w:ind w:left="160"/>
              <w:spacing w:after="0"/>
              <w:rPr>
                <w:sz w:val="20"/>
                <w:szCs w:val="20"/>
                <w:color w:val="auto"/>
              </w:rPr>
            </w:pPr>
            <w:r>
              <w:rPr>
                <w:rFonts w:ascii="Arial" w:cs="Arial" w:eastAsia="Arial" w:hAnsi="Arial"/>
                <w:sz w:val="18"/>
                <w:szCs w:val="18"/>
                <w:color w:val="auto"/>
              </w:rPr>
              <w:t>Form of Stock Option Agreement pursuant to the 1997 Stock</w:t>
            </w: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3460" w:type="dxa"/>
            <w:vAlign w:val="bottom"/>
          </w:tcPr>
          <w:p>
            <w:pPr>
              <w:jc w:val="right"/>
              <w:ind w:right="2490"/>
              <w:spacing w:after="0"/>
              <w:rPr>
                <w:sz w:val="20"/>
                <w:szCs w:val="20"/>
                <w:color w:val="auto"/>
              </w:rPr>
            </w:pPr>
            <w:r>
              <w:rPr>
                <w:rFonts w:ascii="Arial" w:cs="Arial" w:eastAsia="Arial" w:hAnsi="Arial"/>
                <w:sz w:val="18"/>
                <w:szCs w:val="18"/>
                <w:color w:val="auto"/>
              </w:rPr>
              <w:t>09/10/99</w:t>
            </w:r>
          </w:p>
        </w:tc>
      </w:tr>
      <w:tr>
        <w:trPr>
          <w:trHeight w:val="230"/>
        </w:trPr>
        <w:tc>
          <w:tcPr>
            <w:tcW w:w="196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Option Plan and related terms and conditions.</w:t>
            </w:r>
          </w:p>
        </w:tc>
        <w:tc>
          <w:tcPr>
            <w:tcW w:w="98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84"/>
        </w:trPr>
        <w:tc>
          <w:tcPr>
            <w:tcW w:w="1960" w:type="dxa"/>
            <w:vAlign w:val="bottom"/>
          </w:tcPr>
          <w:p>
            <w:pPr>
              <w:ind w:left="1500"/>
              <w:spacing w:after="0"/>
              <w:rPr>
                <w:sz w:val="20"/>
                <w:szCs w:val="20"/>
                <w:color w:val="auto"/>
              </w:rPr>
            </w:pPr>
            <w:r>
              <w:rPr>
                <w:rFonts w:ascii="Arial" w:cs="Arial" w:eastAsia="Arial" w:hAnsi="Arial"/>
                <w:sz w:val="18"/>
                <w:szCs w:val="18"/>
                <w:color w:val="auto"/>
              </w:rPr>
              <w:t>10.3</w:t>
            </w:r>
          </w:p>
        </w:tc>
        <w:tc>
          <w:tcPr>
            <w:tcW w:w="5060" w:type="dxa"/>
            <w:vAlign w:val="bottom"/>
          </w:tcPr>
          <w:p>
            <w:pPr>
              <w:ind w:left="160"/>
              <w:spacing w:after="0"/>
              <w:rPr>
                <w:sz w:val="20"/>
                <w:szCs w:val="20"/>
                <w:color w:val="auto"/>
              </w:rPr>
            </w:pPr>
            <w:r>
              <w:rPr>
                <w:rFonts w:ascii="Arial" w:cs="Arial" w:eastAsia="Arial" w:hAnsi="Arial"/>
                <w:sz w:val="18"/>
                <w:szCs w:val="18"/>
                <w:color w:val="auto"/>
              </w:rPr>
              <w:t>1999 Equity Incentive Plan.</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3460" w:type="dxa"/>
            <w:vAlign w:val="bottom"/>
          </w:tcPr>
          <w:p>
            <w:pPr>
              <w:jc w:val="right"/>
              <w:ind w:right="2490"/>
              <w:spacing w:after="0"/>
              <w:rPr>
                <w:sz w:val="20"/>
                <w:szCs w:val="20"/>
                <w:color w:val="auto"/>
              </w:rPr>
            </w:pPr>
            <w:r>
              <w:rPr>
                <w:rFonts w:ascii="Arial" w:cs="Arial" w:eastAsia="Arial" w:hAnsi="Arial"/>
                <w:sz w:val="18"/>
                <w:szCs w:val="18"/>
                <w:color w:val="auto"/>
              </w:rPr>
              <w:t>08/18/99</w:t>
            </w:r>
          </w:p>
        </w:tc>
      </w:tr>
      <w:tr>
        <w:trPr>
          <w:trHeight w:val="269"/>
        </w:trPr>
        <w:tc>
          <w:tcPr>
            <w:tcW w:w="1960" w:type="dxa"/>
            <w:vAlign w:val="bottom"/>
          </w:tcPr>
          <w:p>
            <w:pPr>
              <w:ind w:left="1500"/>
              <w:spacing w:after="0"/>
              <w:rPr>
                <w:sz w:val="20"/>
                <w:szCs w:val="20"/>
                <w:color w:val="auto"/>
              </w:rPr>
            </w:pPr>
            <w:r>
              <w:rPr>
                <w:rFonts w:ascii="Arial" w:cs="Arial" w:eastAsia="Arial" w:hAnsi="Arial"/>
                <w:sz w:val="18"/>
                <w:szCs w:val="18"/>
                <w:color w:val="auto"/>
              </w:rPr>
              <w:t>10.4</w:t>
            </w:r>
          </w:p>
        </w:tc>
        <w:tc>
          <w:tcPr>
            <w:tcW w:w="5060" w:type="dxa"/>
            <w:vAlign w:val="bottom"/>
          </w:tcPr>
          <w:p>
            <w:pPr>
              <w:ind w:left="160"/>
              <w:spacing w:after="0"/>
              <w:rPr>
                <w:sz w:val="20"/>
                <w:szCs w:val="20"/>
                <w:color w:val="auto"/>
              </w:rPr>
            </w:pPr>
            <w:r>
              <w:rPr>
                <w:rFonts w:ascii="Arial" w:cs="Arial" w:eastAsia="Arial" w:hAnsi="Arial"/>
                <w:sz w:val="18"/>
                <w:szCs w:val="18"/>
                <w:color w:val="auto"/>
                <w:w w:val="99"/>
              </w:rPr>
              <w:t>Form of Stock Option Agreement pursuant to the 1999 Equity</w:t>
            </w: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3460" w:type="dxa"/>
            <w:vAlign w:val="bottom"/>
          </w:tcPr>
          <w:p>
            <w:pPr>
              <w:jc w:val="right"/>
              <w:ind w:right="2490"/>
              <w:spacing w:after="0"/>
              <w:rPr>
                <w:sz w:val="20"/>
                <w:szCs w:val="20"/>
                <w:color w:val="auto"/>
              </w:rPr>
            </w:pPr>
            <w:r>
              <w:rPr>
                <w:rFonts w:ascii="Arial" w:cs="Arial" w:eastAsia="Arial" w:hAnsi="Arial"/>
                <w:sz w:val="18"/>
                <w:szCs w:val="18"/>
                <w:color w:val="auto"/>
              </w:rPr>
              <w:t>09/10/99</w:t>
            </w:r>
          </w:p>
        </w:tc>
      </w:tr>
      <w:tr>
        <w:trPr>
          <w:trHeight w:val="216"/>
        </w:trPr>
        <w:tc>
          <w:tcPr>
            <w:tcW w:w="196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98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1960" w:type="dxa"/>
            <w:vAlign w:val="bottom"/>
          </w:tcPr>
          <w:p>
            <w:pPr>
              <w:ind w:left="1500"/>
              <w:spacing w:after="0"/>
              <w:rPr>
                <w:sz w:val="20"/>
                <w:szCs w:val="20"/>
                <w:color w:val="auto"/>
              </w:rPr>
            </w:pPr>
            <w:r>
              <w:rPr>
                <w:rFonts w:ascii="Arial" w:cs="Arial" w:eastAsia="Arial" w:hAnsi="Arial"/>
                <w:sz w:val="18"/>
                <w:szCs w:val="18"/>
                <w:color w:val="auto"/>
              </w:rPr>
              <w:t>10.5</w:t>
            </w:r>
          </w:p>
        </w:tc>
        <w:tc>
          <w:tcPr>
            <w:tcW w:w="5060" w:type="dxa"/>
            <w:vAlign w:val="bottom"/>
          </w:tcPr>
          <w:p>
            <w:pPr>
              <w:ind w:left="160"/>
              <w:spacing w:after="0"/>
              <w:rPr>
                <w:sz w:val="20"/>
                <w:szCs w:val="20"/>
                <w:color w:val="auto"/>
              </w:rPr>
            </w:pPr>
            <w:r>
              <w:rPr>
                <w:rFonts w:ascii="Arial" w:cs="Arial" w:eastAsia="Arial" w:hAnsi="Arial"/>
                <w:sz w:val="18"/>
                <w:szCs w:val="18"/>
                <w:color w:val="auto"/>
              </w:rPr>
              <w:t>1999 Employee Stock Purchase Plan and related offering</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3460" w:type="dxa"/>
            <w:vAlign w:val="bottom"/>
          </w:tcPr>
          <w:p>
            <w:pPr>
              <w:jc w:val="right"/>
              <w:ind w:right="2490"/>
              <w:spacing w:after="0"/>
              <w:rPr>
                <w:sz w:val="20"/>
                <w:szCs w:val="20"/>
                <w:color w:val="auto"/>
              </w:rPr>
            </w:pPr>
            <w:r>
              <w:rPr>
                <w:rFonts w:ascii="Arial" w:cs="Arial" w:eastAsia="Arial" w:hAnsi="Arial"/>
                <w:sz w:val="18"/>
                <w:szCs w:val="18"/>
                <w:color w:val="auto"/>
              </w:rPr>
              <w:t>08/18/99</w:t>
            </w:r>
          </w:p>
        </w:tc>
      </w:tr>
      <w:tr>
        <w:trPr>
          <w:trHeight w:val="230"/>
        </w:trPr>
        <w:tc>
          <w:tcPr>
            <w:tcW w:w="196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documents.</w:t>
            </w:r>
          </w:p>
        </w:tc>
        <w:tc>
          <w:tcPr>
            <w:tcW w:w="98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648"/>
        </w:trPr>
        <w:tc>
          <w:tcPr>
            <w:tcW w:w="1960" w:type="dxa"/>
            <w:vAlign w:val="bottom"/>
          </w:tcPr>
          <w:p>
            <w:pPr>
              <w:spacing w:after="0"/>
              <w:rPr>
                <w:sz w:val="24"/>
                <w:szCs w:val="24"/>
                <w:color w:val="auto"/>
              </w:rPr>
            </w:pPr>
          </w:p>
        </w:tc>
        <w:tc>
          <w:tcPr>
            <w:tcW w:w="5060" w:type="dxa"/>
            <w:vAlign w:val="bottom"/>
          </w:tcPr>
          <w:p>
            <w:pPr>
              <w:ind w:left="3620"/>
              <w:spacing w:after="0"/>
              <w:rPr>
                <w:sz w:val="20"/>
                <w:szCs w:val="20"/>
                <w:color w:val="auto"/>
              </w:rPr>
            </w:pPr>
            <w:r>
              <w:rPr>
                <w:rFonts w:ascii="Arial" w:cs="Arial" w:eastAsia="Arial" w:hAnsi="Arial"/>
                <w:sz w:val="18"/>
                <w:szCs w:val="18"/>
                <w:color w:val="auto"/>
              </w:rPr>
              <w:t>119</w:t>
            </w:r>
          </w:p>
        </w:tc>
        <w:tc>
          <w:tcPr>
            <w:tcW w:w="9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75"/>
        </w:trPr>
        <w:tc>
          <w:tcPr>
            <w:tcW w:w="1960" w:type="dxa"/>
            <w:vAlign w:val="bottom"/>
            <w:tcBorders>
              <w:bottom w:val="single" w:sz="8" w:color="010101"/>
            </w:tcBorders>
          </w:tcPr>
          <w:p>
            <w:pPr>
              <w:spacing w:after="0"/>
              <w:rPr>
                <w:sz w:val="24"/>
                <w:szCs w:val="24"/>
                <w:color w:val="auto"/>
              </w:rPr>
            </w:pPr>
          </w:p>
        </w:tc>
        <w:tc>
          <w:tcPr>
            <w:tcW w:w="506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34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ind w:left="1500"/>
              <w:spacing w:after="0"/>
              <w:rPr>
                <w:sz w:val="20"/>
                <w:szCs w:val="20"/>
                <w:color w:val="auto"/>
              </w:rPr>
            </w:pPr>
            <w:r>
              <w:rPr>
                <w:rFonts w:ascii="Arial" w:cs="Arial" w:eastAsia="Arial" w:hAnsi="Arial"/>
                <w:sz w:val="18"/>
                <w:szCs w:val="18"/>
                <w:color w:val="auto"/>
              </w:rPr>
              <w:t>10.6</w:t>
            </w:r>
          </w:p>
        </w:tc>
        <w:tc>
          <w:tcPr>
            <w:tcW w:w="5160" w:type="dxa"/>
            <w:vAlign w:val="bottom"/>
          </w:tcPr>
          <w:p>
            <w:pPr>
              <w:ind w:left="100"/>
              <w:spacing w:after="0"/>
              <w:rPr>
                <w:sz w:val="20"/>
                <w:szCs w:val="20"/>
                <w:color w:val="auto"/>
              </w:rPr>
            </w:pPr>
            <w:r>
              <w:rPr>
                <w:rFonts w:ascii="Arial" w:cs="Arial" w:eastAsia="Arial" w:hAnsi="Arial"/>
                <w:sz w:val="18"/>
                <w:szCs w:val="18"/>
                <w:color w:val="auto"/>
                <w:w w:val="97"/>
              </w:rPr>
              <w:t>Form of Indemnity Agreement by and between the Company and</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08/18/99</w:t>
            </w:r>
          </w:p>
        </w:tc>
      </w:tr>
      <w:tr>
        <w:trPr>
          <w:trHeight w:val="230"/>
        </w:trPr>
        <w:tc>
          <w:tcPr>
            <w:tcW w:w="20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certain officers and directors of the Company.</w:t>
            </w: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84"/>
        </w:trPr>
        <w:tc>
          <w:tcPr>
            <w:tcW w:w="2020" w:type="dxa"/>
            <w:vAlign w:val="bottom"/>
          </w:tcPr>
          <w:p>
            <w:pPr>
              <w:ind w:left="1500"/>
              <w:spacing w:after="0"/>
              <w:rPr>
                <w:sz w:val="20"/>
                <w:szCs w:val="20"/>
                <w:color w:val="auto"/>
              </w:rPr>
            </w:pPr>
            <w:r>
              <w:rPr>
                <w:rFonts w:ascii="Arial" w:cs="Arial" w:eastAsia="Arial" w:hAnsi="Arial"/>
                <w:sz w:val="18"/>
                <w:szCs w:val="18"/>
                <w:color w:val="auto"/>
              </w:rPr>
              <w:t>10.7</w:t>
            </w:r>
          </w:p>
        </w:tc>
        <w:tc>
          <w:tcPr>
            <w:tcW w:w="5160" w:type="dxa"/>
            <w:vAlign w:val="bottom"/>
          </w:tcPr>
          <w:p>
            <w:pPr>
              <w:ind w:left="100"/>
              <w:spacing w:after="0"/>
              <w:rPr>
                <w:sz w:val="20"/>
                <w:szCs w:val="20"/>
                <w:color w:val="auto"/>
              </w:rPr>
            </w:pPr>
            <w:r>
              <w:rPr>
                <w:rFonts w:ascii="Arial" w:cs="Arial" w:eastAsia="Arial" w:hAnsi="Arial"/>
                <w:sz w:val="18"/>
                <w:szCs w:val="18"/>
                <w:color w:val="auto"/>
              </w:rPr>
              <w:t>2000 Nonstatutory Stock Option Plan.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09/30/00</w:t>
            </w:r>
          </w:p>
        </w:tc>
      </w:tr>
      <w:tr>
        <w:trPr>
          <w:trHeight w:val="269"/>
        </w:trPr>
        <w:tc>
          <w:tcPr>
            <w:tcW w:w="2020" w:type="dxa"/>
            <w:vAlign w:val="bottom"/>
          </w:tcPr>
          <w:p>
            <w:pPr>
              <w:ind w:left="1500"/>
              <w:spacing w:after="0"/>
              <w:rPr>
                <w:sz w:val="20"/>
                <w:szCs w:val="20"/>
                <w:color w:val="auto"/>
              </w:rPr>
            </w:pPr>
            <w:r>
              <w:rPr>
                <w:rFonts w:ascii="Arial" w:cs="Arial" w:eastAsia="Arial" w:hAnsi="Arial"/>
                <w:sz w:val="18"/>
                <w:szCs w:val="18"/>
                <w:color w:val="auto"/>
              </w:rPr>
              <w:t>10.8</w:t>
            </w:r>
          </w:p>
        </w:tc>
        <w:tc>
          <w:tcPr>
            <w:tcW w:w="5160" w:type="dxa"/>
            <w:vAlign w:val="bottom"/>
          </w:tcPr>
          <w:p>
            <w:pPr>
              <w:ind w:left="100"/>
              <w:spacing w:after="0"/>
              <w:rPr>
                <w:sz w:val="20"/>
                <w:szCs w:val="20"/>
                <w:color w:val="auto"/>
              </w:rPr>
            </w:pPr>
            <w:r>
              <w:rPr>
                <w:rFonts w:ascii="Arial" w:cs="Arial" w:eastAsia="Arial" w:hAnsi="Arial"/>
                <w:sz w:val="18"/>
                <w:szCs w:val="18"/>
                <w:color w:val="auto"/>
              </w:rPr>
              <w:t>Form of Stock Option Agreement and Grant Notice used in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09/30/00</w:t>
            </w:r>
          </w:p>
        </w:tc>
      </w:tr>
      <w:tr>
        <w:trPr>
          <w:trHeight w:val="230"/>
        </w:trPr>
        <w:tc>
          <w:tcPr>
            <w:tcW w:w="20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connection with the 2000 Nonstatutory Stock Option Plan.</w:t>
            </w: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69"/>
        </w:trPr>
        <w:tc>
          <w:tcPr>
            <w:tcW w:w="2020" w:type="dxa"/>
            <w:vAlign w:val="bottom"/>
          </w:tcPr>
          <w:p>
            <w:pPr>
              <w:ind w:left="1500"/>
              <w:spacing w:after="0"/>
              <w:rPr>
                <w:sz w:val="20"/>
                <w:szCs w:val="20"/>
                <w:color w:val="auto"/>
              </w:rPr>
            </w:pPr>
            <w:r>
              <w:rPr>
                <w:rFonts w:ascii="Arial" w:cs="Arial" w:eastAsia="Arial" w:hAnsi="Arial"/>
                <w:sz w:val="18"/>
                <w:szCs w:val="18"/>
                <w:color w:val="auto"/>
              </w:rPr>
              <w:t>10.9</w:t>
            </w:r>
          </w:p>
        </w:tc>
        <w:tc>
          <w:tcPr>
            <w:tcW w:w="5160" w:type="dxa"/>
            <w:vAlign w:val="bottom"/>
          </w:tcPr>
          <w:p>
            <w:pPr>
              <w:ind w:left="100"/>
              <w:spacing w:after="0"/>
              <w:rPr>
                <w:sz w:val="20"/>
                <w:szCs w:val="20"/>
                <w:color w:val="auto"/>
              </w:rPr>
            </w:pPr>
            <w:r>
              <w:rPr>
                <w:rFonts w:ascii="Arial" w:cs="Arial" w:eastAsia="Arial" w:hAnsi="Arial"/>
                <w:sz w:val="18"/>
                <w:szCs w:val="18"/>
                <w:color w:val="auto"/>
                <w:w w:val="96"/>
              </w:rPr>
              <w:t>Executive Employment Agreement by and between the Company</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12/26/03</w:t>
            </w:r>
          </w:p>
        </w:tc>
      </w:tr>
      <w:tr>
        <w:trPr>
          <w:trHeight w:val="230"/>
        </w:trPr>
        <w:tc>
          <w:tcPr>
            <w:tcW w:w="20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and Eric DeMarco effective November 14, 2003.</w:t>
            </w: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69"/>
        </w:trPr>
        <w:tc>
          <w:tcPr>
            <w:tcW w:w="2020" w:type="dxa"/>
            <w:vAlign w:val="bottom"/>
          </w:tcPr>
          <w:p>
            <w:pPr>
              <w:ind w:left="1500"/>
              <w:spacing w:after="0"/>
              <w:rPr>
                <w:sz w:val="20"/>
                <w:szCs w:val="20"/>
                <w:color w:val="auto"/>
              </w:rPr>
            </w:pPr>
            <w:r>
              <w:rPr>
                <w:rFonts w:ascii="Arial" w:cs="Arial" w:eastAsia="Arial" w:hAnsi="Arial"/>
                <w:sz w:val="18"/>
                <w:szCs w:val="18"/>
                <w:color w:val="auto"/>
              </w:rPr>
              <w:t>10.10</w:t>
            </w:r>
          </w:p>
        </w:tc>
        <w:tc>
          <w:tcPr>
            <w:tcW w:w="5160" w:type="dxa"/>
            <w:vAlign w:val="bottom"/>
          </w:tcPr>
          <w:p>
            <w:pPr>
              <w:ind w:left="100"/>
              <w:spacing w:after="0"/>
              <w:rPr>
                <w:sz w:val="20"/>
                <w:szCs w:val="20"/>
                <w:color w:val="auto"/>
              </w:rPr>
            </w:pPr>
            <w:r>
              <w:rPr>
                <w:rFonts w:ascii="Arial" w:cs="Arial" w:eastAsia="Arial" w:hAnsi="Arial"/>
                <w:sz w:val="18"/>
                <w:szCs w:val="18"/>
                <w:color w:val="auto"/>
              </w:rPr>
              <w:t>Amended and Restated Severance and Change of Control</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12/31/05</w:t>
            </w:r>
          </w:p>
        </w:tc>
      </w:tr>
      <w:tr>
        <w:trPr>
          <w:trHeight w:val="216"/>
        </w:trPr>
        <w:tc>
          <w:tcPr>
            <w:tcW w:w="20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Agreement dated March 28, 2006 between the Company and</w:t>
            </w:r>
          </w:p>
        </w:tc>
        <w:tc>
          <w:tcPr>
            <w:tcW w:w="80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30"/>
        </w:trPr>
        <w:tc>
          <w:tcPr>
            <w:tcW w:w="20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Deanna Lund.</w:t>
            </w: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69"/>
        </w:trPr>
        <w:tc>
          <w:tcPr>
            <w:tcW w:w="2020" w:type="dxa"/>
            <w:vAlign w:val="bottom"/>
          </w:tcPr>
          <w:p>
            <w:pPr>
              <w:ind w:left="1500"/>
              <w:spacing w:after="0"/>
              <w:rPr>
                <w:sz w:val="20"/>
                <w:szCs w:val="20"/>
                <w:color w:val="auto"/>
              </w:rPr>
            </w:pPr>
            <w:r>
              <w:rPr>
                <w:rFonts w:ascii="Arial" w:cs="Arial" w:eastAsia="Arial" w:hAnsi="Arial"/>
                <w:sz w:val="18"/>
                <w:szCs w:val="18"/>
                <w:color w:val="auto"/>
              </w:rPr>
              <w:t>10.11</w:t>
            </w:r>
          </w:p>
        </w:tc>
        <w:tc>
          <w:tcPr>
            <w:tcW w:w="5160" w:type="dxa"/>
            <w:vAlign w:val="bottom"/>
          </w:tcPr>
          <w:p>
            <w:pPr>
              <w:ind w:left="100"/>
              <w:spacing w:after="0"/>
              <w:rPr>
                <w:sz w:val="20"/>
                <w:szCs w:val="20"/>
                <w:color w:val="auto"/>
              </w:rPr>
            </w:pPr>
            <w:r>
              <w:rPr>
                <w:rFonts w:ascii="Arial" w:cs="Arial" w:eastAsia="Arial" w:hAnsi="Arial"/>
                <w:sz w:val="18"/>
                <w:szCs w:val="18"/>
                <w:color w:val="auto"/>
              </w:rPr>
              <w:t>Amended and Restated Severance and Change of Control</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12/31/05</w:t>
            </w:r>
          </w:p>
        </w:tc>
      </w:tr>
      <w:tr>
        <w:trPr>
          <w:trHeight w:val="216"/>
        </w:trPr>
        <w:tc>
          <w:tcPr>
            <w:tcW w:w="20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w w:val="92"/>
              </w:rPr>
              <w:t>Agreement dated March 28, 2006 between the Company and James</w:t>
            </w:r>
          </w:p>
        </w:tc>
        <w:tc>
          <w:tcPr>
            <w:tcW w:w="80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30"/>
        </w:trPr>
        <w:tc>
          <w:tcPr>
            <w:tcW w:w="20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Edwards.</w:t>
            </w: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84"/>
        </w:trPr>
        <w:tc>
          <w:tcPr>
            <w:tcW w:w="2020" w:type="dxa"/>
            <w:vAlign w:val="bottom"/>
          </w:tcPr>
          <w:p>
            <w:pPr>
              <w:ind w:left="1500"/>
              <w:spacing w:after="0"/>
              <w:rPr>
                <w:sz w:val="20"/>
                <w:szCs w:val="20"/>
                <w:color w:val="auto"/>
              </w:rPr>
            </w:pPr>
            <w:r>
              <w:rPr>
                <w:rFonts w:ascii="Arial" w:cs="Arial" w:eastAsia="Arial" w:hAnsi="Arial"/>
                <w:sz w:val="18"/>
                <w:szCs w:val="18"/>
                <w:color w:val="auto"/>
              </w:rPr>
              <w:t>10.12</w:t>
            </w:r>
          </w:p>
        </w:tc>
        <w:tc>
          <w:tcPr>
            <w:tcW w:w="5160" w:type="dxa"/>
            <w:vAlign w:val="bottom"/>
          </w:tcPr>
          <w:p>
            <w:pPr>
              <w:ind w:left="100"/>
              <w:spacing w:after="0"/>
              <w:rPr>
                <w:sz w:val="20"/>
                <w:szCs w:val="20"/>
                <w:color w:val="auto"/>
              </w:rPr>
            </w:pPr>
            <w:r>
              <w:rPr>
                <w:rFonts w:ascii="Arial" w:cs="Arial" w:eastAsia="Arial" w:hAnsi="Arial"/>
                <w:sz w:val="18"/>
                <w:szCs w:val="18"/>
                <w:color w:val="auto"/>
              </w:rPr>
              <w:t>Nonqualified Deferred Compensation Plan.</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12/31/05</w:t>
            </w:r>
          </w:p>
        </w:tc>
      </w:tr>
      <w:tr>
        <w:trPr>
          <w:trHeight w:val="284"/>
        </w:trPr>
        <w:tc>
          <w:tcPr>
            <w:tcW w:w="2020" w:type="dxa"/>
            <w:vAlign w:val="bottom"/>
          </w:tcPr>
          <w:p>
            <w:pPr>
              <w:ind w:left="1500"/>
              <w:spacing w:after="0"/>
              <w:rPr>
                <w:sz w:val="20"/>
                <w:szCs w:val="20"/>
                <w:color w:val="auto"/>
              </w:rPr>
            </w:pPr>
            <w:r>
              <w:rPr>
                <w:rFonts w:ascii="Arial" w:cs="Arial" w:eastAsia="Arial" w:hAnsi="Arial"/>
                <w:sz w:val="18"/>
                <w:szCs w:val="18"/>
                <w:color w:val="auto"/>
              </w:rPr>
              <w:t>10.13</w:t>
            </w:r>
          </w:p>
        </w:tc>
        <w:tc>
          <w:tcPr>
            <w:tcW w:w="5160" w:type="dxa"/>
            <w:vAlign w:val="bottom"/>
          </w:tcPr>
          <w:p>
            <w:pPr>
              <w:ind w:left="100"/>
              <w:spacing w:after="0"/>
              <w:rPr>
                <w:sz w:val="20"/>
                <w:szCs w:val="20"/>
                <w:color w:val="auto"/>
              </w:rPr>
            </w:pPr>
            <w:r>
              <w:rPr>
                <w:rFonts w:ascii="Arial" w:cs="Arial" w:eastAsia="Arial" w:hAnsi="Arial"/>
                <w:sz w:val="18"/>
                <w:szCs w:val="18"/>
                <w:color w:val="auto"/>
              </w:rPr>
              <w:t>2005 Equity Incentive Plan.</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08/01/05</w:t>
            </w:r>
          </w:p>
        </w:tc>
      </w:tr>
      <w:tr>
        <w:trPr>
          <w:trHeight w:val="269"/>
        </w:trPr>
        <w:tc>
          <w:tcPr>
            <w:tcW w:w="2020" w:type="dxa"/>
            <w:vAlign w:val="bottom"/>
          </w:tcPr>
          <w:p>
            <w:pPr>
              <w:ind w:left="1500"/>
              <w:spacing w:after="0"/>
              <w:rPr>
                <w:sz w:val="20"/>
                <w:szCs w:val="20"/>
                <w:color w:val="auto"/>
              </w:rPr>
            </w:pPr>
            <w:r>
              <w:rPr>
                <w:rFonts w:ascii="Arial" w:cs="Arial" w:eastAsia="Arial" w:hAnsi="Arial"/>
                <w:sz w:val="18"/>
                <w:szCs w:val="18"/>
                <w:color w:val="auto"/>
              </w:rPr>
              <w:t>10.14</w:t>
            </w:r>
          </w:p>
        </w:tc>
        <w:tc>
          <w:tcPr>
            <w:tcW w:w="5160" w:type="dxa"/>
            <w:vAlign w:val="bottom"/>
          </w:tcPr>
          <w:p>
            <w:pPr>
              <w:ind w:left="100"/>
              <w:spacing w:after="0"/>
              <w:rPr>
                <w:sz w:val="20"/>
                <w:szCs w:val="20"/>
                <w:color w:val="auto"/>
              </w:rPr>
            </w:pPr>
            <w:r>
              <w:rPr>
                <w:rFonts w:ascii="Arial" w:cs="Arial" w:eastAsia="Arial" w:hAnsi="Arial"/>
                <w:sz w:val="18"/>
                <w:szCs w:val="18"/>
                <w:color w:val="auto"/>
              </w:rPr>
              <w:t>Form of Stock Option Agreement pursuant to the 2005 Equity</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08/01/05</w:t>
            </w:r>
          </w:p>
        </w:tc>
      </w:tr>
      <w:tr>
        <w:trPr>
          <w:trHeight w:val="230"/>
        </w:trPr>
        <w:tc>
          <w:tcPr>
            <w:tcW w:w="20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Incentive Plan.</w:t>
            </w: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69"/>
        </w:trPr>
        <w:tc>
          <w:tcPr>
            <w:tcW w:w="2020" w:type="dxa"/>
            <w:vAlign w:val="bottom"/>
          </w:tcPr>
          <w:p>
            <w:pPr>
              <w:ind w:left="1500"/>
              <w:spacing w:after="0"/>
              <w:rPr>
                <w:sz w:val="20"/>
                <w:szCs w:val="20"/>
                <w:color w:val="auto"/>
              </w:rPr>
            </w:pPr>
            <w:r>
              <w:rPr>
                <w:rFonts w:ascii="Arial" w:cs="Arial" w:eastAsia="Arial" w:hAnsi="Arial"/>
                <w:sz w:val="18"/>
                <w:szCs w:val="18"/>
                <w:color w:val="auto"/>
              </w:rPr>
              <w:t>10.15</w:t>
            </w:r>
          </w:p>
        </w:tc>
        <w:tc>
          <w:tcPr>
            <w:tcW w:w="5160" w:type="dxa"/>
            <w:vAlign w:val="bottom"/>
          </w:tcPr>
          <w:p>
            <w:pPr>
              <w:ind w:left="100"/>
              <w:spacing w:after="0"/>
              <w:rPr>
                <w:sz w:val="20"/>
                <w:szCs w:val="20"/>
                <w:color w:val="auto"/>
              </w:rPr>
            </w:pPr>
            <w:r>
              <w:rPr>
                <w:rFonts w:ascii="Arial" w:cs="Arial" w:eastAsia="Arial" w:hAnsi="Arial"/>
                <w:sz w:val="18"/>
                <w:szCs w:val="18"/>
                <w:color w:val="auto"/>
                <w:w w:val="96"/>
              </w:rPr>
              <w:t>Credit Agreement, dated as of March 16, 2005, by and among the</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12/31/05</w:t>
            </w:r>
          </w:p>
        </w:tc>
      </w:tr>
      <w:tr>
        <w:trPr>
          <w:trHeight w:val="216"/>
        </w:trPr>
        <w:tc>
          <w:tcPr>
            <w:tcW w:w="20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Company, Keybank National Association and Keybank Capital</w:t>
            </w:r>
          </w:p>
        </w:tc>
        <w:tc>
          <w:tcPr>
            <w:tcW w:w="80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30"/>
        </w:trPr>
        <w:tc>
          <w:tcPr>
            <w:tcW w:w="20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Markets.</w:t>
            </w: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69"/>
        </w:trPr>
        <w:tc>
          <w:tcPr>
            <w:tcW w:w="2020" w:type="dxa"/>
            <w:vAlign w:val="bottom"/>
          </w:tcPr>
          <w:p>
            <w:pPr>
              <w:ind w:left="1500"/>
              <w:spacing w:after="0"/>
              <w:rPr>
                <w:sz w:val="20"/>
                <w:szCs w:val="20"/>
                <w:color w:val="auto"/>
              </w:rPr>
            </w:pPr>
            <w:r>
              <w:rPr>
                <w:rFonts w:ascii="Arial" w:cs="Arial" w:eastAsia="Arial" w:hAnsi="Arial"/>
                <w:sz w:val="18"/>
                <w:szCs w:val="18"/>
                <w:color w:val="auto"/>
              </w:rPr>
              <w:t>10.16</w:t>
            </w:r>
          </w:p>
        </w:tc>
        <w:tc>
          <w:tcPr>
            <w:tcW w:w="5160" w:type="dxa"/>
            <w:vAlign w:val="bottom"/>
          </w:tcPr>
          <w:p>
            <w:pPr>
              <w:ind w:left="100"/>
              <w:spacing w:after="0"/>
              <w:rPr>
                <w:sz w:val="20"/>
                <w:szCs w:val="20"/>
                <w:color w:val="auto"/>
              </w:rPr>
            </w:pPr>
            <w:r>
              <w:rPr>
                <w:rFonts w:ascii="Arial" w:cs="Arial" w:eastAsia="Arial" w:hAnsi="Arial"/>
                <w:sz w:val="18"/>
                <w:szCs w:val="18"/>
                <w:color w:val="auto"/>
              </w:rPr>
              <w:t>Credit Agreement, dated October 2, 2006, by and among the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08/14/06</w:t>
            </w:r>
          </w:p>
        </w:tc>
      </w:tr>
      <w:tr>
        <w:trPr>
          <w:trHeight w:val="216"/>
        </w:trPr>
        <w:tc>
          <w:tcPr>
            <w:tcW w:w="20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Company, KeyBank National Association and Keybanc Capital</w:t>
            </w:r>
          </w:p>
        </w:tc>
        <w:tc>
          <w:tcPr>
            <w:tcW w:w="80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w w:val="97"/>
              </w:rPr>
              <w:t>Markets as lead arranger and sole book runner, dated October 2,</w:t>
            </w:r>
          </w:p>
        </w:tc>
        <w:tc>
          <w:tcPr>
            <w:tcW w:w="80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30"/>
        </w:trPr>
        <w:tc>
          <w:tcPr>
            <w:tcW w:w="20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2006.</w:t>
            </w: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69"/>
        </w:trPr>
        <w:tc>
          <w:tcPr>
            <w:tcW w:w="2020" w:type="dxa"/>
            <w:vAlign w:val="bottom"/>
          </w:tcPr>
          <w:p>
            <w:pPr>
              <w:ind w:left="1500"/>
              <w:spacing w:after="0"/>
              <w:rPr>
                <w:sz w:val="20"/>
                <w:szCs w:val="20"/>
                <w:color w:val="auto"/>
              </w:rPr>
            </w:pPr>
            <w:r>
              <w:rPr>
                <w:rFonts w:ascii="Arial" w:cs="Arial" w:eastAsia="Arial" w:hAnsi="Arial"/>
                <w:sz w:val="18"/>
                <w:szCs w:val="18"/>
                <w:color w:val="auto"/>
              </w:rPr>
              <w:t>10.17</w:t>
            </w:r>
          </w:p>
        </w:tc>
        <w:tc>
          <w:tcPr>
            <w:tcW w:w="5160" w:type="dxa"/>
            <w:vAlign w:val="bottom"/>
          </w:tcPr>
          <w:p>
            <w:pPr>
              <w:ind w:left="100"/>
              <w:spacing w:after="0"/>
              <w:rPr>
                <w:sz w:val="20"/>
                <w:szCs w:val="20"/>
                <w:color w:val="auto"/>
              </w:rPr>
            </w:pPr>
            <w:r>
              <w:rPr>
                <w:rFonts w:ascii="Arial" w:cs="Arial" w:eastAsia="Arial" w:hAnsi="Arial"/>
                <w:sz w:val="18"/>
                <w:szCs w:val="18"/>
                <w:color w:val="auto"/>
                <w:w w:val="96"/>
              </w:rPr>
              <w:t>Note Sale Agreement, dated July 3, 2007, by and between SPCP</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07/10/07</w:t>
            </w:r>
          </w:p>
        </w:tc>
      </w:tr>
      <w:tr>
        <w:trPr>
          <w:trHeight w:val="230"/>
        </w:trPr>
        <w:tc>
          <w:tcPr>
            <w:tcW w:w="20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Group, LLC and the Company.</w:t>
            </w: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69"/>
        </w:trPr>
        <w:tc>
          <w:tcPr>
            <w:tcW w:w="2020" w:type="dxa"/>
            <w:vAlign w:val="bottom"/>
          </w:tcPr>
          <w:p>
            <w:pPr>
              <w:ind w:left="1500"/>
              <w:spacing w:after="0"/>
              <w:rPr>
                <w:sz w:val="20"/>
                <w:szCs w:val="20"/>
                <w:color w:val="auto"/>
              </w:rPr>
            </w:pPr>
            <w:r>
              <w:rPr>
                <w:rFonts w:ascii="Arial" w:cs="Arial" w:eastAsia="Arial" w:hAnsi="Arial"/>
                <w:sz w:val="18"/>
                <w:szCs w:val="18"/>
                <w:color w:val="auto"/>
              </w:rPr>
              <w:t>10.18</w:t>
            </w:r>
          </w:p>
        </w:tc>
        <w:tc>
          <w:tcPr>
            <w:tcW w:w="5160" w:type="dxa"/>
            <w:vAlign w:val="bottom"/>
          </w:tcPr>
          <w:p>
            <w:pPr>
              <w:ind w:left="100"/>
              <w:spacing w:after="0"/>
              <w:rPr>
                <w:sz w:val="20"/>
                <w:szCs w:val="20"/>
                <w:color w:val="auto"/>
              </w:rPr>
            </w:pPr>
            <w:r>
              <w:rPr>
                <w:rFonts w:ascii="Arial" w:cs="Arial" w:eastAsia="Arial" w:hAnsi="Arial"/>
                <w:sz w:val="18"/>
                <w:szCs w:val="18"/>
                <w:color w:val="auto"/>
              </w:rPr>
              <w:t>Assignment Agreement, dated July 3, 2007, by and among the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07/10/07</w:t>
            </w:r>
          </w:p>
        </w:tc>
      </w:tr>
      <w:tr>
        <w:trPr>
          <w:trHeight w:val="216"/>
        </w:trPr>
        <w:tc>
          <w:tcPr>
            <w:tcW w:w="20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w w:val="97"/>
              </w:rPr>
              <w:t>Company, SPCP Group LLC, LCC International, Inc. and Bank of</w:t>
            </w:r>
          </w:p>
        </w:tc>
        <w:tc>
          <w:tcPr>
            <w:tcW w:w="80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30"/>
        </w:trPr>
        <w:tc>
          <w:tcPr>
            <w:tcW w:w="20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America, N.A.</w:t>
            </w: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69"/>
        </w:trPr>
        <w:tc>
          <w:tcPr>
            <w:tcW w:w="2020" w:type="dxa"/>
            <w:vAlign w:val="bottom"/>
          </w:tcPr>
          <w:p>
            <w:pPr>
              <w:ind w:left="1500"/>
              <w:spacing w:after="0"/>
              <w:rPr>
                <w:sz w:val="20"/>
                <w:szCs w:val="20"/>
                <w:color w:val="auto"/>
              </w:rPr>
            </w:pPr>
            <w:r>
              <w:rPr>
                <w:rFonts w:ascii="Arial" w:cs="Arial" w:eastAsia="Arial" w:hAnsi="Arial"/>
                <w:sz w:val="18"/>
                <w:szCs w:val="18"/>
                <w:color w:val="auto"/>
              </w:rPr>
              <w:t>10.19</w:t>
            </w:r>
          </w:p>
        </w:tc>
        <w:tc>
          <w:tcPr>
            <w:tcW w:w="5160" w:type="dxa"/>
            <w:vAlign w:val="bottom"/>
          </w:tcPr>
          <w:p>
            <w:pPr>
              <w:ind w:left="100"/>
              <w:spacing w:after="0"/>
              <w:rPr>
                <w:sz w:val="20"/>
                <w:szCs w:val="20"/>
                <w:color w:val="auto"/>
              </w:rPr>
            </w:pPr>
            <w:r>
              <w:rPr>
                <w:rFonts w:ascii="Arial" w:cs="Arial" w:eastAsia="Arial" w:hAnsi="Arial"/>
                <w:sz w:val="18"/>
                <w:szCs w:val="18"/>
                <w:color w:val="auto"/>
                <w:w w:val="99"/>
              </w:rPr>
              <w:t>Form of Restricted Stock Unit Agreement and Form of Notice of</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01/17/07</w:t>
            </w:r>
          </w:p>
        </w:tc>
      </w:tr>
      <w:tr>
        <w:trPr>
          <w:trHeight w:val="230"/>
        </w:trPr>
        <w:tc>
          <w:tcPr>
            <w:tcW w:w="20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Grant under the Company’s 2005 Equity Incentive Plan.</w:t>
            </w: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69"/>
        </w:trPr>
        <w:tc>
          <w:tcPr>
            <w:tcW w:w="2020" w:type="dxa"/>
            <w:vAlign w:val="bottom"/>
          </w:tcPr>
          <w:p>
            <w:pPr>
              <w:ind w:left="1500"/>
              <w:spacing w:after="0"/>
              <w:rPr>
                <w:sz w:val="20"/>
                <w:szCs w:val="20"/>
                <w:color w:val="auto"/>
              </w:rPr>
            </w:pPr>
            <w:r>
              <w:rPr>
                <w:rFonts w:ascii="Arial" w:cs="Arial" w:eastAsia="Arial" w:hAnsi="Arial"/>
                <w:sz w:val="18"/>
                <w:szCs w:val="18"/>
                <w:color w:val="auto"/>
              </w:rPr>
              <w:t>10.20</w:t>
            </w:r>
          </w:p>
        </w:tc>
        <w:tc>
          <w:tcPr>
            <w:tcW w:w="5160" w:type="dxa"/>
            <w:vAlign w:val="bottom"/>
          </w:tcPr>
          <w:p>
            <w:pPr>
              <w:ind w:left="100"/>
              <w:spacing w:after="0"/>
              <w:rPr>
                <w:sz w:val="20"/>
                <w:szCs w:val="20"/>
                <w:color w:val="auto"/>
              </w:rPr>
            </w:pPr>
            <w:r>
              <w:rPr>
                <w:rFonts w:ascii="Arial" w:cs="Arial" w:eastAsia="Arial" w:hAnsi="Arial"/>
                <w:sz w:val="18"/>
                <w:szCs w:val="18"/>
                <w:color w:val="auto"/>
                <w:w w:val="95"/>
              </w:rPr>
              <w:t>Severance and Change of Control Agreement dated as of July 12,</w:t>
            </w:r>
          </w:p>
        </w:tc>
        <w:tc>
          <w:tcPr>
            <w:tcW w:w="800" w:type="dxa"/>
            <w:vAlign w:val="bottom"/>
          </w:tcPr>
          <w:p>
            <w:pPr>
              <w:spacing w:after="0"/>
              <w:rPr>
                <w:sz w:val="23"/>
                <w:szCs w:val="23"/>
                <w:color w:val="auto"/>
              </w:rPr>
            </w:pPr>
          </w:p>
        </w:tc>
        <w:tc>
          <w:tcPr>
            <w:tcW w:w="3480" w:type="dxa"/>
            <w:vAlign w:val="bottom"/>
          </w:tcPr>
          <w:p>
            <w:pPr>
              <w:jc w:val="right"/>
              <w:ind w:right="1750"/>
              <w:spacing w:after="0"/>
              <w:rPr>
                <w:sz w:val="20"/>
                <w:szCs w:val="20"/>
                <w:color w:val="auto"/>
              </w:rPr>
            </w:pPr>
            <w:r>
              <w:rPr>
                <w:rFonts w:ascii="Arial" w:cs="Arial" w:eastAsia="Arial" w:hAnsi="Arial"/>
                <w:sz w:val="18"/>
                <w:szCs w:val="18"/>
                <w:color w:val="auto"/>
              </w:rPr>
              <w:t>*</w:t>
            </w:r>
          </w:p>
        </w:tc>
      </w:tr>
      <w:tr>
        <w:trPr>
          <w:trHeight w:val="230"/>
        </w:trPr>
        <w:tc>
          <w:tcPr>
            <w:tcW w:w="20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2007 between the Company and Laura L. Siegal.</w:t>
            </w: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84"/>
        </w:trPr>
        <w:tc>
          <w:tcPr>
            <w:tcW w:w="2020" w:type="dxa"/>
            <w:vAlign w:val="bottom"/>
          </w:tcPr>
          <w:p>
            <w:pPr>
              <w:ind w:left="1500"/>
              <w:spacing w:after="0"/>
              <w:rPr>
                <w:sz w:val="20"/>
                <w:szCs w:val="20"/>
                <w:color w:val="auto"/>
              </w:rPr>
            </w:pPr>
            <w:r>
              <w:rPr>
                <w:rFonts w:ascii="Arial" w:cs="Arial" w:eastAsia="Arial" w:hAnsi="Arial"/>
                <w:sz w:val="18"/>
                <w:szCs w:val="18"/>
                <w:color w:val="auto"/>
              </w:rPr>
              <w:t>21.1</w:t>
            </w:r>
          </w:p>
        </w:tc>
        <w:tc>
          <w:tcPr>
            <w:tcW w:w="5160" w:type="dxa"/>
            <w:vAlign w:val="bottom"/>
          </w:tcPr>
          <w:p>
            <w:pPr>
              <w:ind w:left="100"/>
              <w:spacing w:after="0"/>
              <w:rPr>
                <w:sz w:val="20"/>
                <w:szCs w:val="20"/>
                <w:color w:val="auto"/>
              </w:rPr>
            </w:pPr>
            <w:r>
              <w:rPr>
                <w:rFonts w:ascii="Arial" w:cs="Arial" w:eastAsia="Arial" w:hAnsi="Arial"/>
                <w:sz w:val="18"/>
                <w:szCs w:val="18"/>
                <w:color w:val="auto"/>
              </w:rPr>
              <w:t>List of Subsidiaries</w:t>
            </w:r>
          </w:p>
        </w:tc>
        <w:tc>
          <w:tcPr>
            <w:tcW w:w="800" w:type="dxa"/>
            <w:vAlign w:val="bottom"/>
          </w:tcPr>
          <w:p>
            <w:pPr>
              <w:spacing w:after="0"/>
              <w:rPr>
                <w:sz w:val="24"/>
                <w:szCs w:val="24"/>
                <w:color w:val="auto"/>
              </w:rPr>
            </w:pPr>
          </w:p>
        </w:tc>
        <w:tc>
          <w:tcPr>
            <w:tcW w:w="3480" w:type="dxa"/>
            <w:vAlign w:val="bottom"/>
          </w:tcPr>
          <w:p>
            <w:pPr>
              <w:jc w:val="right"/>
              <w:ind w:right="1750"/>
              <w:spacing w:after="0"/>
              <w:rPr>
                <w:sz w:val="20"/>
                <w:szCs w:val="20"/>
                <w:color w:val="auto"/>
              </w:rPr>
            </w:pPr>
            <w:r>
              <w:rPr>
                <w:rFonts w:ascii="Arial" w:cs="Arial" w:eastAsia="Arial" w:hAnsi="Arial"/>
                <w:sz w:val="18"/>
                <w:szCs w:val="18"/>
                <w:color w:val="auto"/>
              </w:rPr>
              <w:t>*</w:t>
            </w:r>
          </w:p>
        </w:tc>
      </w:tr>
      <w:tr>
        <w:trPr>
          <w:trHeight w:val="284"/>
        </w:trPr>
        <w:tc>
          <w:tcPr>
            <w:tcW w:w="2020" w:type="dxa"/>
            <w:vAlign w:val="bottom"/>
          </w:tcPr>
          <w:p>
            <w:pPr>
              <w:ind w:left="1500"/>
              <w:spacing w:after="0"/>
              <w:rPr>
                <w:sz w:val="20"/>
                <w:szCs w:val="20"/>
                <w:color w:val="auto"/>
              </w:rPr>
            </w:pPr>
            <w:r>
              <w:rPr>
                <w:rFonts w:ascii="Arial" w:cs="Arial" w:eastAsia="Arial" w:hAnsi="Arial"/>
                <w:sz w:val="18"/>
                <w:szCs w:val="18"/>
                <w:color w:val="auto"/>
              </w:rPr>
              <w:t>23.1</w:t>
            </w:r>
          </w:p>
        </w:tc>
        <w:tc>
          <w:tcPr>
            <w:tcW w:w="5160" w:type="dxa"/>
            <w:vAlign w:val="bottom"/>
          </w:tcPr>
          <w:p>
            <w:pPr>
              <w:ind w:left="100"/>
              <w:spacing w:after="0"/>
              <w:rPr>
                <w:sz w:val="20"/>
                <w:szCs w:val="20"/>
                <w:color w:val="auto"/>
              </w:rPr>
            </w:pPr>
            <w:r>
              <w:rPr>
                <w:rFonts w:ascii="Arial" w:cs="Arial" w:eastAsia="Arial" w:hAnsi="Arial"/>
                <w:sz w:val="18"/>
                <w:szCs w:val="18"/>
                <w:color w:val="auto"/>
              </w:rPr>
              <w:t>Consent of Independent Registered Public Accounting Firm.</w:t>
            </w:r>
          </w:p>
        </w:tc>
        <w:tc>
          <w:tcPr>
            <w:tcW w:w="800" w:type="dxa"/>
            <w:vAlign w:val="bottom"/>
          </w:tcPr>
          <w:p>
            <w:pPr>
              <w:spacing w:after="0"/>
              <w:rPr>
                <w:sz w:val="24"/>
                <w:szCs w:val="24"/>
                <w:color w:val="auto"/>
              </w:rPr>
            </w:pPr>
          </w:p>
        </w:tc>
        <w:tc>
          <w:tcPr>
            <w:tcW w:w="3480" w:type="dxa"/>
            <w:vAlign w:val="bottom"/>
          </w:tcPr>
          <w:p>
            <w:pPr>
              <w:jc w:val="right"/>
              <w:ind w:right="1750"/>
              <w:spacing w:after="0"/>
              <w:rPr>
                <w:sz w:val="20"/>
                <w:szCs w:val="20"/>
                <w:color w:val="auto"/>
              </w:rPr>
            </w:pPr>
            <w:r>
              <w:rPr>
                <w:rFonts w:ascii="Arial" w:cs="Arial" w:eastAsia="Arial" w:hAnsi="Arial"/>
                <w:sz w:val="18"/>
                <w:szCs w:val="18"/>
                <w:color w:val="auto"/>
              </w:rPr>
              <w:t>*</w:t>
            </w:r>
          </w:p>
        </w:tc>
      </w:tr>
      <w:tr>
        <w:trPr>
          <w:trHeight w:val="284"/>
        </w:trPr>
        <w:tc>
          <w:tcPr>
            <w:tcW w:w="2020" w:type="dxa"/>
            <w:vAlign w:val="bottom"/>
          </w:tcPr>
          <w:p>
            <w:pPr>
              <w:ind w:left="1500"/>
              <w:spacing w:after="0"/>
              <w:rPr>
                <w:sz w:val="20"/>
                <w:szCs w:val="20"/>
                <w:color w:val="auto"/>
              </w:rPr>
            </w:pPr>
            <w:r>
              <w:rPr>
                <w:rFonts w:ascii="Arial" w:cs="Arial" w:eastAsia="Arial" w:hAnsi="Arial"/>
                <w:sz w:val="18"/>
                <w:szCs w:val="18"/>
                <w:color w:val="auto"/>
              </w:rPr>
              <w:t>23.2</w:t>
            </w:r>
          </w:p>
        </w:tc>
        <w:tc>
          <w:tcPr>
            <w:tcW w:w="5160" w:type="dxa"/>
            <w:vAlign w:val="bottom"/>
          </w:tcPr>
          <w:p>
            <w:pPr>
              <w:ind w:left="100"/>
              <w:spacing w:after="0"/>
              <w:rPr>
                <w:sz w:val="20"/>
                <w:szCs w:val="20"/>
                <w:color w:val="auto"/>
              </w:rPr>
            </w:pPr>
            <w:r>
              <w:rPr>
                <w:rFonts w:ascii="Arial" w:cs="Arial" w:eastAsia="Arial" w:hAnsi="Arial"/>
                <w:sz w:val="18"/>
                <w:szCs w:val="18"/>
                <w:color w:val="auto"/>
              </w:rPr>
              <w:t>Consent of Independent Registered Public Accounting Firm.</w:t>
            </w:r>
          </w:p>
        </w:tc>
        <w:tc>
          <w:tcPr>
            <w:tcW w:w="800" w:type="dxa"/>
            <w:vAlign w:val="bottom"/>
          </w:tcPr>
          <w:p>
            <w:pPr>
              <w:spacing w:after="0"/>
              <w:rPr>
                <w:sz w:val="24"/>
                <w:szCs w:val="24"/>
                <w:color w:val="auto"/>
              </w:rPr>
            </w:pPr>
          </w:p>
        </w:tc>
        <w:tc>
          <w:tcPr>
            <w:tcW w:w="3480" w:type="dxa"/>
            <w:vAlign w:val="bottom"/>
          </w:tcPr>
          <w:p>
            <w:pPr>
              <w:jc w:val="right"/>
              <w:ind w:right="1750"/>
              <w:spacing w:after="0"/>
              <w:rPr>
                <w:sz w:val="20"/>
                <w:szCs w:val="20"/>
                <w:color w:val="auto"/>
              </w:rPr>
            </w:pPr>
            <w:r>
              <w:rPr>
                <w:rFonts w:ascii="Arial" w:cs="Arial" w:eastAsia="Arial" w:hAnsi="Arial"/>
                <w:sz w:val="18"/>
                <w:szCs w:val="18"/>
                <w:color w:val="auto"/>
              </w:rPr>
              <w:t>*</w:t>
            </w:r>
          </w:p>
        </w:tc>
      </w:tr>
      <w:tr>
        <w:trPr>
          <w:trHeight w:val="269"/>
        </w:trPr>
        <w:tc>
          <w:tcPr>
            <w:tcW w:w="2020" w:type="dxa"/>
            <w:vAlign w:val="bottom"/>
          </w:tcPr>
          <w:p>
            <w:pPr>
              <w:ind w:left="1500"/>
              <w:spacing w:after="0"/>
              <w:rPr>
                <w:sz w:val="20"/>
                <w:szCs w:val="20"/>
                <w:color w:val="auto"/>
              </w:rPr>
            </w:pPr>
            <w:r>
              <w:rPr>
                <w:rFonts w:ascii="Arial" w:cs="Arial" w:eastAsia="Arial" w:hAnsi="Arial"/>
                <w:sz w:val="18"/>
                <w:szCs w:val="18"/>
                <w:color w:val="auto"/>
              </w:rPr>
              <w:t>31.1</w:t>
            </w:r>
          </w:p>
        </w:tc>
        <w:tc>
          <w:tcPr>
            <w:tcW w:w="516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Eric M. DeMarco,</w:t>
            </w:r>
          </w:p>
        </w:tc>
        <w:tc>
          <w:tcPr>
            <w:tcW w:w="800" w:type="dxa"/>
            <w:vAlign w:val="bottom"/>
          </w:tcPr>
          <w:p>
            <w:pPr>
              <w:spacing w:after="0"/>
              <w:rPr>
                <w:sz w:val="23"/>
                <w:szCs w:val="23"/>
                <w:color w:val="auto"/>
              </w:rPr>
            </w:pPr>
          </w:p>
        </w:tc>
        <w:tc>
          <w:tcPr>
            <w:tcW w:w="3480" w:type="dxa"/>
            <w:vAlign w:val="bottom"/>
          </w:tcPr>
          <w:p>
            <w:pPr>
              <w:jc w:val="right"/>
              <w:ind w:right="1750"/>
              <w:spacing w:after="0"/>
              <w:rPr>
                <w:sz w:val="20"/>
                <w:szCs w:val="20"/>
                <w:color w:val="auto"/>
              </w:rPr>
            </w:pPr>
            <w:r>
              <w:rPr>
                <w:rFonts w:ascii="Arial" w:cs="Arial" w:eastAsia="Arial" w:hAnsi="Arial"/>
                <w:sz w:val="18"/>
                <w:szCs w:val="18"/>
                <w:color w:val="auto"/>
              </w:rPr>
              <w:t>*</w:t>
            </w:r>
          </w:p>
        </w:tc>
      </w:tr>
      <w:tr>
        <w:trPr>
          <w:trHeight w:val="230"/>
        </w:trPr>
        <w:tc>
          <w:tcPr>
            <w:tcW w:w="20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pursuant to Section 302 of the Sarbanes Oxley Act of 2002.</w:t>
            </w: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648"/>
        </w:trPr>
        <w:tc>
          <w:tcPr>
            <w:tcW w:w="2020" w:type="dxa"/>
            <w:vAlign w:val="bottom"/>
          </w:tcPr>
          <w:p>
            <w:pPr>
              <w:spacing w:after="0"/>
              <w:rPr>
                <w:sz w:val="24"/>
                <w:szCs w:val="24"/>
                <w:color w:val="auto"/>
              </w:rPr>
            </w:pPr>
          </w:p>
        </w:tc>
        <w:tc>
          <w:tcPr>
            <w:tcW w:w="5160" w:type="dxa"/>
            <w:vAlign w:val="bottom"/>
          </w:tcPr>
          <w:p>
            <w:pPr>
              <w:ind w:left="3560"/>
              <w:spacing w:after="0"/>
              <w:rPr>
                <w:sz w:val="20"/>
                <w:szCs w:val="20"/>
                <w:color w:val="auto"/>
              </w:rPr>
            </w:pPr>
            <w:r>
              <w:rPr>
                <w:rFonts w:ascii="Arial" w:cs="Arial" w:eastAsia="Arial" w:hAnsi="Arial"/>
                <w:sz w:val="18"/>
                <w:szCs w:val="18"/>
                <w:color w:val="auto"/>
              </w:rPr>
              <w:t>120</w:t>
            </w:r>
          </w:p>
        </w:tc>
        <w:tc>
          <w:tcPr>
            <w:tcW w:w="8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75"/>
        </w:trPr>
        <w:tc>
          <w:tcPr>
            <w:tcW w:w="2020" w:type="dxa"/>
            <w:vAlign w:val="bottom"/>
            <w:tcBorders>
              <w:bottom w:val="single" w:sz="8" w:color="010101"/>
            </w:tcBorders>
          </w:tcPr>
          <w:p>
            <w:pPr>
              <w:spacing w:after="0"/>
              <w:rPr>
                <w:sz w:val="24"/>
                <w:szCs w:val="24"/>
                <w:color w:val="auto"/>
              </w:rPr>
            </w:pPr>
          </w:p>
        </w:tc>
        <w:tc>
          <w:tcPr>
            <w:tcW w:w="516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34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50"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460" w:type="dxa"/>
            <w:vAlign w:val="bottom"/>
          </w:tcPr>
          <w:p>
            <w:pPr>
              <w:jc w:val="right"/>
              <w:ind w:right="70"/>
              <w:spacing w:after="0"/>
              <w:rPr>
                <w:sz w:val="20"/>
                <w:szCs w:val="20"/>
                <w:color w:val="auto"/>
              </w:rPr>
            </w:pPr>
            <w:r>
              <w:rPr>
                <w:rFonts w:ascii="Arial" w:cs="Arial" w:eastAsia="Arial" w:hAnsi="Arial"/>
                <w:sz w:val="18"/>
                <w:szCs w:val="18"/>
                <w:color w:val="auto"/>
                <w:w w:val="79"/>
              </w:rPr>
              <w:t>31.2</w:t>
            </w:r>
          </w:p>
        </w:tc>
        <w:tc>
          <w:tcPr>
            <w:tcW w:w="6260" w:type="dxa"/>
            <w:vAlign w:val="bottom"/>
          </w:tcPr>
          <w:p>
            <w:pPr>
              <w:ind w:left="160"/>
              <w:spacing w:after="0"/>
              <w:rPr>
                <w:sz w:val="20"/>
                <w:szCs w:val="20"/>
                <w:color w:val="auto"/>
              </w:rPr>
            </w:pPr>
            <w:r>
              <w:rPr>
                <w:rFonts w:ascii="Arial" w:cs="Arial" w:eastAsia="Arial" w:hAnsi="Arial"/>
                <w:sz w:val="18"/>
                <w:szCs w:val="18"/>
                <w:color w:val="auto"/>
              </w:rPr>
              <w:t>Certification of Chief Financial Officer, Deanna Lund, pursuant to</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Section 302 of the Sarbanes Oxley Act of 2002.</w:t>
            </w:r>
          </w:p>
        </w:tc>
        <w:tc>
          <w:tcPr>
            <w:tcW w:w="1400" w:type="dxa"/>
            <w:vAlign w:val="bottom"/>
          </w:tcPr>
          <w:p>
            <w:pPr>
              <w:spacing w:after="0"/>
              <w:rPr>
                <w:sz w:val="20"/>
                <w:szCs w:val="20"/>
                <w:color w:val="auto"/>
              </w:rPr>
            </w:pPr>
          </w:p>
        </w:tc>
      </w:tr>
    </w:tbl>
    <w:p>
      <w:pPr>
        <w:sectPr>
          <w:pgSz w:w="11900" w:h="16838" w:orient="portrait"/>
          <w:cols w:equalWidth="0" w:num="1">
            <w:col w:w="11460"/>
          </w:cols>
          <w:pgMar w:left="240" w:top="125" w:right="199" w:bottom="0" w:gutter="0" w:footer="0" w:header="0"/>
          <w:type w:val="continuous"/>
        </w:sectPr>
      </w:pPr>
    </w:p>
    <w:bookmarkStart w:id="68" w:name="page69"/>
    <w:bookmarkEnd w:id="68"/>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460" w:type="dxa"/>
            <w:vAlign w:val="bottom"/>
          </w:tcPr>
          <w:p>
            <w:pPr>
              <w:jc w:val="right"/>
              <w:ind w:right="70"/>
              <w:spacing w:after="0"/>
              <w:rPr>
                <w:sz w:val="20"/>
                <w:szCs w:val="20"/>
                <w:color w:val="auto"/>
              </w:rPr>
            </w:pPr>
            <w:r>
              <w:rPr>
                <w:rFonts w:ascii="Arial" w:cs="Arial" w:eastAsia="Arial" w:hAnsi="Arial"/>
                <w:sz w:val="18"/>
                <w:szCs w:val="18"/>
                <w:color w:val="auto"/>
                <w:w w:val="79"/>
              </w:rPr>
              <w:t>32.1</w:t>
            </w:r>
          </w:p>
        </w:tc>
        <w:tc>
          <w:tcPr>
            <w:tcW w:w="6300" w:type="dxa"/>
            <w:vAlign w:val="bottom"/>
          </w:tcPr>
          <w:p>
            <w:pPr>
              <w:ind w:left="160"/>
              <w:spacing w:after="0"/>
              <w:rPr>
                <w:sz w:val="20"/>
                <w:szCs w:val="20"/>
                <w:color w:val="auto"/>
              </w:rPr>
            </w:pPr>
            <w:r>
              <w:rPr>
                <w:rFonts w:ascii="Arial" w:cs="Arial" w:eastAsia="Arial" w:hAnsi="Arial"/>
                <w:sz w:val="18"/>
                <w:szCs w:val="18"/>
                <w:color w:val="auto"/>
              </w:rPr>
              <w:t>Certification pursuant to 18 U.S.C. Section 1350, as adopted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pursuant to Section 906 of the Sarbanes-Oxley Act of 2002 for Eric</w:t>
            </w:r>
          </w:p>
        </w:tc>
        <w:tc>
          <w:tcPr>
            <w:tcW w:w="136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M. DeMarco.</w:t>
            </w:r>
          </w:p>
        </w:tc>
        <w:tc>
          <w:tcPr>
            <w:tcW w:w="1360" w:type="dxa"/>
            <w:vAlign w:val="bottom"/>
          </w:tcPr>
          <w:p>
            <w:pPr>
              <w:spacing w:after="0"/>
              <w:rPr>
                <w:sz w:val="20"/>
                <w:szCs w:val="20"/>
                <w:color w:val="auto"/>
              </w:rPr>
            </w:pPr>
          </w:p>
        </w:tc>
      </w:tr>
      <w:tr>
        <w:trPr>
          <w:trHeight w:val="269"/>
        </w:trPr>
        <w:tc>
          <w:tcPr>
            <w:tcW w:w="460" w:type="dxa"/>
            <w:vAlign w:val="bottom"/>
          </w:tcPr>
          <w:p>
            <w:pPr>
              <w:jc w:val="right"/>
              <w:ind w:right="70"/>
              <w:spacing w:after="0"/>
              <w:rPr>
                <w:sz w:val="20"/>
                <w:szCs w:val="20"/>
                <w:color w:val="auto"/>
              </w:rPr>
            </w:pPr>
            <w:r>
              <w:rPr>
                <w:rFonts w:ascii="Arial" w:cs="Arial" w:eastAsia="Arial" w:hAnsi="Arial"/>
                <w:sz w:val="18"/>
                <w:szCs w:val="18"/>
                <w:color w:val="auto"/>
                <w:w w:val="79"/>
              </w:rPr>
              <w:t>32.2</w:t>
            </w:r>
          </w:p>
        </w:tc>
        <w:tc>
          <w:tcPr>
            <w:tcW w:w="6300" w:type="dxa"/>
            <w:vAlign w:val="bottom"/>
          </w:tcPr>
          <w:p>
            <w:pPr>
              <w:ind w:left="160"/>
              <w:spacing w:after="0"/>
              <w:rPr>
                <w:sz w:val="20"/>
                <w:szCs w:val="20"/>
                <w:color w:val="auto"/>
              </w:rPr>
            </w:pPr>
            <w:r>
              <w:rPr>
                <w:rFonts w:ascii="Arial" w:cs="Arial" w:eastAsia="Arial" w:hAnsi="Arial"/>
                <w:sz w:val="18"/>
                <w:szCs w:val="18"/>
                <w:color w:val="auto"/>
              </w:rPr>
              <w:t>Certification pursuant to 18 U.S.C. Section 1350, as adopted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pursuant to Section 906 of the Sarbanes-Oxley Act of 2002 for</w:t>
            </w:r>
          </w:p>
        </w:tc>
        <w:tc>
          <w:tcPr>
            <w:tcW w:w="136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Deanna Lund.</w:t>
            </w:r>
          </w:p>
        </w:tc>
        <w:tc>
          <w:tcPr>
            <w:tcW w:w="1360" w:type="dxa"/>
            <w:vAlign w:val="bottom"/>
          </w:tcPr>
          <w:p>
            <w:pPr>
              <w:spacing w:after="0"/>
              <w:rPr>
                <w:sz w:val="20"/>
                <w:szCs w:val="20"/>
                <w:color w:val="auto"/>
              </w:rPr>
            </w:pPr>
          </w:p>
        </w:tc>
      </w:tr>
      <w:tr>
        <w:trPr>
          <w:trHeight w:val="702"/>
        </w:trPr>
        <w:tc>
          <w:tcPr>
            <w:tcW w:w="460" w:type="dxa"/>
            <w:vAlign w:val="bottom"/>
          </w:tcPr>
          <w:p>
            <w:pPr>
              <w:spacing w:after="0"/>
              <w:rPr>
                <w:sz w:val="24"/>
                <w:szCs w:val="24"/>
                <w:color w:val="auto"/>
              </w:rPr>
            </w:pPr>
          </w:p>
        </w:tc>
        <w:tc>
          <w:tcPr>
            <w:tcW w:w="6300" w:type="dxa"/>
            <w:vAlign w:val="bottom"/>
          </w:tcPr>
          <w:p>
            <w:pPr>
              <w:ind w:left="3620"/>
              <w:spacing w:after="0"/>
              <w:rPr>
                <w:sz w:val="20"/>
                <w:szCs w:val="20"/>
                <w:color w:val="auto"/>
              </w:rPr>
            </w:pPr>
            <w:r>
              <w:rPr>
                <w:rFonts w:ascii="Arial" w:cs="Arial" w:eastAsia="Arial" w:hAnsi="Arial"/>
                <w:sz w:val="18"/>
                <w:szCs w:val="18"/>
                <w:color w:val="auto"/>
              </w:rPr>
              <w:t>121</w:t>
            </w:r>
          </w:p>
        </w:tc>
        <w:tc>
          <w:tcPr>
            <w:tcW w:w="1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September 11, 2007</w:t>
      </w:r>
    </w:p>
    <w:p>
      <w:pPr>
        <w:spacing w:after="0" w:line="11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WIRELESS FACILITIES, INC.</w:t>
      </w:r>
    </w:p>
    <w:p>
      <w:pPr>
        <w:spacing w:after="0" w:line="200" w:lineRule="exact"/>
        <w:rPr>
          <w:sz w:val="20"/>
          <w:szCs w:val="20"/>
          <w:color w:val="auto"/>
        </w:rPr>
      </w:pPr>
    </w:p>
    <w:p>
      <w:pPr>
        <w:spacing w:after="0" w:line="241" w:lineRule="exact"/>
        <w:rPr>
          <w:sz w:val="20"/>
          <w:szCs w:val="20"/>
          <w:color w:val="auto"/>
        </w:rPr>
      </w:pPr>
    </w:p>
    <w:p>
      <w:pPr>
        <w:ind w:left="570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DEMARCO</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2555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65"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60" w:type="dxa"/>
            <w:vAlign w:val="bottom"/>
          </w:tcPr>
          <w:p>
            <w:pPr>
              <w:spacing w:after="0"/>
              <w:rPr>
                <w:sz w:val="14"/>
                <w:szCs w:val="14"/>
                <w:color w:val="auto"/>
              </w:rPr>
            </w:pPr>
          </w:p>
        </w:tc>
      </w:tr>
      <w:tr>
        <w:trPr>
          <w:trHeight w:val="412"/>
        </w:trPr>
        <w:tc>
          <w:tcPr>
            <w:tcW w:w="2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6"/>
              </w:rPr>
              <w:t>/s/ ERIC M. DEMARCO</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President and Chief Executive Officer</w:t>
            </w:r>
          </w:p>
        </w:tc>
        <w:tc>
          <w:tcPr>
            <w:tcW w:w="188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11, 2007</w:t>
            </w:r>
          </w:p>
        </w:tc>
      </w:tr>
      <w:tr>
        <w:trPr>
          <w:trHeight w:val="224"/>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5"/>
              </w:rPr>
              <w:t>Eric M. DeMarco</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8"/>
        </w:trPr>
        <w:tc>
          <w:tcPr>
            <w:tcW w:w="2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8"/>
              </w:rPr>
              <w:t>/s/ DEANNA H. LUND</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Senior Vice President, Chief Financial Officer</w:t>
            </w:r>
          </w:p>
        </w:tc>
        <w:tc>
          <w:tcPr>
            <w:tcW w:w="188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11, 2007</w:t>
            </w:r>
          </w:p>
        </w:tc>
      </w:tr>
      <w:tr>
        <w:trPr>
          <w:trHeight w:val="224"/>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1"/>
              </w:rPr>
              <w:t>Deanna H. Lund</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8"/>
        </w:trPr>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LAURA L. SIEGAL</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VP, Corporate Controller and Principal Accounting</w:t>
            </w:r>
          </w:p>
        </w:tc>
        <w:tc>
          <w:tcPr>
            <w:tcW w:w="188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11, 2007</w:t>
            </w:r>
          </w:p>
        </w:tc>
      </w:tr>
      <w:tr>
        <w:trPr>
          <w:trHeight w:val="224"/>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2"/>
              </w:rPr>
              <w:t>Laura L. Siegal</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Officer</w:t>
            </w: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8"/>
        </w:trPr>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SCOTT ANDERSON</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11, 2007</w:t>
            </w:r>
          </w:p>
        </w:tc>
      </w:tr>
      <w:tr>
        <w:trPr>
          <w:trHeight w:val="224"/>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0"/>
              </w:rPr>
              <w:t>Scott Anderson</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8"/>
        </w:trPr>
        <w:tc>
          <w:tcPr>
            <w:tcW w:w="2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8"/>
              </w:rPr>
              <w:t>/S/ BANDEL CARANO</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11, 2007</w:t>
            </w:r>
          </w:p>
        </w:tc>
      </w:tr>
      <w:tr>
        <w:trPr>
          <w:trHeight w:val="224"/>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89"/>
              </w:rPr>
              <w:t>Bandel Carano</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8"/>
        </w:trPr>
        <w:tc>
          <w:tcPr>
            <w:tcW w:w="2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SCOT JARVIS</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11, 2007</w:t>
            </w:r>
          </w:p>
        </w:tc>
      </w:tr>
      <w:tr>
        <w:trPr>
          <w:trHeight w:val="224"/>
        </w:trPr>
        <w:tc>
          <w:tcPr>
            <w:tcW w:w="208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Scot Jarvis</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8"/>
        </w:trPr>
        <w:tc>
          <w:tcPr>
            <w:tcW w:w="2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/S/ WILLIAM HOGLUND</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11, 2007</w:t>
            </w:r>
          </w:p>
        </w:tc>
      </w:tr>
      <w:tr>
        <w:trPr>
          <w:trHeight w:val="224"/>
        </w:trPr>
        <w:tc>
          <w:tcPr>
            <w:tcW w:w="2080" w:type="dxa"/>
            <w:vAlign w:val="bottom"/>
            <w:gridSpan w:val="3"/>
          </w:tcPr>
          <w:p>
            <w:pPr>
              <w:jc w:val="center"/>
              <w:ind w:right="20"/>
              <w:spacing w:after="0"/>
              <w:rPr>
                <w:sz w:val="20"/>
                <w:szCs w:val="20"/>
                <w:color w:val="auto"/>
              </w:rPr>
            </w:pPr>
            <w:r>
              <w:rPr>
                <w:rFonts w:ascii="Arial" w:cs="Arial" w:eastAsia="Arial" w:hAnsi="Arial"/>
                <w:sz w:val="18"/>
                <w:szCs w:val="18"/>
                <w:color w:val="auto"/>
                <w:w w:val="96"/>
              </w:rPr>
              <w:t>William Hoglund</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688"/>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20" w:type="dxa"/>
            <w:vAlign w:val="bottom"/>
            <w:gridSpan w:val="3"/>
          </w:tcPr>
          <w:p>
            <w:pPr>
              <w:ind w:left="3500"/>
              <w:spacing w:after="0"/>
              <w:rPr>
                <w:sz w:val="20"/>
                <w:szCs w:val="20"/>
                <w:color w:val="auto"/>
              </w:rPr>
            </w:pPr>
            <w:r>
              <w:rPr>
                <w:rFonts w:ascii="Arial" w:cs="Arial" w:eastAsia="Arial" w:hAnsi="Arial"/>
                <w:sz w:val="18"/>
                <w:szCs w:val="18"/>
                <w:color w:val="auto"/>
              </w:rPr>
              <w:t>122</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10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have audited the accompanying consolidated balance sheets of Wireless Facilities, Inc. and subsidiaries (the Company) as of December 31, 2006 and 2005, and the related consolidated statements of operations, stockholders’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7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Wireless Facilities, Inc. and subsidiaries as of December 31, 2006 and 2005, and the results of their consolidated operations and their cash flows for the years then ended in conformity with accounting principles generally accepted in the United States of America.</w:t>
      </w:r>
    </w:p>
    <w:p>
      <w:pPr>
        <w:sectPr>
          <w:pgSz w:w="11900" w:h="16838" w:orient="portrait"/>
          <w:cols w:equalWidth="0" w:num="1">
            <w:col w:w="11380"/>
          </w:cols>
          <w:pgMar w:left="240" w:top="125" w:right="279" w:bottom="2" w:gutter="0" w:footer="0" w:header="0"/>
        </w:sectPr>
      </w:pPr>
    </w:p>
    <w:bookmarkStart w:id="69" w:name="page70"/>
    <w:bookmarkEnd w:id="69"/>
    <w:p>
      <w:pPr>
        <w:ind w:right="80" w:firstLine="36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adopted Statement of Financial Accounting Standards 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 on January 1, 2006.</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described in Note 2, the accompanying consolidated financial statements for the year ended December 31, 2005 have been restated.</w:t>
      </w:r>
    </w:p>
    <w:p>
      <w:pPr>
        <w:spacing w:after="0" w:line="117"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effectiveness of the Company’s internal control over financial reporting as of December 31, 2006, based on criteria established in Internal Control—Integrated Framework issued by the Committee of Sponsoring Organizations of the Treadway Commission and our report dated September 10, 2007 expressed an unqualified opinion on management’s assessment of, and an adverse opinion on the effectiveness of the Company’s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2007</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103" w:lineRule="exact"/>
        <w:rPr>
          <w:sz w:val="20"/>
          <w:szCs w:val="20"/>
          <w:color w:val="auto"/>
        </w:rPr>
      </w:pPr>
    </w:p>
    <w:p>
      <w:pPr>
        <w:jc w:val="both"/>
        <w:ind w:right="720" w:firstLine="360"/>
        <w:spacing w:after="0" w:line="286" w:lineRule="auto"/>
        <w:rPr>
          <w:sz w:val="20"/>
          <w:szCs w:val="20"/>
          <w:color w:val="auto"/>
        </w:rPr>
      </w:pPr>
      <w:r>
        <w:rPr>
          <w:rFonts w:ascii="Arial" w:cs="Arial" w:eastAsia="Arial" w:hAnsi="Arial"/>
          <w:sz w:val="17"/>
          <w:szCs w:val="17"/>
          <w:color w:val="auto"/>
        </w:rPr>
        <w:t>We have audited the accompanying consolidated statements of operations, stockholders’ equity, and cash flows of Wireless Facilities, Inc. and subsidiaries (the Company) for the year ended December 31, 2004. These consolidated financial statements are the responsibility of the Company’s management. Our responsibility is to express an opinion on these consolidated financial statements based on our audit.</w:t>
      </w:r>
    </w:p>
    <w:p>
      <w:pPr>
        <w:spacing w:after="0" w:line="5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80"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results of operations and cash flows of Wireless Facilities, Inc. and subsidiaries for the year ended December 31, 2004, in conformity with U.S. generally accepted accounting principles.</w:t>
      </w:r>
    </w:p>
    <w:p>
      <w:pPr>
        <w:spacing w:after="0" w:line="16"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As discussed in Note 2 to the consolidated financial statements, the consolidated financial statements for the year ended December 31, 2004 have been restated.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2005, except for the 2004 related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Notes 2 and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is as of September 10, 2007</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2005 and 2006</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00" w:lineRule="exact"/>
        <w:rPr>
          <w:sz w:val="20"/>
          <w:szCs w:val="20"/>
          <w:color w:val="auto"/>
        </w:rPr>
      </w:pPr>
    </w:p>
    <w:p>
      <w:pPr>
        <w:spacing w:after="0" w:line="250"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800" w:type="dxa"/>
            <w:vAlign w:val="bottom"/>
            <w:gridSpan w:val="4"/>
          </w:tcPr>
          <w:p>
            <w:pPr>
              <w:ind w:left="60"/>
              <w:spacing w:after="0" w:line="129" w:lineRule="exact"/>
              <w:rPr>
                <w:sz w:val="20"/>
                <w:szCs w:val="20"/>
                <w:color w:val="auto"/>
              </w:rPr>
            </w:pPr>
            <w:r>
              <w:rPr>
                <w:rFonts w:ascii="Arial" w:cs="Arial" w:eastAsia="Arial" w:hAnsi="Arial"/>
                <w:sz w:val="14"/>
                <w:szCs w:val="14"/>
                <w:b w:val="1"/>
                <w:bCs w:val="1"/>
                <w:color w:val="auto"/>
              </w:rPr>
              <w:t>(Restated)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120"/>
              <w:spacing w:after="0"/>
              <w:rPr>
                <w:sz w:val="20"/>
                <w:szCs w:val="20"/>
                <w:color w:val="auto"/>
              </w:rPr>
            </w:pPr>
            <w:r>
              <w:rPr>
                <w:rFonts w:ascii="Arial" w:cs="Arial" w:eastAsia="Arial" w:hAnsi="Arial"/>
                <w:sz w:val="14"/>
                <w:szCs w:val="14"/>
                <w:color w:val="auto"/>
              </w:rPr>
              <w:t>Restricted cash</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receivable, net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w:t>
            </w: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120"/>
              <w:spacing w:after="0"/>
              <w:rPr>
                <w:sz w:val="20"/>
                <w:szCs w:val="20"/>
                <w:color w:val="auto"/>
              </w:rPr>
            </w:pPr>
            <w:r>
              <w:rPr>
                <w:rFonts w:ascii="Arial" w:cs="Arial" w:eastAsia="Arial" w:hAnsi="Arial"/>
                <w:sz w:val="14"/>
                <w:szCs w:val="14"/>
                <w:color w:val="auto"/>
              </w:rPr>
              <w:t>Income taxes receivable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120"/>
              <w:spacing w:after="0"/>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assets of discontinued operations</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720" w:type="dxa"/>
            <w:vAlign w:val="bottom"/>
          </w:tcPr>
          <w:p>
            <w:pPr>
              <w:ind w:left="260"/>
              <w:spacing w:after="0" w:line="155" w:lineRule="exact"/>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176.5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140.0</w:t>
            </w:r>
          </w:p>
        </w:tc>
        <w:tc>
          <w:tcPr>
            <w:tcW w:w="1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119.9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155.4</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Other intangibles, net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Arial" w:cs="Arial" w:eastAsia="Arial" w:hAnsi="Arial"/>
                <w:sz w:val="14"/>
                <w:szCs w:val="14"/>
                <w:color w:val="auto"/>
              </w:rPr>
              <w:t>Deferred tax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Investments in unconsolidated affiliates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Non current assets of discontinued operations</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720" w:type="dxa"/>
            <w:vAlign w:val="bottom"/>
            <w:tcBorders>
              <w:bottom w:val="single" w:sz="8" w:color="CCEEFF"/>
            </w:tcBorders>
          </w:tcPr>
          <w:p>
            <w:pPr>
              <w:ind w:left="260"/>
              <w:spacing w:after="0" w:line="155" w:lineRule="exact"/>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342.0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335.9</w:t>
            </w:r>
          </w:p>
        </w:tc>
        <w:tc>
          <w:tcPr>
            <w:tcW w:w="100" w:type="dxa"/>
            <w:vAlign w:val="bottom"/>
            <w:tcBorders>
              <w:bottom w:val="single" w:sz="8" w:color="CCEEFF"/>
            </w:tcBorders>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120"/>
              <w:spacing w:after="0"/>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compensation</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4"/>
                <w:szCs w:val="14"/>
                <w:color w:val="auto"/>
              </w:rPr>
            </w:pPr>
          </w:p>
        </w:tc>
      </w:tr>
    </w:tbl>
    <w:p>
      <w:pPr>
        <w:sectPr>
          <w:pgSz w:w="11900" w:h="16838" w:orient="portrait"/>
          <w:cols w:equalWidth="0" w:num="1">
            <w:col w:w="11360"/>
          </w:cols>
          <w:pgMar w:left="240" w:top="125" w:right="299" w:bottom="0" w:gutter="0" w:footer="0" w:header="0"/>
        </w:sectPr>
      </w:pPr>
    </w:p>
    <w:bookmarkStart w:id="70" w:name="page71"/>
    <w:bookmarkEnd w:id="70"/>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80"/>
        </w:trPr>
        <w:tc>
          <w:tcPr>
            <w:tcW w:w="6620" w:type="dxa"/>
            <w:vAlign w:val="bottom"/>
          </w:tcPr>
          <w:p>
            <w:pPr>
              <w:ind w:left="140"/>
              <w:spacing w:after="0"/>
              <w:rPr>
                <w:sz w:val="20"/>
                <w:szCs w:val="20"/>
                <w:color w:val="auto"/>
              </w:rPr>
            </w:pPr>
            <w:r>
              <w:rPr>
                <w:rFonts w:ascii="Arial" w:cs="Arial" w:eastAsia="Arial" w:hAnsi="Arial"/>
                <w:sz w:val="14"/>
                <w:szCs w:val="14"/>
                <w:color w:val="auto"/>
              </w:rPr>
              <w:t>Line of credit</w:t>
            </w:r>
          </w:p>
        </w:tc>
        <w:tc>
          <w:tcPr>
            <w:tcW w:w="26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5"/>
                <w:szCs w:val="15"/>
                <w:color w:val="auto"/>
              </w:rPr>
            </w:pPr>
          </w:p>
        </w:tc>
      </w:tr>
      <w:tr>
        <w:trPr>
          <w:trHeight w:val="16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Billings in excess of costs on completed contracts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4"/>
                <w:szCs w:val="14"/>
                <w:color w:val="auto"/>
              </w:rPr>
            </w:pPr>
          </w:p>
        </w:tc>
      </w:tr>
      <w:tr>
        <w:trPr>
          <w:trHeight w:val="162"/>
        </w:trPr>
        <w:tc>
          <w:tcPr>
            <w:tcW w:w="6620" w:type="dxa"/>
            <w:vAlign w:val="bottom"/>
          </w:tcPr>
          <w:p>
            <w:pPr>
              <w:ind w:left="140"/>
              <w:spacing w:after="0"/>
              <w:rPr>
                <w:sz w:val="20"/>
                <w:szCs w:val="20"/>
                <w:color w:val="auto"/>
              </w:rPr>
            </w:pPr>
            <w:r>
              <w:rPr>
                <w:rFonts w:ascii="Arial" w:cs="Arial" w:eastAsia="Arial" w:hAnsi="Arial"/>
                <w:sz w:val="14"/>
                <w:szCs w:val="14"/>
                <w:color w:val="auto"/>
              </w:rPr>
              <w:t>Deferred tax liabilities</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4"/>
                <w:szCs w:val="14"/>
                <w:color w:val="auto"/>
              </w:rPr>
            </w:pPr>
          </w:p>
        </w:tc>
      </w:tr>
      <w:tr>
        <w:trPr>
          <w:trHeight w:val="16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contingencies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4"/>
                <w:szCs w:val="14"/>
                <w:color w:val="auto"/>
              </w:rPr>
            </w:pPr>
          </w:p>
        </w:tc>
      </w:tr>
      <w:tr>
        <w:trPr>
          <w:trHeight w:val="162"/>
        </w:trPr>
        <w:tc>
          <w:tcPr>
            <w:tcW w:w="6620" w:type="dxa"/>
            <w:vAlign w:val="bottom"/>
          </w:tcPr>
          <w:p>
            <w:pPr>
              <w:ind w:left="140"/>
              <w:spacing w:after="0"/>
              <w:rPr>
                <w:sz w:val="20"/>
                <w:szCs w:val="20"/>
                <w:color w:val="auto"/>
              </w:rPr>
            </w:pPr>
            <w:r>
              <w:rPr>
                <w:rFonts w:ascii="Arial" w:cs="Arial" w:eastAsia="Arial" w:hAnsi="Arial"/>
                <w:sz w:val="14"/>
                <w:szCs w:val="14"/>
                <w:color w:val="auto"/>
              </w:rPr>
              <w:t>Accrual for contingent acquisition consideration</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4"/>
                <w:szCs w:val="14"/>
                <w:color w:val="auto"/>
              </w:rPr>
            </w:pPr>
          </w:p>
        </w:tc>
      </w:tr>
      <w:tr>
        <w:trPr>
          <w:trHeight w:val="16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Accrual for unused office space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4"/>
                <w:szCs w:val="14"/>
                <w:color w:val="auto"/>
              </w:rPr>
            </w:pPr>
          </w:p>
        </w:tc>
      </w:tr>
      <w:tr>
        <w:trPr>
          <w:trHeight w:val="162"/>
        </w:trPr>
        <w:tc>
          <w:tcPr>
            <w:tcW w:w="6620" w:type="dxa"/>
            <w:vAlign w:val="bottom"/>
          </w:tcPr>
          <w:p>
            <w:pPr>
              <w:ind w:left="140"/>
              <w:spacing w:after="0"/>
              <w:rPr>
                <w:sz w:val="20"/>
                <w:szCs w:val="20"/>
                <w:color w:val="auto"/>
              </w:rPr>
            </w:pPr>
            <w:r>
              <w:rPr>
                <w:rFonts w:ascii="Arial" w:cs="Arial" w:eastAsia="Arial" w:hAnsi="Arial"/>
                <w:sz w:val="14"/>
                <w:szCs w:val="14"/>
                <w:color w:val="auto"/>
              </w:rPr>
              <w:t>Income taxes payable</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r>
      <w:tr>
        <w:trPr>
          <w:trHeight w:val="16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lease obligations and other short-term debt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4"/>
                <w:szCs w:val="14"/>
                <w:color w:val="auto"/>
              </w:rPr>
            </w:pPr>
          </w:p>
        </w:tc>
      </w:tr>
      <w:tr>
        <w:trPr>
          <w:trHeight w:val="162"/>
        </w:trPr>
        <w:tc>
          <w:tcPr>
            <w:tcW w:w="6620" w:type="dxa"/>
            <w:vAlign w:val="bottom"/>
          </w:tcPr>
          <w:p>
            <w:pPr>
              <w:ind w:left="140"/>
              <w:spacing w:after="0"/>
              <w:rPr>
                <w:sz w:val="20"/>
                <w:szCs w:val="20"/>
                <w:color w:val="auto"/>
              </w:rPr>
            </w:pPr>
            <w:r>
              <w:rPr>
                <w:rFonts w:ascii="Arial" w:cs="Arial" w:eastAsia="Arial" w:hAnsi="Arial"/>
                <w:sz w:val="14"/>
                <w:szCs w:val="14"/>
                <w:color w:val="auto"/>
              </w:rPr>
              <w:t>Current liabilities of discontinued operations</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41.0</w:t>
            </w:r>
          </w:p>
        </w:tc>
        <w:tc>
          <w:tcPr>
            <w:tcW w:w="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4"/>
                <w:szCs w:val="14"/>
                <w:color w:val="auto"/>
              </w:rPr>
            </w:pPr>
          </w:p>
        </w:tc>
      </w:tr>
      <w:tr>
        <w:trPr>
          <w:trHeight w:val="156"/>
        </w:trPr>
        <w:tc>
          <w:tcPr>
            <w:tcW w:w="6620" w:type="dxa"/>
            <w:vAlign w:val="bottom"/>
            <w:tcBorders>
              <w:top w:val="single" w:sz="8" w:color="CCEEFF"/>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current liabilities</w:t>
            </w:r>
          </w:p>
        </w:tc>
        <w:tc>
          <w:tcPr>
            <w:tcW w:w="2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109.1</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143.9</w:t>
            </w:r>
          </w:p>
        </w:tc>
        <w:tc>
          <w:tcPr>
            <w:tcW w:w="100" w:type="dxa"/>
            <w:vAlign w:val="bottom"/>
            <w:tcBorders>
              <w:top w:val="single" w:sz="8" w:color="CCEEFF"/>
            </w:tcBorders>
            <w:shd w:val="clear" w:color="auto" w:fill="CCEEFF"/>
          </w:tcPr>
          <w:p>
            <w:pPr>
              <w:spacing w:after="0"/>
              <w:rPr>
                <w:sz w:val="13"/>
                <w:szCs w:val="13"/>
                <w:color w:val="auto"/>
              </w:rPr>
            </w:pPr>
          </w:p>
        </w:tc>
      </w:tr>
      <w:tr>
        <w:trPr>
          <w:trHeight w:val="162"/>
        </w:trPr>
        <w:tc>
          <w:tcPr>
            <w:tcW w:w="6620" w:type="dxa"/>
            <w:vAlign w:val="bottom"/>
          </w:tcPr>
          <w:p>
            <w:pPr>
              <w:spacing w:after="0"/>
              <w:rPr>
                <w:sz w:val="20"/>
                <w:szCs w:val="20"/>
                <w:color w:val="auto"/>
              </w:rPr>
            </w:pPr>
            <w:r>
              <w:rPr>
                <w:rFonts w:ascii="Arial" w:cs="Arial" w:eastAsia="Arial" w:hAnsi="Arial"/>
                <w:sz w:val="14"/>
                <w:szCs w:val="14"/>
                <w:color w:val="auto"/>
              </w:rPr>
              <w:t>Capital lease obligations and debt, net of current portion</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4"/>
                <w:szCs w:val="14"/>
                <w:color w:val="auto"/>
              </w:rPr>
            </w:pPr>
          </w:p>
        </w:tc>
      </w:tr>
      <w:tr>
        <w:trPr>
          <w:trHeight w:val="162"/>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Accrual for unused office space, net of current portion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4"/>
                <w:szCs w:val="14"/>
                <w:color w:val="auto"/>
              </w:rPr>
            </w:pPr>
          </w:p>
        </w:tc>
      </w:tr>
      <w:tr>
        <w:trPr>
          <w:trHeight w:val="162"/>
        </w:trPr>
        <w:tc>
          <w:tcPr>
            <w:tcW w:w="6620" w:type="dxa"/>
            <w:vAlign w:val="bottom"/>
          </w:tcPr>
          <w:p>
            <w:pPr>
              <w:spacing w:after="0"/>
              <w:rPr>
                <w:sz w:val="20"/>
                <w:szCs w:val="20"/>
                <w:color w:val="auto"/>
              </w:rPr>
            </w:pPr>
            <w:r>
              <w:rPr>
                <w:rFonts w:ascii="Arial" w:cs="Arial" w:eastAsia="Arial" w:hAnsi="Arial"/>
                <w:sz w:val="14"/>
                <w:szCs w:val="14"/>
                <w:color w:val="auto"/>
              </w:rPr>
              <w:t>Other liabilities</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r>
      <w:tr>
        <w:trPr>
          <w:trHeight w:val="162"/>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Other long term liabilities of discontinued operations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4"/>
                <w:szCs w:val="14"/>
                <w:color w:val="auto"/>
              </w:rPr>
            </w:pPr>
          </w:p>
        </w:tc>
      </w:tr>
      <w:tr>
        <w:trPr>
          <w:trHeight w:val="156"/>
        </w:trPr>
        <w:tc>
          <w:tcPr>
            <w:tcW w:w="6620" w:type="dxa"/>
            <w:vAlign w:val="bottom"/>
          </w:tcPr>
          <w:p>
            <w:pPr>
              <w:ind w:left="280"/>
              <w:spacing w:after="0" w:line="155" w:lineRule="exact"/>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112.3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148.8</w:t>
            </w:r>
          </w:p>
        </w:tc>
        <w:tc>
          <w:tcPr>
            <w:tcW w:w="100" w:type="dxa"/>
            <w:vAlign w:val="bottom"/>
          </w:tcPr>
          <w:p>
            <w:pPr>
              <w:spacing w:after="0"/>
              <w:rPr>
                <w:sz w:val="13"/>
                <w:szCs w:val="13"/>
                <w:color w:val="auto"/>
              </w:rPr>
            </w:pPr>
          </w:p>
        </w:tc>
      </w:tr>
      <w:tr>
        <w:trPr>
          <w:trHeight w:val="162"/>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(Notes 1, 6, 16 and 17)</w:t>
            </w: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620" w:type="dxa"/>
            <w:vAlign w:val="bottom"/>
          </w:tcPr>
          <w:p>
            <w:pPr>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3"/>
        </w:trPr>
        <w:tc>
          <w:tcPr>
            <w:tcW w:w="662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w w:val="96"/>
              </w:rPr>
              <w:t>Preferred stock, 5,000,000 shares authorized Series B Convertible Preferred Stock, $.001 par value, 25,483</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5"/>
              </w:rPr>
              <w:t>and 10,000 shares outstanding at December 31, 2005 and 2006, respectively (liquidation preference $12.7</w:t>
            </w: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and $5.0, respectively)</w:t>
            </w:r>
          </w:p>
        </w:tc>
        <w:tc>
          <w:tcPr>
            <w:tcW w:w="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6620" w:type="dxa"/>
            <w:vAlign w:val="bottom"/>
          </w:tcPr>
          <w:p>
            <w:pPr>
              <w:ind w:left="140"/>
              <w:spacing w:after="0" w:line="143" w:lineRule="exact"/>
              <w:rPr>
                <w:sz w:val="20"/>
                <w:szCs w:val="20"/>
                <w:color w:val="auto"/>
              </w:rPr>
            </w:pPr>
            <w:r>
              <w:rPr>
                <w:rFonts w:ascii="Arial" w:cs="Arial" w:eastAsia="Arial" w:hAnsi="Arial"/>
                <w:sz w:val="14"/>
                <w:szCs w:val="14"/>
                <w:color w:val="auto"/>
              </w:rPr>
              <w:t>Common stock, $.001 par value, 195,000,000 shares authorized; 72,188,449 and 73,883,950 shares</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6620" w:type="dxa"/>
            <w:vAlign w:val="bottom"/>
          </w:tcPr>
          <w:p>
            <w:pPr>
              <w:ind w:left="280"/>
              <w:spacing w:after="0"/>
              <w:rPr>
                <w:sz w:val="20"/>
                <w:szCs w:val="20"/>
                <w:color w:val="auto"/>
              </w:rPr>
            </w:pPr>
            <w:r>
              <w:rPr>
                <w:rFonts w:ascii="Arial" w:cs="Arial" w:eastAsia="Arial" w:hAnsi="Arial"/>
                <w:sz w:val="14"/>
                <w:szCs w:val="14"/>
                <w:color w:val="auto"/>
              </w:rPr>
              <w:t>issued and outstanding at December 31, 2005 and 2006, respectively</w:t>
            </w:r>
          </w:p>
        </w:tc>
        <w:tc>
          <w:tcPr>
            <w:tcW w:w="26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379.3</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391.7</w:t>
            </w:r>
          </w:p>
        </w:tc>
        <w:tc>
          <w:tcPr>
            <w:tcW w:w="100" w:type="dxa"/>
            <w:vAlign w:val="bottom"/>
            <w:shd w:val="clear" w:color="auto" w:fill="CCEEFF"/>
          </w:tcPr>
          <w:p>
            <w:pPr>
              <w:spacing w:after="0"/>
              <w:rPr>
                <w:sz w:val="14"/>
                <w:szCs w:val="14"/>
                <w:color w:val="auto"/>
              </w:rPr>
            </w:pPr>
          </w:p>
        </w:tc>
      </w:tr>
      <w:tr>
        <w:trPr>
          <w:trHeight w:val="162"/>
        </w:trPr>
        <w:tc>
          <w:tcPr>
            <w:tcW w:w="662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(146.7)</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(204.6)</w:t>
            </w:r>
          </w:p>
        </w:tc>
      </w:tr>
      <w:tr>
        <w:trPr>
          <w:trHeight w:val="16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6620" w:type="dxa"/>
            <w:vAlign w:val="bottom"/>
            <w:tcBorders>
              <w:bottom w:val="single" w:sz="8" w:color="CCEEFF"/>
            </w:tcBorders>
          </w:tcPr>
          <w:p>
            <w:pPr>
              <w:ind w:left="280"/>
              <w:spacing w:after="0" w:line="155" w:lineRule="exact"/>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229.7</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187.1</w:t>
            </w:r>
          </w:p>
        </w:tc>
        <w:tc>
          <w:tcPr>
            <w:tcW w:w="100" w:type="dxa"/>
            <w:vAlign w:val="bottom"/>
            <w:tcBorders>
              <w:bottom w:val="single" w:sz="8" w:color="CCEEFF"/>
            </w:tcBorders>
          </w:tcPr>
          <w:p>
            <w:pPr>
              <w:spacing w:after="0"/>
              <w:rPr>
                <w:sz w:val="13"/>
                <w:szCs w:val="13"/>
                <w:color w:val="auto"/>
              </w:rPr>
            </w:pPr>
          </w:p>
        </w:tc>
      </w:tr>
      <w:tr>
        <w:trPr>
          <w:trHeight w:val="156"/>
        </w:trPr>
        <w:tc>
          <w:tcPr>
            <w:tcW w:w="6620" w:type="dxa"/>
            <w:vAlign w:val="bottom"/>
            <w:tcBorders>
              <w:bottom w:val="single" w:sz="8" w:color="CCEEFF"/>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$ 342.0</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  335.9</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20"/>
        </w:trPr>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2004, 2005 and 2006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9"/>
              </w:rPr>
              <w:t>2005</w:t>
            </w:r>
          </w:p>
        </w:tc>
        <w:tc>
          <w:tcPr>
            <w:tcW w:w="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00" w:type="dxa"/>
            <w:vAlign w:val="bottom"/>
          </w:tcPr>
          <w:p>
            <w:pPr>
              <w:spacing w:after="0"/>
              <w:rPr>
                <w:sz w:val="11"/>
                <w:szCs w:val="11"/>
                <w:color w:val="auto"/>
              </w:rPr>
            </w:pPr>
          </w:p>
        </w:tc>
        <w:tc>
          <w:tcPr>
            <w:tcW w:w="700" w:type="dxa"/>
            <w:vAlign w:val="bottom"/>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93"/>
              </w:rPr>
              <w:t>(Restated)</w:t>
            </w:r>
          </w:p>
        </w:tc>
        <w:tc>
          <w:tcPr>
            <w:tcW w:w="220" w:type="dxa"/>
            <w:vAlign w:val="bottom"/>
          </w:tcPr>
          <w:p>
            <w:pPr>
              <w:spacing w:after="0"/>
              <w:rPr>
                <w:sz w:val="11"/>
                <w:szCs w:val="11"/>
                <w:color w:val="auto"/>
              </w:rPr>
            </w:pPr>
          </w:p>
        </w:tc>
        <w:tc>
          <w:tcPr>
            <w:tcW w:w="700" w:type="dxa"/>
            <w:vAlign w:val="bottom"/>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93"/>
              </w:rPr>
              <w:t>(Restated)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261.4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Contingent acquisition consideration and restatement fees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Impairment and restructuring charges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196"/>
        </w:trPr>
        <w:tc>
          <w:tcPr>
            <w:tcW w:w="590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Foreign currency gain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Impairment of investment in unconsolidated affiliate &amp; other expenses,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Other expenses,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w:t>
            </w: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(57.9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0"/>
        </w:trPr>
        <w:tc>
          <w:tcPr>
            <w:tcW w:w="59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Basic earnings (loss) per common share: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 (0.64)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 per common share:</w:t>
            </w: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(0.79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0"/>
        </w:trPr>
        <w:tc>
          <w:tcPr>
            <w:tcW w:w="59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Diluted earnings (loss) per common share: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 (0.64)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 per common share:</w:t>
            </w: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(0.79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0"/>
        </w:trPr>
        <w:tc>
          <w:tcPr>
            <w:tcW w:w="59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Weighted average common shares outstanding:</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019"/>
          </w:cols>
          <w:pgMar w:left="1440" w:top="122" w:right="1440" w:bottom="472"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257810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2" w:right="1440" w:bottom="472"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2004, 2005 and 2006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7"/>
            <w:vMerge w:val="restart"/>
          </w:tcPr>
          <w:p>
            <w:pPr>
              <w:jc w:val="center"/>
              <w:ind w:right="180"/>
              <w:spacing w:after="0"/>
              <w:rPr>
                <w:sz w:val="20"/>
                <w:szCs w:val="20"/>
                <w:color w:val="auto"/>
              </w:rPr>
            </w:pPr>
            <w:r>
              <w:rPr>
                <w:rFonts w:ascii="Arial" w:cs="Arial" w:eastAsia="Arial" w:hAnsi="Arial"/>
                <w:sz w:val="14"/>
                <w:szCs w:val="14"/>
                <w:b w:val="1"/>
                <w:bCs w:val="1"/>
                <w:color w:val="auto"/>
                <w:w w:val="96"/>
              </w:rPr>
              <w:t>Convertible</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Retained</w:t>
            </w:r>
          </w:p>
        </w:tc>
        <w:tc>
          <w:tcPr>
            <w:tcW w:w="1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108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7"/>
            <w:vMerge w:val="restart"/>
          </w:tcPr>
          <w:p>
            <w:pPr>
              <w:jc w:val="right"/>
              <w:ind w:right="200"/>
              <w:spacing w:after="0"/>
              <w:rPr>
                <w:sz w:val="20"/>
                <w:szCs w:val="20"/>
                <w:color w:val="auto"/>
              </w:rPr>
            </w:pPr>
            <w:r>
              <w:rPr>
                <w:rFonts w:ascii="Arial" w:cs="Arial" w:eastAsia="Arial" w:hAnsi="Arial"/>
                <w:sz w:val="14"/>
                <w:szCs w:val="14"/>
                <w:b w:val="1"/>
                <w:bCs w:val="1"/>
                <w:color w:val="auto"/>
                <w:w w:val="91"/>
              </w:rPr>
              <w:t>Common Stock</w:t>
            </w:r>
          </w:p>
        </w:tc>
        <w:tc>
          <w:tcPr>
            <w:tcW w:w="800" w:type="dxa"/>
            <w:vAlign w:val="bottom"/>
            <w:gridSpan w:val="4"/>
            <w:vMerge w:val="continue"/>
          </w:tcPr>
          <w:p>
            <w:pPr>
              <w:spacing w:after="0"/>
              <w:rPr>
                <w:sz w:val="11"/>
                <w:szCs w:val="11"/>
                <w:color w:val="auto"/>
              </w:rPr>
            </w:pPr>
          </w:p>
        </w:tc>
        <w:tc>
          <w:tcPr>
            <w:tcW w:w="10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3"/>
              </w:rPr>
              <w:t>Deferred</w:t>
            </w:r>
          </w:p>
        </w:tc>
        <w:tc>
          <w:tcPr>
            <w:tcW w:w="160" w:type="dxa"/>
            <w:vAlign w:val="bottom"/>
          </w:tcPr>
          <w:p>
            <w:pPr>
              <w:spacing w:after="0"/>
              <w:rPr>
                <w:sz w:val="11"/>
                <w:szCs w:val="11"/>
                <w:color w:val="auto"/>
              </w:rPr>
            </w:pPr>
          </w:p>
        </w:tc>
        <w:tc>
          <w:tcPr>
            <w:tcW w:w="84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Earnings</w:t>
            </w:r>
          </w:p>
        </w:tc>
        <w:tc>
          <w:tcPr>
            <w:tcW w:w="280" w:type="dxa"/>
            <w:vAlign w:val="bottom"/>
          </w:tcPr>
          <w:p>
            <w:pPr>
              <w:spacing w:after="0"/>
              <w:rPr>
                <w:sz w:val="11"/>
                <w:szCs w:val="11"/>
                <w:color w:val="auto"/>
              </w:rPr>
            </w:pPr>
          </w:p>
        </w:tc>
        <w:tc>
          <w:tcPr>
            <w:tcW w:w="76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7"/>
          </w:tcPr>
          <w:p>
            <w:pPr>
              <w:jc w:val="center"/>
              <w:ind w:right="180"/>
              <w:spacing w:after="0" w:line="139" w:lineRule="exact"/>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2"/>
                <w:szCs w:val="12"/>
                <w:color w:val="auto"/>
              </w:rPr>
            </w:pPr>
          </w:p>
        </w:tc>
        <w:tc>
          <w:tcPr>
            <w:tcW w:w="116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00"/>
              <w:spacing w:after="0" w:line="139"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4"/>
            <w:vMerge w:val="continue"/>
          </w:tcPr>
          <w:p>
            <w:pPr>
              <w:spacing w:after="0"/>
              <w:rPr>
                <w:sz w:val="12"/>
                <w:szCs w:val="12"/>
                <w:color w:val="auto"/>
              </w:rPr>
            </w:pPr>
          </w:p>
        </w:tc>
        <w:tc>
          <w:tcPr>
            <w:tcW w:w="1000" w:type="dxa"/>
            <w:vAlign w:val="bottom"/>
            <w:gridSpan w:val="4"/>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(Accumulated</w:t>
            </w:r>
          </w:p>
        </w:tc>
        <w:tc>
          <w:tcPr>
            <w:tcW w:w="1040" w:type="dxa"/>
            <w:vAlign w:val="bottom"/>
            <w:gridSpan w:val="4"/>
          </w:tcPr>
          <w:p>
            <w:pPr>
              <w:jc w:val="center"/>
              <w:ind w:right="6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300" w:type="dxa"/>
            <w:vAlign w:val="bottom"/>
            <w:gridSpan w:val="4"/>
          </w:tcPr>
          <w:p>
            <w:pPr>
              <w:jc w:val="center"/>
              <w:ind w:right="420"/>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3"/>
        </w:trPr>
        <w:tc>
          <w:tcPr>
            <w:tcW w:w="3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Compensation</w:t>
            </w:r>
          </w:p>
        </w:tc>
        <w:tc>
          <w:tcPr>
            <w:tcW w:w="160" w:type="dxa"/>
            <w:vAlign w:val="bottom"/>
          </w:tcPr>
          <w:p>
            <w:pPr>
              <w:spacing w:after="0" w:line="20" w:lineRule="exact"/>
              <w:rPr>
                <w:sz w:val="1"/>
                <w:szCs w:val="1"/>
                <w:color w:val="auto"/>
              </w:rPr>
            </w:pPr>
          </w:p>
        </w:tc>
        <w:tc>
          <w:tcPr>
            <w:tcW w:w="8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280" w:type="dxa"/>
            <w:vAlign w:val="bottom"/>
          </w:tcPr>
          <w:p>
            <w:pPr>
              <w:spacing w:after="0" w:line="20" w:lineRule="exact"/>
              <w:rPr>
                <w:sz w:val="1"/>
                <w:szCs w:val="1"/>
                <w:color w:val="auto"/>
              </w:rPr>
            </w:pPr>
          </w:p>
        </w:tc>
        <w:tc>
          <w:tcPr>
            <w:tcW w:w="7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line="20" w:lineRule="exact"/>
              <w:rPr>
                <w:sz w:val="1"/>
                <w:szCs w:val="1"/>
                <w:color w:val="auto"/>
              </w:rPr>
            </w:pPr>
          </w:p>
        </w:tc>
        <w:tc>
          <w:tcPr>
            <w:tcW w:w="108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Shares</w:t>
            </w:r>
          </w:p>
        </w:tc>
        <w:tc>
          <w:tcPr>
            <w:tcW w:w="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vMerge w:val="continue"/>
          </w:tcPr>
          <w:p>
            <w:pPr>
              <w:spacing w:after="0"/>
              <w:rPr>
                <w:sz w:val="11"/>
                <w:szCs w:val="11"/>
                <w:color w:val="auto"/>
              </w:rPr>
            </w:pPr>
          </w:p>
        </w:tc>
        <w:tc>
          <w:tcPr>
            <w:tcW w:w="56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Shares</w:t>
            </w:r>
          </w:p>
        </w:tc>
        <w:tc>
          <w:tcPr>
            <w:tcW w:w="560" w:type="dxa"/>
            <w:vAlign w:val="bottom"/>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3"/>
              </w:rPr>
              <w:t>(Restated)</w:t>
            </w:r>
          </w:p>
        </w:tc>
        <w:tc>
          <w:tcPr>
            <w:tcW w:w="120" w:type="dxa"/>
            <w:vAlign w:val="bottom"/>
          </w:tcPr>
          <w:p>
            <w:pPr>
              <w:spacing w:after="0"/>
              <w:rPr>
                <w:sz w:val="11"/>
                <w:szCs w:val="11"/>
                <w:color w:val="auto"/>
              </w:rPr>
            </w:pPr>
          </w:p>
        </w:tc>
        <w:tc>
          <w:tcPr>
            <w:tcW w:w="9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(Restated)</w:t>
            </w:r>
          </w:p>
        </w:tc>
        <w:tc>
          <w:tcPr>
            <w:tcW w:w="120" w:type="dxa"/>
            <w:vAlign w:val="bottom"/>
          </w:tcPr>
          <w:p>
            <w:pPr>
              <w:spacing w:after="0"/>
              <w:rPr>
                <w:sz w:val="11"/>
                <w:szCs w:val="11"/>
                <w:color w:val="auto"/>
              </w:rPr>
            </w:pPr>
          </w:p>
        </w:tc>
        <w:tc>
          <w:tcPr>
            <w:tcW w:w="9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3"/>
              </w:rPr>
              <w:t>(Restated)</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3"/>
              </w:rPr>
              <w:t>(Restated)</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780" w:type="dxa"/>
            <w:vAlign w:val="bottom"/>
            <w:gridSpan w:val="2"/>
            <w:shd w:val="clear" w:color="auto" w:fill="CCEEFF"/>
          </w:tcPr>
          <w:p>
            <w:pPr>
              <w:spacing w:after="0" w:line="179" w:lineRule="exact"/>
              <w:rPr>
                <w:sz w:val="20"/>
                <w:szCs w:val="20"/>
                <w:color w:val="auto"/>
              </w:rPr>
            </w:pPr>
            <w:r>
              <w:rPr>
                <w:rFonts w:ascii="Arial" w:cs="Arial" w:eastAsia="Arial" w:hAnsi="Arial"/>
                <w:sz w:val="17"/>
                <w:szCs w:val="17"/>
                <w:b w:val="1"/>
                <w:bCs w:val="1"/>
                <w:color w:val="auto"/>
              </w:rPr>
              <w:t>Balance, December 31, 2003 (As originally</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reported)</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62.6</w:t>
            </w:r>
          </w:p>
        </w:tc>
        <w:tc>
          <w:tcPr>
            <w:tcW w:w="1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$ 0.1</w:t>
            </w: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$ 309.6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 —</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 (100.4)</w:t>
            </w: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 (4.0)</w:t>
            </w: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$ 205.3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rPr>
                <w:sz w:val="20"/>
                <w:szCs w:val="20"/>
                <w:color w:val="auto"/>
              </w:rPr>
            </w:pPr>
            <w:r>
              <w:rPr>
                <w:rFonts w:ascii="Arial" w:cs="Arial" w:eastAsia="Arial" w:hAnsi="Arial"/>
                <w:sz w:val="17"/>
                <w:szCs w:val="17"/>
                <w:color w:val="auto"/>
              </w:rPr>
              <w:t>Prior period adjustments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7"/>
                <w:szCs w:val="17"/>
                <w:color w:val="auto"/>
              </w:rPr>
              <w:t>(62.9)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(13.4)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December 31, 2003 (Restated)</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w w:val="82"/>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62.6</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$ 0.1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$ 365.7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1"/>
              </w:rPr>
              <w:t>$ (6.6)</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2"/>
              </w:rPr>
              <w:t>$ (163.3)</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1"/>
              </w:rPr>
              <w:t>$ (4.0)</w:t>
            </w: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$ 191.9</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780" w:type="dxa"/>
            <w:vAlign w:val="bottom"/>
            <w:gridSpan w:val="2"/>
          </w:tcPr>
          <w:p>
            <w:pPr>
              <w:ind w:left="180"/>
              <w:spacing w:after="0" w:line="185" w:lineRule="exact"/>
              <w:rPr>
                <w:sz w:val="20"/>
                <w:szCs w:val="20"/>
                <w:color w:val="auto"/>
              </w:rPr>
            </w:pPr>
            <w:r>
              <w:rPr>
                <w:rFonts w:ascii="Arial" w:cs="Arial" w:eastAsia="Arial" w:hAnsi="Arial"/>
                <w:sz w:val="17"/>
                <w:szCs w:val="17"/>
                <w:color w:val="auto"/>
              </w:rPr>
              <w:t>Conversion of Series B convertible</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80" w:type="dxa"/>
            <w:vAlign w:val="bottom"/>
            <w:gridSpan w:val="2"/>
          </w:tcPr>
          <w:p>
            <w:pPr>
              <w:ind w:left="360"/>
              <w:spacing w:after="0"/>
              <w:rPr>
                <w:sz w:val="20"/>
                <w:szCs w:val="20"/>
                <w:color w:val="auto"/>
              </w:rPr>
            </w:pPr>
            <w:r>
              <w:rPr>
                <w:rFonts w:ascii="Arial" w:cs="Arial" w:eastAsia="Arial" w:hAnsi="Arial"/>
                <w:sz w:val="17"/>
                <w:szCs w:val="17"/>
                <w:color w:val="auto"/>
              </w:rPr>
              <w:t>preferred stock</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ind w:right="6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80" w:type="dxa"/>
            <w:vAlign w:val="bottom"/>
            <w:gridSpan w:val="3"/>
          </w:tcPr>
          <w:p>
            <w:pPr>
              <w:jc w:val="right"/>
              <w:ind w:right="5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3780" w:type="dxa"/>
            <w:vAlign w:val="bottom"/>
            <w:gridSpan w:val="2"/>
            <w:shd w:val="clear" w:color="auto" w:fill="CCEEFF"/>
          </w:tcPr>
          <w:p>
            <w:pPr>
              <w:ind w:left="180"/>
              <w:spacing w:after="0" w:line="187" w:lineRule="exact"/>
              <w:rPr>
                <w:sz w:val="20"/>
                <w:szCs w:val="20"/>
                <w:color w:val="auto"/>
              </w:rPr>
            </w:pPr>
            <w:r>
              <w:rPr>
                <w:rFonts w:ascii="Arial" w:cs="Arial" w:eastAsia="Arial" w:hAnsi="Arial"/>
                <w:sz w:val="17"/>
                <w:szCs w:val="17"/>
                <w:color w:val="auto"/>
              </w:rPr>
              <w:t>Issuance of common stock for exercise of stock</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options</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780" w:type="dxa"/>
            <w:vAlign w:val="bottom"/>
            <w:gridSpan w:val="2"/>
          </w:tcPr>
          <w:p>
            <w:pPr>
              <w:ind w:left="180"/>
              <w:spacing w:after="0" w:line="185" w:lineRule="exact"/>
              <w:rPr>
                <w:sz w:val="20"/>
                <w:szCs w:val="20"/>
                <w:color w:val="auto"/>
              </w:rPr>
            </w:pPr>
            <w:r>
              <w:rPr>
                <w:rFonts w:ascii="Arial" w:cs="Arial" w:eastAsia="Arial" w:hAnsi="Arial"/>
                <w:sz w:val="17"/>
                <w:szCs w:val="17"/>
                <w:color w:val="auto"/>
                <w:w w:val="96"/>
              </w:rPr>
              <w:t>Issuance of common stock under employee stock</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80" w:type="dxa"/>
            <w:vAlign w:val="bottom"/>
            <w:gridSpan w:val="2"/>
          </w:tcPr>
          <w:p>
            <w:pPr>
              <w:ind w:left="360"/>
              <w:spacing w:after="0"/>
              <w:rPr>
                <w:sz w:val="20"/>
                <w:szCs w:val="20"/>
                <w:color w:val="auto"/>
              </w:rPr>
            </w:pPr>
            <w:r>
              <w:rPr>
                <w:rFonts w:ascii="Arial" w:cs="Arial" w:eastAsia="Arial" w:hAnsi="Arial"/>
                <w:sz w:val="17"/>
                <w:szCs w:val="17"/>
                <w:color w:val="auto"/>
              </w:rPr>
              <w:t>purchase plan</w:t>
            </w:r>
          </w:p>
        </w:tc>
        <w:tc>
          <w:tcPr>
            <w:tcW w:w="6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48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ind w:right="60"/>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3.4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Stock based compensation (Restated)</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48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(0.9)</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780" w:type="dxa"/>
            <w:vAlign w:val="bottom"/>
            <w:gridSpan w:val="2"/>
          </w:tcPr>
          <w:p>
            <w:pPr>
              <w:ind w:left="180"/>
              <w:spacing w:after="0" w:line="185" w:lineRule="exact"/>
              <w:rPr>
                <w:sz w:val="20"/>
                <w:szCs w:val="20"/>
                <w:color w:val="auto"/>
              </w:rPr>
            </w:pPr>
            <w:r>
              <w:rPr>
                <w:rFonts w:ascii="Arial" w:cs="Arial" w:eastAsia="Arial" w:hAnsi="Arial"/>
                <w:sz w:val="17"/>
                <w:szCs w:val="17"/>
                <w:color w:val="auto"/>
              </w:rPr>
              <w:t>Adjustment of tax benefit from exercise of stock</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80" w:type="dxa"/>
            <w:vAlign w:val="bottom"/>
            <w:gridSpan w:val="2"/>
          </w:tcPr>
          <w:p>
            <w:pPr>
              <w:ind w:left="360"/>
              <w:spacing w:after="0"/>
              <w:rPr>
                <w:sz w:val="20"/>
                <w:szCs w:val="20"/>
                <w:color w:val="auto"/>
              </w:rPr>
            </w:pPr>
            <w:r>
              <w:rPr>
                <w:rFonts w:ascii="Arial" w:cs="Arial" w:eastAsia="Arial" w:hAnsi="Arial"/>
                <w:sz w:val="17"/>
                <w:szCs w:val="17"/>
                <w:color w:val="auto"/>
              </w:rPr>
              <w:t>options</w:t>
            </w:r>
          </w:p>
        </w:tc>
        <w:tc>
          <w:tcPr>
            <w:tcW w:w="6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48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(0.7)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Components of comprehensive income:</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ind w:left="360"/>
              <w:spacing w:after="0"/>
              <w:rPr>
                <w:sz w:val="20"/>
                <w:szCs w:val="20"/>
                <w:color w:val="auto"/>
              </w:rPr>
            </w:pPr>
            <w:r>
              <w:rPr>
                <w:rFonts w:ascii="Arial" w:cs="Arial" w:eastAsia="Arial" w:hAnsi="Arial"/>
                <w:sz w:val="17"/>
                <w:szCs w:val="17"/>
                <w:color w:val="auto"/>
              </w:rPr>
              <w:t>Net income (Restated)</w:t>
            </w:r>
          </w:p>
        </w:tc>
        <w:tc>
          <w:tcPr>
            <w:tcW w:w="6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48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15.0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780" w:type="dxa"/>
            <w:vAlign w:val="bottom"/>
            <w:gridSpan w:val="2"/>
            <w:shd w:val="clear" w:color="auto" w:fill="CCEEFF"/>
          </w:tcPr>
          <w:p>
            <w:pPr>
              <w:ind w:left="360"/>
              <w:spacing w:after="0" w:line="185" w:lineRule="exact"/>
              <w:rPr>
                <w:sz w:val="20"/>
                <w:szCs w:val="20"/>
                <w:color w:val="auto"/>
              </w:rPr>
            </w:pPr>
            <w:r>
              <w:rPr>
                <w:rFonts w:ascii="Arial" w:cs="Arial" w:eastAsia="Arial" w:hAnsi="Arial"/>
                <w:sz w:val="17"/>
                <w:szCs w:val="17"/>
                <w:color w:val="auto"/>
              </w:rPr>
              <w:t>Foreign currency translation gain, net of</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78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income taxes of $0.0 million</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0.2</w:t>
            </w: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CCEEFF"/>
            </w:tcBorders>
            <w:gridSpan w:val="2"/>
          </w:tcPr>
          <w:p>
            <w:pPr>
              <w:ind w:left="540"/>
              <w:spacing w:after="0"/>
              <w:rPr>
                <w:sz w:val="20"/>
                <w:szCs w:val="20"/>
                <w:color w:val="auto"/>
              </w:rPr>
            </w:pPr>
            <w:r>
              <w:rPr>
                <w:rFonts w:ascii="Arial" w:cs="Arial" w:eastAsia="Arial" w:hAnsi="Arial"/>
                <w:sz w:val="17"/>
                <w:szCs w:val="17"/>
                <w:color w:val="auto"/>
              </w:rPr>
              <w:t>Total comprehensive income</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December 31, 2004 (Restated)</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3"/>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71.1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$ 374.8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(3.2</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(148.3</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(3.8</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$ 219.6</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780" w:type="dxa"/>
            <w:vAlign w:val="bottom"/>
            <w:gridSpan w:val="2"/>
          </w:tcPr>
          <w:p>
            <w:pPr>
              <w:ind w:left="180"/>
              <w:spacing w:after="0" w:line="165" w:lineRule="exact"/>
              <w:rPr>
                <w:sz w:val="20"/>
                <w:szCs w:val="20"/>
                <w:color w:val="auto"/>
              </w:rPr>
            </w:pPr>
            <w:r>
              <w:rPr>
                <w:rFonts w:ascii="Arial" w:cs="Arial" w:eastAsia="Arial" w:hAnsi="Arial"/>
                <w:sz w:val="17"/>
                <w:szCs w:val="17"/>
                <w:color w:val="auto"/>
              </w:rPr>
              <w:t>Issuance of common stock for exercise of stock</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780" w:type="dxa"/>
            <w:vAlign w:val="bottom"/>
            <w:gridSpan w:val="2"/>
          </w:tcPr>
          <w:p>
            <w:pPr>
              <w:ind w:left="360"/>
              <w:spacing w:after="0"/>
              <w:rPr>
                <w:sz w:val="20"/>
                <w:szCs w:val="20"/>
                <w:color w:val="auto"/>
              </w:rPr>
            </w:pPr>
            <w:r>
              <w:rPr>
                <w:rFonts w:ascii="Arial" w:cs="Arial" w:eastAsia="Arial" w:hAnsi="Arial"/>
                <w:sz w:val="17"/>
                <w:szCs w:val="17"/>
                <w:color w:val="auto"/>
              </w:rPr>
              <w:t>options</w:t>
            </w:r>
          </w:p>
        </w:tc>
        <w:tc>
          <w:tcPr>
            <w:tcW w:w="6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48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ind w:right="60"/>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2.6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780" w:type="dxa"/>
            <w:vAlign w:val="bottom"/>
            <w:gridSpan w:val="2"/>
            <w:shd w:val="clear" w:color="auto" w:fill="CCEEFF"/>
          </w:tcPr>
          <w:p>
            <w:pPr>
              <w:ind w:left="180"/>
              <w:spacing w:after="0" w:line="187" w:lineRule="exact"/>
              <w:rPr>
                <w:sz w:val="20"/>
                <w:szCs w:val="20"/>
                <w:color w:val="auto"/>
              </w:rPr>
            </w:pPr>
            <w:r>
              <w:rPr>
                <w:rFonts w:ascii="Arial" w:cs="Arial" w:eastAsia="Arial" w:hAnsi="Arial"/>
                <w:sz w:val="17"/>
                <w:szCs w:val="17"/>
                <w:color w:val="auto"/>
                <w:w w:val="96"/>
              </w:rPr>
              <w:t>Issuance of common stock under employee stock</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purchase plan</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2.3</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ind w:left="180"/>
              <w:spacing w:after="0"/>
              <w:rPr>
                <w:sz w:val="20"/>
                <w:szCs w:val="20"/>
                <w:color w:val="auto"/>
              </w:rPr>
            </w:pPr>
            <w:r>
              <w:rPr>
                <w:rFonts w:ascii="Arial" w:cs="Arial" w:eastAsia="Arial" w:hAnsi="Arial"/>
                <w:sz w:val="17"/>
                <w:szCs w:val="17"/>
                <w:color w:val="auto"/>
              </w:rPr>
              <w:t>Stock based compensation (Restated)</w:t>
            </w:r>
          </w:p>
        </w:tc>
        <w:tc>
          <w:tcPr>
            <w:tcW w:w="6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48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2.7</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Components of comprehensive income:</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360"/>
              <w:spacing w:after="0"/>
              <w:rPr>
                <w:sz w:val="20"/>
                <w:szCs w:val="20"/>
                <w:color w:val="auto"/>
              </w:rPr>
            </w:pPr>
            <w:r>
              <w:rPr>
                <w:rFonts w:ascii="Arial" w:cs="Arial" w:eastAsia="Arial" w:hAnsi="Arial"/>
                <w:sz w:val="17"/>
                <w:szCs w:val="17"/>
                <w:color w:val="auto"/>
              </w:rPr>
              <w:t>Net income (Restated)</w:t>
            </w:r>
          </w:p>
        </w:tc>
        <w:tc>
          <w:tcPr>
            <w:tcW w:w="6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48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1.6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2004, 2005 and 2006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7"/>
            <w:vMerge w:val="restart"/>
          </w:tcPr>
          <w:p>
            <w:pPr>
              <w:ind w:left="18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Retained</w:t>
            </w:r>
          </w:p>
        </w:tc>
        <w:tc>
          <w:tcPr>
            <w:tcW w:w="11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9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gridSpan w:val="4"/>
            <w:vMerge w:val="continue"/>
          </w:tcPr>
          <w:p>
            <w:pPr>
              <w:spacing w:after="0"/>
              <w:rPr>
                <w:sz w:val="11"/>
                <w:szCs w:val="11"/>
                <w:color w:val="auto"/>
              </w:rPr>
            </w:pPr>
          </w:p>
        </w:tc>
        <w:tc>
          <w:tcPr>
            <w:tcW w:w="10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Deferred</w:t>
            </w:r>
          </w:p>
        </w:tc>
        <w:tc>
          <w:tcPr>
            <w:tcW w:w="140" w:type="dxa"/>
            <w:vAlign w:val="bottom"/>
          </w:tcPr>
          <w:p>
            <w:pPr>
              <w:spacing w:after="0"/>
              <w:rPr>
                <w:sz w:val="11"/>
                <w:szCs w:val="11"/>
                <w:color w:val="auto"/>
              </w:rPr>
            </w:pPr>
          </w:p>
        </w:tc>
        <w:tc>
          <w:tcPr>
            <w:tcW w:w="88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Earnings</w:t>
            </w:r>
          </w:p>
        </w:tc>
        <w:tc>
          <w:tcPr>
            <w:tcW w:w="280" w:type="dxa"/>
            <w:vAlign w:val="bottom"/>
          </w:tcPr>
          <w:p>
            <w:pPr>
              <w:spacing w:after="0"/>
              <w:rPr>
                <w:sz w:val="11"/>
                <w:szCs w:val="11"/>
                <w:color w:val="auto"/>
              </w:rPr>
            </w:pPr>
          </w:p>
        </w:tc>
        <w:tc>
          <w:tcPr>
            <w:tcW w:w="840" w:type="dxa"/>
            <w:vAlign w:val="bottom"/>
            <w:gridSpan w:val="3"/>
          </w:tcPr>
          <w:p>
            <w:pPr>
              <w:jc w:val="center"/>
              <w:ind w:right="400"/>
              <w:spacing w:after="0" w:line="13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7"/>
          </w:tcPr>
          <w:p>
            <w:pPr>
              <w:ind w:left="60"/>
              <w:spacing w:after="0" w:line="139" w:lineRule="exact"/>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2"/>
                <w:szCs w:val="12"/>
                <w:color w:val="auto"/>
              </w:rPr>
            </w:pPr>
          </w:p>
        </w:tc>
        <w:tc>
          <w:tcPr>
            <w:tcW w:w="120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Paid-In</w:t>
            </w:r>
          </w:p>
        </w:tc>
        <w:tc>
          <w:tcPr>
            <w:tcW w:w="1060" w:type="dxa"/>
            <w:vAlign w:val="bottom"/>
            <w:gridSpan w:val="4"/>
            <w:vMerge w:val="continue"/>
          </w:tcPr>
          <w:p>
            <w:pPr>
              <w:spacing w:after="0"/>
              <w:rPr>
                <w:sz w:val="12"/>
                <w:szCs w:val="12"/>
                <w:color w:val="auto"/>
              </w:rPr>
            </w:pPr>
          </w:p>
        </w:tc>
        <w:tc>
          <w:tcPr>
            <w:tcW w:w="1020" w:type="dxa"/>
            <w:vAlign w:val="bottom"/>
            <w:gridSpan w:val="4"/>
          </w:tcPr>
          <w:p>
            <w:pPr>
              <w:jc w:val="center"/>
              <w:ind w:right="120"/>
              <w:spacing w:after="0" w:line="139" w:lineRule="exact"/>
              <w:rPr>
                <w:sz w:val="20"/>
                <w:szCs w:val="20"/>
                <w:color w:val="auto"/>
              </w:rPr>
            </w:pPr>
            <w:r>
              <w:rPr>
                <w:rFonts w:ascii="Arial" w:cs="Arial" w:eastAsia="Arial" w:hAnsi="Arial"/>
                <w:sz w:val="14"/>
                <w:szCs w:val="14"/>
                <w:b w:val="1"/>
                <w:bCs w:val="1"/>
                <w:color w:val="auto"/>
                <w:w w:val="92"/>
              </w:rPr>
              <w:t>(Accumulated</w:t>
            </w:r>
          </w:p>
        </w:tc>
        <w:tc>
          <w:tcPr>
            <w:tcW w:w="1120" w:type="dxa"/>
            <w:vAlign w:val="bottom"/>
            <w:gridSpan w:val="4"/>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4"/>
          </w:tcPr>
          <w:p>
            <w:pPr>
              <w:jc w:val="center"/>
              <w:ind w:right="260"/>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3"/>
        </w:trPr>
        <w:tc>
          <w:tcPr>
            <w:tcW w:w="3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line="20" w:lineRule="exact"/>
              <w:rPr>
                <w:sz w:val="1"/>
                <w:szCs w:val="1"/>
                <w:color w:val="auto"/>
              </w:rPr>
            </w:pPr>
          </w:p>
        </w:tc>
        <w:tc>
          <w:tcPr>
            <w:tcW w:w="8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280" w:type="dxa"/>
            <w:vAlign w:val="bottom"/>
          </w:tcPr>
          <w:p>
            <w:pPr>
              <w:spacing w:after="0" w:line="20" w:lineRule="exact"/>
              <w:rPr>
                <w:sz w:val="1"/>
                <w:szCs w:val="1"/>
                <w:color w:val="auto"/>
              </w:rPr>
            </w:pPr>
          </w:p>
        </w:tc>
        <w:tc>
          <w:tcPr>
            <w:tcW w:w="8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line="20" w:lineRule="exact"/>
              <w:rPr>
                <w:sz w:val="1"/>
                <w:szCs w:val="1"/>
                <w:color w:val="auto"/>
              </w:rPr>
            </w:pPr>
          </w:p>
        </w:tc>
        <w:tc>
          <w:tcPr>
            <w:tcW w:w="94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Shares</w:t>
            </w:r>
          </w:p>
        </w:tc>
        <w:tc>
          <w:tcPr>
            <w:tcW w:w="54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vMerge w:val="continue"/>
          </w:tcPr>
          <w:p>
            <w:pPr>
              <w:spacing w:after="0"/>
              <w:rPr>
                <w:sz w:val="11"/>
                <w:szCs w:val="11"/>
                <w:color w:val="auto"/>
              </w:rPr>
            </w:pPr>
          </w:p>
        </w:tc>
        <w:tc>
          <w:tcPr>
            <w:tcW w:w="600" w:type="dxa"/>
            <w:vAlign w:val="bottom"/>
            <w:gridSpan w:val="4"/>
          </w:tcPr>
          <w:p>
            <w:pPr>
              <w:ind w:left="40"/>
              <w:spacing w:after="0" w:line="129" w:lineRule="exact"/>
              <w:rPr>
                <w:sz w:val="20"/>
                <w:szCs w:val="20"/>
                <w:color w:val="auto"/>
              </w:rPr>
            </w:pPr>
            <w:r>
              <w:rPr>
                <w:rFonts w:ascii="Arial" w:cs="Arial" w:eastAsia="Arial" w:hAnsi="Arial"/>
                <w:sz w:val="14"/>
                <w:szCs w:val="14"/>
                <w:b w:val="1"/>
                <w:bCs w:val="1"/>
                <w:color w:val="auto"/>
              </w:rPr>
              <w:t>Shares</w:t>
            </w:r>
          </w:p>
        </w:tc>
        <w:tc>
          <w:tcPr>
            <w:tcW w:w="5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0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(Restated)</w:t>
            </w:r>
          </w:p>
        </w:tc>
        <w:tc>
          <w:tcPr>
            <w:tcW w:w="100" w:type="dxa"/>
            <w:vAlign w:val="bottom"/>
          </w:tcPr>
          <w:p>
            <w:pPr>
              <w:spacing w:after="0"/>
              <w:rPr>
                <w:sz w:val="11"/>
                <w:szCs w:val="11"/>
                <w:color w:val="auto"/>
              </w:rPr>
            </w:pPr>
          </w:p>
        </w:tc>
        <w:tc>
          <w:tcPr>
            <w:tcW w:w="94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(Restated)</w:t>
            </w:r>
          </w:p>
        </w:tc>
        <w:tc>
          <w:tcPr>
            <w:tcW w:w="120" w:type="dxa"/>
            <w:vAlign w:val="bottom"/>
          </w:tcPr>
          <w:p>
            <w:pPr>
              <w:spacing w:after="0"/>
              <w:rPr>
                <w:sz w:val="11"/>
                <w:szCs w:val="11"/>
                <w:color w:val="auto"/>
              </w:rPr>
            </w:pPr>
          </w:p>
        </w:tc>
        <w:tc>
          <w:tcPr>
            <w:tcW w:w="9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(Restated)</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gridSpan w:val="2"/>
            <w:shd w:val="clear" w:color="auto" w:fill="CCEEFF"/>
          </w:tcPr>
          <w:p>
            <w:pPr>
              <w:ind w:left="360"/>
              <w:spacing w:after="0" w:line="185" w:lineRule="exact"/>
              <w:rPr>
                <w:sz w:val="20"/>
                <w:szCs w:val="20"/>
                <w:color w:val="auto"/>
              </w:rPr>
            </w:pPr>
            <w:r>
              <w:rPr>
                <w:rFonts w:ascii="Arial" w:cs="Arial" w:eastAsia="Arial" w:hAnsi="Arial"/>
                <w:sz w:val="17"/>
                <w:szCs w:val="17"/>
                <w:color w:val="auto"/>
              </w:rPr>
              <w:t>Foreign currency translation gain, net of</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78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income taxes of $0.2 million</w:t>
            </w: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center"/>
              <w:ind w:right="240"/>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CCEEFF"/>
            </w:tcBorders>
            <w:gridSpan w:val="2"/>
          </w:tcPr>
          <w:p>
            <w:pPr>
              <w:ind w:left="540"/>
              <w:spacing w:after="0"/>
              <w:rPr>
                <w:sz w:val="20"/>
                <w:szCs w:val="20"/>
                <w:color w:val="auto"/>
              </w:rPr>
            </w:pPr>
            <w:r>
              <w:rPr>
                <w:rFonts w:ascii="Arial" w:cs="Arial" w:eastAsia="Arial" w:hAnsi="Arial"/>
                <w:sz w:val="17"/>
                <w:szCs w:val="17"/>
                <w:color w:val="auto"/>
              </w:rPr>
              <w:t>Total comprehensive income</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December 31, 2005 (Restated)</w:t>
            </w:r>
          </w:p>
        </w:tc>
        <w:tc>
          <w:tcPr>
            <w:tcW w:w="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72.2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$ 379.3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(146.7</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(2.9</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$ 229.7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780" w:type="dxa"/>
            <w:vAlign w:val="bottom"/>
            <w:gridSpan w:val="2"/>
          </w:tcPr>
          <w:p>
            <w:pPr>
              <w:ind w:left="180"/>
              <w:spacing w:after="0" w:line="165" w:lineRule="exact"/>
              <w:rPr>
                <w:sz w:val="20"/>
                <w:szCs w:val="20"/>
                <w:color w:val="auto"/>
              </w:rPr>
            </w:pPr>
            <w:r>
              <w:rPr>
                <w:rFonts w:ascii="Arial" w:cs="Arial" w:eastAsia="Arial" w:hAnsi="Arial"/>
                <w:sz w:val="17"/>
                <w:szCs w:val="17"/>
                <w:color w:val="auto"/>
              </w:rPr>
              <w:t>Conversion of Series B convertible preferred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780" w:type="dxa"/>
            <w:vAlign w:val="bottom"/>
            <w:gridSpan w:val="2"/>
          </w:tcPr>
          <w:p>
            <w:pPr>
              <w:ind w:left="360"/>
              <w:spacing w:after="0"/>
              <w:rPr>
                <w:sz w:val="20"/>
                <w:szCs w:val="20"/>
                <w:color w:val="auto"/>
              </w:rPr>
            </w:pPr>
            <w:r>
              <w:rPr>
                <w:rFonts w:ascii="Arial" w:cs="Arial" w:eastAsia="Arial" w:hAnsi="Arial"/>
                <w:sz w:val="17"/>
                <w:szCs w:val="17"/>
                <w:color w:val="auto"/>
              </w:rPr>
              <w:t>stock</w:t>
            </w:r>
          </w:p>
        </w:tc>
        <w:tc>
          <w:tcPr>
            <w:tcW w:w="620" w:type="dxa"/>
            <w:vAlign w:val="bottom"/>
            <w:gridSpan w:val="3"/>
          </w:tcPr>
          <w:p>
            <w:pPr>
              <w:ind w:lef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480" w:type="dxa"/>
            <w:vAlign w:val="bottom"/>
            <w:gridSpan w:val="3"/>
          </w:tcPr>
          <w:p>
            <w:pPr>
              <w:jc w:val="center"/>
              <w:ind w:right="240"/>
              <w:spacing w:after="0"/>
              <w:rPr>
                <w:sz w:val="20"/>
                <w:szCs w:val="20"/>
                <w:color w:val="auto"/>
              </w:rPr>
            </w:pPr>
            <w:r>
              <w:rPr>
                <w:rFonts w:ascii="Arial" w:cs="Arial" w:eastAsia="Arial" w:hAnsi="Arial"/>
                <w:sz w:val="17"/>
                <w:szCs w:val="17"/>
                <w:color w:val="auto"/>
                <w:w w:val="93"/>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3780" w:type="dxa"/>
            <w:vAlign w:val="bottom"/>
            <w:gridSpan w:val="2"/>
            <w:shd w:val="clear" w:color="auto" w:fill="CCEEFF"/>
          </w:tcPr>
          <w:p>
            <w:pPr>
              <w:ind w:left="180"/>
              <w:spacing w:after="0" w:line="187" w:lineRule="exact"/>
              <w:rPr>
                <w:sz w:val="20"/>
                <w:szCs w:val="20"/>
                <w:color w:val="auto"/>
              </w:rPr>
            </w:pPr>
            <w:r>
              <w:rPr>
                <w:rFonts w:ascii="Arial" w:cs="Arial" w:eastAsia="Arial" w:hAnsi="Arial"/>
                <w:sz w:val="17"/>
                <w:szCs w:val="17"/>
                <w:color w:val="auto"/>
              </w:rPr>
              <w:t>Issuance of common stock for exercise of stock</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options</w:t>
            </w: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center"/>
              <w:ind w:right="240"/>
              <w:spacing w:after="0"/>
              <w:rPr>
                <w:sz w:val="20"/>
                <w:szCs w:val="20"/>
                <w:color w:val="auto"/>
              </w:rPr>
            </w:pPr>
            <w:r>
              <w:rPr>
                <w:rFonts w:ascii="Arial" w:cs="Arial" w:eastAsia="Arial" w:hAnsi="Arial"/>
                <w:sz w:val="17"/>
                <w:szCs w:val="17"/>
                <w:color w:val="auto"/>
                <w:w w:val="93"/>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780" w:type="dxa"/>
            <w:vAlign w:val="bottom"/>
            <w:gridSpan w:val="2"/>
          </w:tcPr>
          <w:p>
            <w:pPr>
              <w:ind w:left="180"/>
              <w:spacing w:after="0" w:line="185" w:lineRule="exact"/>
              <w:rPr>
                <w:sz w:val="20"/>
                <w:szCs w:val="20"/>
                <w:color w:val="auto"/>
              </w:rPr>
            </w:pPr>
            <w:r>
              <w:rPr>
                <w:rFonts w:ascii="Arial" w:cs="Arial" w:eastAsia="Arial" w:hAnsi="Arial"/>
                <w:sz w:val="17"/>
                <w:szCs w:val="17"/>
                <w:color w:val="auto"/>
                <w:w w:val="96"/>
              </w:rPr>
              <w:t>Issuance of common stock under employee stock</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80" w:type="dxa"/>
            <w:vAlign w:val="bottom"/>
            <w:gridSpan w:val="2"/>
          </w:tcPr>
          <w:p>
            <w:pPr>
              <w:ind w:left="360"/>
              <w:spacing w:after="0"/>
              <w:rPr>
                <w:sz w:val="20"/>
                <w:szCs w:val="20"/>
                <w:color w:val="auto"/>
              </w:rPr>
            </w:pPr>
            <w:r>
              <w:rPr>
                <w:rFonts w:ascii="Arial" w:cs="Arial" w:eastAsia="Arial" w:hAnsi="Arial"/>
                <w:sz w:val="17"/>
                <w:szCs w:val="17"/>
                <w:color w:val="auto"/>
              </w:rPr>
              <w:t>purchase plan</w:t>
            </w:r>
          </w:p>
        </w:tc>
        <w:tc>
          <w:tcPr>
            <w:tcW w:w="620" w:type="dxa"/>
            <w:vAlign w:val="bottom"/>
            <w:gridSpan w:val="3"/>
          </w:tcPr>
          <w:p>
            <w:pPr>
              <w:ind w:lef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480" w:type="dxa"/>
            <w:vAlign w:val="bottom"/>
            <w:gridSpan w:val="3"/>
          </w:tcPr>
          <w:p>
            <w:pPr>
              <w:jc w:val="center"/>
              <w:ind w:right="240"/>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Stock based compensation</w:t>
            </w: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center"/>
              <w:ind w:right="240"/>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rPr>
                <w:sz w:val="20"/>
                <w:szCs w:val="20"/>
                <w:color w:val="auto"/>
              </w:rPr>
            </w:pPr>
            <w:r>
              <w:rPr>
                <w:rFonts w:ascii="Arial" w:cs="Arial" w:eastAsia="Arial" w:hAnsi="Arial"/>
                <w:sz w:val="17"/>
                <w:szCs w:val="17"/>
                <w:color w:val="auto"/>
              </w:rPr>
              <w:t>Components of comprehensive income: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Net loss</w:t>
            </w: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center"/>
              <w:ind w:right="240"/>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(57.9)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(57.9)</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780" w:type="dxa"/>
            <w:vAlign w:val="bottom"/>
            <w:gridSpan w:val="2"/>
          </w:tcPr>
          <w:p>
            <w:pPr>
              <w:ind w:left="360"/>
              <w:spacing w:after="0" w:line="185" w:lineRule="exact"/>
              <w:rPr>
                <w:sz w:val="20"/>
                <w:szCs w:val="20"/>
                <w:color w:val="auto"/>
              </w:rPr>
            </w:pPr>
            <w:r>
              <w:rPr>
                <w:rFonts w:ascii="Arial" w:cs="Arial" w:eastAsia="Arial" w:hAnsi="Arial"/>
                <w:sz w:val="17"/>
                <w:szCs w:val="17"/>
                <w:color w:val="auto"/>
              </w:rPr>
              <w:t>Foreign currency translation gain, net of</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80" w:type="dxa"/>
            <w:vAlign w:val="bottom"/>
            <w:gridSpan w:val="2"/>
          </w:tcPr>
          <w:p>
            <w:pPr>
              <w:ind w:left="540"/>
              <w:spacing w:after="0"/>
              <w:rPr>
                <w:sz w:val="20"/>
                <w:szCs w:val="20"/>
                <w:color w:val="auto"/>
              </w:rPr>
            </w:pPr>
            <w:r>
              <w:rPr>
                <w:rFonts w:ascii="Arial" w:cs="Arial" w:eastAsia="Arial" w:hAnsi="Arial"/>
                <w:sz w:val="17"/>
                <w:szCs w:val="17"/>
                <w:color w:val="auto"/>
              </w:rPr>
              <w:t>income taxes of $0.3 million</w:t>
            </w:r>
          </w:p>
        </w:tc>
        <w:tc>
          <w:tcPr>
            <w:tcW w:w="620" w:type="dxa"/>
            <w:vAlign w:val="bottom"/>
            <w:gridSpan w:val="3"/>
          </w:tcPr>
          <w:p>
            <w:pPr>
              <w:ind w:lef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480" w:type="dxa"/>
            <w:vAlign w:val="bottom"/>
            <w:gridSpan w:val="3"/>
          </w:tcPr>
          <w:p>
            <w:pPr>
              <w:jc w:val="center"/>
              <w:ind w:right="240"/>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780" w:type="dxa"/>
            <w:vAlign w:val="bottom"/>
            <w:gridSpan w:val="2"/>
            <w:shd w:val="clear" w:color="auto" w:fill="CCEEFF"/>
          </w:tcPr>
          <w:p>
            <w:pPr>
              <w:ind w:left="360"/>
              <w:spacing w:after="0" w:line="187" w:lineRule="exact"/>
              <w:rPr>
                <w:sz w:val="20"/>
                <w:szCs w:val="20"/>
                <w:color w:val="auto"/>
              </w:rPr>
            </w:pPr>
            <w:r>
              <w:rPr>
                <w:rFonts w:ascii="Arial" w:cs="Arial" w:eastAsia="Arial" w:hAnsi="Arial"/>
                <w:sz w:val="17"/>
                <w:szCs w:val="17"/>
                <w:color w:val="auto"/>
                <w:w w:val="98"/>
              </w:rPr>
              <w:t>Reclassification adjustment—foreign currency</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translation gain/(loss), included in net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8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income</w:t>
            </w: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center"/>
              <w:ind w:right="240"/>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780" w:type="dxa"/>
            <w:vAlign w:val="bottom"/>
            <w:gridSpan w:val="2"/>
          </w:tcPr>
          <w:p>
            <w:pPr>
              <w:ind w:left="540"/>
              <w:spacing w:after="0"/>
              <w:rPr>
                <w:sz w:val="20"/>
                <w:szCs w:val="20"/>
                <w:color w:val="auto"/>
              </w:rPr>
            </w:pPr>
            <w:r>
              <w:rPr>
                <w:rFonts w:ascii="Arial" w:cs="Arial" w:eastAsia="Arial" w:hAnsi="Arial"/>
                <w:sz w:val="17"/>
                <w:szCs w:val="17"/>
                <w:color w:val="auto"/>
              </w:rPr>
              <w:t>Total comprehensive loss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(55.0)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December 31, 2006</w:t>
            </w:r>
          </w:p>
        </w:tc>
        <w:tc>
          <w:tcPr>
            <w:tcW w:w="4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3"/>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73.9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$ 0.0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$ 391.7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$ 0.0</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(204.6</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$ 0.0</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$ 187.1</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62"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1420"/>
          </w:cols>
          <w:pgMar w:left="240" w:top="162" w:right="239" w:bottom="0" w:gutter="0" w:footer="0" w:header="0"/>
          <w:type w:val="continuous"/>
        </w:sectPr>
      </w:pPr>
    </w:p>
    <w:bookmarkStart w:id="72" w:name="page73"/>
    <w:bookmarkEnd w:id="72"/>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2004, 2005 and 2006</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700" w:type="dxa"/>
            <w:vAlign w:val="bottom"/>
            <w:tcBorders>
              <w:top w:val="single" w:sz="8" w:color="auto"/>
            </w:tcBorders>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90"/>
              </w:rPr>
              <w:t>(Restated)</w:t>
            </w:r>
          </w:p>
        </w:tc>
        <w:tc>
          <w:tcPr>
            <w:tcW w:w="220" w:type="dxa"/>
            <w:vAlign w:val="bottom"/>
          </w:tcPr>
          <w:p>
            <w:pPr>
              <w:spacing w:after="0"/>
              <w:rPr>
                <w:sz w:val="11"/>
                <w:szCs w:val="11"/>
                <w:color w:val="auto"/>
              </w:rPr>
            </w:pPr>
          </w:p>
        </w:tc>
        <w:tc>
          <w:tcPr>
            <w:tcW w:w="720" w:type="dxa"/>
            <w:vAlign w:val="bottom"/>
            <w:tcBorders>
              <w:top w:val="single" w:sz="8" w:color="auto"/>
            </w:tcBorders>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93"/>
              </w:rPr>
              <w:t>(Restated)</w:t>
            </w:r>
          </w:p>
        </w:tc>
        <w:tc>
          <w:tcPr>
            <w:tcW w:w="2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$ 15.0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1.6</w:t>
            </w:r>
          </w:p>
        </w:tc>
        <w:tc>
          <w:tcPr>
            <w:tcW w:w="10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 (57.9)</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income (loss) from discontinued operations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(46.7)</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5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Adjustments to reconcile net income (loss) from continuing operations to net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provided by continuing operations:</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Asset impairment charges and net loss on disposition of fixed assets</w:t>
            </w:r>
          </w:p>
        </w:tc>
        <w:tc>
          <w:tcPr>
            <w:tcW w:w="100" w:type="dxa"/>
            <w:vAlign w:val="bottom"/>
          </w:tcPr>
          <w:p>
            <w:pPr>
              <w:spacing w:after="0"/>
              <w:rPr>
                <w:sz w:val="18"/>
                <w:szCs w:val="18"/>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loss in unconsolidated affiliates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Tax benefit (expense) from stock options</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(credit) for doubtful accounts</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500" w:type="dxa"/>
            <w:vAlign w:val="bottom"/>
          </w:tcPr>
          <w:p>
            <w:pPr>
              <w:spacing w:after="0"/>
              <w:rPr>
                <w:sz w:val="24"/>
                <w:szCs w:val="24"/>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 net of acquisitions:</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(9.5)</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rPr>
              <w:t>Accrued expenses</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compensation</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rPr>
              <w:t>Tax contingencies</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Accrual for contingent acquisition consideration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rPr>
              <w:t>Billings in excess of costs on completed contracts</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Accrual for unused office space</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rPr>
              <w:t>Income tax payable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liabilities</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59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provided by continuing operations</w:t>
            </w:r>
          </w:p>
        </w:tc>
        <w:tc>
          <w:tcPr>
            <w:tcW w:w="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180"/>
              <w:spacing w:after="0"/>
              <w:rPr>
                <w:sz w:val="20"/>
                <w:szCs w:val="20"/>
                <w:color w:val="auto"/>
              </w:rPr>
            </w:pPr>
            <w:r>
              <w:rPr>
                <w:rFonts w:ascii="Arial" w:cs="Arial" w:eastAsia="Arial" w:hAnsi="Arial"/>
                <w:sz w:val="18"/>
                <w:szCs w:val="18"/>
                <w:color w:val="auto"/>
              </w:rPr>
              <w:t>Sale/maturity of short-term investments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contingent acquisition consideration</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(33.6)</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(59.1)</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disposition of discontinued operations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180"/>
              <w:spacing w:after="0"/>
              <w:rPr>
                <w:sz w:val="20"/>
                <w:szCs w:val="20"/>
                <w:color w:val="auto"/>
              </w:rPr>
            </w:pPr>
            <w:r>
              <w:rPr>
                <w:rFonts w:ascii="Arial" w:cs="Arial" w:eastAsia="Arial" w:hAnsi="Arial"/>
                <w:sz w:val="18"/>
                <w:szCs w:val="18"/>
                <w:color w:val="auto"/>
              </w:rPr>
              <w:t>Cash transferred to restricted cash</w:t>
            </w:r>
          </w:p>
        </w:tc>
        <w:tc>
          <w:tcPr>
            <w:tcW w:w="100" w:type="dxa"/>
            <w:vAlign w:val="bottom"/>
          </w:tcPr>
          <w:p>
            <w:pPr>
              <w:spacing w:after="0"/>
              <w:rPr>
                <w:sz w:val="18"/>
                <w:szCs w:val="18"/>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unconsolidated subsidiary</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(7.1)</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94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tcPr>
          <w:p>
            <w:pPr>
              <w:spacing w:after="0"/>
              <w:rPr>
                <w:sz w:val="18"/>
                <w:szCs w:val="18"/>
                <w:color w:val="auto"/>
              </w:rPr>
            </w:pPr>
          </w:p>
        </w:tc>
        <w:tc>
          <w:tcPr>
            <w:tcW w:w="59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200" w:type="dxa"/>
            <w:vAlign w:val="bottom"/>
            <w:vMerge w:val="continue"/>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7440" w:type="dxa"/>
            <w:vAlign w:val="bottom"/>
            <w:gridSpan w:val="2"/>
          </w:tcPr>
          <w:p>
            <w:pPr>
              <w:jc w:val="right"/>
              <w:ind w:right="151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500" w:type="dxa"/>
            <w:vAlign w:val="bottom"/>
            <w:tcBorders>
              <w:bottom w:val="single" w:sz="8" w:color="010101"/>
            </w:tcBorders>
          </w:tcPr>
          <w:p>
            <w:pPr>
              <w:spacing w:after="0"/>
              <w:rPr>
                <w:sz w:val="24"/>
                <w:szCs w:val="24"/>
                <w:color w:val="auto"/>
              </w:rPr>
            </w:pPr>
          </w:p>
        </w:tc>
        <w:tc>
          <w:tcPr>
            <w:tcW w:w="59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5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2004, 2005 and 2006</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500" w:type="dxa"/>
        <w:tblCellMar>
          <w:top w:w="0" w:type="dxa"/>
          <w:left w:w="0" w:type="dxa"/>
          <w:bottom w:w="0" w:type="dxa"/>
          <w:right w:w="0" w:type="dxa"/>
        </w:tblCellMar>
      </w:tblPr>
      <w:tr>
        <w:trPr>
          <w:trHeight w:val="284"/>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5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r>
      <w:tr>
        <w:trPr>
          <w:trHeight w:val="202"/>
        </w:trPr>
        <w:tc>
          <w:tcPr>
            <w:tcW w:w="60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Proceeds from issuance of common stock under employee stock purchase</w:t>
            </w: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Borrowings under line of credit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under line of credit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Repayment of capital lease obligations</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(0.5)</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10"/>
        </w:trPr>
        <w:tc>
          <w:tcPr>
            <w:tcW w:w="60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8"/>
              </w:rPr>
              <w:t>Net cash provided by financing activities from continuing operations</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8"/>
                <w:szCs w:val="18"/>
                <w:color w:val="auto"/>
              </w:rPr>
              <w:t>Net cash flows of continuing operations</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(27.4)</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(31.3)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64"/>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of discontinued operations (Revised—see Note 1(s))</w:t>
            </w:r>
          </w:p>
        </w:tc>
        <w:tc>
          <w:tcPr>
            <w:tcW w:w="50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Operating cash flows</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cash flows</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r>
    </w:tbl>
    <w:p>
      <w:pPr>
        <w:sectPr>
          <w:pgSz w:w="11900" w:h="16838" w:orient="portrait"/>
          <w:cols w:equalWidth="0" w:num="1">
            <w:col w:w="11460"/>
          </w:cols>
          <w:pgMar w:left="240" w:top="904" w:right="199" w:bottom="0" w:gutter="0" w:footer="0" w:header="0"/>
        </w:sectPr>
      </w:pPr>
    </w:p>
    <w:bookmarkStart w:id="73" w:name="page74"/>
    <w:bookmarkEnd w:id="73"/>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Effect of exchange rates on cash and cash equivalents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Net cash flows of discontinued operations</w:t>
            </w: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Cash (paid) received during the year for interest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paid during the year for income taxes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84"/>
        </w:trPr>
        <w:tc>
          <w:tcPr>
            <w:tcW w:w="5720" w:type="dxa"/>
            <w:vAlign w:val="bottom"/>
          </w:tcPr>
          <w:p>
            <w:pPr>
              <w:spacing w:after="0"/>
              <w:rPr>
                <w:sz w:val="20"/>
                <w:szCs w:val="20"/>
                <w:color w:val="auto"/>
              </w:rPr>
            </w:pPr>
            <w:r>
              <w:rPr>
                <w:rFonts w:ascii="Arial" w:cs="Arial" w:eastAsia="Arial" w:hAnsi="Arial"/>
                <w:sz w:val="18"/>
                <w:szCs w:val="18"/>
                <w:color w:val="auto"/>
                <w:w w:val="95"/>
              </w:rPr>
              <w:t>Supplemental disclosures of non-cash investing and financing transactions: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assets acquired in acquisitions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Fixed assets financed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assumed in acquisitions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2004, 2005 and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121"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Wireless Facilities, Inc. (“WFI”) was initially incorporated in the state of New York on December 19, 1994, commenced operations in March 1995 and was reincorporated in Delaware in 1998. WFI historically conducted business in three segments: Wireless Network Services, Government Network Services and Enterprise Network Services. WFI was an independent, global provider of outsourced communications and security systems engineering and integration services for the wireless communications industry through its Wireless Network Services division (“WNS”), the U.S. government through its Government Network Services division (“GNS”), WFI Government Services, Inc., and enterprise customers through its Enterprise Network Services division (“ENS”).</w:t>
      </w:r>
    </w:p>
    <w:p>
      <w:pPr>
        <w:spacing w:after="0" w:line="50" w:lineRule="exact"/>
        <w:rPr>
          <w:sz w:val="20"/>
          <w:szCs w:val="20"/>
          <w:color w:val="auto"/>
        </w:rPr>
      </w:pPr>
    </w:p>
    <w:p>
      <w:pPr>
        <w:ind w:right="240" w:firstLine="360"/>
        <w:spacing w:after="0" w:line="308" w:lineRule="auto"/>
        <w:rPr>
          <w:sz w:val="20"/>
          <w:szCs w:val="20"/>
          <w:color w:val="auto"/>
        </w:rPr>
      </w:pPr>
      <w:r>
        <w:rPr>
          <w:rFonts w:ascii="Arial" w:cs="Arial" w:eastAsia="Arial" w:hAnsi="Arial"/>
          <w:sz w:val="17"/>
          <w:szCs w:val="17"/>
          <w:color w:val="auto"/>
        </w:rPr>
        <w:t>In 2006, WFI was an independent provider of outsourced engineering and network deployment services, security systems engineering and integration services and other technical services for the wireless communications industry, the U.S. government, and enterprise customers.</w:t>
      </w:r>
    </w:p>
    <w:p>
      <w:pPr>
        <w:spacing w:after="0" w:line="38"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8"/>
          <w:szCs w:val="18"/>
          <w:color w:val="auto"/>
        </w:rPr>
        <w:t>In 2006 and 2007, the Company undertook a transformation strategy that culminated in the divestiture in 2007 of its wireless-related businesses and chose to aggressively pursue business with the federal government, primarily the U.S. Department of Defense, through strategic acquisition. See Note 19, Subsequent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Principles of Consolidation</w:t>
      </w:r>
    </w:p>
    <w:p>
      <w:pPr>
        <w:spacing w:after="0" w:line="12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The consolidated financial statements include the accounts of WFI and its wholly-owned and majority-owned subsidiaries. WFI and its subsidiaries are collectively referred to herein as the “Company.”</w:t>
      </w:r>
    </w:p>
    <w:p>
      <w:pPr>
        <w:spacing w:after="0" w:line="62"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In 2003, the Company acquired three privately-held companies as part of its Enterprise Network Solutions segment (now Enterprise Network Services) that provides voice, data, security, system design, deployment, integration and monitoring for enterprise networks. In 2004, the Company acquired two privately-held companies as part of its Government Network Services segment that provides systems engineering, systems integration and the outsourcing of technical services such as operational test and evaluation and program management. In 2005, the Company acquired one privately-held company as part of its Government Network Services segment that provides services including network engineering, network infrastructure support, information assurance, application development, and managed services, including network maintenance and monitoring, to government agencies. On October 2, 2006 the Company completed the acquisition of Madison Research Corporation, which is also in the Government Network Services segment. See Note 6 for additional details regarding these acquisitions.</w:t>
      </w:r>
    </w:p>
    <w:p>
      <w:pPr>
        <w:spacing w:after="0" w:line="84"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All inter-company transactions have been eliminated in consolidation. Investments in unconsolidated affiliates are accounted for using the cost method and equity method. The cost method is used for companies in which the Company owns less than 20% and for which the Company has no significant influence.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Fiscal Calendar</w:t>
      </w:r>
    </w:p>
    <w:p>
      <w:pPr>
        <w:spacing w:after="0" w:line="121" w:lineRule="exact"/>
        <w:rPr>
          <w:sz w:val="20"/>
          <w:szCs w:val="20"/>
          <w:color w:val="auto"/>
        </w:rPr>
      </w:pPr>
    </w:p>
    <w:p>
      <w:pPr>
        <w:ind w:right="880" w:firstLine="360"/>
        <w:spacing w:after="0" w:line="277" w:lineRule="auto"/>
        <w:rPr>
          <w:sz w:val="20"/>
          <w:szCs w:val="20"/>
          <w:color w:val="auto"/>
        </w:rPr>
      </w:pPr>
      <w:r>
        <w:rPr>
          <w:rFonts w:ascii="Arial" w:cs="Arial" w:eastAsia="Arial" w:hAnsi="Arial"/>
          <w:sz w:val="18"/>
          <w:szCs w:val="18"/>
          <w:color w:val="auto"/>
        </w:rPr>
        <w:t>On November 7, 2006, the Board of Directors (the “Board”) of the Company approved a change in the fiscal year end from the last Friday in December to December 31. Concurrently, the Board approved a</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change in the interim fiscal periods to provide that the last day of the fiscal quarter shall be the last day of the calendar month of each quarter. As a result, the end of fiscal 2006, which would have ended on December 29, 2006, ended as of December 31, 2006. Prior to this change in fiscal year, the Company operated and reported using a 52-53 week fiscal year ending the last Friday in December. As a result, a fifty-third week was added every five or six years. Under the prior reporting system, each 52 week fiscal year consisted of four equal quarters of 13 weeks each, and each 53 week fiscal year consists of three 13 week quarters and one 14 week quarter. The change in fiscal year will not be applied to periods prior to the quarter ended September 30, 2006, and, consistent with prior reports, all prior fiscal periods presented or discussed in this report have been presented as ending on the last day of the nearest calendar month. The transition period from December 30 to December 31, 2006 did not result in a material impact to the 2006 financial statements.</w:t>
      </w:r>
    </w:p>
    <w:p>
      <w:pPr>
        <w:sectPr>
          <w:pgSz w:w="11900" w:h="16838" w:orient="portrait"/>
          <w:cols w:equalWidth="0" w:num="1">
            <w:col w:w="11380"/>
          </w:cols>
          <w:pgMar w:left="240" w:top="125" w:right="279" w:bottom="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(d) Cash Equivalents and Short-Term Investments</w:t>
      </w:r>
    </w:p>
    <w:p>
      <w:pPr>
        <w:spacing w:after="0" w:line="12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The Company’s cash equivalents consist of its highly liquid investments with an original maturity of three months or less when purchased by the Company. The Company has evaluated its investments in accordance with the provisions of Statement of Financial Accounting Standards (SFAS) No. 115, “Accounting for Certain Investments in Debt and Equity Securities.” Based on such evaluation, the Company’s management has determined that all of its investment securities are properly classified as available-for-sale. Based on the Company’s intent and board-approved investment policy and its ability to liquidate debt securities maturing after one year, the Company classifies such short-term investment securities within current assets. Available-for-sale securities are carried at fair value, with unrealized gains and losses reported as a separate component of Stockholders’ Equity within the caption “Accumulated Other Comprehensive Income (Loss).” The amortized cost basis of debt securities is periodically adjusted for amortization of premiums and accretion of discounts to maturity. Such amortization is included as a component of interest income (expense), net. The amortized cost basis of securities sold is based on the specific identification method and all such realized gains and losses are recorded as a component within other income (expense). Interest and dividends on securities classified as available-for-sale are included in interest income.</w:t>
      </w:r>
    </w:p>
    <w:p>
      <w:pPr>
        <w:spacing w:after="0" w:line="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As a result of the Company’s acquisition of Madison Research Corporation, on December 31, 2006 we had approximately $1.0 million in restricted cash related to collateral required for two foreign letters of credit issued outside of our credit facility. On June 5, 2007, the cash collateral became unrestricted upon cancellation of the two letters of credit.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Inventory</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Inventories are stated at the lower of cost or market and are comprised typically of supplies, including parts and materials. The Company regularly reviews inventory quantities on hand, future purchase commitments with its suppliers, and the estimated utility of its inventory. If the Company review indicates a reduction in utility below carrying value, it reduces its inventory to a new cost basis. As of December 31, 2006 and December 31, 2005, the Company had $2.3 million and $1.3 million, respectively, of inventories which were reflected in Other Current Assets on the Consolidated Balance Sheet, net of reserves of $0.2 million and $0.1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Property and Equipment, Net</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Property and equipment consists primarily of computer, field testing and office-related equipment and is recorded at cost. Equipment acquired under capital leases is recorded at the present value of the future minimum lease payments. Depreciation is calculated using the straight-line method over the estimated useful life of each asset, which is one to three years for computer equipment, five years for furniture and office equipment, and five to ten years for software for the Company’s enterprise systems. Equipment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acquired under capital leases is amortized over the shorter of the lease term or the estimated useful life of the asset. Improvements, which significantly improve and extend the useful life of an asset, are capitalized over the shorter of the lease period or the estimated useful life. Expenditures for maintenance and repairs are charged to operations as incurred.</w:t>
      </w:r>
    </w:p>
    <w:p>
      <w:pPr>
        <w:spacing w:after="0" w:line="6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accordance with Statement of Position 98-1, “Accounting for the Costs of Computer Software Developed or Obtained for Internal Use” (“SOP 98-1”), the Company expenses all internal-use software costs incurred in the preliminary project stage and capitalizes certain direct costs associated with the development and purchase of internal-use software within property and equipment. Capitalized costs are amortized on a straight-line basis over the estimated useful lives of the software.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Goodwill and Other Intangible Assets, Net</w:t>
      </w:r>
    </w:p>
    <w:p>
      <w:pPr>
        <w:spacing w:after="0" w:line="108"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In accordance with SFAS No. 142, “Goodwill and Other Intangible Assets,” we classify intangible assets into three categories: (1) intangible assets with definite lives subject to amortization, (2) intangible assets with indefinite lives not subject to amortization, and (3) goodwill. We test intangible assets with definite lives for impairment if conditions exist that indicate the carrying value may not be recoverable. Such conditions may include an economic downturn in a geographic market or a change in the assessment of future operations. We record an impairment charge when the carrying value of the definite lived intangible asset is not recoverable by the cash flows generated from the use of the asset.</w:t>
      </w:r>
    </w:p>
    <w:p>
      <w:pPr>
        <w:spacing w:after="0" w:line="5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Intangible assets with indefinite lives and goodwill are not amortized. We test these intangible assets and goodwill for impairment at least annually, typically in the fourth quarter, or more frequently if events or circumstances indicate that such intangible assets or goodwill might be impaired. All goodwill is assigned to our operating segments. We perform our impairment tests of goodwill at our reporting unit level. Such impairment tests for goodwill include comparing the fair value of the respective reporting unit with its carrying value, including goodwill. We use a variety of methodologies in conducting these impairment tests, including discounted cash flow analyses. When appropriate, we consider the assumptions that we believe hypothetical marketplace participants would use in estimating future cash flows. In addition, where applicable, an appropriate discount rate is used, based on the Company’s cost of capital rate. When the fair value is less than the carrying value of the intangible assets or the operating segment, we record an impairment charge to reduce the carrying value of the assets to fair value. These impairment charges are generally recorded in other operating charges.</w:t>
      </w:r>
    </w:p>
    <w:p>
      <w:pPr>
        <w:spacing w:after="0" w:line="58"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definite lives are amortized, generally on a straight-line basis, over their useful lives, ranging from 1 to 10 years. The estimated remaining useful lives also range from 1 to 10 years. Refer to Note 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Revenue Recognition</w:t>
      </w:r>
    </w:p>
    <w:p>
      <w:pPr>
        <w:spacing w:after="0" w:line="108"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The Company provides services to customers under three primary types of contracts: fixed-price; time and materials; and cost reimbursement. The Company realizes a significant portion of its revenue from long-term contracts and accounts for these contracts under the provisions of Statement of Position (SOP) 81-1, “Accounting for Performance of Construction-Type and Certain Production-Type Contracts.” Revenue on fixed-price contracts is recognized using the percentage-of-completion method of accounting based on the ratio of total costs incurred to date compared to estimated total costs to complete the contract. Estimates of costs to complete include materials, direct labor, overhead, and allowable general and administrative expenses (for government contracts). While the Company generally does not incur a</w:t>
      </w:r>
    </w:p>
    <w:p>
      <w:pPr>
        <w:sectPr>
          <w:pgSz w:w="11900" w:h="16838" w:orient="portrait"/>
          <w:cols w:equalWidth="0" w:num="1">
            <w:col w:w="11400"/>
          </w:cols>
          <w:pgMar w:left="240" w:top="121" w:right="259"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1400"/>
          </w:cols>
          <w:pgMar w:left="240" w:top="121" w:right="259" w:bottom="0" w:gutter="0" w:footer="0" w:header="0"/>
          <w:type w:val="continuous"/>
        </w:sectPr>
      </w:pPr>
    </w:p>
    <w:bookmarkStart w:id="75" w:name="page76"/>
    <w:bookmarkEnd w:id="7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t>material amount of set-up fees for its projects, such costs, if any, are excluded from the estimated total costs to complete the contract. Cost estimates are reviewed monthly on an individual contract basis, and are revised periodically throughout the life of the contract such that adjustments to profit resulting from revisions are made cumulative to the date of the revision. In certain instances in which the Company is awarded work on a phase by phase basis rather than on a total project basis such as the Company’s large deployment program with a national carrier to build cellular sites in certain geographical regions in the U.S., it is impractical to estimate the final outcome of the project margin, but it is certain that the Company will not incur a loss on the project, the Company</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may record revenue equal to cost incurred, at a zero profit margin. In the event that the cost incurred to date may be in excess of the funded contract value, the Company may defer those costs until the associated contract value has been funded by the customer. As of December 31, 2006, the Company deferred costs of $1.1 million in excess of funded contract value and has recorded this amount in other current assets. There was no comparable balance as of December 31, 2005. Once the estimate of the final outcome of the project margin is determined, the Company will record revenue using the percentage-of-completion method of accounting based on the ratio of total costs incurred to date compared to the estimated total costs to complete the project. The full amount of an estimated loss associated with a contract is accrued and charged to operations in the period it is determined that it is probable a loss will be realized from the performance of the contract.</w:t>
      </w:r>
    </w:p>
    <w:p>
      <w:pPr>
        <w:spacing w:after="0" w:line="58" w:lineRule="exact"/>
        <w:rPr>
          <w:sz w:val="20"/>
          <w:szCs w:val="20"/>
          <w:color w:val="auto"/>
        </w:rPr>
      </w:pPr>
    </w:p>
    <w:p>
      <w:pPr>
        <w:ind w:right="540" w:firstLine="360"/>
        <w:spacing w:after="0" w:line="308" w:lineRule="auto"/>
        <w:rPr>
          <w:sz w:val="20"/>
          <w:szCs w:val="20"/>
          <w:color w:val="auto"/>
        </w:rPr>
      </w:pPr>
      <w:r>
        <w:rPr>
          <w:rFonts w:ascii="Arial" w:cs="Arial" w:eastAsia="Arial" w:hAnsi="Arial"/>
          <w:sz w:val="17"/>
          <w:szCs w:val="17"/>
          <w:color w:val="auto"/>
        </w:rPr>
        <w:t>Significant management judgments and estimates, including the estimated costs to complete projects, which determine the project’s percentage of completion and profit margin must be made and used in connection with the revenue recognized in any accounting period.</w:t>
      </w:r>
    </w:p>
    <w:p>
      <w:pPr>
        <w:spacing w:after="0" w:line="25"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Accordingly, the revenue the Company recognizes in a given financial reporting period depends on (1) the costs the Company has incurred for individual projects, (2) the Company’s then current estimate of the total remaining costs to complete the individual projects and (3) current estimated contract value associated with the projects. In the Company’s wireless network services business, the estimated contract value and costs are impacted by the estimated number and mix of site types that we may be assigned. If, in any period, we significantly increase or decrease our estimate of the total costs to complete a project, and/or reduce or increase the associated contract value, revenue for that period would be impacted. To the extent that the Company’s estimates fluctuate over time or differ from actual results, gross margins in subsequent periods may vary significantly from previous estimates. Material differences may result in the amount and timing of the Company’s revenue for any period if management made different judgments or utilized different estimates. In the event the Company is unable to provide reliable cost estimates on a given project, the Company records revenue using the completed contract method. There are no contracts for which the Company utilized the completed contract method for the years ended December 31, 2006 and December 31, 2005.</w:t>
      </w:r>
    </w:p>
    <w:p>
      <w:pPr>
        <w:spacing w:after="0" w:line="32"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color w:val="auto"/>
        </w:rPr>
        <w:t>Many of the Company’s contracts in Wireless Network Services are master service agreements under which the Company is contracted to provide services to deploy a pre-determined and specific number of sites in specific geographic markets. These agreements are typically recognized on multiple projects to account for revenue under the combination or segmentation guidelines of SOP 81-1. These contractual arrangements with the Company’s customers typically include milestone billings. The milestone billing clauses relate specifically to the timing of customer billings and payment schedules, and are independent of the Company’s right to payment and the timing of when revenue is recognized. Under the terms of substantially all of the Company’s contracts, if a contract is terminated without proper cause by the customer, if the customer creates unplanned/unreasonable time delays, or if the customer modifies the contract tasks/scope, the Company has contractual rights to reimbursement in accordance with the terms and conditions regarding payment for work performed, but not yet billed (i.e., unbilled trade accounts receivable) at a gross profit margin that is consistent with the overall project margin. Furthermore, certain additional provisions compensate the Company for additional or excess costs incurred, whereby any scope reductions (i.e., reduction in original number of sites awarded) or other modifications are subject to reimbursement of costs incurred to date with a reasonable profit margin based on the contract value and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completed work at that time. The inherent aforementioned risks associated with the presence of potential “partial milestone billings” or “reductions in scope” are reflected in the Company’s ongoing periodic assessment of the “total contract value” and the associated revenue recognized. Total net unbilled accounts receivable at December 31, 2005 and December 31, 2006 were $46.8 million and $47.9 million, respectively. The Company periodically performs work under authorizations to proceed or work orders from its customers for which a formal purchase order may not be received until after the work has commenced. As of December 31, 2006, approximately $3.6 million of the Company’s unbilled accounts receivable balance were under unapproved change orders or claims. The Company expects that substantially all of the unbilled balances as of December 31, 2006 will be billed within one year as billing and performance milestones are achieved.</w:t>
      </w:r>
    </w:p>
    <w:p>
      <w:pPr>
        <w:spacing w:after="0" w:line="68" w:lineRule="exact"/>
        <w:rPr>
          <w:sz w:val="20"/>
          <w:szCs w:val="20"/>
          <w:color w:val="auto"/>
        </w:rPr>
      </w:pPr>
    </w:p>
    <w:p>
      <w:pPr>
        <w:ind w:right="220" w:firstLine="360"/>
        <w:spacing w:after="0" w:line="302" w:lineRule="auto"/>
        <w:rPr>
          <w:sz w:val="20"/>
          <w:szCs w:val="20"/>
          <w:color w:val="auto"/>
        </w:rPr>
      </w:pPr>
      <w:r>
        <w:rPr>
          <w:rFonts w:ascii="Arial" w:cs="Arial" w:eastAsia="Arial" w:hAnsi="Arial"/>
          <w:sz w:val="16"/>
          <w:szCs w:val="16"/>
          <w:color w:val="auto"/>
        </w:rPr>
        <w:t>Revenue from certain time and materials and fixed-price contracts are recognized when realized or realizable and earned, in accordance with Staff Accounting Bulletin (SAB) 101, as revised by SAB 104 (recognized when services are rendered at contracted labor rates, when materials are delivered and when other direct costs are incurred). Additionally, based on management’s periodic assessment of the collectibility of its accounts receivable, credit worthiness and financial condition of customers, the Company determines if collection is reasonably assured prior to the recognition of revenue.</w:t>
      </w:r>
    </w:p>
    <w:p>
      <w:pPr>
        <w:spacing w:after="0" w:line="33"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The Company’s government network services business with the U.S. government and prime contractors to the U.S. government is generally performed under cost reimbursable plus fixed fee, fixed-price or time and material contracts. Cost reimbursable contracts for the government provide for reimbursement of costs plus the payment of a fee. The Company records the fee as costs are incurred. Under fixed-price contracts, the Company agrees to perform certain work for a fixed price. Under time and materials contracts, the Company is reimbursed for labor hours at negotiated hourly billing rates and is reimbursed for travel and other direct expenses at actual costs plus applied general and administrative expenses. Under certain of the Company’s contractual arrangements, the Company may also recognize revenue for out-of-pocket expenses in accordance with EITF 01-14 “Income Statement Characterization of Reimbursements Received for “Out-of-Pocket Expenses Incurred.” Depending on the contractual arrangement, these expenses may be reimbursed with or without a fee.</w:t>
      </w:r>
    </w:p>
    <w:p>
      <w:pPr>
        <w:spacing w:after="0" w:line="59" w:lineRule="exact"/>
        <w:rPr>
          <w:sz w:val="20"/>
          <w:szCs w:val="20"/>
          <w:color w:val="auto"/>
        </w:rPr>
      </w:pPr>
    </w:p>
    <w:p>
      <w:pPr>
        <w:jc w:val="both"/>
        <w:ind w:right="180" w:firstLine="360"/>
        <w:spacing w:after="0" w:line="312" w:lineRule="auto"/>
        <w:rPr>
          <w:sz w:val="20"/>
          <w:szCs w:val="20"/>
          <w:color w:val="auto"/>
        </w:rPr>
      </w:pPr>
      <w:r>
        <w:rPr>
          <w:rFonts w:ascii="Arial" w:cs="Arial" w:eastAsia="Arial" w:hAnsi="Arial"/>
          <w:sz w:val="16"/>
          <w:szCs w:val="16"/>
          <w:color w:val="auto"/>
        </w:rPr>
        <w:t>Under certain of its contracts, the Company provides supplier procurement services and materials for its customers. The Company records revenue on these arrangements on a gross or net basis in accordance with EITF 99-19, “Reporting Revenue Gross as a Principal versus Net as an Agent,” depending on the specific circumstances of the arrangement. The Company considers the following criteria, among others, for recording revenue on a gross or net basis:</w:t>
      </w:r>
    </w:p>
    <w:p>
      <w:pPr>
        <w:spacing w:after="0" w:line="25" w:lineRule="exact"/>
        <w:rPr>
          <w:sz w:val="20"/>
          <w:szCs w:val="20"/>
          <w:color w:val="auto"/>
        </w:rPr>
      </w:pPr>
    </w:p>
    <w:p>
      <w:pPr>
        <w:ind w:left="1080" w:hanging="35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103" w:lineRule="exact"/>
        <w:rPr>
          <w:rFonts w:ascii="Arial" w:cs="Arial" w:eastAsia="Arial" w:hAnsi="Arial"/>
          <w:sz w:val="18"/>
          <w:szCs w:val="18"/>
          <w:color w:val="auto"/>
        </w:rPr>
      </w:pPr>
    </w:p>
    <w:p>
      <w:pPr>
        <w:ind w:left="1080" w:hanging="35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117" w:lineRule="exact"/>
        <w:rPr>
          <w:rFonts w:ascii="Arial" w:cs="Arial" w:eastAsia="Arial" w:hAnsi="Arial"/>
          <w:sz w:val="18"/>
          <w:szCs w:val="18"/>
          <w:color w:val="auto"/>
        </w:rPr>
      </w:pPr>
    </w:p>
    <w:p>
      <w:pPr>
        <w:ind w:left="1080" w:hanging="35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103" w:lineRule="exact"/>
        <w:rPr>
          <w:rFonts w:ascii="Arial" w:cs="Arial" w:eastAsia="Arial" w:hAnsi="Arial"/>
          <w:sz w:val="18"/>
          <w:szCs w:val="18"/>
          <w:color w:val="auto"/>
        </w:rPr>
      </w:pPr>
    </w:p>
    <w:p>
      <w:pPr>
        <w:ind w:left="1080" w:hanging="35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103" w:lineRule="exact"/>
        <w:rPr>
          <w:rFonts w:ascii="Arial" w:cs="Arial" w:eastAsia="Arial" w:hAnsi="Arial"/>
          <w:sz w:val="18"/>
          <w:szCs w:val="18"/>
          <w:color w:val="auto"/>
        </w:rPr>
      </w:pPr>
    </w:p>
    <w:p>
      <w:pPr>
        <w:ind w:left="1080" w:hanging="35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ectPr>
          <w:pgSz w:w="11900" w:h="16838" w:orient="portrait"/>
          <w:cols w:equalWidth="0" w:num="1">
            <w:col w:w="11400"/>
          </w:cols>
          <w:pgMar w:left="240" w:top="868" w:right="259" w:bottom="19"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 Allowance for Doubtful Accounts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which results in bad debt expense. Management periodically determines the adequacy of this allowance by evaluating the comprehensive risk profiles of all individual customer receivable balances including, but not limited to, the customer’s financial condition,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collectibility and records allowances for doubtful accounts when deemed appropriate, based on its assessment of the associated credit risks. Total retainages included in accounts receivable were $1.5 million and $1.2 million at December 31, 2005 and 2006, respectively. In addition, $0.2 million of retainages at December 31, 2006 that are expected to be paid after 2007 are included in other assets (long term). Changes to estimates of contract value are recorded as adjustments to revenue and not as a component of the allowance of doubtful accounts. Allowances for doubtful accounts on billed accounts receivable as of December 31, 2005 and December 31, 2006 were $0.8 million and $0.5 million, respectively.</w:t>
      </w:r>
    </w:p>
    <w:p>
      <w:pPr>
        <w:spacing w:after="0" w:line="84"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The following table outlines the balance of the Company’s Allowance for Doubtful Account for 2004, 2005 and 2006. It identifies the additional provisions each year as well as the write-offs that utilized the allowance.</w:t>
      </w:r>
    </w:p>
    <w:p>
      <w:pPr>
        <w:spacing w:after="0" w:line="132"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Write-offs/</w:t>
            </w: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35"/>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Allowance for Doubtful Accounts</w:t>
            </w: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at Beginning of</w:t>
            </w: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Provisions</w:t>
            </w:r>
          </w:p>
        </w:tc>
        <w:tc>
          <w:tcPr>
            <w:tcW w:w="96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80" w:type="dxa"/>
            <w:vAlign w:val="bottom"/>
            <w:gridSpan w:val="2"/>
            <w:vMerge w:val="continue"/>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920" w:type="dxa"/>
            <w:vAlign w:val="bottom"/>
            <w:gridSpan w:val="3"/>
            <w:vMerge w:val="continue"/>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Recoveries</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at End of Year</w:t>
            </w:r>
          </w:p>
        </w:tc>
        <w:tc>
          <w:tcPr>
            <w:tcW w:w="0" w:type="dxa"/>
            <w:vAlign w:val="bottom"/>
          </w:tcPr>
          <w:p>
            <w:pPr>
              <w:spacing w:after="0"/>
              <w:rPr>
                <w:sz w:val="1"/>
                <w:szCs w:val="1"/>
                <w:color w:val="auto"/>
              </w:rPr>
            </w:pPr>
          </w:p>
        </w:tc>
      </w:tr>
      <w:tr>
        <w:trPr>
          <w:trHeight w:val="196"/>
        </w:trPr>
        <w:tc>
          <w:tcPr>
            <w:tcW w:w="34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2004</w:t>
            </w: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4"/>
              </w:rPr>
              <w:t>$ 1.4</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0.5</w:t>
            </w: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 (0.7)</w:t>
            </w: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$ 1.2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Year ended December 31, 2005</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84"/>
              </w:rPr>
              <w:t>$ 1.2</w:t>
            </w:r>
          </w:p>
        </w:tc>
        <w:tc>
          <w:tcPr>
            <w:tcW w:w="22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0.3</w:t>
            </w:r>
          </w:p>
        </w:tc>
        <w:tc>
          <w:tcPr>
            <w:tcW w:w="220" w:type="dxa"/>
            <w:vAlign w:val="bottom"/>
          </w:tcPr>
          <w:p>
            <w:pPr>
              <w:spacing w:after="0"/>
              <w:rPr>
                <w:sz w:val="17"/>
                <w:szCs w:val="17"/>
                <w:color w:val="auto"/>
              </w:rPr>
            </w:pPr>
          </w:p>
        </w:tc>
        <w:tc>
          <w:tcPr>
            <w:tcW w:w="7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 (0.7)</w:t>
            </w:r>
          </w:p>
        </w:tc>
        <w:tc>
          <w:tcPr>
            <w:tcW w:w="22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89"/>
              </w:rPr>
              <w:t>$ 0.8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2006</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4"/>
              </w:rPr>
              <w:t>$ 0.8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(0.1)</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 (0.2)</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$ 0.5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Income Taxes</w:t>
      </w:r>
    </w:p>
    <w:p>
      <w:pPr>
        <w:spacing w:after="0" w:line="121" w:lineRule="exact"/>
        <w:rPr>
          <w:sz w:val="20"/>
          <w:szCs w:val="20"/>
          <w:color w:val="auto"/>
        </w:rPr>
      </w:pPr>
    </w:p>
    <w:p>
      <w:pPr>
        <w:jc w:val="both"/>
        <w:ind w:right="460" w:firstLine="360"/>
        <w:spacing w:after="0" w:line="302"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33" w:lineRule="exact"/>
        <w:rPr>
          <w:sz w:val="20"/>
          <w:szCs w:val="20"/>
          <w:color w:val="auto"/>
        </w:rPr>
      </w:pPr>
    </w:p>
    <w:p>
      <w:pPr>
        <w:jc w:val="both"/>
        <w:ind w:right="460" w:firstLine="360"/>
        <w:spacing w:after="0" w:line="312" w:lineRule="auto"/>
        <w:rPr>
          <w:sz w:val="20"/>
          <w:szCs w:val="20"/>
          <w:color w:val="auto"/>
        </w:rPr>
      </w:pPr>
      <w:r>
        <w:rPr>
          <w:rFonts w:ascii="Arial" w:cs="Arial" w:eastAsia="Arial" w:hAnsi="Arial"/>
          <w:sz w:val="16"/>
          <w:szCs w:val="16"/>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25" w:lineRule="exact"/>
        <w:rPr>
          <w:sz w:val="20"/>
          <w:szCs w:val="20"/>
          <w:color w:val="auto"/>
        </w:rPr>
      </w:pPr>
    </w:p>
    <w:p>
      <w:pPr>
        <w:jc w:val="both"/>
        <w:ind w:right="60" w:firstLine="360"/>
        <w:spacing w:after="0" w:line="302" w:lineRule="auto"/>
        <w:rPr>
          <w:sz w:val="20"/>
          <w:szCs w:val="20"/>
          <w:color w:val="auto"/>
        </w:rPr>
      </w:pPr>
      <w:r>
        <w:rPr>
          <w:rFonts w:ascii="Arial" w:cs="Arial" w:eastAsia="Arial" w:hAnsi="Arial"/>
          <w:sz w:val="16"/>
          <w:szCs w:val="16"/>
          <w:color w:val="auto"/>
        </w:rPr>
        <w:t>In assessing the realizability of deferred tax assets, management considers, on a periodic basis, whether it is more likely than not that some portion or all of the deferred tax assets will not be realized. As of December 31, 2006, Management has concluded that an increase to the valuation allowance was required based on its overall assessment of the risks and uncertainties related to its future ability to realize and utilize the Company’s deferred tax assets. Accordingly, management believes the current valuation allowance on deferred tax assets is sufficient and properly stated at December 31, 2006.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Stock-Based Compensation</w:t>
      </w:r>
    </w:p>
    <w:p>
      <w:pPr>
        <w:spacing w:after="0" w:line="12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Effective January 1, 2006, the Company adopted the provisions of Statement of Financial Accounting Standards No. 123R (“SFAS 123R”), “Share-Based Payments,” which requires the measurement and recognition of compensation expense for all share-based payment awards to employees and directors based on estimated fair values. SFAS 123R supersedes the Company’s previous accounting methodology using the intrinsic value method under Accounting Principles Board Opinion APB No. 25, “Accounting for Stock Issued to Employees.” Under the intrinsic value method, no share-based compensation expense related to stock option awards granted to employees had been recognized in the Company’s Consolidated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Statements of Operations, until the completion of the Equity Award Review in 2007 as adjustments to record stock-based compensation expense were identified. The Company has no awards with market or performance conditions.</w:t>
      </w:r>
    </w:p>
    <w:p>
      <w:pPr>
        <w:spacing w:after="0" w:line="62"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On November 10, 2005, the FASB issued FASB Staff Position No. FAS 123(R)-3, “Transition Election Related to Accounting for Tax Effects of Share-Based Payment Awards.” The Company has elected to adopt the alternative transition method provided in this FASB Staff Position for calculating the tax effects of share-based compensation pursuant to FAS 123R. The alternative transition method includes a simplified method to establish the beginning balance of the additional paid-in capital pool (APIC pool) related to the tax effects of employee share-based compensation, which is available to absorb tax deficiencies which could be recognized subsequent to the adoption of FAS 123R.</w:t>
      </w:r>
    </w:p>
    <w:p>
      <w:pPr>
        <w:spacing w:after="0" w:line="80" w:lineRule="exact"/>
        <w:rPr>
          <w:sz w:val="20"/>
          <w:szCs w:val="20"/>
          <w:color w:val="auto"/>
        </w:rPr>
      </w:pPr>
    </w:p>
    <w:p>
      <w:pPr>
        <w:ind w:right="200" w:firstLine="360"/>
        <w:spacing w:after="0" w:line="291" w:lineRule="auto"/>
        <w:rPr>
          <w:sz w:val="20"/>
          <w:szCs w:val="20"/>
          <w:color w:val="auto"/>
        </w:rPr>
      </w:pPr>
      <w:r>
        <w:rPr>
          <w:rFonts w:ascii="Arial" w:cs="Arial" w:eastAsia="Arial" w:hAnsi="Arial"/>
          <w:sz w:val="16"/>
          <w:szCs w:val="16"/>
          <w:color w:val="auto"/>
        </w:rPr>
        <w:t>The Company adopted SFAS 123R using the modified prospective transition method. Under this transition method, compensation expense recognized during the year ended December 31, 2006 included: (a) compensation expense for all share-based awards granted prior to, but not yet vested, as of December 31, 2005, based on the grant date fair value estimated in accordance with the original provisions of SFAS 123, and (b) compensation expense for all share-based awards granted subsequent to December 31, 2005, based on the grant date fair value estimated in accordance with the provisions of SFAS 123R. In accordance with the modified prospective transition method, the Company’s consolidated financial statements for prior periods have not been restated to reflect the impact of SFAS 123R. The Company adopted SFAS 123R as of January 1, 2006 and had $11.6 million related to equity awards for continuing operations and $0.3 million related to equity awards for discontinued operations that was expensed for the year ended December 31, 2006.</w:t>
      </w:r>
    </w:p>
    <w:p>
      <w:pPr>
        <w:spacing w:after="0" w:line="59" w:lineRule="exact"/>
        <w:rPr>
          <w:sz w:val="20"/>
          <w:szCs w:val="20"/>
          <w:color w:val="auto"/>
        </w:rPr>
      </w:pPr>
    </w:p>
    <w:p>
      <w:pPr>
        <w:ind w:right="420" w:firstLine="360"/>
        <w:spacing w:after="0" w:line="259" w:lineRule="auto"/>
        <w:rPr>
          <w:sz w:val="20"/>
          <w:szCs w:val="20"/>
          <w:color w:val="auto"/>
        </w:rPr>
      </w:pPr>
      <w:r>
        <w:rPr>
          <w:rFonts w:ascii="Arial" w:cs="Arial" w:eastAsia="Arial" w:hAnsi="Arial"/>
          <w:sz w:val="18"/>
          <w:szCs w:val="18"/>
          <w:color w:val="auto"/>
        </w:rPr>
        <w:t>The following table shows the amounts recognized in the financial statements for the full year of 2006 from continuing operations for share-based compensation related to employees (in millions, except per share data). In addition, for the twelve months ended December 31, 2006, there was no incremental tax benefit from stock options exercised in the period due to expected tax losses for the year. The Company recorded cash received from the exercise of stock options of $0.5 million.</w:t>
      </w:r>
    </w:p>
    <w:p>
      <w:pPr>
        <w:sectPr>
          <w:pgSz w:w="11900" w:h="16838" w:orient="portrait"/>
          <w:cols w:equalWidth="0" w:num="1">
            <w:col w:w="11400"/>
          </w:cols>
          <w:pgMar w:left="240" w:top="121" w:right="259" w:bottom="0" w:gutter="0" w:footer="0" w:header="0"/>
        </w:sectPr>
      </w:pPr>
    </w:p>
    <w:bookmarkStart w:id="77" w:name="page78"/>
    <w:bookmarkEnd w:id="77"/>
    <w:tbl>
      <w:tblPr>
        <w:tblLayout w:type="fixed"/>
        <w:tblInd w:w="19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7"/>
              </w:rPr>
              <w:t>Full Year</w:t>
            </w:r>
          </w:p>
        </w:tc>
        <w:tc>
          <w:tcPr>
            <w:tcW w:w="0" w:type="dxa"/>
            <w:vAlign w:val="bottom"/>
          </w:tcPr>
          <w:p>
            <w:pPr>
              <w:spacing w:after="0"/>
              <w:rPr>
                <w:sz w:val="1"/>
                <w:szCs w:val="1"/>
                <w:color w:val="auto"/>
              </w:rPr>
            </w:pPr>
          </w:p>
        </w:tc>
      </w:tr>
      <w:tr>
        <w:trPr>
          <w:trHeight w:val="135"/>
        </w:trPr>
        <w:tc>
          <w:tcPr>
            <w:tcW w:w="6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4"/>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35"/>
        </w:trPr>
        <w:tc>
          <w:tcPr>
            <w:tcW w:w="6580" w:type="dxa"/>
            <w:vAlign w:val="bottom"/>
          </w:tcPr>
          <w:p>
            <w:pPr>
              <w:spacing w:after="0"/>
              <w:rPr>
                <w:sz w:val="11"/>
                <w:szCs w:val="11"/>
                <w:color w:val="auto"/>
              </w:rPr>
            </w:pPr>
          </w:p>
        </w:tc>
        <w:tc>
          <w:tcPr>
            <w:tcW w:w="102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2006</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revenues</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580" w:type="dxa"/>
            <w:vAlign w:val="bottom"/>
            <w:shd w:val="clear" w:color="auto" w:fill="CCEEFF"/>
          </w:tcPr>
          <w:p>
            <w:pPr>
              <w:ind w:left="180"/>
              <w:spacing w:after="0" w:line="169" w:lineRule="exact"/>
              <w:rPr>
                <w:sz w:val="20"/>
                <w:szCs w:val="20"/>
                <w:color w:val="auto"/>
              </w:rPr>
            </w:pPr>
            <w:r>
              <w:rPr>
                <w:rFonts w:ascii="Arial" w:cs="Arial" w:eastAsia="Arial" w:hAnsi="Arial"/>
                <w:sz w:val="18"/>
                <w:szCs w:val="18"/>
                <w:color w:val="auto"/>
                <w:w w:val="94"/>
              </w:rPr>
              <w:t>Total cost of employee share-based compensation included in operating loss, before</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Amount of income tax recognized in earnings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Amount charged against income from continuing operations</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Amount charged against income from discontinued operations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charged against income</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Impact on net income (loss) per common share:</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5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proforma effects of recognizing estimated compensation expense under the fair value method on net income and earnings per common share for the years ended December 31, 2004 and 2005 were as follows (in millions, except per share data):</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STOCK-BASED COMPENSATION EXPENSE FOR 2004 AND 2005</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per share data)</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12"/>
          </w:tcPr>
          <w:p>
            <w:pPr>
              <w:jc w:val="center"/>
              <w:ind w:right="380"/>
              <w:spacing w:after="0"/>
              <w:rPr>
                <w:sz w:val="20"/>
                <w:szCs w:val="20"/>
                <w:color w:val="auto"/>
              </w:rPr>
            </w:pPr>
            <w:r>
              <w:rPr>
                <w:rFonts w:ascii="Arial" w:cs="Arial" w:eastAsia="Arial" w:hAnsi="Arial"/>
                <w:sz w:val="14"/>
                <w:szCs w:val="14"/>
                <w:b w:val="1"/>
                <w:bCs w:val="1"/>
                <w:color w:val="auto"/>
                <w:w w:val="92"/>
              </w:rPr>
              <w:t>Year Ended December 31, 2004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13"/>
          </w:tcPr>
          <w:p>
            <w:pPr>
              <w:ind w:left="220"/>
              <w:spacing w:after="0"/>
              <w:rPr>
                <w:sz w:val="20"/>
                <w:szCs w:val="20"/>
                <w:color w:val="auto"/>
              </w:rPr>
            </w:pPr>
            <w:r>
              <w:rPr>
                <w:rFonts w:ascii="Arial" w:cs="Arial" w:eastAsia="Arial" w:hAnsi="Arial"/>
                <w:sz w:val="14"/>
                <w:szCs w:val="14"/>
                <w:b w:val="1"/>
                <w:bCs w:val="1"/>
                <w:color w:val="auto"/>
              </w:rPr>
              <w:t>Year Ended December 31, 2005</w:t>
            </w:r>
          </w:p>
        </w:tc>
        <w:tc>
          <w:tcPr>
            <w:tcW w:w="0" w:type="dxa"/>
            <w:vAlign w:val="bottom"/>
          </w:tcPr>
          <w:p>
            <w:pPr>
              <w:spacing w:after="0"/>
              <w:rPr>
                <w:sz w:val="1"/>
                <w:szCs w:val="1"/>
                <w:color w:val="auto"/>
              </w:rPr>
            </w:pPr>
          </w:p>
        </w:tc>
      </w:tr>
      <w:tr>
        <w:trPr>
          <w:trHeight w:val="102"/>
        </w:trPr>
        <w:tc>
          <w:tcPr>
            <w:tcW w:w="30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4"/>
          </w:tcPr>
          <w:p>
            <w:pPr>
              <w:jc w:val="center"/>
              <w:ind w:right="160"/>
              <w:spacing w:after="0" w:line="102" w:lineRule="exact"/>
              <w:rPr>
                <w:sz w:val="20"/>
                <w:szCs w:val="20"/>
                <w:color w:val="auto"/>
              </w:rPr>
            </w:pPr>
            <w:r>
              <w:rPr>
                <w:rFonts w:ascii="Arial" w:cs="Arial" w:eastAsia="Arial" w:hAnsi="Arial"/>
                <w:sz w:val="11"/>
                <w:szCs w:val="11"/>
                <w:b w:val="1"/>
                <w:bCs w:val="1"/>
                <w:color w:val="auto"/>
              </w:rPr>
              <w:t>Adjustment</w:t>
            </w: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5"/>
          </w:tcPr>
          <w:p>
            <w:pPr>
              <w:jc w:val="center"/>
              <w:ind w:right="200"/>
              <w:spacing w:after="0" w:line="102" w:lineRule="exact"/>
              <w:rPr>
                <w:sz w:val="20"/>
                <w:szCs w:val="20"/>
                <w:color w:val="auto"/>
              </w:rPr>
            </w:pPr>
            <w:r>
              <w:rPr>
                <w:rFonts w:ascii="Arial" w:cs="Arial" w:eastAsia="Arial" w:hAnsi="Arial"/>
                <w:sz w:val="11"/>
                <w:szCs w:val="11"/>
                <w:b w:val="1"/>
                <w:bCs w:val="1"/>
                <w:color w:val="auto"/>
              </w:rPr>
              <w:t>Adjustment</w:t>
            </w:r>
          </w:p>
        </w:tc>
        <w:tc>
          <w:tcPr>
            <w:tcW w:w="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9"/>
              </w:rPr>
              <w:t>As</w:t>
            </w:r>
          </w:p>
        </w:tc>
        <w:tc>
          <w:tcPr>
            <w:tcW w:w="1120" w:type="dxa"/>
            <w:vAlign w:val="bottom"/>
            <w:gridSpan w:val="4"/>
          </w:tcPr>
          <w:p>
            <w:pPr>
              <w:jc w:val="center"/>
              <w:ind w:right="160"/>
              <w:spacing w:after="0" w:line="135" w:lineRule="exact"/>
              <w:rPr>
                <w:sz w:val="20"/>
                <w:szCs w:val="20"/>
                <w:color w:val="auto"/>
              </w:rPr>
            </w:pPr>
            <w:r>
              <w:rPr>
                <w:rFonts w:ascii="Arial" w:cs="Arial" w:eastAsia="Arial" w:hAnsi="Arial"/>
                <w:sz w:val="14"/>
                <w:szCs w:val="14"/>
                <w:b w:val="1"/>
                <w:bCs w:val="1"/>
                <w:color w:val="auto"/>
                <w:w w:val="91"/>
              </w:rPr>
              <w:t>for Stock-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9"/>
              </w:rPr>
              <w:t>As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w:t>
            </w:r>
          </w:p>
        </w:tc>
        <w:tc>
          <w:tcPr>
            <w:tcW w:w="1160" w:type="dxa"/>
            <w:vAlign w:val="bottom"/>
            <w:gridSpan w:val="5"/>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for Stock-</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85"/>
              </w:rPr>
              <w:t>Based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4"/>
          </w:tcPr>
          <w:p>
            <w:pPr>
              <w:jc w:val="center"/>
              <w:ind w:right="420"/>
              <w:spacing w:after="0" w:line="135" w:lineRule="exact"/>
              <w:rPr>
                <w:sz w:val="20"/>
                <w:szCs w:val="20"/>
                <w:color w:val="auto"/>
              </w:rPr>
            </w:pPr>
            <w:r>
              <w:rPr>
                <w:rFonts w:ascii="Arial" w:cs="Arial" w:eastAsia="Arial" w:hAnsi="Arial"/>
                <w:sz w:val="14"/>
                <w:szCs w:val="14"/>
                <w:b w:val="1"/>
                <w:bCs w:val="1"/>
                <w:color w:val="auto"/>
                <w:w w:val="85"/>
              </w:rPr>
              <w:t>Based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Reported</w:t>
            </w:r>
          </w:p>
        </w:tc>
        <w:tc>
          <w:tcPr>
            <w:tcW w:w="11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Restated</w:t>
            </w:r>
          </w:p>
        </w:tc>
        <w:tc>
          <w:tcPr>
            <w:tcW w:w="880" w:type="dxa"/>
            <w:vAlign w:val="bottom"/>
            <w:gridSpan w:val="5"/>
          </w:tcPr>
          <w:p>
            <w:pPr>
              <w:ind w:left="60"/>
              <w:spacing w:after="0"/>
              <w:rPr>
                <w:sz w:val="20"/>
                <w:szCs w:val="20"/>
                <w:color w:val="auto"/>
              </w:rPr>
            </w:pPr>
            <w:r>
              <w:rPr>
                <w:rFonts w:ascii="Arial" w:cs="Arial" w:eastAsia="Arial" w:hAnsi="Arial"/>
                <w:sz w:val="14"/>
                <w:szCs w:val="14"/>
                <w:b w:val="1"/>
                <w:bCs w:val="1"/>
                <w:color w:val="auto"/>
              </w:rPr>
              <w:t>Reported</w:t>
            </w:r>
          </w:p>
        </w:tc>
        <w:tc>
          <w:tcPr>
            <w:tcW w:w="11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4"/>
                <w:szCs w:val="14"/>
                <w:color w:val="auto"/>
              </w:rPr>
            </w:pPr>
          </w:p>
        </w:tc>
        <w:tc>
          <w:tcPr>
            <w:tcW w:w="7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$ 10.0</w:t>
            </w: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rPr>
              <w:t>Add: Stock-based compensation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w w:val="94"/>
              </w:rPr>
              <w:t>expense included in net income (loss)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Deduct: Stock-based compensation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 determined under the fair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method</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(16.3)</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(42.8)</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(loss)—pro forma</w:t>
            </w: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$ 12.4</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(39.0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gridSpan w:val="2"/>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Net income (loss) per share (basic)—</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vMerge w:val="continue"/>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(0.16)</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(0.53)</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(0.59)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060" w:type="dxa"/>
            <w:vAlign w:val="bottom"/>
          </w:tcPr>
          <w:p>
            <w:pPr>
              <w:ind w:left="180"/>
              <w:spacing w:after="0"/>
              <w:rPr>
                <w:sz w:val="20"/>
                <w:szCs w:val="20"/>
                <w:color w:val="auto"/>
              </w:rPr>
            </w:pPr>
            <w:r>
              <w:rPr>
                <w:rFonts w:ascii="Arial" w:cs="Arial" w:eastAsia="Arial" w:hAnsi="Arial"/>
                <w:sz w:val="18"/>
                <w:szCs w:val="18"/>
                <w:color w:val="auto"/>
              </w:rPr>
              <w:t>pro forma</w:t>
            </w:r>
          </w:p>
        </w:tc>
        <w:tc>
          <w:tcPr>
            <w:tcW w:w="200" w:type="dxa"/>
            <w:vAlign w:val="bottom"/>
            <w:gridSpan w:val="2"/>
            <w:vMerge w:val="continue"/>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gridSpan w:val="2"/>
            <w:vMerge w:val="continue"/>
          </w:tcPr>
          <w:p>
            <w:pPr>
              <w:spacing w:after="0"/>
              <w:rPr>
                <w:sz w:val="22"/>
                <w:szCs w:val="22"/>
                <w:color w:val="auto"/>
              </w:rPr>
            </w:pPr>
          </w:p>
        </w:tc>
        <w:tc>
          <w:tcPr>
            <w:tcW w:w="4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52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5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0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(loss) per share (diluted)</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line="195" w:lineRule="exact"/>
              <w:rPr>
                <w:sz w:val="20"/>
                <w:szCs w:val="20"/>
                <w:color w:val="auto"/>
              </w:rPr>
            </w:pPr>
            <w:r>
              <w:rPr>
                <w:rFonts w:ascii="Arial" w:cs="Arial" w:eastAsia="Arial" w:hAnsi="Arial"/>
                <w:sz w:val="18"/>
                <w:szCs w:val="18"/>
                <w:color w:val="auto"/>
                <w:w w:val="98"/>
              </w:rPr>
              <w:t>Net income (loss) per share (diluted)—</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vMerge w:val="continue"/>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(0.16)</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(0.52)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(0.58)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060" w:type="dxa"/>
            <w:vAlign w:val="bottom"/>
          </w:tcPr>
          <w:p>
            <w:pPr>
              <w:ind w:left="180"/>
              <w:spacing w:after="0"/>
              <w:rPr>
                <w:sz w:val="20"/>
                <w:szCs w:val="20"/>
                <w:color w:val="auto"/>
              </w:rPr>
            </w:pPr>
            <w:r>
              <w:rPr>
                <w:rFonts w:ascii="Arial" w:cs="Arial" w:eastAsia="Arial" w:hAnsi="Arial"/>
                <w:sz w:val="18"/>
                <w:szCs w:val="18"/>
                <w:color w:val="auto"/>
              </w:rPr>
              <w:t>pro forma</w:t>
            </w:r>
          </w:p>
        </w:tc>
        <w:tc>
          <w:tcPr>
            <w:tcW w:w="200" w:type="dxa"/>
            <w:vAlign w:val="bottom"/>
            <w:gridSpan w:val="2"/>
            <w:vMerge w:val="continue"/>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gridSpan w:val="2"/>
            <w:vMerge w:val="continue"/>
          </w:tcPr>
          <w:p>
            <w:pPr>
              <w:spacing w:after="0"/>
              <w:rPr>
                <w:sz w:val="22"/>
                <w:szCs w:val="22"/>
                <w:color w:val="auto"/>
              </w:rPr>
            </w:pPr>
          </w:p>
        </w:tc>
        <w:tc>
          <w:tcPr>
            <w:tcW w:w="4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52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5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Basic—as reported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Basic—pro forma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Diluted—as reported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Diluted—pro forma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79"/>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Net Income (Loss) per Common Share</w:t>
      </w:r>
    </w:p>
    <w:p>
      <w:pPr>
        <w:spacing w:after="0" w:line="12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Company calculates net income (loss) per share in accordance with SFAS No. 128, “Earnings Per Share”. Under SFAS No. 128, basic net income (loss) per common share is calculated by dividing net income (loss) by the weighted-average number of common shares outstanding during the reporting period. Diluted net income (loss) per common share reflects the effects of potentially dilutive securities. Weighted average shares used to compute basic and diluted net income (loss) per share are presented below (in millions):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129"/>
        </w:trPr>
        <w:tc>
          <w:tcPr>
            <w:tcW w:w="52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(Restated)</w:t>
            </w:r>
          </w:p>
        </w:tc>
        <w:tc>
          <w:tcPr>
            <w:tcW w:w="22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(Restated)</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$ 15.0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 (57.9)</w:t>
            </w:r>
          </w:p>
        </w:tc>
      </w:tr>
      <w:tr>
        <w:trPr>
          <w:trHeight w:val="284"/>
        </w:trPr>
        <w:tc>
          <w:tcPr>
            <w:tcW w:w="5200" w:type="dxa"/>
            <w:vAlign w:val="bottom"/>
          </w:tcPr>
          <w:p>
            <w:pPr>
              <w:spacing w:after="0"/>
              <w:rPr>
                <w:sz w:val="20"/>
                <w:szCs w:val="20"/>
                <w:color w:val="auto"/>
              </w:rPr>
            </w:pPr>
            <w:r>
              <w:rPr>
                <w:rFonts w:ascii="Arial" w:cs="Arial" w:eastAsia="Arial" w:hAnsi="Arial"/>
                <w:sz w:val="18"/>
                <w:szCs w:val="18"/>
                <w:color w:val="auto"/>
              </w:rPr>
              <w:t>Shares used in basic per share amounts: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1"/>
              </w:rPr>
              <w:t>74.0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r>
      <w:tr>
        <w:trPr>
          <w:trHeight w:val="284"/>
        </w:trPr>
        <w:tc>
          <w:tcPr>
            <w:tcW w:w="5200" w:type="dxa"/>
            <w:vAlign w:val="bottom"/>
          </w:tcPr>
          <w:p>
            <w:pPr>
              <w:spacing w:after="0"/>
              <w:rPr>
                <w:sz w:val="20"/>
                <w:szCs w:val="20"/>
                <w:color w:val="auto"/>
              </w:rPr>
            </w:pPr>
            <w:r>
              <w:rPr>
                <w:rFonts w:ascii="Arial" w:cs="Arial" w:eastAsia="Arial" w:hAnsi="Arial"/>
                <w:sz w:val="18"/>
                <w:szCs w:val="18"/>
                <w:color w:val="auto"/>
              </w:rPr>
              <w:t>Shares used in diluted per share amounts: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Dilutive weighted average shares</w:t>
            </w: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w w:val="91"/>
              </w:rPr>
              <w:t>75.0</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8"/>
                <w:szCs w:val="18"/>
                <w:color w:val="auto"/>
              </w:rPr>
            </w:pPr>
          </w:p>
        </w:tc>
      </w:tr>
      <w:tr>
        <w:trPr>
          <w:trHeight w:val="284"/>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$0.21</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1"/>
              </w:rPr>
              <w:t>0.02</w:t>
            </w: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 (0.79)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$ 0.20</w:t>
            </w: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w w:val="91"/>
              </w:rPr>
              <w:t>0.02</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 (0.79)</w:t>
            </w:r>
          </w:p>
        </w:tc>
      </w:tr>
      <w:tr>
        <w:trPr>
          <w:trHeight w:val="26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Anti-dilutive weighted shares from stock options excluded from</w:t>
            </w: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calculation</w:t>
            </w: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0"/>
                <w:szCs w:val="20"/>
                <w:color w:val="auto"/>
              </w:rPr>
            </w:pPr>
          </w:p>
        </w:tc>
      </w:tr>
    </w:tbl>
    <w:p>
      <w:pPr>
        <w:sectPr>
          <w:pgSz w:w="11900" w:h="16838" w:orient="portrait"/>
          <w:cols w:equalWidth="0" w:num="1">
            <w:col w:w="11340"/>
          </w:cols>
          <w:pgMar w:left="240" w:top="100" w:right="319" w:bottom="0" w:gutter="0" w:footer="0" w:header="0"/>
        </w:sectPr>
      </w:pPr>
    </w:p>
    <w:bookmarkStart w:id="78" w:name="page79"/>
    <w:bookmarkEnd w:id="78"/>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Average per share market value of common stock</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$ 9.80</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$ 6.33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3.32</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Average outstanding stock option price per share</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$ 9.30</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$ 6.28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Impairment of Long-Lived Assets and Long-Lived Assets to Be Disposed Of</w:t>
      </w:r>
    </w:p>
    <w:p>
      <w:pPr>
        <w:spacing w:after="0" w:line="12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On January 1, 2002, the Company adopted SFAS No. 144, “Accounting for the Impairment or Disposal of Long-Lived Assets”, which addresses financial accounting and reporting for the impairment or disposal of long-lived assets. While SFAS No. 144 supersedes SFAS No. 121, “Accounting for the Impairment of Long-Lived Assets and for Long-Lived Assets to be Disposed Of”, it retains many of the fundamental provisions of SFAS No. 121, including the recognition and measurement of the impairment of long-lived assets to be held and used, and the measurement of long-lived assets to be disposed of by sale. Long-lived assets and certain identifiable intangibles are reviewed for impairment whenever events or changes in circumstances indicate that the carrying amount of an asset may not be recoverable. Recoverability of assets 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74"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The Company completed its annual impairment test as required under the provisions of SFAS No.142 during the fourth quarter of 2006 and did determine that there was an impairment of goodwill for the Enterprise Network Services segment. Our annual impairment test resulted in a non-cash impairment charge of $18.3 million related to the write-down of goodwill for the acquisitions made in the Enterprise Network Services segment. The fair value of goodwill was estimated by taking into consideration recent performance, expected future performance and industry trends, using a combination of a discounted cash flow model and a market approach model which takes into consideration comparable businesses and market transactions. In addition, $1.8 million of equipment related to a wireless LAN system that the Company had installed and operated in the Enterprise Network Services segment was impaired in the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fourth quarter of 2006 based upon recent trends regarding free WiFi and WiMAX services and the resulting impact to the realizability of this network.</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also concluded based on this analysis the intangible assets for ENS were not impaired.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Fair Value of Financial Instruments</w:t>
      </w:r>
    </w:p>
    <w:p>
      <w:pPr>
        <w:spacing w:after="0" w:line="12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SFAS No. 107, “Disclosures about Fair Value of Financial Instruments,” requires that fair values be disclosed for the Company’s financial instruments. The carrying amounts of cash and cash equivalents, short-term investments, accounts receivable, accounts payable, accrued expenses, line of credit and approximate fair value due to the short-term nature of these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Comprehensive Income (Loss)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SFAS No. 130, “Reporting Comprehensive Income,” establishes rules for the reporting of comprehensive income (loss) and its components. Comprehensive income (loss) consists of net income and other gains and losses affecting shareholders’ investment that, under accounting principles generally accepted in the United States of America are excluded from net income (loss).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other comprehensive income (loss) are as follows:</w:t>
      </w:r>
    </w:p>
    <w:p>
      <w:pPr>
        <w:spacing w:after="0" w:line="20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129"/>
        </w:trPr>
        <w:tc>
          <w:tcPr>
            <w:tcW w:w="522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w w:val="96"/>
              </w:rPr>
              <w:t>(Restated)</w:t>
            </w:r>
          </w:p>
        </w:tc>
        <w:tc>
          <w:tcPr>
            <w:tcW w:w="20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w w:val="96"/>
              </w:rPr>
              <w:t>(Restated)</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 (57.9)</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adjustment/reclassification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0"/>
        </w:trPr>
        <w:tc>
          <w:tcPr>
            <w:tcW w:w="52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$ 15.2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(55.0)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components of accumulated other comprehensive loss:</w:t>
      </w:r>
    </w:p>
    <w:p>
      <w:pPr>
        <w:spacing w:after="0" w:line="18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5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3"/>
          </w:tcPr>
          <w:p>
            <w:pPr>
              <w:jc w:val="center"/>
              <w:ind w:left="202"/>
              <w:spacing w:after="0"/>
              <w:rPr>
                <w:sz w:val="20"/>
                <w:szCs w:val="20"/>
                <w:color w:val="auto"/>
              </w:rPr>
            </w:pPr>
            <w:r>
              <w:rPr>
                <w:rFonts w:ascii="Arial" w:cs="Arial" w:eastAsia="Arial" w:hAnsi="Arial"/>
                <w:sz w:val="14"/>
                <w:szCs w:val="14"/>
                <w:b w:val="1"/>
                <w:bCs w:val="1"/>
                <w:color w:val="auto"/>
                <w:w w:val="89"/>
              </w:rPr>
              <w:t>2006</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Cumulative foreign currency translation adjustment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(2.9)</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202"/>
              <w:spacing w:after="0"/>
              <w:rPr>
                <w:sz w:val="20"/>
                <w:szCs w:val="20"/>
                <w:color w:val="auto"/>
              </w:rPr>
            </w:pPr>
            <w:r>
              <w:rPr>
                <w:rFonts w:ascii="Arial" w:cs="Arial" w:eastAsia="Arial" w:hAnsi="Arial"/>
                <w:sz w:val="18"/>
                <w:szCs w:val="18"/>
                <w:color w:val="auto"/>
                <w:w w:val="89"/>
              </w:rPr>
              <w:t>$ 0.0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5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(2.9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$ 0.0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Foreign Currency Translation</w:t>
      </w:r>
    </w:p>
    <w:p>
      <w:pPr>
        <w:spacing w:after="0" w:line="121" w:lineRule="exact"/>
        <w:rPr>
          <w:sz w:val="20"/>
          <w:szCs w:val="20"/>
          <w:color w:val="auto"/>
        </w:rPr>
      </w:pPr>
    </w:p>
    <w:p>
      <w:pPr>
        <w:jc w:val="both"/>
        <w:ind w:right="140" w:firstLine="360"/>
        <w:spacing w:after="0" w:line="286" w:lineRule="auto"/>
        <w:rPr>
          <w:sz w:val="20"/>
          <w:szCs w:val="20"/>
          <w:color w:val="auto"/>
        </w:rPr>
      </w:pPr>
      <w:r>
        <w:rPr>
          <w:rFonts w:ascii="Arial" w:cs="Arial" w:eastAsia="Arial" w:hAnsi="Arial"/>
          <w:sz w:val="17"/>
          <w:szCs w:val="17"/>
          <w:color w:val="auto"/>
        </w:rPr>
        <w:t>In accordance with SFAS No. 52 “Foreign Currency Translation,” the financial statements of the Company’s foreign subsidiaries where the functional currency has been determined to be the local currency are translated into United States dollars using year-end rates of exchange for assets and liabilities and rates of exchange that approximate the rates in effect at the transaction date for revenues, expenses, gains and losses.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Concentration of Credit Risk</w:t>
      </w:r>
    </w:p>
    <w:p>
      <w:pPr>
        <w:spacing w:after="0" w:line="121" w:lineRule="exact"/>
        <w:rPr>
          <w:sz w:val="20"/>
          <w:szCs w:val="20"/>
          <w:color w:val="auto"/>
        </w:rPr>
      </w:pPr>
    </w:p>
    <w:p>
      <w:pPr>
        <w:ind w:right="220" w:firstLine="360"/>
        <w:spacing w:after="0" w:line="279"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principally of cash and cash equivalents, short-term investments, trade accounts receivable and contract management receivables. At times, cash and short-term investment balances held in financial institutions are in excess of federally insured limits. The Company performs periodic evaluations of the relative credit standing of financial institutions and limits the amount of risk by selecting financial institutions with a strong relative credit standing.</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206"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 Use of Estimates</w:t>
      </w:r>
    </w:p>
    <w:p>
      <w:pPr>
        <w:sectPr>
          <w:pgSz w:w="11900" w:h="16838" w:orient="portrait"/>
          <w:cols w:equalWidth="0" w:num="1">
            <w:col w:w="11380"/>
          </w:cols>
          <w:pgMar w:left="240" w:top="206" w:right="279" w:bottom="0" w:gutter="0" w:footer="0" w:header="0"/>
          <w:type w:val="continuous"/>
        </w:sectPr>
      </w:pPr>
    </w:p>
    <w:bookmarkStart w:id="79" w:name="page80"/>
    <w:bookmarkEnd w:id="79"/>
    <w:p>
      <w:pPr>
        <w:spacing w:after="0" w:line="33"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Reclassifications</w:t>
      </w:r>
    </w:p>
    <w:p>
      <w:pPr>
        <w:spacing w:after="0" w:line="94" w:lineRule="exact"/>
        <w:rPr>
          <w:sz w:val="20"/>
          <w:szCs w:val="20"/>
          <w:color w:val="auto"/>
        </w:rPr>
      </w:pPr>
    </w:p>
    <w:p>
      <w:pPr>
        <w:ind w:right="360" w:firstLine="360"/>
        <w:spacing w:after="0" w:line="259" w:lineRule="auto"/>
        <w:rPr>
          <w:sz w:val="20"/>
          <w:szCs w:val="20"/>
          <w:color w:val="auto"/>
        </w:rPr>
      </w:pPr>
      <w:r>
        <w:rPr>
          <w:rFonts w:ascii="Arial" w:cs="Arial" w:eastAsia="Arial" w:hAnsi="Arial"/>
          <w:sz w:val="18"/>
          <w:szCs w:val="18"/>
          <w:color w:val="auto"/>
        </w:rPr>
        <w:t>The accompanying statements of cash flows separately reflect the operating, investing and financing portions of the cash flows attributable to its discontinued operations for each of the years presented. These amounts were reported on a combined basis as a single amount in prior statements of cash flows. In addition, the balance sheets and statements of operations have been reclassified to present the discontinued operations and certain prior period amounts have been reclassified to conform to the current period presentation.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Recent Accounting Pronouncements</w:t>
      </w:r>
    </w:p>
    <w:p>
      <w:pPr>
        <w:spacing w:after="0" w:line="108"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 xml:space="preserve">In June 2006, FASB issued Interpretation No. 48, </w:t>
      </w:r>
      <w:r>
        <w:rPr>
          <w:rFonts w:ascii="Arial" w:cs="Arial" w:eastAsia="Arial" w:hAnsi="Arial"/>
          <w:sz w:val="18"/>
          <w:szCs w:val="18"/>
          <w:i w:val="1"/>
          <w:iCs w:val="1"/>
          <w:color w:val="auto"/>
        </w:rPr>
        <w:t>Accounting for Uncertainty in Income Taxes—an interpretation of FASB Statement No. 109</w:t>
      </w:r>
      <w:r>
        <w:rPr>
          <w:rFonts w:ascii="Arial" w:cs="Arial" w:eastAsia="Arial" w:hAnsi="Arial"/>
          <w:sz w:val="18"/>
          <w:szCs w:val="18"/>
          <w:color w:val="auto"/>
        </w:rPr>
        <w:t xml:space="preserve"> (FIN 48), which clarifies the accounting for uncertainty in tax positions. This Interpretation requires that we recognize the impact of a tax position in our financial statements, if that position is more likely than not of being sustained on audit, based on the technical merits of the position. The provisions of FIN 48 are effective for fiscal years beginning after December 15, 2006, with the cumulative effect of the change in accounting principle recorded as an adjustment to opening retained earnings. The application of this Statement will reduce our retained earnings on January 1, 2007 by $0.3 million to increase reserves for uncertain tax positions.</w:t>
      </w:r>
    </w:p>
    <w:p>
      <w:pPr>
        <w:spacing w:after="0" w:line="58" w:lineRule="exact"/>
        <w:rPr>
          <w:sz w:val="20"/>
          <w:szCs w:val="20"/>
          <w:color w:val="auto"/>
        </w:rPr>
      </w:pPr>
    </w:p>
    <w:p>
      <w:pPr>
        <w:ind w:right="220" w:firstLine="360"/>
        <w:spacing w:after="0" w:line="276" w:lineRule="auto"/>
        <w:rPr>
          <w:sz w:val="20"/>
          <w:szCs w:val="20"/>
          <w:color w:val="auto"/>
        </w:rPr>
      </w:pPr>
      <w:r>
        <w:rPr>
          <w:rFonts w:ascii="Arial" w:cs="Arial" w:eastAsia="Arial" w:hAnsi="Arial"/>
          <w:sz w:val="17"/>
          <w:szCs w:val="17"/>
          <w:color w:val="auto"/>
        </w:rPr>
        <w:t>The SEC issued Staff Accounting Bulletin No. 108 (“SAB 108”) in September 2006. SAB 108 expresses the views of the SEC staff regarding the process of quantifying the materiality of financial misstatements. SAB 108 requires both the balance sheet and income statement approaches be used when quantifying the materiality of misstatement amounts. In addition, SAB 108 contains guidance on correcting errors under the dual approach and provides transition guidance for correcting errors existing in prior years. SAB 108 was effective in the Company’s fourth quarter of 2006. The adoption of SAB 108 did not have a material impact on the Company’s consolidated financial statements.</w:t>
      </w:r>
    </w:p>
    <w:p>
      <w:pPr>
        <w:spacing w:after="0" w:line="5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In September 2006, the FASB issued SFAS No. 157, “Fair Value Measurements” (“SFAS 157”). This new standard provides guidance for using fair value to measure assets and liabilities and information about the extent to which companies measure assets and liabilities at fair value, the information used to measure fair value, and the effect of fair value measurements on earnings. This framework is intended to provide increased consistency in how fair value determinations are made under various existing accounting standards which permit, or in some cases require, estimates of fair market value. SFAS 157 also expands financial statement disclosure requirements about a company’s use of fair value measurements, including the effect of such measures on earnings. The provisions of SFAS 157 are effective for financial statements issued for fiscal years beginning after November 15, 2007. The Company is in the process of determining the impact of this statement on its consolidated financial statements.</w:t>
      </w:r>
    </w:p>
    <w:p>
      <w:pPr>
        <w:spacing w:after="0" w:line="56"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 xml:space="preserve">In February 2007, the FASB issued FASB Statement No. 159, </w:t>
      </w:r>
      <w:r>
        <w:rPr>
          <w:rFonts w:ascii="Arial" w:cs="Arial" w:eastAsia="Arial" w:hAnsi="Arial"/>
          <w:sz w:val="18"/>
          <w:szCs w:val="18"/>
          <w:i w:val="1"/>
          <w:iCs w:val="1"/>
          <w:color w:val="auto"/>
        </w:rPr>
        <w:t>The Fair Value Option for Financial Assets and Financial Liabilities—Including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Amendment of FASB Statement No. 115. </w:t>
      </w:r>
      <w:r>
        <w:rPr>
          <w:rFonts w:ascii="Arial" w:cs="Arial" w:eastAsia="Arial" w:hAnsi="Arial"/>
          <w:sz w:val="18"/>
          <w:szCs w:val="18"/>
          <w:color w:val="auto"/>
        </w:rPr>
        <w:t>This standard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permits an entity to choose to measure many financial instruments and certain other items at fair value. This option is available to all entities, including not-for-profit organizations. Most of the provisions in Statement 159 are elective; however, the amendment to FASB Statement No. 115, </w:t>
      </w:r>
      <w:r>
        <w:rPr>
          <w:rFonts w:ascii="Arial" w:cs="Arial" w:eastAsia="Arial" w:hAnsi="Arial"/>
          <w:sz w:val="18"/>
          <w:szCs w:val="18"/>
          <w:i w:val="1"/>
          <w:iCs w:val="1"/>
          <w:color w:val="auto"/>
        </w:rPr>
        <w:t>Accounting for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Investments in Debt and Equity Securities, </w:t>
      </w:r>
      <w:r>
        <w:rPr>
          <w:rFonts w:ascii="Arial" w:cs="Arial" w:eastAsia="Arial" w:hAnsi="Arial"/>
          <w:sz w:val="18"/>
          <w:szCs w:val="18"/>
          <w:color w:val="auto"/>
        </w:rPr>
        <w:t>applies to all entities with available-for-sale and trading securities. Some requirements apply differently to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do not report net income. The FASB’s stated objective in issuing this standard is as follows: “to improve financial reporting by providing entities with the opportunity to mitigate volatility in reported earnings caused by measuring related assets and liabilities differently without having to apply complex hedge accounting provisions.”</w:t>
      </w:r>
    </w:p>
    <w:p>
      <w:pPr>
        <w:spacing w:after="0" w:line="58"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The fair value option established by Statement 159 permits all entities to choose to measure eligible items at fair value at specified election dates. A business entity will report unrealized gains and losses on items for which the fair value option has been elected in earnings (or another performance indicator if the business entity does not report earnings) at each subsequent reporting date. A not-for-profit organization will report unrealized gains and losses in its statement of activities or similar statement.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w:t>
      </w:r>
    </w:p>
    <w:p>
      <w:pPr>
        <w:spacing w:after="0" w:line="72"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 xml:space="preserve">Statement 159 is effective as of the beginning of an entity’s first fiscal year that begins after November 15, 2007. Early adoption is permitted as of the beginning of the previous fiscal year provided that the entity makes that choice in the first 120 days of that fiscal year and also elects to apply the provisions of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The Company is in the process of determining the impact of this statement on its consolidated financials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Company’s Consolidated Financial Statements</w:t>
      </w:r>
    </w:p>
    <w:p>
      <w:pPr>
        <w:spacing w:after="0" w:line="94" w:lineRule="exact"/>
        <w:rPr>
          <w:sz w:val="20"/>
          <w:szCs w:val="20"/>
          <w:color w:val="auto"/>
        </w:rPr>
      </w:pPr>
    </w:p>
    <w:p>
      <w:pPr>
        <w:ind w:right="300" w:firstLine="360"/>
        <w:spacing w:after="0" w:line="342" w:lineRule="auto"/>
        <w:rPr>
          <w:sz w:val="20"/>
          <w:szCs w:val="20"/>
          <w:color w:val="auto"/>
        </w:rPr>
      </w:pPr>
      <w:r>
        <w:rPr>
          <w:rFonts w:ascii="Arial" w:cs="Arial" w:eastAsia="Arial" w:hAnsi="Arial"/>
          <w:sz w:val="16"/>
          <w:szCs w:val="16"/>
          <w:color w:val="auto"/>
        </w:rPr>
        <w:t>The Company completed an internal Equity Award Review of its past practices for granting and pricing stock options in August 2007. The voluntary review was initiated by its current executive management team, with oversight from the Board of Directors and assistance from outside legal counsel.</w:t>
      </w:r>
    </w:p>
    <w:p>
      <w:pPr>
        <w:spacing w:after="0" w:line="2"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As a result of the findings of its equity award review, the accompanying consolidated financial statements for the years ended December 31, 2005 and 2004 have been restated. The restated consolidated financial statements include unaudited financial information for interim periods of 2005 consistent with Article 10-01 of Regulation S-X. See Note 18. Quarterly Financial Data. The Company also recorded additional stock-based compensation expense and associated tax adjustments affecting the Company’s previously-reported financial statements for 1998 through 2003, the effects of which are summarized in cumulative adjustments to its additional paid-in capital, deferred compensation and accumulated deficit accounts as of December 31, 2003 in the amounts of $56.1 million, $6.6 million and $62.9 million, respectively. See the Consolidated Statements of Shareholders’ Equity.</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Impact on Previously Issued Reports and Financial Statements</w:t>
      </w:r>
    </w:p>
    <w:p>
      <w:pPr>
        <w:spacing w:after="0" w:line="90"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color w:val="auto"/>
        </w:rPr>
        <w:t>Consistent with the relevant accounting standards and recent guidance from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as part of the Equity Award Review, the grants during the relevant period were organized into categories based on grant type and process by which the grant was finalized. The Company analyzed the evidence related to grants in each category as part of the Equity Award Review. This evidence included, but was not limited to,</w:t>
      </w:r>
    </w:p>
    <w:p>
      <w:pPr>
        <w:sectPr>
          <w:pgSz w:w="11900" w:h="16871" w:orient="portrait"/>
          <w:cols w:equalWidth="0" w:num="1">
            <w:col w:w="11380"/>
          </w:cols>
          <w:pgMar w:left="240" w:top="125" w:right="279" w:bottom="0" w:gutter="0" w:footer="0" w:header="0"/>
        </w:sectPr>
      </w:pPr>
    </w:p>
    <w:bookmarkStart w:id="80" w:name="page81"/>
    <w:bookmarkEnd w:id="80"/>
    <w:p>
      <w:pPr>
        <w:spacing w:after="0" w:line="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electronic and physical documents, document metadata, and witness interviews. The controlling accounting standards were applied to the relevant facts and circumstances, in a manner consistent with the recent guidance from the SEC, to determine the proper measurement date for every grant within each category. If the measurement date was not the same as the originally assigned grant date, accounting adjustments were made as required, resulting in stock-based compensation expense and related income tax effects, as detailed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 xml:space="preserve">Based on the results of the Equity Award Review, the Company concluded that, pursuant to Accounting Principles Board Opinion No. 25,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Issued to Employees </w:t>
      </w:r>
      <w:r>
        <w:rPr>
          <w:rFonts w:ascii="Arial" w:cs="Arial" w:eastAsia="Arial" w:hAnsi="Arial"/>
          <w:sz w:val="16"/>
          <w:szCs w:val="16"/>
          <w:color w:val="auto"/>
        </w:rPr>
        <w:t>(“</w:t>
      </w:r>
      <w:r>
        <w:rPr>
          <w:rFonts w:ascii="Arial" w:cs="Arial" w:eastAsia="Arial" w:hAnsi="Arial"/>
          <w:sz w:val="16"/>
          <w:szCs w:val="16"/>
          <w:i w:val="1"/>
          <w:iCs w:val="1"/>
          <w:color w:val="auto"/>
        </w:rPr>
        <w:t>APB 25</w:t>
      </w:r>
      <w:r>
        <w:rPr>
          <w:rFonts w:ascii="Arial" w:cs="Arial" w:eastAsia="Arial" w:hAnsi="Arial"/>
          <w:sz w:val="16"/>
          <w:szCs w:val="16"/>
          <w:color w:val="auto"/>
        </w:rPr>
        <w:t>”), and relevant interpretations, revised accounting measurement dates should be applied to a substantial number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grants covering options for the purchase of 15.2 million shares of its common stock that were awarded primarily between March 1998 and December 2003. The use of the revised measurement dates for the affected option grants required the Company to record a total of $75.0 million in additional deferred compensation, with substantially all of the increase relating to option grants made before December 31, 2003. The Company has also recorded $58.2 million in additional stock-based compensation expense for the years 1998 through 2005, reflecting the amortization of deferred compensation over the relevant vesting periods, which was typically over four years. After aggregate payroll tax adjustments and income tax adjustments of $9.6 million, the restatement resulted in total net adjustments to net income (loss) of $48.6 million for the years 1998 through 2005. This amount is net of forfeitures related to employee terminations of approximately $16.8 million. These amounts do not include the unauthorized issuance of common stock charge of $0.6 million and $5.7 million in 2002 and 2003 related to misappropriated options by the Company’s former stock administrator described herein. The aggregate amount of the Equity Award Review including the misappropriated options is $64.5 million comprised of the $58.2 million in additional stock-based compensation expense and $6.3 million of a charge for unauthorized issuance of common stock. After aggregate other tax adjustments and income tax adjustments of $9.6 million, the restatement resulted in total net adjustments to net income (loss) of $54.9 million for the years 1998 through 2005. Approximately $26.6 million of the stock-based compensation expense was recorded in 2001, which was primarily due to cancellations from our Stock Option Cancel/Re-grant Program, as described herein, which resulted in the remaining unamortized deferred compensation being expensed upon the cancellation in March 2001.</w:t>
      </w:r>
    </w:p>
    <w:p>
      <w:pPr>
        <w:spacing w:after="0" w:line="47"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None of the adjustments resulting from the Equity Award Review affected the Company’s previously-reported revenue, cash, cash equivalents or marketable securities balances in any prior periods.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Former Stock Option Administrator</w:t>
      </w:r>
    </w:p>
    <w:p>
      <w:pPr>
        <w:spacing w:after="0" w:line="104"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During the course of the Equity Award Review, the Company discovered that Vencent Donlan, a former stock option administrator, had engaged in a fraudulent scheme by which he misappropriated options to purchase more than 700,000 shares of stock. Ill-gotten gains from this scheme approximated $6.3 million. The Company has brought an action against Donlan seeking return of the fraudulently obtained stock option proceeds. The Company also promptly alerted the SEC of our discovery in March 2007. The SEC commenced an enforcement action against Donlan, and the U.S. Attorney’s Office forwarded a grand jury subpoena to the Company seeking records related to Donlan and its historical option granting practices. The Company has cooperated with, and intends to continue to cooperate with, both the SEC and the U.S. Attorney’s Office in their actions against Donlan and otherwise. Donlan has consented to an injunction brought by the SEC and has plead guilty to federal criminal charges brought against him by the U.S. Attorney’s Office. The Company has recorded an unauthorized issuance of common stock charge of $0.6 million and $5.7 million in 2002 and 2003, respectively, related to this theft.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Adjustments to Measurement Dates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a result of the Equity Award Review, the Company determined under the criteria set forth in APB 25 that option grants covering a total of</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15.2 million of the shares of our common stock require measurement date adjustments. For reasons that fell into four categories, the Company concluded that the measurement dates originally used for those option grants did not meet the criteria to establish a measurement date as set forth in APB 25. For some of those grants, more than one reason applied. The four categories are:</w:t>
      </w:r>
    </w:p>
    <w:p>
      <w:pPr>
        <w:spacing w:after="0" w:line="82" w:lineRule="exact"/>
        <w:rPr>
          <w:sz w:val="20"/>
          <w:szCs w:val="20"/>
          <w:color w:val="auto"/>
        </w:rPr>
      </w:pPr>
    </w:p>
    <w:p>
      <w:pPr>
        <w:ind w:right="20" w:firstLine="368"/>
        <w:spacing w:after="0" w:line="270" w:lineRule="auto"/>
        <w:tabs>
          <w:tab w:leader="none" w:pos="495"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Lack of Contemporaneous Documentation. </w:t>
      </w:r>
      <w:r>
        <w:rPr>
          <w:rFonts w:ascii="Arial" w:cs="Arial" w:eastAsia="Arial" w:hAnsi="Arial"/>
          <w:sz w:val="17"/>
          <w:szCs w:val="17"/>
          <w:color w:val="auto"/>
        </w:rPr>
        <w:t>The Equity Award Review identified a number of grants for which the Company was unable to locate</w:t>
      </w:r>
      <w:r>
        <w:rPr>
          <w:rFonts w:ascii="Arial" w:cs="Arial" w:eastAsia="Arial" w:hAnsi="Arial"/>
          <w:sz w:val="17"/>
          <w:szCs w:val="17"/>
          <w:i w:val="1"/>
          <w:iCs w:val="1"/>
          <w:color w:val="auto"/>
        </w:rPr>
        <w:t xml:space="preserve"> </w:t>
      </w:r>
      <w:r>
        <w:rPr>
          <w:rFonts w:ascii="Arial" w:cs="Arial" w:eastAsia="Arial" w:hAnsi="Arial"/>
          <w:sz w:val="17"/>
          <w:szCs w:val="17"/>
          <w:color w:val="auto"/>
        </w:rPr>
        <w:t>contemporaneous documentation confirming that either a Compensation Committee approval occurred or the CEO Award Grants occurred on the indicated grant date. The Company identified grants requiring measurement date adjustments under the criteria of APB 25 when it was unable to locate contemporaneous documentation confirming that (1) a meeting occurred on the grant date, (2) the CEO approved the grant on the grant date, (3) the Compensation Committee approved the grant on the grant date or (4) the identification of employee-recipients and grant amounts were finalized by the grant date. The affected grants involved options allowing the purchase of 3.7 million shares of our common stock. Of these options, options to purchase 0.5 million shares were granted to Executive Officers, options to purchase 60,000 shares were granted to three of the Company’s current Directors and options to purchase 3.1 million shares were granted to other employees. Adjustments to the APB 25 measurement dates for the grants covered by these grants resulted in the recording of additional deferred compensation of $25.9 million, and amortization of stock-based compensation expense of $22.4 million, with the remaining $3.5 million eliminated due to forfeitures and terminations.</w:t>
      </w:r>
    </w:p>
    <w:p>
      <w:pPr>
        <w:spacing w:after="0" w:line="69" w:lineRule="exact"/>
        <w:rPr>
          <w:rFonts w:ascii="Arial" w:cs="Arial" w:eastAsia="Arial" w:hAnsi="Arial"/>
          <w:sz w:val="17"/>
          <w:szCs w:val="17"/>
          <w:color w:val="auto"/>
        </w:rPr>
      </w:pPr>
    </w:p>
    <w:p>
      <w:pPr>
        <w:ind w:firstLine="368"/>
        <w:spacing w:after="0" w:line="254" w:lineRule="auto"/>
        <w:tabs>
          <w:tab w:leader="none" w:pos="495"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Date Selection/Indications of Other Dates. </w:t>
      </w:r>
      <w:r>
        <w:rPr>
          <w:rFonts w:ascii="Arial" w:cs="Arial" w:eastAsia="Arial" w:hAnsi="Arial"/>
          <w:sz w:val="18"/>
          <w:szCs w:val="18"/>
          <w:color w:val="auto"/>
        </w:rPr>
        <w:t>For twelve grant dates, the Equity Award Review identified documents that indicated that the grant date</w:t>
      </w:r>
      <w:r>
        <w:rPr>
          <w:rFonts w:ascii="Arial" w:cs="Arial" w:eastAsia="Arial" w:hAnsi="Arial"/>
          <w:sz w:val="18"/>
          <w:szCs w:val="18"/>
          <w:i w:val="1"/>
          <w:iCs w:val="1"/>
          <w:color w:val="auto"/>
        </w:rPr>
        <w:t xml:space="preserve"> </w:t>
      </w:r>
      <w:r>
        <w:rPr>
          <w:rFonts w:ascii="Arial" w:cs="Arial" w:eastAsia="Arial" w:hAnsi="Arial"/>
          <w:sz w:val="18"/>
          <w:szCs w:val="18"/>
          <w:color w:val="auto"/>
        </w:rPr>
        <w:t>for some options was selected, with the benefit of hindsight after the date indicated on the unanimous written consent or after the CEO authorization form documenting the approval of those options. The affected awards on these twelve grant dates involved option grants covering 7.0 million shares. Of these option grants, options to purchase 1.3 million shares were granted to Executive Officers and options to purchase 5.7 million shares were granted to other employees. Adjustments to the APB 25 measurement dates for these grants resulted in the recording of additional deferred compensation of $13.1 million and amortization of stock-based compensation expense of $9.9 million, with the remaining $3.2 million eliminated due to forfeitures and terminations. Each of the twelve grant dates were on dates when the closing price of the Company’s common stock was at or near the lowest price experienced during the previous 7 weeks or earlier.</w:t>
      </w:r>
    </w:p>
    <w:p>
      <w:pPr>
        <w:spacing w:after="0" w:line="84" w:lineRule="exact"/>
        <w:rPr>
          <w:rFonts w:ascii="Arial" w:cs="Arial" w:eastAsia="Arial" w:hAnsi="Arial"/>
          <w:sz w:val="18"/>
          <w:szCs w:val="18"/>
          <w:color w:val="auto"/>
        </w:rPr>
      </w:pPr>
    </w:p>
    <w:p>
      <w:pPr>
        <w:ind w:right="40" w:firstLine="368"/>
        <w:spacing w:after="0" w:line="255" w:lineRule="auto"/>
        <w:tabs>
          <w:tab w:leader="none" w:pos="495"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Subsequent Allocations. </w:t>
      </w:r>
      <w:r>
        <w:rPr>
          <w:rFonts w:ascii="Arial" w:cs="Arial" w:eastAsia="Arial" w:hAnsi="Arial"/>
          <w:sz w:val="18"/>
          <w:szCs w:val="18"/>
          <w:color w:val="auto"/>
        </w:rPr>
        <w:t>In 1999, 2000, 2001, 2002 and 2003, the Company made large, broad-based grants of stock options covering a substantial</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our employees. With respect to seven of the broad-based grant dates, the Equity Award Review identified that it had not completed allocations of options to individual employees by the time the grant was approved by Compensation Committee. The affected awards on these seven grant dates involved option grants covering 4.2 million shares. Of these option awards, options to purchase 0.2 million shares were granted to Executive Officers and options to purchase 4.0 million shares were granted to other employees. Adjustments to the APB 25 measurement dates for these grants resulted in the recording of additional deferred compensation of $23.8 million and amortization of stock-based compensation expense of $17.5 million, with the remaining $6.3 million eliminated due to forfeitures and terminations.</w:t>
      </w:r>
    </w:p>
    <w:p>
      <w:pPr>
        <w:sectPr>
          <w:pgSz w:w="11900" w:h="16910" w:orient="portrait"/>
          <w:cols w:equalWidth="0" w:num="1">
            <w:col w:w="11420"/>
          </w:cols>
          <w:pgMar w:left="240" w:top="125" w:right="239" w:bottom="0" w:gutter="0" w:footer="0" w:header="0"/>
        </w:sectPr>
      </w:pPr>
    </w:p>
    <w:bookmarkStart w:id="81" w:name="page82"/>
    <w:bookmarkEnd w:id="81"/>
    <w:p>
      <w:pPr>
        <w:spacing w:after="0" w:line="38" w:lineRule="exact"/>
        <w:rPr>
          <w:sz w:val="20"/>
          <w:szCs w:val="20"/>
          <w:color w:val="auto"/>
        </w:rPr>
      </w:pPr>
    </w:p>
    <w:p>
      <w:pPr>
        <w:ind w:right="360" w:firstLine="368"/>
        <w:spacing w:after="0" w:line="286" w:lineRule="auto"/>
        <w:tabs>
          <w:tab w:leader="none" w:pos="495"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Pre-Hire Grants. </w:t>
      </w:r>
      <w:r>
        <w:rPr>
          <w:rFonts w:ascii="Arial" w:cs="Arial" w:eastAsia="Arial" w:hAnsi="Arial"/>
          <w:sz w:val="17"/>
          <w:szCs w:val="17"/>
          <w:color w:val="auto"/>
        </w:rPr>
        <w:t>The Company made certain grants in connection with offers of employment to new employees were made on grant dates that</w:t>
      </w:r>
      <w:r>
        <w:rPr>
          <w:rFonts w:ascii="Arial" w:cs="Arial" w:eastAsia="Arial" w:hAnsi="Arial"/>
          <w:sz w:val="17"/>
          <w:szCs w:val="17"/>
          <w:i w:val="1"/>
          <w:iCs w:val="1"/>
          <w:color w:val="auto"/>
        </w:rPr>
        <w:t xml:space="preserve"> </w:t>
      </w:r>
      <w:r>
        <w:rPr>
          <w:rFonts w:ascii="Arial" w:cs="Arial" w:eastAsia="Arial" w:hAnsi="Arial"/>
          <w:sz w:val="17"/>
          <w:szCs w:val="17"/>
          <w:color w:val="auto"/>
        </w:rPr>
        <w:t>preceded the employee’s hire date. These grants involved options to purchase a total of 0.7 million shares. Of these option grants, options to purchase 0.2 million shares were granted to Executive Officers and options to purchase 0.5 million shares were granted to other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employees. Adjustments to the APB 25 measurement dates for these grants resulted in the recording of additional deferred compensation of $7.9 million and amortization of stock-based compensation expense of $3.9 million, with the remaining $4.0 million eliminated due to forfeitures and terminations.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Adjustments</w:t>
      </w:r>
    </w:p>
    <w:p>
      <w:pPr>
        <w:spacing w:after="0" w:line="117"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During the course of the Equity Award Review, the Company identified some instances in which adjustments to deferred compensation were required that were not related to changes in measurement dates for the following reasons:</w:t>
      </w:r>
    </w:p>
    <w:p>
      <w:pPr>
        <w:spacing w:after="0" w:line="62" w:lineRule="exact"/>
        <w:rPr>
          <w:sz w:val="20"/>
          <w:szCs w:val="20"/>
          <w:color w:val="auto"/>
        </w:rPr>
      </w:pPr>
    </w:p>
    <w:p>
      <w:pPr>
        <w:ind w:right="20" w:firstLine="368"/>
        <w:spacing w:after="0" w:line="255" w:lineRule="auto"/>
        <w:tabs>
          <w:tab w:leader="none" w:pos="495"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Non-Employee Grants. </w:t>
      </w:r>
      <w:r>
        <w:rPr>
          <w:rFonts w:ascii="Arial" w:cs="Arial" w:eastAsia="Arial" w:hAnsi="Arial"/>
          <w:sz w:val="18"/>
          <w:szCs w:val="18"/>
          <w:color w:val="auto"/>
        </w:rPr>
        <w:t>Certain grants made to consultants and board advisors under our incentive stock option plan, which allowed only grants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These grants were accounted for under APB 25 as if they were proper incentive stock option awards. In some instances, individuals were added to the Company’s payroll, even though they were not employees. The affected awards involved options to purchase 0.3 million shares, of which options to purchase 75,000 shares were issued to one of our Directors prior to his joining WFI’s Board of Directors. To correctly account for these grants in accordance with SFAS 123 and EITF 96-18, “Accounting for Equity Instruments That are Issued to Other Than Employees for Acquiring, or in Conjunction with Selling, Goods or Services”, we recorded $3.6 million in additional deferred compensation during 1998 through 2003 and amortization of stock-based compensation expense of $3.6 million.</w:t>
      </w:r>
    </w:p>
    <w:p>
      <w:pPr>
        <w:spacing w:after="0" w:line="81" w:lineRule="exact"/>
        <w:rPr>
          <w:rFonts w:ascii="Arial" w:cs="Arial" w:eastAsia="Arial" w:hAnsi="Arial"/>
          <w:sz w:val="18"/>
          <w:szCs w:val="18"/>
          <w:color w:val="auto"/>
        </w:rPr>
      </w:pPr>
    </w:p>
    <w:p>
      <w:pPr>
        <w:ind w:right="40" w:firstLine="368"/>
        <w:spacing w:after="0" w:line="297" w:lineRule="auto"/>
        <w:tabs>
          <w:tab w:leader="none" w:pos="495"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Modifications of Existing Grants</w:t>
      </w:r>
      <w:r>
        <w:rPr>
          <w:rFonts w:ascii="Arial" w:cs="Arial" w:eastAsia="Arial" w:hAnsi="Arial"/>
          <w:sz w:val="16"/>
          <w:szCs w:val="16"/>
          <w:color w:val="auto"/>
        </w:rPr>
        <w:t>. With respect to 0.3 million option grants, modifications were made to employee stock options that were not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in accordance with APB 25. The modifications included the extension of the post-service exercise period for vested stock options of terminated employees and the acceleration of vesting for an Executive Officer, which resulted in $0.1 million of additional deferred compensation and amortization of stock-based compensation expense. Adjustments to reflect the modification of terms in accordance with APB 25 resulted in the recording of $1.3 million in additional deferred compensation and amortization of stock-based compensation expense of $1.3 million, to properly account for these modifications.</w:t>
      </w:r>
    </w:p>
    <w:p>
      <w:pPr>
        <w:spacing w:after="0" w:line="50"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Company previously recorded stock-based compensation expenses in prior periods for certain former employees for whom, in connection with their terminations, the post-service exercise period for vested stock options was extended or of the vesting period of stock options was accelerated. Those charges were accounted for correctly pursuant to APB 25. However, as a result of adjustments made in the restatement, the previously-recorded deferred compensation charge was reduced by $0.4 million.</w:t>
      </w:r>
    </w:p>
    <w:p>
      <w:pPr>
        <w:spacing w:after="0" w:line="79"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During the course of the Equity Award Review, the Company discovered that a former stock option administrator had engaged in a fraudulent scheme by which he misappropriated options to purchase more than 700,000 shares of stock. Ill-gotten gains from this scheme exceeded $6.3 million, and the Company has recorded an unauthorized issuance of common stock charge of $0.6 million and $5.7 million in 2002 and 2003, respectively, related to this theft.</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Aggregate Financial Statement Impact of the Measurement Date and Other Adjustments Identified in the Equity Award Review</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aggregate gross additional deferred compensation that the Company recorded for the years 1998 through 2003 as a result of information identified in the Equity Award Review is $75.0 million. The aggregate gross additional deferred compensation that the Company recorded for the years 2004 through 2005 was an impact of approximately $0.5 million primarily as a result of reductions in deferred compensation to reflect reductions in its stock price for option grants that were repriced and required variable accounting treatment for grants issued prior to 2004. The aggregate gross additional deferred compensation for the years 1998 through 2005 does not reflect the elimination of $16.8 million in deferred compensation due to subsequent forfeitures related to employee terminations and cancellations. In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addition, the remaining amount of deferred compensation totaling $0.1 million at December 31, 2005 was eliminated in accordance with the provisions of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or SFAS 123R, which the Company adopted effective January 1, 2006. After these reductions, the Company recorded </w:t>
      </w:r>
      <w:r>
        <w:rPr>
          <w:rFonts w:ascii="Arial" w:cs="Arial" w:eastAsia="Arial" w:hAnsi="Arial"/>
          <w:sz w:val="16"/>
          <w:szCs w:val="16"/>
          <w:i w:val="1"/>
          <w:iCs w:val="1"/>
          <w:color w:val="auto"/>
        </w:rPr>
        <w:t>net</w:t>
      </w:r>
      <w:r>
        <w:rPr>
          <w:rFonts w:ascii="Arial" w:cs="Arial" w:eastAsia="Arial" w:hAnsi="Arial"/>
          <w:sz w:val="16"/>
          <w:szCs w:val="16"/>
          <w:color w:val="auto"/>
        </w:rPr>
        <w:t xml:space="preserve"> additional stock-based compensation expense of $58.2 million for the years 1998 through 2005 in connection with its Equity Award Review. After related tax adjustments of $9.6 million, the restatement resulted in total net adjustments to net income (loss) of $48.6 million for the years 1998 through 2005. These amounts do not include the unauthorized issuance of common stock charge of $0.6 million and $5.7 million in 2002 and 2003, respectively, related to misappropriated options by the Company’s former stock administrator described herein. The aggregate amount of the Equity Award Review including the misappropriated options is $64.5 million comprised of the $58.2 million in additional stock-based compensation expense and $6.3 million of a charge for unauthorized issuance of common stock. After aggregate other tax adjustments and income tax adjustments of $9.6 million, the restatement resulted in total net adjustments to net income (loss) of $54.9 million for the years 1998 through 2005. The adjustments did not affect the Company’s previously-reported revenue, cash, cash equivalents or marketable securities balances in any prior period.</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Related Tax Adjustments</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In the Company’s restated financial statements for 1998, 1999, 2000 and 2001, the Company recorded income tax benefits of $0.5 million, $1.6 million, $3.5 million, and $7.3 million, respectively, with respect to additional stock-based compensation expense relating to U.S.-based income. At December 31, 2002, the Company had no additional net deferred tax assets for additional stock-based compensation expense as such amounts were offset by a valuation allowance. No tax benefits were recorded for additional stock-based compensation expense recorded during 2002 as such amounts were offset by a valuation allowance because the Company did not believe such additional deferred tax assets were more likely than not to be realized. At December 31, 2002, the Company concluded that a full valuation allowance against its deferred tax assets was appropriate as a result of our cumulative losses as of December 31, 2002, which caused a presumption that any deferred tax assets would be difficult to realize, and reversed the $4.2 million of deferred tax assets recognized in prior periods which were yet to be realized for tax purposes, thereby increasing tax expense by $4.2 million. The Company recorded an income tax benefit of $1.5 million in 2003 related to income tax benefits realized from employee stock option exercises in 2003 that reduced its tax liabilities. Prior to the restatement, such income tax benefits were credited to additional paid-in capital because there was no associated stock-based compensation expense related to such employee stock options. No income tax benefits were recorded for additional stock-based compensation in 2004 and 2005 because of the Company’s domestic tax losses prior to deductions related to employee stock options. As a result, the cumulative net income tax benefit we recorded through</w:t>
      </w:r>
    </w:p>
    <w:p>
      <w:pPr>
        <w:sectPr>
          <w:pgSz w:w="11900" w:h="16876" w:orient="portrait"/>
          <w:cols w:equalWidth="0" w:num="1">
            <w:col w:w="11400"/>
          </w:cols>
          <w:pgMar w:left="240" w:top="125" w:right="259" w:bottom="0" w:gutter="0" w:footer="0" w:header="0"/>
        </w:sectPr>
      </w:pPr>
    </w:p>
    <w:bookmarkStart w:id="82" w:name="page83"/>
    <w:bookmarkEnd w:id="82"/>
    <w:p>
      <w:pPr>
        <w:ind w:right="220"/>
        <w:spacing w:after="0" w:line="279" w:lineRule="auto"/>
        <w:rPr>
          <w:sz w:val="20"/>
          <w:szCs w:val="20"/>
          <w:color w:val="auto"/>
        </w:rPr>
      </w:pPr>
      <w:r>
        <w:rPr>
          <w:rFonts w:ascii="Arial" w:cs="Arial" w:eastAsia="Arial" w:hAnsi="Arial"/>
          <w:sz w:val="17"/>
          <w:szCs w:val="17"/>
          <w:color w:val="auto"/>
        </w:rPr>
        <w:t>December 31, 2005 was $10.2 million. The Company also recorded net other non-income tax payroll expenses of $0.6 million, resulting in total related tax adjustments of $9.6 million. The other non-income tax payroll expenses recorded were $1.0 million, $10.3 million, $1.6 million and $0.9 million for 1999, 2000, 2001, and 2002, respectively. As a result of the expiration of certain statutory periods, previously recorded non-income tax payroll expenses were reduced by $0.4 million, $12.2 million and $0.6 million in 2003, 2004, and 2005, respectively.</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Our Consolidated Financial Statements</w:t>
      </w:r>
    </w:p>
    <w:p>
      <w:pPr>
        <w:spacing w:after="0" w:line="121"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The following table summarizes the additional deferred compensation recorded on an annual basis as a result of the equity award review, categorized by each of the four reasons that led to the determination that particular option grants failed to meet the measurement date criteria of APB 25, together with the other adjustments made that were not related to changes in measurement dates: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Cumulative</w:t>
            </w:r>
          </w:p>
        </w:tc>
        <w:tc>
          <w:tcPr>
            <w:tcW w:w="106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Years ended</w:t>
            </w:r>
          </w:p>
        </w:tc>
        <w:tc>
          <w:tcPr>
            <w:tcW w:w="1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gridSpan w:val="8"/>
            <w:vMerge w:val="restart"/>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tcPr>
          <w:p>
            <w:pPr>
              <w:spacing w:after="0"/>
              <w:rPr>
                <w:sz w:val="11"/>
                <w:szCs w:val="11"/>
                <w:color w:val="auto"/>
              </w:rPr>
            </w:pPr>
          </w:p>
        </w:tc>
        <w:tc>
          <w:tcPr>
            <w:tcW w:w="120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4"/>
            <w:vMerge w:val="continue"/>
          </w:tcPr>
          <w:p>
            <w:pPr>
              <w:spacing w:after="0"/>
              <w:rPr>
                <w:sz w:val="11"/>
                <w:szCs w:val="11"/>
                <w:color w:val="auto"/>
              </w:rPr>
            </w:pPr>
          </w:p>
        </w:tc>
        <w:tc>
          <w:tcPr>
            <w:tcW w:w="116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8"/>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4"/>
          </w:tcPr>
          <w:p>
            <w:pPr>
              <w:jc w:val="center"/>
              <w:ind w:right="80"/>
              <w:spacing w:after="0" w:line="139" w:lineRule="exact"/>
              <w:rPr>
                <w:sz w:val="20"/>
                <w:szCs w:val="20"/>
                <w:color w:val="auto"/>
              </w:rPr>
            </w:pPr>
            <w:r>
              <w:rPr>
                <w:rFonts w:ascii="Arial" w:cs="Arial" w:eastAsia="Arial" w:hAnsi="Arial"/>
                <w:sz w:val="14"/>
                <w:szCs w:val="14"/>
                <w:b w:val="1"/>
                <w:bCs w:val="1"/>
                <w:color w:val="auto"/>
                <w:w w:val="92"/>
              </w:rPr>
              <w:t>December 31,</w:t>
            </w:r>
          </w:p>
        </w:tc>
        <w:tc>
          <w:tcPr>
            <w:tcW w:w="1060" w:type="dxa"/>
            <w:vAlign w:val="bottom"/>
            <w:gridSpan w:val="4"/>
          </w:tcPr>
          <w:p>
            <w:pPr>
              <w:jc w:val="right"/>
              <w:ind w:right="160"/>
              <w:spacing w:after="0" w:line="139" w:lineRule="exact"/>
              <w:rPr>
                <w:sz w:val="20"/>
                <w:szCs w:val="20"/>
                <w:color w:val="auto"/>
              </w:rPr>
            </w:pPr>
            <w:r>
              <w:rPr>
                <w:rFonts w:ascii="Arial" w:cs="Arial" w:eastAsia="Arial" w:hAnsi="Arial"/>
                <w:sz w:val="14"/>
                <w:szCs w:val="14"/>
                <w:b w:val="1"/>
                <w:bCs w:val="1"/>
                <w:color w:val="auto"/>
                <w:w w:val="96"/>
              </w:rPr>
              <w:t>December 31,</w:t>
            </w:r>
          </w:p>
        </w:tc>
        <w:tc>
          <w:tcPr>
            <w:tcW w:w="1160" w:type="dxa"/>
            <w:vAlign w:val="bottom"/>
            <w:gridSpan w:val="4"/>
          </w:tcPr>
          <w:p>
            <w:pPr>
              <w:jc w:val="center"/>
              <w:spacing w:after="0" w:line="13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gridSpan w:val="2"/>
            <w:vMerge w:val="restart"/>
          </w:tcPr>
          <w:p>
            <w:pPr>
              <w:jc w:val="center"/>
              <w:ind w:left="288"/>
              <w:spacing w:after="0"/>
              <w:rPr>
                <w:sz w:val="20"/>
                <w:szCs w:val="20"/>
                <w:color w:val="auto"/>
              </w:rPr>
            </w:pPr>
            <w:r>
              <w:rPr>
                <w:rFonts w:ascii="Arial" w:cs="Arial" w:eastAsia="Arial" w:hAnsi="Arial"/>
                <w:sz w:val="14"/>
                <w:szCs w:val="14"/>
                <w:b w:val="1"/>
                <w:bCs w:val="1"/>
                <w:color w:val="auto"/>
                <w:w w:val="89"/>
              </w:rPr>
              <w:t>2003</w:t>
            </w: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gridSpan w:val="2"/>
            <w:vMerge w:val="restart"/>
          </w:tcPr>
          <w:p>
            <w:pPr>
              <w:jc w:val="center"/>
              <w:ind w:left="288"/>
              <w:spacing w:after="0"/>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8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1998</w:t>
            </w: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1999</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2000</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2001</w:t>
            </w: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2002</w:t>
            </w: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2003</w:t>
            </w:r>
          </w:p>
        </w:tc>
        <w:tc>
          <w:tcPr>
            <w:tcW w:w="760" w:type="dxa"/>
            <w:vAlign w:val="bottom"/>
            <w:tcBorders>
              <w:bottom w:val="single" w:sz="8" w:color="auto"/>
            </w:tcBorders>
            <w:gridSpan w:val="2"/>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2004</w:t>
            </w:r>
          </w:p>
        </w:tc>
        <w:tc>
          <w:tcPr>
            <w:tcW w:w="2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5"/>
          </w:tcPr>
          <w:p>
            <w:pPr>
              <w:ind w:left="220"/>
              <w:spacing w:after="0" w:line="129" w:lineRule="exact"/>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Additional Deferred Compensation</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25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Recorded:</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 contemporaneous documentation</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$ 3.2</w:t>
            </w: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$ 4.6</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$ 17.4</w:t>
            </w: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$ 0.0</w:t>
            </w:r>
          </w:p>
        </w:tc>
        <w:tc>
          <w:tcPr>
            <w:tcW w:w="16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 —</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$ 0.7</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$ 25.9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$ 0.0</w:t>
            </w:r>
          </w:p>
        </w:tc>
        <w:tc>
          <w:tcPr>
            <w:tcW w:w="2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$ 0.0</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$ 25.9</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Date selection/Indication of other date</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(0.2)</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(0.3)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13.1</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Subsequent allocation</w:t>
            </w:r>
          </w:p>
        </w:tc>
        <w:tc>
          <w:tcPr>
            <w:tcW w:w="80" w:type="dxa"/>
            <w:vAlign w:val="bottom"/>
          </w:tcPr>
          <w:p>
            <w:pPr>
              <w:spacing w:after="0"/>
              <w:rPr>
                <w:sz w:val="12"/>
                <w:szCs w:val="12"/>
                <w:color w:val="auto"/>
              </w:rPr>
            </w:pPr>
          </w:p>
        </w:tc>
        <w:tc>
          <w:tcPr>
            <w:tcW w:w="4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16.8</w:t>
            </w:r>
          </w:p>
        </w:tc>
        <w:tc>
          <w:tcPr>
            <w:tcW w:w="10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23.8</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23.8</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Start date issues</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0.2</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0.1</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0.3</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0.4</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0.1</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Other adjustments(a)</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0.1</w:t>
            </w: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0.1</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0.3</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0.5</w:t>
            </w:r>
          </w:p>
        </w:tc>
        <w:tc>
          <w:tcPr>
            <w:tcW w:w="2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0.0</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2540" w:type="dxa"/>
            <w:vAlign w:val="bottom"/>
            <w:tcBorders>
              <w:top w:val="single" w:sz="8" w:color="CCEEFF"/>
            </w:tcBorders>
            <w:gridSpan w:val="2"/>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Subtotal</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$ 3.5</w:t>
            </w: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$ 12.9</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$ 43.3</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$ 3.1</w:t>
            </w:r>
          </w:p>
        </w:tc>
        <w:tc>
          <w:tcPr>
            <w:tcW w:w="1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$ 3.5</w:t>
            </w: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$ 8.2</w:t>
            </w:r>
          </w:p>
        </w:tc>
        <w:tc>
          <w:tcPr>
            <w:tcW w:w="3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7"/>
              </w:rPr>
              <w:t>$ 74.5</w:t>
            </w: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$ 0.4</w:t>
            </w:r>
          </w:p>
        </w:tc>
        <w:tc>
          <w:tcPr>
            <w:tcW w:w="2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$ 0.1</w:t>
            </w: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$ 75.0</w:t>
            </w: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254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Unauthorized issuance of stock by</w:t>
            </w:r>
          </w:p>
        </w:tc>
        <w:tc>
          <w:tcPr>
            <w:tcW w:w="80" w:type="dxa"/>
            <w:vAlign w:val="bottom"/>
          </w:tcPr>
          <w:p>
            <w:pPr>
              <w:spacing w:after="0"/>
              <w:rPr>
                <w:sz w:val="10"/>
                <w:szCs w:val="10"/>
                <w:color w:val="auto"/>
              </w:rPr>
            </w:pP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w:t>
            </w: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 —</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 —</w:t>
            </w: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$ 0.6</w:t>
            </w:r>
          </w:p>
        </w:tc>
        <w:tc>
          <w:tcPr>
            <w:tcW w:w="16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$ 5.7</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$ 6.3</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w:t>
            </w: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 —</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$ 6.3</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2540" w:type="dxa"/>
            <w:vAlign w:val="bottom"/>
            <w:gridSpan w:val="2"/>
          </w:tcPr>
          <w:p>
            <w:pPr>
              <w:ind w:left="120"/>
              <w:spacing w:after="0"/>
              <w:rPr>
                <w:sz w:val="20"/>
                <w:szCs w:val="20"/>
                <w:color w:val="auto"/>
              </w:rPr>
            </w:pPr>
            <w:r>
              <w:rPr>
                <w:rFonts w:ascii="Arial" w:cs="Arial" w:eastAsia="Arial" w:hAnsi="Arial"/>
                <w:sz w:val="14"/>
                <w:szCs w:val="14"/>
                <w:b w:val="1"/>
                <w:bCs w:val="1"/>
                <w:color w:val="auto"/>
              </w:rPr>
              <w:t>administrator</w:t>
            </w: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2540" w:type="dxa"/>
            <w:vAlign w:val="bottom"/>
            <w:tcBorders>
              <w:top w:val="single" w:sz="8" w:color="CCEEFF"/>
              <w:bottom w:val="single" w:sz="8" w:color="CCEEFF"/>
            </w:tcBorders>
            <w:gridSpan w:val="2"/>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$ 3.5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$ 12.9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$ 43.3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$ 3.1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$ 4.1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7"/>
              </w:rPr>
              <w:t>$ 13.9</w:t>
            </w: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7"/>
              </w:rPr>
              <w:t>$ 80.8</w:t>
            </w: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$ 0.4</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$ 0.1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$ 81.3</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3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60" w:right="540" w:hanging="352"/>
        <w:spacing w:after="0" w:line="253" w:lineRule="auto"/>
        <w:tabs>
          <w:tab w:leader="none" w:pos="349"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adjustments related to modifications that were made to employee stock options which included the extension of the post-service exercise period for vested stock options of terminated employees and the acceleration of vesting.</w:t>
      </w:r>
    </w:p>
    <w:p>
      <w:pPr>
        <w:spacing w:after="0" w:line="70"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The following table summarizes the activity in additional deferred compensation as well as additional stock-based compensation expense and related tax adjustments on an annual basis. This table does not include previously-recorded activity in deferred compensation or stock-based compensation expense: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Years Ended</w:t>
            </w: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8"/>
            <w:vMerge w:val="restart"/>
          </w:tcPr>
          <w:p>
            <w:pPr>
              <w:jc w:val="right"/>
              <w:ind w:right="280"/>
              <w:spacing w:after="0"/>
              <w:rPr>
                <w:sz w:val="20"/>
                <w:szCs w:val="20"/>
                <w:color w:val="auto"/>
              </w:rPr>
            </w:pPr>
            <w:r>
              <w:rPr>
                <w:rFonts w:ascii="Arial" w:cs="Arial" w:eastAsia="Arial" w:hAnsi="Arial"/>
                <w:sz w:val="14"/>
                <w:szCs w:val="14"/>
                <w:b w:val="1"/>
                <w:bCs w:val="1"/>
                <w:color w:val="auto"/>
                <w:w w:val="99"/>
              </w:rPr>
              <w:t>Years Ended December 31,</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Amount</w:t>
            </w:r>
          </w:p>
        </w:tc>
        <w:tc>
          <w:tcPr>
            <w:tcW w:w="1020" w:type="dxa"/>
            <w:vAlign w:val="bottom"/>
            <w:gridSpan w:val="4"/>
            <w:vMerge w:val="continue"/>
          </w:tcPr>
          <w:p>
            <w:pPr>
              <w:spacing w:after="0"/>
              <w:rPr>
                <w:sz w:val="11"/>
                <w:szCs w:val="11"/>
                <w:color w:val="auto"/>
              </w:rPr>
            </w:pPr>
          </w:p>
        </w:tc>
        <w:tc>
          <w:tcPr>
            <w:tcW w:w="104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39"/>
        </w:trPr>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8"/>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December 31,</w:t>
            </w:r>
          </w:p>
        </w:tc>
        <w:tc>
          <w:tcPr>
            <w:tcW w:w="1020" w:type="dxa"/>
            <w:vAlign w:val="bottom"/>
            <w:gridSpan w:val="4"/>
          </w:tcPr>
          <w:p>
            <w:pPr>
              <w:jc w:val="center"/>
              <w:ind w:right="120"/>
              <w:spacing w:after="0" w:line="139" w:lineRule="exact"/>
              <w:rPr>
                <w:sz w:val="20"/>
                <w:szCs w:val="20"/>
                <w:color w:val="auto"/>
              </w:rPr>
            </w:pPr>
            <w:r>
              <w:rPr>
                <w:rFonts w:ascii="Arial" w:cs="Arial" w:eastAsia="Arial" w:hAnsi="Arial"/>
                <w:sz w:val="14"/>
                <w:szCs w:val="14"/>
                <w:b w:val="1"/>
                <w:bCs w:val="1"/>
                <w:color w:val="auto"/>
                <w:w w:val="90"/>
              </w:rPr>
              <w:t>December 31,</w:t>
            </w:r>
          </w:p>
        </w:tc>
        <w:tc>
          <w:tcPr>
            <w:tcW w:w="1040" w:type="dxa"/>
            <w:vAlign w:val="bottom"/>
            <w:gridSpan w:val="4"/>
          </w:tcPr>
          <w:p>
            <w:pPr>
              <w:jc w:val="center"/>
              <w:ind w:right="80"/>
              <w:spacing w:after="0" w:line="13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restart"/>
          </w:tcPr>
          <w:p>
            <w:pPr>
              <w:jc w:val="center"/>
              <w:ind w:left="168"/>
              <w:spacing w:after="0"/>
              <w:rPr>
                <w:sz w:val="20"/>
                <w:szCs w:val="20"/>
                <w:color w:val="auto"/>
              </w:rPr>
            </w:pPr>
            <w:r>
              <w:rPr>
                <w:rFonts w:ascii="Arial" w:cs="Arial" w:eastAsia="Arial" w:hAnsi="Arial"/>
                <w:sz w:val="14"/>
                <w:szCs w:val="14"/>
                <w:b w:val="1"/>
                <w:bCs w:val="1"/>
                <w:color w:val="auto"/>
                <w:w w:val="96"/>
              </w:rPr>
              <w:t>2003</w:t>
            </w: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vMerge w:val="restart"/>
          </w:tcPr>
          <w:p>
            <w:pPr>
              <w:jc w:val="center"/>
              <w:ind w:left="168"/>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1998</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1999</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rPr>
              <w:t>2000</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rPr>
              <w:t>2001</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2002</w:t>
            </w: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2003</w:t>
            </w: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5"/>
          </w:tcPr>
          <w:p>
            <w:pPr>
              <w:jc w:val="right"/>
              <w:ind w:right="640"/>
              <w:spacing w:after="0" w:line="129" w:lineRule="exact"/>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Activity in Deferred Compensation</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rPr>
                <w:sz w:val="12"/>
                <w:szCs w:val="12"/>
                <w:color w:val="auto"/>
              </w:rPr>
            </w:pPr>
          </w:p>
        </w:tc>
        <w:tc>
          <w:tcPr>
            <w:tcW w:w="2560" w:type="dxa"/>
            <w:vAlign w:val="bottom"/>
            <w:gridSpan w:val="2"/>
          </w:tcPr>
          <w:p>
            <w:pPr>
              <w:spacing w:after="0" w:line="143" w:lineRule="exact"/>
              <w:rPr>
                <w:sz w:val="20"/>
                <w:szCs w:val="20"/>
                <w:color w:val="auto"/>
              </w:rPr>
            </w:pPr>
            <w:r>
              <w:rPr>
                <w:rFonts w:ascii="Arial" w:cs="Arial" w:eastAsia="Arial" w:hAnsi="Arial"/>
                <w:sz w:val="14"/>
                <w:szCs w:val="14"/>
                <w:color w:val="auto"/>
              </w:rPr>
              <w:t>Deferred compensation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2560" w:type="dxa"/>
            <w:vAlign w:val="bottom"/>
            <w:gridSpan w:val="2"/>
          </w:tcPr>
          <w:p>
            <w:pPr>
              <w:ind w:left="140"/>
              <w:spacing w:after="0"/>
              <w:rPr>
                <w:sz w:val="20"/>
                <w:szCs w:val="20"/>
                <w:color w:val="auto"/>
              </w:rPr>
            </w:pPr>
            <w:r>
              <w:rPr>
                <w:rFonts w:ascii="Arial" w:cs="Arial" w:eastAsia="Arial" w:hAnsi="Arial"/>
                <w:sz w:val="14"/>
                <w:szCs w:val="14"/>
                <w:color w:val="auto"/>
              </w:rPr>
              <w:t>adjustment—beginning balance</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400" w:type="dxa"/>
            <w:vAlign w:val="bottom"/>
          </w:tcPr>
          <w:p>
            <w:pPr>
              <w:jc w:val="right"/>
              <w:spacing w:after="0"/>
              <w:rPr>
                <w:sz w:val="20"/>
                <w:szCs w:val="20"/>
                <w:color w:val="auto"/>
              </w:rPr>
            </w:pPr>
            <w:r>
              <w:rPr>
                <w:rFonts w:ascii="Arial" w:cs="Arial" w:eastAsia="Arial" w:hAnsi="Arial"/>
                <w:sz w:val="14"/>
                <w:szCs w:val="14"/>
                <w:color w:val="auto"/>
              </w:rPr>
              <w:t>$ 2.2</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$ 10.2</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$ 38.3</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$ 7.0</w:t>
            </w: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6"/>
              </w:rPr>
              <w:t>$ 2.9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  —</w:t>
            </w:r>
          </w:p>
        </w:tc>
        <w:tc>
          <w:tcPr>
            <w:tcW w:w="440" w:type="dxa"/>
            <w:vAlign w:val="bottom"/>
          </w:tcPr>
          <w:p>
            <w:pPr>
              <w:jc w:val="right"/>
              <w:spacing w:after="0"/>
              <w:rPr>
                <w:sz w:val="20"/>
                <w:szCs w:val="20"/>
                <w:color w:val="auto"/>
              </w:rPr>
            </w:pPr>
            <w:r>
              <w:rPr>
                <w:rFonts w:ascii="Arial" w:cs="Arial" w:eastAsia="Arial" w:hAnsi="Arial"/>
                <w:sz w:val="14"/>
                <w:szCs w:val="14"/>
                <w:color w:val="auto"/>
              </w:rPr>
              <w:t>$ 6.6</w:t>
            </w: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$ 3.2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3"/>
        </w:trPr>
        <w:tc>
          <w:tcPr>
            <w:tcW w:w="1420" w:type="dxa"/>
            <w:vAlign w:val="bottom"/>
          </w:tcPr>
          <w:p>
            <w:pPr>
              <w:spacing w:after="0"/>
              <w:rPr>
                <w:sz w:val="12"/>
                <w:szCs w:val="12"/>
                <w:color w:val="auto"/>
              </w:rPr>
            </w:pPr>
          </w:p>
        </w:tc>
        <w:tc>
          <w:tcPr>
            <w:tcW w:w="25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Additional deferred compensation</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2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recorded</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rPr>
                <w:sz w:val="12"/>
                <w:szCs w:val="12"/>
                <w:color w:val="auto"/>
              </w:rPr>
            </w:pPr>
          </w:p>
        </w:tc>
        <w:tc>
          <w:tcPr>
            <w:tcW w:w="2560" w:type="dxa"/>
            <w:vAlign w:val="bottom"/>
            <w:gridSpan w:val="2"/>
          </w:tcPr>
          <w:p>
            <w:pPr>
              <w:spacing w:after="0" w:line="143" w:lineRule="exact"/>
              <w:rPr>
                <w:sz w:val="20"/>
                <w:szCs w:val="20"/>
                <w:color w:val="auto"/>
              </w:rPr>
            </w:pPr>
            <w:r>
              <w:rPr>
                <w:rFonts w:ascii="Arial" w:cs="Arial" w:eastAsia="Arial" w:hAnsi="Arial"/>
                <w:sz w:val="14"/>
                <w:szCs w:val="14"/>
                <w:color w:val="auto"/>
              </w:rPr>
              <w:t>Additional stock-based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2560" w:type="dxa"/>
            <w:vAlign w:val="bottom"/>
            <w:gridSpan w:val="2"/>
          </w:tcPr>
          <w:p>
            <w:pPr>
              <w:ind w:left="140"/>
              <w:spacing w:after="0"/>
              <w:rPr>
                <w:sz w:val="20"/>
                <w:szCs w:val="20"/>
                <w:color w:val="auto"/>
              </w:rPr>
            </w:pPr>
            <w:r>
              <w:rPr>
                <w:rFonts w:ascii="Arial" w:cs="Arial" w:eastAsia="Arial" w:hAnsi="Arial"/>
                <w:sz w:val="14"/>
                <w:szCs w:val="14"/>
                <w:color w:val="auto"/>
                <w:w w:val="99"/>
              </w:rPr>
              <w:t>compensation expense amortization(a)</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(4.4)</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(11.3)</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(26.6)</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(6.1)</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(3.7)</w:t>
            </w:r>
          </w:p>
        </w:tc>
        <w:tc>
          <w:tcPr>
            <w:tcW w:w="1040" w:type="dxa"/>
            <w:vAlign w:val="bottom"/>
            <w:gridSpan w:val="3"/>
          </w:tcPr>
          <w:p>
            <w:pPr>
              <w:jc w:val="right"/>
              <w:ind w:right="300"/>
              <w:spacing w:after="0"/>
              <w:rPr>
                <w:sz w:val="20"/>
                <w:szCs w:val="20"/>
                <w:color w:val="auto"/>
              </w:rPr>
            </w:pPr>
            <w:r>
              <w:rPr>
                <w:rFonts w:ascii="Arial" w:cs="Arial" w:eastAsia="Arial" w:hAnsi="Arial"/>
                <w:sz w:val="14"/>
                <w:szCs w:val="14"/>
                <w:color w:val="auto"/>
              </w:rPr>
              <w:t>(53.4)</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(2.2)</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(58.2)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Elimination due to employee terminations</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(0.8)</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(14.5)</w:t>
            </w: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(0.7)</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560" w:type="dxa"/>
            <w:vAlign w:val="bottom"/>
            <w:gridSpan w:val="2"/>
            <w:vMerge w:val="restart"/>
          </w:tcPr>
          <w:p>
            <w:pPr>
              <w:spacing w:after="0" w:line="143" w:lineRule="exact"/>
              <w:rPr>
                <w:sz w:val="20"/>
                <w:szCs w:val="20"/>
                <w:color w:val="auto"/>
              </w:rPr>
            </w:pPr>
            <w:r>
              <w:rPr>
                <w:rFonts w:ascii="Arial" w:cs="Arial" w:eastAsia="Arial" w:hAnsi="Arial"/>
                <w:sz w:val="14"/>
                <w:szCs w:val="14"/>
                <w:color w:val="auto"/>
              </w:rPr>
              <w:t>Additional deferred</w:t>
            </w: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420" w:type="dxa"/>
            <w:vAlign w:val="bottom"/>
          </w:tcPr>
          <w:p>
            <w:pPr>
              <w:spacing w:after="0"/>
              <w:rPr>
                <w:sz w:val="10"/>
                <w:szCs w:val="10"/>
                <w:color w:val="auto"/>
              </w:rPr>
            </w:pPr>
          </w:p>
        </w:tc>
        <w:tc>
          <w:tcPr>
            <w:tcW w:w="2560" w:type="dxa"/>
            <w:vAlign w:val="bottom"/>
            <w:gridSpan w:val="2"/>
            <w:vMerge w:val="continue"/>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$ 2.2</w:t>
            </w: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$ 10.2</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$ 38.3</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$ 7.0</w:t>
            </w: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$ 2.9</w:t>
            </w:r>
          </w:p>
        </w:tc>
        <w:tc>
          <w:tcPr>
            <w:tcW w:w="12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$ 6.6</w:t>
            </w:r>
          </w:p>
        </w:tc>
        <w:tc>
          <w:tcPr>
            <w:tcW w:w="80" w:type="dxa"/>
            <w:vAlign w:val="bottom"/>
          </w:tcPr>
          <w:p>
            <w:pPr>
              <w:spacing w:after="0"/>
              <w:rPr>
                <w:sz w:val="10"/>
                <w:szCs w:val="10"/>
                <w:color w:val="auto"/>
              </w:rPr>
            </w:pPr>
          </w:p>
        </w:tc>
        <w:tc>
          <w:tcPr>
            <w:tcW w:w="260" w:type="dxa"/>
            <w:vAlign w:val="bottom"/>
            <w:vMerge w:val="restart"/>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$ 6.6</w:t>
            </w:r>
          </w:p>
        </w:tc>
        <w:tc>
          <w:tcPr>
            <w:tcW w:w="34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$ 3.2</w:t>
            </w:r>
          </w:p>
        </w:tc>
        <w:tc>
          <w:tcPr>
            <w:tcW w:w="120" w:type="dxa"/>
            <w:vAlign w:val="bottom"/>
          </w:tcPr>
          <w:p>
            <w:pPr>
              <w:spacing w:after="0"/>
              <w:rPr>
                <w:sz w:val="10"/>
                <w:szCs w:val="10"/>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 (0.0)</w:t>
            </w:r>
          </w:p>
        </w:tc>
        <w:tc>
          <w:tcPr>
            <w:tcW w:w="9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 (0.0</w:t>
            </w: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420" w:type="dxa"/>
            <w:vAlign w:val="bottom"/>
          </w:tcPr>
          <w:p>
            <w:pPr>
              <w:spacing w:after="0"/>
              <w:rPr>
                <w:sz w:val="18"/>
                <w:szCs w:val="18"/>
                <w:color w:val="auto"/>
              </w:rPr>
            </w:pPr>
          </w:p>
        </w:tc>
        <w:tc>
          <w:tcPr>
            <w:tcW w:w="2560" w:type="dxa"/>
            <w:vAlign w:val="bottom"/>
            <w:gridSpan w:val="2"/>
          </w:tcPr>
          <w:p>
            <w:pPr>
              <w:ind w:left="140"/>
              <w:spacing w:after="0"/>
              <w:rPr>
                <w:sz w:val="20"/>
                <w:szCs w:val="20"/>
                <w:color w:val="auto"/>
              </w:rPr>
            </w:pPr>
            <w:r>
              <w:rPr>
                <w:rFonts w:ascii="Arial" w:cs="Arial" w:eastAsia="Arial" w:hAnsi="Arial"/>
                <w:sz w:val="14"/>
                <w:szCs w:val="14"/>
                <w:color w:val="auto"/>
              </w:rPr>
              <w:t>compensation—ending balance</w:t>
            </w: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2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8"/>
              </w:rPr>
              <w:t>Additional Stock-Based Compensation</w:t>
            </w: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25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Expense and Related Tax</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Pr>
          <w:p>
            <w:pPr>
              <w:spacing w:after="0"/>
              <w:rPr>
                <w:sz w:val="16"/>
                <w:szCs w:val="16"/>
                <w:color w:val="auto"/>
              </w:rPr>
            </w:pPr>
          </w:p>
        </w:tc>
        <w:tc>
          <w:tcPr>
            <w:tcW w:w="25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Adjustments</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rPr>
                <w:sz w:val="12"/>
                <w:szCs w:val="12"/>
                <w:color w:val="auto"/>
              </w:rPr>
            </w:pPr>
          </w:p>
        </w:tc>
        <w:tc>
          <w:tcPr>
            <w:tcW w:w="2560" w:type="dxa"/>
            <w:vAlign w:val="bottom"/>
            <w:gridSpan w:val="2"/>
          </w:tcPr>
          <w:p>
            <w:pPr>
              <w:spacing w:after="0" w:line="143" w:lineRule="exact"/>
              <w:rPr>
                <w:sz w:val="20"/>
                <w:szCs w:val="20"/>
                <w:color w:val="auto"/>
              </w:rPr>
            </w:pPr>
            <w:r>
              <w:rPr>
                <w:rFonts w:ascii="Arial" w:cs="Arial" w:eastAsia="Arial" w:hAnsi="Arial"/>
                <w:sz w:val="14"/>
                <w:szCs w:val="14"/>
                <w:color w:val="auto"/>
              </w:rPr>
              <w:t>Additional stock-based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2560" w:type="dxa"/>
            <w:vAlign w:val="bottom"/>
            <w:gridSpan w:val="2"/>
          </w:tcPr>
          <w:p>
            <w:pPr>
              <w:ind w:left="140"/>
              <w:spacing w:after="0"/>
              <w:rPr>
                <w:sz w:val="20"/>
                <w:szCs w:val="20"/>
                <w:color w:val="auto"/>
              </w:rPr>
            </w:pPr>
            <w:r>
              <w:rPr>
                <w:rFonts w:ascii="Arial" w:cs="Arial" w:eastAsia="Arial" w:hAnsi="Arial"/>
                <w:sz w:val="14"/>
                <w:szCs w:val="14"/>
                <w:color w:val="auto"/>
              </w:rPr>
              <w:t>compensation expense</w:t>
            </w:r>
          </w:p>
        </w:tc>
        <w:tc>
          <w:tcPr>
            <w:tcW w:w="340" w:type="dxa"/>
            <w:vAlign w:val="bottom"/>
          </w:tcPr>
          <w:p>
            <w:pPr>
              <w:jc w:val="right"/>
              <w:spacing w:after="0"/>
              <w:rPr>
                <w:sz w:val="20"/>
                <w:szCs w:val="20"/>
                <w:color w:val="auto"/>
              </w:rPr>
            </w:pPr>
            <w:r>
              <w:rPr>
                <w:rFonts w:ascii="Arial" w:cs="Arial" w:eastAsia="Arial" w:hAnsi="Arial"/>
                <w:sz w:val="14"/>
                <w:szCs w:val="14"/>
                <w:color w:val="auto"/>
                <w:w w:val="96"/>
              </w:rPr>
              <w:t>$ 1.3</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$ 4.4</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$ 11.3</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$ 26.6</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$ 6.1</w:t>
            </w: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6"/>
              </w:rPr>
              <w:t>$ 3.7</w:t>
            </w:r>
          </w:p>
        </w:tc>
        <w:tc>
          <w:tcPr>
            <w:tcW w:w="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$ 53.4</w:t>
            </w:r>
          </w:p>
        </w:tc>
        <w:tc>
          <w:tcPr>
            <w:tcW w:w="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$ 2.2</w:t>
            </w: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$ 2.6</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58.2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tax adjustments(b)</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3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(12.2)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2560" w:type="dxa"/>
            <w:vAlign w:val="bottom"/>
            <w:gridSpan w:val="2"/>
          </w:tcPr>
          <w:p>
            <w:pPr>
              <w:spacing w:after="0" w:line="155" w:lineRule="exact"/>
              <w:rPr>
                <w:sz w:val="20"/>
                <w:szCs w:val="20"/>
                <w:color w:val="auto"/>
              </w:rPr>
            </w:pPr>
            <w:r>
              <w:rPr>
                <w:rFonts w:ascii="Arial" w:cs="Arial" w:eastAsia="Arial" w:hAnsi="Arial"/>
                <w:sz w:val="14"/>
                <w:szCs w:val="14"/>
                <w:color w:val="auto"/>
              </w:rPr>
              <w:t>Additional operating expenses</w:t>
            </w: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21.6</w:t>
            </w:r>
          </w:p>
        </w:tc>
        <w:tc>
          <w:tcPr>
            <w:tcW w:w="10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28.2</w:t>
            </w:r>
          </w:p>
        </w:tc>
        <w:tc>
          <w:tcPr>
            <w:tcW w:w="100" w:type="dxa"/>
            <w:vAlign w:val="bottom"/>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7.0</w:t>
            </w:r>
          </w:p>
        </w:tc>
        <w:tc>
          <w:tcPr>
            <w:tcW w:w="120" w:type="dxa"/>
            <w:vAlign w:val="bottom"/>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66.8</w:t>
            </w:r>
          </w:p>
        </w:tc>
        <w:tc>
          <w:tcPr>
            <w:tcW w:w="34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3"/>
                <w:szCs w:val="13"/>
                <w:color w:val="auto"/>
              </w:rPr>
            </w:pP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expense (benefit)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(10.2)</w:t>
            </w: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2560" w:type="dxa"/>
            <w:vAlign w:val="bottom"/>
            <w:gridSpan w:val="2"/>
          </w:tcPr>
          <w:p>
            <w:pPr>
              <w:spacing w:after="0"/>
              <w:rPr>
                <w:sz w:val="20"/>
                <w:szCs w:val="20"/>
                <w:color w:val="auto"/>
              </w:rPr>
            </w:pPr>
            <w:r>
              <w:rPr>
                <w:rFonts w:ascii="Arial" w:cs="Arial" w:eastAsia="Arial" w:hAnsi="Arial"/>
                <w:sz w:val="14"/>
                <w:szCs w:val="14"/>
                <w:color w:val="auto"/>
              </w:rPr>
              <w:t>Net adjustment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$ 0.8</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$ 3.8</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$ 18.1</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$ 20.9</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$ 11.2</w:t>
            </w: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$ 1.8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$ 56.6</w:t>
            </w:r>
          </w:p>
        </w:tc>
        <w:tc>
          <w:tcPr>
            <w:tcW w:w="34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(10.0</w:t>
            </w:r>
          </w:p>
        </w:tc>
        <w:tc>
          <w:tcPr>
            <w:tcW w:w="120" w:type="dxa"/>
            <w:vAlign w:val="bottom"/>
          </w:tcPr>
          <w:p>
            <w:pPr>
              <w:jc w:val="center"/>
              <w:ind w:right="8"/>
              <w:spacing w:after="0"/>
              <w:rPr>
                <w:sz w:val="20"/>
                <w:szCs w:val="20"/>
                <w:color w:val="auto"/>
              </w:rPr>
            </w:pPr>
            <w:r>
              <w:rPr>
                <w:rFonts w:ascii="Arial" w:cs="Arial" w:eastAsia="Arial" w:hAnsi="Arial"/>
                <w:sz w:val="14"/>
                <w:szCs w:val="14"/>
                <w:color w:val="auto"/>
                <w:w w:val="8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$ 48.6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60" w:right="60" w:hanging="352"/>
        <w:spacing w:after="0" w:line="253" w:lineRule="auto"/>
        <w:tabs>
          <w:tab w:leader="none" w:pos="349"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increase in stock-based compensation expense in 2001 primarily reflects the cancellations from our Stock Option Cancel/Regrant Program in March 2001 which resulted in the remaining unamortized deferred compensation being expensed</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right="60"/>
        <w:spacing w:after="0" w:line="253" w:lineRule="auto"/>
        <w:rPr>
          <w:sz w:val="20"/>
          <w:szCs w:val="20"/>
          <w:color w:val="auto"/>
        </w:rPr>
      </w:pPr>
      <w:r>
        <w:rPr>
          <w:rFonts w:ascii="Arial" w:cs="Arial" w:eastAsia="Arial" w:hAnsi="Arial"/>
          <w:sz w:val="14"/>
          <w:szCs w:val="14"/>
          <w:color w:val="auto"/>
        </w:rPr>
        <w:t xml:space="preserve">upon cancellation. In addition, the remaining amount of deferred compensation totaling $0.1 million at December 31, 2005 was eliminated in accordance with the provisions of SFAS No. 123 (revised 2004), </w:t>
      </w:r>
      <w:r>
        <w:rPr>
          <w:rFonts w:ascii="Arial" w:cs="Arial" w:eastAsia="Arial" w:hAnsi="Arial"/>
          <w:sz w:val="14"/>
          <w:szCs w:val="14"/>
          <w:i w:val="1"/>
          <w:iCs w:val="1"/>
          <w:color w:val="auto"/>
        </w:rPr>
        <w:t>Share-Based Payment,</w:t>
      </w:r>
      <w:r>
        <w:rPr>
          <w:rFonts w:ascii="Arial" w:cs="Arial" w:eastAsia="Arial" w:hAnsi="Arial"/>
          <w:sz w:val="14"/>
          <w:szCs w:val="14"/>
          <w:color w:val="auto"/>
        </w:rPr>
        <w:t xml:space="preserve"> or SFAS 123R, which we adopted effective January 1, 2006.</w:t>
      </w:r>
    </w:p>
    <w:p>
      <w:pPr>
        <w:spacing w:after="0" w:line="66"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Reflects the accrual of payroll related tax adjustments in 1999 through 2002, and a reduction of such accruals due to the expiration of statutory requirements in 2003 through 2005.</w:t>
      </w:r>
    </w:p>
    <w:p>
      <w:pPr>
        <w:spacing w:after="0" w:line="10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following table summarizes the impact of the additional stock-based compensation expense resulting from the review of our equity award practices on our previously-reported stock-based compensation expense on an annual basis, excluding the impact of an additional $0.6 million and $5.7 million in 2002 and 2003, respectively, related to the theft of shares by the Company’s former stock administrator:</w:t>
      </w:r>
    </w:p>
    <w:p>
      <w:pPr>
        <w:spacing w:after="0" w:line="15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0"/>
              </w:rPr>
              <w:t>Stock-Based Compensation Expense</w:t>
            </w:r>
          </w:p>
        </w:tc>
      </w:tr>
      <w:tr>
        <w:trPr>
          <w:trHeight w:val="129"/>
        </w:trPr>
        <w:tc>
          <w:tcPr>
            <w:tcW w:w="4740" w:type="dxa"/>
            <w:vAlign w:val="bottom"/>
          </w:tcPr>
          <w:p>
            <w:pPr>
              <w:spacing w:after="0"/>
              <w:rPr>
                <w:sz w:val="11"/>
                <w:szCs w:val="11"/>
                <w:color w:val="auto"/>
              </w:rPr>
            </w:pPr>
          </w:p>
        </w:tc>
        <w:tc>
          <w:tcPr>
            <w:tcW w:w="940" w:type="dxa"/>
            <w:vAlign w:val="bottom"/>
            <w:tcBorders>
              <w:top w:val="single" w:sz="8" w:color="auto"/>
              <w:bottom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As Reported</w:t>
            </w:r>
          </w:p>
        </w:tc>
        <w:tc>
          <w:tcPr>
            <w:tcW w:w="1080" w:type="dxa"/>
            <w:vAlign w:val="bottom"/>
            <w:tcBorders>
              <w:top w:val="single" w:sz="8" w:color="auto"/>
              <w:bottom w:val="single" w:sz="8" w:color="auto"/>
            </w:tcBorders>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1"/>
              </w:rPr>
              <w:t>Adjustments</w:t>
            </w:r>
          </w:p>
        </w:tc>
        <w:tc>
          <w:tcPr>
            <w:tcW w:w="940" w:type="dxa"/>
            <w:vAlign w:val="bottom"/>
            <w:tcBorders>
              <w:top w:val="single" w:sz="8" w:color="auto"/>
              <w:bottom w:val="single" w:sz="8" w:color="auto"/>
            </w:tcBorders>
            <w:gridSpan w:val="3"/>
          </w:tcPr>
          <w:p>
            <w:pPr>
              <w:ind w:left="140"/>
              <w:spacing w:after="0" w:line="129" w:lineRule="exact"/>
              <w:rPr>
                <w:sz w:val="20"/>
                <w:szCs w:val="20"/>
                <w:color w:val="auto"/>
              </w:rPr>
            </w:pPr>
            <w:r>
              <w:rPr>
                <w:rFonts w:ascii="Arial" w:cs="Arial" w:eastAsia="Arial" w:hAnsi="Arial"/>
                <w:sz w:val="14"/>
                <w:szCs w:val="14"/>
                <w:b w:val="1"/>
                <w:bCs w:val="1"/>
                <w:color w:val="auto"/>
                <w:w w:val="96"/>
              </w:rPr>
              <w:t>As Restated</w:t>
            </w:r>
          </w:p>
        </w:tc>
        <w:tc>
          <w:tcPr>
            <w:tcW w:w="60" w:type="dxa"/>
            <w:vAlign w:val="bottom"/>
          </w:tcPr>
          <w:p>
            <w:pPr>
              <w:spacing w:after="0"/>
              <w:rPr>
                <w:sz w:val="11"/>
                <w:szCs w:val="11"/>
                <w:color w:val="auto"/>
              </w:rPr>
            </w:pPr>
          </w:p>
        </w:tc>
      </w:tr>
      <w:tr>
        <w:trPr>
          <w:trHeight w:val="129"/>
        </w:trPr>
        <w:tc>
          <w:tcPr>
            <w:tcW w:w="4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31, 2005</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$ 0.1</w:t>
            </w: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$ 2.6</w:t>
            </w: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Year ended December 31, 2004</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3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3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31, 2003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Year ended December 31, 2002</w:t>
            </w:r>
          </w:p>
        </w:tc>
        <w:tc>
          <w:tcPr>
            <w:tcW w:w="26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w:t>
            </w:r>
          </w:p>
        </w:tc>
        <w:tc>
          <w:tcPr>
            <w:tcW w:w="3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31, 2001</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Year ended December 31, 2000</w:t>
            </w:r>
          </w:p>
        </w:tc>
        <w:tc>
          <w:tcPr>
            <w:tcW w:w="26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w:t>
            </w:r>
          </w:p>
        </w:tc>
        <w:tc>
          <w:tcPr>
            <w:tcW w:w="3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31, 1999</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Year ended December 31, 1998</w:t>
            </w:r>
          </w:p>
        </w:tc>
        <w:tc>
          <w:tcPr>
            <w:tcW w:w="26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3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7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$ 6.6</w:t>
            </w: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$ 58.2</w:t>
            </w: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$ 64.8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00"/>
          </w:cols>
          <w:pgMar w:left="240" w:top="125" w:right="259" w:bottom="0" w:gutter="0" w:footer="0" w:header="0"/>
        </w:sectPr>
      </w:pPr>
    </w:p>
    <w:bookmarkStart w:id="83" w:name="page84"/>
    <w:bookmarkEnd w:id="83"/>
    <w:p>
      <w:pPr>
        <w:jc w:val="center"/>
        <w:ind w:right="-1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Additional Stock-Based Compensation Expense-Related Adjustments on the Consolidated Financial Statements</w:t>
      </w:r>
    </w:p>
    <w:p>
      <w:pPr>
        <w:spacing w:after="0" w:line="11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following table presents the impact of the additional stock-based compensation expense-related adjustments, the issuance of unauthorized common stock, as well as the result of the discontinuance of our international businesses on our previously reported consolidated statements of operations for the year ended December 2004 and 2005.</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RECONCILIATION OF CONSOLIDATED BALANCE SHEET FOR DECEMBER 31, 2005</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Adjustment for</w:t>
            </w:r>
          </w:p>
        </w:tc>
        <w:tc>
          <w:tcPr>
            <w:tcW w:w="11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86"/>
              </w:rPr>
              <w:t>As Restated for</w:t>
            </w:r>
          </w:p>
        </w:tc>
        <w:tc>
          <w:tcPr>
            <w:tcW w:w="112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0"/>
              </w:rPr>
              <w:t>Adjustment for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5"/>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International</w:t>
            </w:r>
          </w:p>
        </w:tc>
        <w:tc>
          <w:tcPr>
            <w:tcW w:w="1160" w:type="dxa"/>
            <w:vAlign w:val="bottom"/>
            <w:gridSpan w:val="5"/>
            <w:vMerge w:val="continue"/>
          </w:tcPr>
          <w:p>
            <w:pPr>
              <w:spacing w:after="0"/>
              <w:rPr>
                <w:sz w:val="11"/>
                <w:szCs w:val="11"/>
                <w:color w:val="auto"/>
              </w:rPr>
            </w:pPr>
          </w:p>
        </w:tc>
        <w:tc>
          <w:tcPr>
            <w:tcW w:w="112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100" w:type="dxa"/>
            <w:vAlign w:val="bottom"/>
            <w:gridSpan w:val="5"/>
          </w:tcPr>
          <w:p>
            <w:pPr>
              <w:jc w:val="center"/>
              <w:ind w:right="180"/>
              <w:spacing w:after="0" w:line="135" w:lineRule="exact"/>
              <w:rPr>
                <w:sz w:val="20"/>
                <w:szCs w:val="20"/>
                <w:color w:val="auto"/>
              </w:rPr>
            </w:pPr>
            <w:r>
              <w:rPr>
                <w:rFonts w:ascii="Arial" w:cs="Arial" w:eastAsia="Arial" w:hAnsi="Arial"/>
                <w:sz w:val="14"/>
                <w:szCs w:val="14"/>
                <w:b w:val="1"/>
                <w:bCs w:val="1"/>
                <w:color w:val="auto"/>
                <w:w w:val="85"/>
              </w:rPr>
              <w:t>Discontinued</w:t>
            </w:r>
          </w:p>
        </w:tc>
        <w:tc>
          <w:tcPr>
            <w:tcW w:w="1160" w:type="dxa"/>
            <w:vAlign w:val="bottom"/>
            <w:gridSpan w:val="5"/>
          </w:tcPr>
          <w:p>
            <w:pPr>
              <w:jc w:val="center"/>
              <w:ind w:right="180"/>
              <w:spacing w:after="0" w:line="135" w:lineRule="exact"/>
              <w:rPr>
                <w:sz w:val="20"/>
                <w:szCs w:val="20"/>
                <w:color w:val="auto"/>
              </w:rPr>
            </w:pPr>
            <w:r>
              <w:rPr>
                <w:rFonts w:ascii="Arial" w:cs="Arial" w:eastAsia="Arial" w:hAnsi="Arial"/>
                <w:sz w:val="14"/>
                <w:szCs w:val="14"/>
                <w:b w:val="1"/>
                <w:bCs w:val="1"/>
                <w:color w:val="auto"/>
                <w:w w:val="83"/>
              </w:rPr>
              <w:t>Discontinued</w:t>
            </w:r>
          </w:p>
        </w:tc>
        <w:tc>
          <w:tcPr>
            <w:tcW w:w="1120" w:type="dxa"/>
            <w:vAlign w:val="bottom"/>
            <w:gridSpan w:val="5"/>
          </w:tcPr>
          <w:p>
            <w:pPr>
              <w:jc w:val="center"/>
              <w:ind w:right="180"/>
              <w:spacing w:after="0" w:line="135" w:lineRule="exact"/>
              <w:rPr>
                <w:sz w:val="20"/>
                <w:szCs w:val="20"/>
                <w:color w:val="auto"/>
              </w:rPr>
            </w:pPr>
            <w:r>
              <w:rPr>
                <w:rFonts w:ascii="Arial" w:cs="Arial" w:eastAsia="Arial" w:hAnsi="Arial"/>
                <w:sz w:val="14"/>
                <w:szCs w:val="14"/>
                <w:b w:val="1"/>
                <w:bCs w:val="1"/>
                <w:color w:val="auto"/>
                <w:w w:val="83"/>
              </w:rPr>
              <w:t>Stock Based</w:t>
            </w:r>
          </w:p>
        </w:tc>
        <w:tc>
          <w:tcPr>
            <w:tcW w:w="8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1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Operations</w:t>
            </w:r>
          </w:p>
        </w:tc>
        <w:tc>
          <w:tcPr>
            <w:tcW w:w="11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Operations</w:t>
            </w:r>
          </w:p>
        </w:tc>
        <w:tc>
          <w:tcPr>
            <w:tcW w:w="11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2"/>
              </w:rPr>
              <w:t>Expenses</w:t>
            </w:r>
          </w:p>
        </w:tc>
        <w:tc>
          <w:tcPr>
            <w:tcW w:w="8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2640" w:type="dxa"/>
            <w:vAlign w:val="bottom"/>
            <w:tcBorders>
              <w:top w:val="single" w:sz="8" w:color="CCEEFF"/>
            </w:tcBorders>
            <w:shd w:val="clear" w:color="auto" w:fill="CCEEFF"/>
          </w:tcPr>
          <w:p>
            <w:pPr>
              <w:jc w:val="center"/>
              <w:ind w:right="972"/>
              <w:spacing w:after="0" w:line="129" w:lineRule="exact"/>
              <w:rPr>
                <w:sz w:val="20"/>
                <w:szCs w:val="20"/>
                <w:color w:val="auto"/>
              </w:rPr>
            </w:pPr>
            <w:r>
              <w:rPr>
                <w:rFonts w:ascii="Arial" w:cs="Arial" w:eastAsia="Arial" w:hAnsi="Arial"/>
                <w:sz w:val="14"/>
                <w:szCs w:val="14"/>
                <w:b w:val="1"/>
                <w:bCs w:val="1"/>
                <w:color w:val="auto"/>
                <w:w w:val="78"/>
              </w:rPr>
              <w:t>Assets</w:t>
            </w: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spacing w:after="0" w:line="135" w:lineRule="exact"/>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3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7"/>
              </w:rPr>
              <w:t>(5.2)</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4"/>
                <w:szCs w:val="14"/>
                <w:color w:val="auto"/>
                <w:w w:val="91"/>
              </w:rPr>
              <w:t>109.6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80"/>
              <w:spacing w:after="0" w:line="135" w:lineRule="exact"/>
              <w:rPr>
                <w:sz w:val="20"/>
                <w:szCs w:val="20"/>
                <w:color w:val="auto"/>
              </w:rPr>
            </w:pPr>
            <w:r>
              <w:rPr>
                <w:rFonts w:ascii="Arial" w:cs="Arial" w:eastAsia="Arial" w:hAnsi="Arial"/>
                <w:sz w:val="14"/>
                <w:szCs w:val="14"/>
                <w:color w:val="auto"/>
                <w:w w:val="97"/>
              </w:rPr>
              <w:t>(9.6)</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4"/>
                <w:szCs w:val="14"/>
                <w:color w:val="auto"/>
                <w:w w:val="85"/>
              </w:rPr>
              <w:t>100.0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4"/>
                <w:szCs w:val="14"/>
                <w:color w:val="auto"/>
              </w:rPr>
              <w:t>Income taxes receivable</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60"/>
              <w:spacing w:after="0" w:line="13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4"/>
                <w:szCs w:val="14"/>
                <w:color w:val="auto"/>
              </w:rPr>
              <w:t>0.2</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4"/>
                <w:szCs w:val="14"/>
                <w:color w:val="auto"/>
              </w:rPr>
              <w:t>2.5</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4"/>
                <w:szCs w:val="14"/>
                <w:color w:val="auto"/>
              </w:rPr>
              <w:t>Employee loans and advances</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4"/>
                <w:szCs w:val="14"/>
                <w:color w:val="auto"/>
                <w:w w:val="97"/>
              </w:rPr>
              <w:t>(0.4)</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60"/>
              <w:spacing w:after="0" w:line="13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4"/>
                <w:szCs w:val="14"/>
                <w:color w:val="auto"/>
              </w:rPr>
              <w:t>4.6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80"/>
              <w:spacing w:after="0" w:line="135" w:lineRule="exact"/>
              <w:rPr>
                <w:sz w:val="20"/>
                <w:szCs w:val="20"/>
                <w:color w:val="auto"/>
              </w:rPr>
            </w:pPr>
            <w:r>
              <w:rPr>
                <w:rFonts w:ascii="Arial" w:cs="Arial" w:eastAsia="Arial" w:hAnsi="Arial"/>
                <w:sz w:val="14"/>
                <w:szCs w:val="14"/>
                <w:color w:val="auto"/>
                <w:w w:val="97"/>
              </w:rPr>
              <w:t>(1.6)</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4"/>
                <w:szCs w:val="14"/>
                <w:color w:val="auto"/>
              </w:rPr>
              <w:t>3.0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4"/>
                <w:szCs w:val="14"/>
                <w:color w:val="auto"/>
              </w:rPr>
              <w:t>Current assets of discontinued operations</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46.7</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80"/>
              </w:rPr>
              <w:t>16.6</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63.3</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63.3</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3500" w:type="dxa"/>
            <w:vAlign w:val="bottom"/>
            <w:gridSpan w:val="2"/>
          </w:tcPr>
          <w:p>
            <w:pPr>
              <w:ind w:left="420"/>
              <w:spacing w:after="0" w:line="129" w:lineRule="exact"/>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4"/>
                <w:szCs w:val="14"/>
                <w:color w:val="auto"/>
                <w:w w:val="91"/>
              </w:rPr>
              <w:t>176.5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80"/>
              <w:spacing w:after="0" w:line="129" w:lineRule="exact"/>
              <w:rPr>
                <w:sz w:val="20"/>
                <w:szCs w:val="20"/>
                <w:color w:val="auto"/>
              </w:rPr>
            </w:pPr>
            <w:r>
              <w:rPr>
                <w:rFonts w:ascii="Arial" w:cs="Arial" w:eastAsia="Arial" w:hAnsi="Arial"/>
                <w:sz w:val="14"/>
                <w:szCs w:val="14"/>
                <w:color w:val="auto"/>
                <w:w w:val="97"/>
              </w:rPr>
              <w:t>(1.9)</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color w:val="auto"/>
                <w:w w:val="85"/>
              </w:rPr>
              <w:t>174.6</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color w:val="auto"/>
              </w:rPr>
              <w:t>174.6</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14.6</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4"/>
                <w:szCs w:val="14"/>
                <w:color w:val="auto"/>
                <w:w w:val="97"/>
              </w:rPr>
              <w:t>(1.7)</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12.9</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12.9</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spacing w:after="0" w:line="135" w:lineRule="exact"/>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4"/>
                <w:szCs w:val="14"/>
                <w:color w:val="auto"/>
                <w:w w:val="91"/>
              </w:rPr>
              <w:t>119.9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4"/>
                <w:szCs w:val="14"/>
                <w:color w:val="auto"/>
                <w:w w:val="85"/>
              </w:rPr>
              <w:t>119.9</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119.9</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Other intangibles, net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7.4</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7.4</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7.4</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spacing w:after="0" w:line="135" w:lineRule="exact"/>
              <w:rPr>
                <w:sz w:val="20"/>
                <w:szCs w:val="20"/>
                <w:color w:val="auto"/>
              </w:rPr>
            </w:pPr>
            <w:r>
              <w:rPr>
                <w:rFonts w:ascii="Arial" w:cs="Arial" w:eastAsia="Arial" w:hAnsi="Arial"/>
                <w:sz w:val="14"/>
                <w:szCs w:val="14"/>
                <w:color w:val="auto"/>
              </w:rPr>
              <w:t>Deferred tax assets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4"/>
                <w:szCs w:val="14"/>
                <w:color w:val="auto"/>
              </w:rPr>
              <w:t>18.9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80"/>
              <w:spacing w:after="0" w:line="135" w:lineRule="exact"/>
              <w:rPr>
                <w:sz w:val="20"/>
                <w:szCs w:val="20"/>
                <w:color w:val="auto"/>
              </w:rPr>
            </w:pPr>
            <w:r>
              <w:rPr>
                <w:rFonts w:ascii="Arial" w:cs="Arial" w:eastAsia="Arial" w:hAnsi="Arial"/>
                <w:sz w:val="14"/>
                <w:szCs w:val="14"/>
                <w:color w:val="auto"/>
                <w:w w:val="97"/>
              </w:rPr>
              <w:t>(2.3)</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4"/>
                <w:szCs w:val="14"/>
                <w:color w:val="auto"/>
              </w:rPr>
              <w:t>16.6</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16.6</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Investments in unconsolidated affiliates</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2.1</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spacing w:after="0" w:line="135" w:lineRule="exact"/>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4"/>
                <w:szCs w:val="14"/>
                <w:color w:val="auto"/>
              </w:rPr>
              <w:t>0.9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4"/>
                <w:szCs w:val="14"/>
                <w:color w:val="auto"/>
              </w:rPr>
              <w:t>0.9</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0.9</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Non current assets of discontinued operations</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4.0</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5.7</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5.7</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3500" w:type="dxa"/>
            <w:vAlign w:val="bottom"/>
            <w:tcBorders>
              <w:bottom w:val="single" w:sz="8" w:color="CCEEFF"/>
            </w:tcBorders>
            <w:gridSpan w:val="2"/>
          </w:tcPr>
          <w:p>
            <w:pPr>
              <w:ind w:left="560"/>
              <w:spacing w:after="0" w:line="129" w:lineRule="exact"/>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342.0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342.0</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342.0</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3500" w:type="dxa"/>
            <w:vAlign w:val="bottom"/>
            <w:gridSpan w:val="2"/>
            <w:shd w:val="clear" w:color="auto" w:fill="CCEEFF"/>
          </w:tcPr>
          <w:p>
            <w:pPr>
              <w:jc w:val="center"/>
              <w:ind w:right="112"/>
              <w:spacing w:after="0" w:line="155" w:lineRule="exact"/>
              <w:rPr>
                <w:sz w:val="20"/>
                <w:szCs w:val="20"/>
                <w:color w:val="auto"/>
              </w:rPr>
            </w:pPr>
            <w:r>
              <w:rPr>
                <w:rFonts w:ascii="Arial" w:cs="Arial" w:eastAsia="Arial" w:hAnsi="Arial"/>
                <w:sz w:val="14"/>
                <w:szCs w:val="14"/>
                <w:b w:val="1"/>
                <w:bCs w:val="1"/>
                <w:color w:val="auto"/>
                <w:w w:val="87"/>
              </w:rPr>
              <w:t>Liabilities and Stockholders’ Equity</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spacing w:after="0" w:line="135" w:lineRule="exact"/>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3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7"/>
              </w:rPr>
              <w:t>(1.3)</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Accounts payable—related party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4"/>
                <w:szCs w:val="14"/>
                <w:color w:val="auto"/>
              </w:rPr>
              <w:t>0.8</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80"/>
              <w:spacing w:after="0" w:line="135" w:lineRule="exact"/>
              <w:rPr>
                <w:sz w:val="20"/>
                <w:szCs w:val="20"/>
                <w:color w:val="auto"/>
              </w:rPr>
            </w:pPr>
            <w:r>
              <w:rPr>
                <w:rFonts w:ascii="Arial" w:cs="Arial" w:eastAsia="Arial" w:hAnsi="Arial"/>
                <w:sz w:val="14"/>
                <w:szCs w:val="14"/>
                <w:color w:val="auto"/>
                <w:w w:val="97"/>
              </w:rPr>
              <w:t>(0.8)</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460"/>
              <w:spacing w:after="0" w:line="13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22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4"/>
                <w:szCs w:val="14"/>
                <w:color w:val="auto"/>
              </w:rPr>
              <w:t>Accrued expenses</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18.0</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4"/>
                <w:szCs w:val="14"/>
                <w:color w:val="auto"/>
                <w:w w:val="97"/>
              </w:rPr>
              <w:t>(2.7)</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15.3</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0.6</w:t>
            </w: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15.9</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ind w:left="280"/>
              <w:spacing w:after="0" w:line="135" w:lineRule="exact"/>
              <w:rPr>
                <w:sz w:val="20"/>
                <w:szCs w:val="20"/>
                <w:color w:val="auto"/>
              </w:rPr>
            </w:pPr>
            <w:r>
              <w:rPr>
                <w:rFonts w:ascii="Arial" w:cs="Arial" w:eastAsia="Arial" w:hAnsi="Arial"/>
                <w:sz w:val="14"/>
                <w:szCs w:val="14"/>
                <w:color w:val="auto"/>
              </w:rPr>
              <w:t>Accrued compensation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4"/>
                <w:szCs w:val="14"/>
                <w:color w:val="auto"/>
              </w:rPr>
              <w:t>13.0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80"/>
              <w:spacing w:after="0" w:line="135" w:lineRule="exact"/>
              <w:rPr>
                <w:sz w:val="20"/>
                <w:szCs w:val="20"/>
                <w:color w:val="auto"/>
              </w:rPr>
            </w:pPr>
            <w:r>
              <w:rPr>
                <w:rFonts w:ascii="Arial" w:cs="Arial" w:eastAsia="Arial" w:hAnsi="Arial"/>
                <w:sz w:val="14"/>
                <w:szCs w:val="14"/>
                <w:color w:val="auto"/>
                <w:w w:val="97"/>
              </w:rPr>
              <w:t>(1.8)</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4"/>
                <w:szCs w:val="14"/>
                <w:color w:val="auto"/>
              </w:rPr>
              <w:t>11.2</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11.2</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4"/>
                <w:szCs w:val="14"/>
                <w:color w:val="auto"/>
              </w:rPr>
              <w:t>Billings in excess of costs on completed contracts</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4"/>
                <w:szCs w:val="14"/>
                <w:color w:val="auto"/>
                <w:w w:val="97"/>
              </w:rPr>
              <w:t>(0.1)</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4.2</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Deferred tax liabilities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4"/>
                <w:szCs w:val="14"/>
                <w:color w:val="auto"/>
              </w:rPr>
              <w:t>6.6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80"/>
              <w:spacing w:after="0" w:line="135" w:lineRule="exact"/>
              <w:rPr>
                <w:sz w:val="20"/>
                <w:szCs w:val="20"/>
                <w:color w:val="auto"/>
              </w:rPr>
            </w:pPr>
            <w:r>
              <w:rPr>
                <w:rFonts w:ascii="Arial" w:cs="Arial" w:eastAsia="Arial" w:hAnsi="Arial"/>
                <w:sz w:val="14"/>
                <w:szCs w:val="14"/>
                <w:color w:val="auto"/>
                <w:w w:val="97"/>
              </w:rPr>
              <w:t>(2.3)</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4"/>
                <w:szCs w:val="14"/>
                <w:color w:val="auto"/>
              </w:rPr>
              <w:t>4.3</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4.3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4"/>
                <w:szCs w:val="14"/>
                <w:color w:val="auto"/>
              </w:rPr>
              <w:t>Tax contingencies</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1.8</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Accrual for contingent acquisition consideration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4"/>
                <w:szCs w:val="14"/>
                <w:color w:val="auto"/>
              </w:rPr>
              <w:t>8.2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4"/>
                <w:szCs w:val="14"/>
                <w:color w:val="auto"/>
              </w:rPr>
              <w:t>8.2</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8.2</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4"/>
                <w:szCs w:val="14"/>
                <w:color w:val="auto"/>
              </w:rPr>
              <w:t>Accrual for unused office space</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0.5</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0.5</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Income taxes payable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80"/>
              <w:spacing w:after="0" w:line="135" w:lineRule="exact"/>
              <w:rPr>
                <w:sz w:val="20"/>
                <w:szCs w:val="20"/>
                <w:color w:val="auto"/>
              </w:rPr>
            </w:pPr>
            <w:r>
              <w:rPr>
                <w:rFonts w:ascii="Arial" w:cs="Arial" w:eastAsia="Arial" w:hAnsi="Arial"/>
                <w:sz w:val="14"/>
                <w:szCs w:val="14"/>
                <w:color w:val="auto"/>
                <w:w w:val="97"/>
              </w:rPr>
              <w:t>(1.9)</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4"/>
                <w:szCs w:val="14"/>
                <w:color w:val="auto"/>
              </w:rPr>
              <w:t>0.1</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0.1</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340" w:type="dxa"/>
            <w:vAlign w:val="bottom"/>
          </w:tcPr>
          <w:p>
            <w:pPr>
              <w:spacing w:after="0"/>
              <w:rPr>
                <w:sz w:val="9"/>
                <w:szCs w:val="9"/>
                <w:color w:val="auto"/>
              </w:rPr>
            </w:pPr>
          </w:p>
        </w:tc>
        <w:tc>
          <w:tcPr>
            <w:tcW w:w="3500" w:type="dxa"/>
            <w:vAlign w:val="bottom"/>
            <w:gridSpan w:val="2"/>
            <w:shd w:val="clear" w:color="auto" w:fill="CCEEFF"/>
          </w:tcPr>
          <w:p>
            <w:pPr>
              <w:ind w:left="120"/>
              <w:spacing w:after="0" w:line="111" w:lineRule="exact"/>
              <w:rPr>
                <w:sz w:val="20"/>
                <w:szCs w:val="20"/>
                <w:color w:val="auto"/>
              </w:rPr>
            </w:pPr>
            <w:r>
              <w:rPr>
                <w:rFonts w:ascii="Arial" w:cs="Arial" w:eastAsia="Arial" w:hAnsi="Arial"/>
                <w:sz w:val="12"/>
                <w:szCs w:val="12"/>
                <w:color w:val="auto"/>
              </w:rPr>
              <w:t>Capital lease obligations and other</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340" w:type="dxa"/>
            <w:vAlign w:val="bottom"/>
          </w:tcPr>
          <w:p>
            <w:pPr>
              <w:spacing w:after="0"/>
              <w:rPr>
                <w:sz w:val="13"/>
                <w:szCs w:val="13"/>
                <w:color w:val="auto"/>
              </w:rPr>
            </w:pPr>
          </w:p>
        </w:tc>
        <w:tc>
          <w:tcPr>
            <w:tcW w:w="35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short-term debt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340" w:type="dxa"/>
            <w:vAlign w:val="bottom"/>
          </w:tcPr>
          <w:p>
            <w:pPr>
              <w:spacing w:after="0"/>
              <w:rPr>
                <w:sz w:val="9"/>
                <w:szCs w:val="9"/>
                <w:color w:val="auto"/>
              </w:rPr>
            </w:pPr>
          </w:p>
        </w:tc>
        <w:tc>
          <w:tcPr>
            <w:tcW w:w="3500" w:type="dxa"/>
            <w:vAlign w:val="bottom"/>
            <w:gridSpan w:val="2"/>
          </w:tcPr>
          <w:p>
            <w:pPr>
              <w:ind w:left="120"/>
              <w:spacing w:after="0" w:line="111" w:lineRule="exact"/>
              <w:rPr>
                <w:sz w:val="20"/>
                <w:szCs w:val="20"/>
                <w:color w:val="auto"/>
              </w:rPr>
            </w:pPr>
            <w:r>
              <w:rPr>
                <w:rFonts w:ascii="Arial" w:cs="Arial" w:eastAsia="Arial" w:hAnsi="Arial"/>
                <w:sz w:val="12"/>
                <w:szCs w:val="12"/>
                <w:color w:val="auto"/>
              </w:rPr>
              <w:t>Current liabilities of discontinued</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30.1</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w w:val="80"/>
              </w:rPr>
              <w:t>10.9</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41.0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vMerge w:val="restart"/>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41.0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340" w:type="dxa"/>
            <w:vAlign w:val="bottom"/>
          </w:tcPr>
          <w:p>
            <w:pPr>
              <w:spacing w:after="0"/>
              <w:rPr>
                <w:sz w:val="13"/>
                <w:szCs w:val="13"/>
                <w:color w:val="auto"/>
              </w:rPr>
            </w:pPr>
          </w:p>
        </w:tc>
        <w:tc>
          <w:tcPr>
            <w:tcW w:w="35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operations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3500" w:type="dxa"/>
            <w:vAlign w:val="bottom"/>
            <w:tcBorders>
              <w:top w:val="single" w:sz="8" w:color="CCEEFF"/>
            </w:tcBorders>
            <w:gridSpan w:val="2"/>
            <w:shd w:val="clear" w:color="auto" w:fill="CCEEFF"/>
          </w:tcPr>
          <w:p>
            <w:pPr>
              <w:ind w:left="420"/>
              <w:spacing w:after="0" w:line="129" w:lineRule="exact"/>
              <w:rPr>
                <w:sz w:val="20"/>
                <w:szCs w:val="20"/>
                <w:color w:val="auto"/>
              </w:rPr>
            </w:pPr>
            <w:r>
              <w:rPr>
                <w:rFonts w:ascii="Arial" w:cs="Arial" w:eastAsia="Arial" w:hAnsi="Arial"/>
                <w:sz w:val="14"/>
                <w:szCs w:val="14"/>
                <w:color w:val="auto"/>
              </w:rPr>
              <w:t>Total current liabilities</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1"/>
              </w:rPr>
              <w:t>108.5</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5"/>
              </w:rPr>
              <w:t>108.5</w:t>
            </w: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0.6</w:t>
            </w: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109.1</w:t>
            </w: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6"/>
              </w:rPr>
              <w:t>Capital lease obligations and debt, net of current portion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4"/>
                <w:szCs w:val="14"/>
                <w:color w:val="auto"/>
              </w:rPr>
              <w:t>0.4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4"/>
                <w:szCs w:val="14"/>
                <w:color w:val="auto"/>
              </w:rPr>
              <w:t>0.4</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0.4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340" w:type="dxa"/>
            <w:vAlign w:val="bottom"/>
          </w:tcPr>
          <w:p>
            <w:pPr>
              <w:spacing w:after="0"/>
              <w:rPr>
                <w:sz w:val="9"/>
                <w:szCs w:val="9"/>
                <w:color w:val="auto"/>
              </w:rPr>
            </w:pPr>
          </w:p>
        </w:tc>
        <w:tc>
          <w:tcPr>
            <w:tcW w:w="3500" w:type="dxa"/>
            <w:vAlign w:val="bottom"/>
            <w:gridSpan w:val="2"/>
            <w:shd w:val="clear" w:color="auto" w:fill="CCEEFF"/>
          </w:tcPr>
          <w:p>
            <w:pPr>
              <w:ind w:left="120"/>
              <w:spacing w:after="0" w:line="111" w:lineRule="exact"/>
              <w:rPr>
                <w:sz w:val="20"/>
                <w:szCs w:val="20"/>
                <w:color w:val="auto"/>
              </w:rPr>
            </w:pPr>
            <w:r>
              <w:rPr>
                <w:rFonts w:ascii="Arial" w:cs="Arial" w:eastAsia="Arial" w:hAnsi="Arial"/>
                <w:sz w:val="12"/>
                <w:szCs w:val="12"/>
                <w:color w:val="auto"/>
              </w:rPr>
              <w:t>Accrual for unused office space, net of</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340" w:type="dxa"/>
            <w:vAlign w:val="bottom"/>
          </w:tcPr>
          <w:p>
            <w:pPr>
              <w:spacing w:after="0"/>
              <w:rPr>
                <w:sz w:val="13"/>
                <w:szCs w:val="13"/>
                <w:color w:val="auto"/>
              </w:rPr>
            </w:pPr>
          </w:p>
        </w:tc>
        <w:tc>
          <w:tcPr>
            <w:tcW w:w="35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current portion</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4"/>
                <w:szCs w:val="14"/>
                <w:color w:val="auto"/>
              </w:rPr>
              <w:t>1.3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4"/>
                <w:szCs w:val="14"/>
                <w:color w:val="auto"/>
              </w:rPr>
              <w:t>1.3</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340" w:type="dxa"/>
            <w:vAlign w:val="bottom"/>
          </w:tcPr>
          <w:p>
            <w:pPr>
              <w:spacing w:after="0"/>
              <w:rPr>
                <w:sz w:val="9"/>
                <w:szCs w:val="9"/>
                <w:color w:val="auto"/>
              </w:rPr>
            </w:pPr>
          </w:p>
        </w:tc>
        <w:tc>
          <w:tcPr>
            <w:tcW w:w="3500" w:type="dxa"/>
            <w:vAlign w:val="bottom"/>
            <w:gridSpan w:val="2"/>
            <w:shd w:val="clear" w:color="auto" w:fill="CCEEFF"/>
          </w:tcPr>
          <w:p>
            <w:pPr>
              <w:ind w:left="120"/>
              <w:spacing w:after="0" w:line="111" w:lineRule="exact"/>
              <w:rPr>
                <w:sz w:val="20"/>
                <w:szCs w:val="20"/>
                <w:color w:val="auto"/>
              </w:rPr>
            </w:pPr>
            <w:r>
              <w:rPr>
                <w:rFonts w:ascii="Arial" w:cs="Arial" w:eastAsia="Arial" w:hAnsi="Arial"/>
                <w:sz w:val="12"/>
                <w:szCs w:val="12"/>
                <w:color w:val="auto"/>
              </w:rPr>
              <w:t>Other long term liabilities of discontinued</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340" w:type="dxa"/>
            <w:vAlign w:val="bottom"/>
          </w:tcPr>
          <w:p>
            <w:pPr>
              <w:spacing w:after="0"/>
              <w:rPr>
                <w:sz w:val="13"/>
                <w:szCs w:val="13"/>
                <w:color w:val="auto"/>
              </w:rPr>
            </w:pPr>
          </w:p>
        </w:tc>
        <w:tc>
          <w:tcPr>
            <w:tcW w:w="35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operations</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3500" w:type="dxa"/>
            <w:vAlign w:val="bottom"/>
            <w:gridSpan w:val="2"/>
          </w:tcPr>
          <w:p>
            <w:pPr>
              <w:ind w:left="560"/>
              <w:spacing w:after="0" w:line="129" w:lineRule="exact"/>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111.7</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111.7</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0.6</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112.3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Preferred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380"/>
              <w:spacing w:after="0" w:line="13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460"/>
              <w:spacing w:after="0" w:line="13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22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4"/>
                <w:szCs w:val="14"/>
                <w:color w:val="auto"/>
              </w:rPr>
              <w:t>Common stock</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60"/>
              <w:spacing w:after="0" w:line="13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4"/>
                <w:szCs w:val="14"/>
                <w:color w:val="auto"/>
                <w:w w:val="91"/>
              </w:rPr>
              <w:t>324.9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4"/>
                <w:szCs w:val="14"/>
                <w:color w:val="auto"/>
                <w:w w:val="85"/>
              </w:rPr>
              <w:t>324.9</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4"/>
                <w:szCs w:val="14"/>
                <w:color w:val="auto"/>
                <w:w w:val="95"/>
              </w:rPr>
              <w:t>54.4</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379.3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4"/>
                <w:szCs w:val="14"/>
                <w:color w:val="auto"/>
              </w:rPr>
              <w:t>Deferred compensation</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60"/>
              <w:spacing w:after="0" w:line="13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w w:val="98"/>
              </w:rPr>
              <w:t>(91.7)</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4"/>
                <w:szCs w:val="14"/>
                <w:color w:val="auto"/>
                <w:w w:val="98"/>
              </w:rPr>
              <w:t>(91.7)</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240"/>
              <w:spacing w:after="0" w:line="135" w:lineRule="exact"/>
              <w:rPr>
                <w:sz w:val="20"/>
                <w:szCs w:val="20"/>
                <w:color w:val="auto"/>
              </w:rPr>
            </w:pPr>
            <w:r>
              <w:rPr>
                <w:rFonts w:ascii="Arial" w:cs="Arial" w:eastAsia="Arial" w:hAnsi="Arial"/>
                <w:sz w:val="14"/>
                <w:szCs w:val="14"/>
                <w:color w:val="auto"/>
                <w:w w:val="87"/>
              </w:rPr>
              <w:t>(55.0)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w w:val="94"/>
              </w:rPr>
              <w:t>(146.7)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5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4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3500" w:type="dxa"/>
            <w:vAlign w:val="bottom"/>
            <w:tcBorders>
              <w:bottom w:val="single" w:sz="8" w:color="CCEEFF"/>
            </w:tcBorders>
            <w:gridSpan w:val="2"/>
          </w:tcPr>
          <w:p>
            <w:pPr>
              <w:ind w:left="420"/>
              <w:spacing w:after="0" w:line="129" w:lineRule="exact"/>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230.3</w:t>
            </w: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230.3</w:t>
            </w:r>
          </w:p>
        </w:tc>
        <w:tc>
          <w:tcPr>
            <w:tcW w:w="2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7"/>
              </w:rPr>
              <w:t>(0.6)</w:t>
            </w:r>
          </w:p>
        </w:tc>
        <w:tc>
          <w:tcPr>
            <w:tcW w:w="2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229.7</w:t>
            </w:r>
          </w:p>
        </w:tc>
        <w:tc>
          <w:tcPr>
            <w:tcW w:w="1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3500" w:type="dxa"/>
            <w:vAlign w:val="bottom"/>
            <w:tcBorders>
              <w:bottom w:val="single" w:sz="8" w:color="CCEEFF"/>
            </w:tcBorders>
            <w:gridSpan w:val="2"/>
            <w:shd w:val="clear" w:color="auto" w:fill="CCEEFF"/>
          </w:tcPr>
          <w:p>
            <w:pPr>
              <w:ind w:left="560"/>
              <w:spacing w:after="0" w:line="129" w:lineRule="exact"/>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1"/>
              </w:rPr>
              <w:t>342.0</w:t>
            </w:r>
          </w:p>
        </w:tc>
        <w:tc>
          <w:tcPr>
            <w:tcW w:w="2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5"/>
              </w:rPr>
              <w:t>342.0</w:t>
            </w:r>
          </w:p>
        </w:tc>
        <w:tc>
          <w:tcPr>
            <w:tcW w:w="2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342.0</w:t>
            </w:r>
          </w:p>
        </w:tc>
        <w:tc>
          <w:tcPr>
            <w:tcW w:w="1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3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Certain items in the balance sheet have been reclassified to conform to the current period presentation.</w:t>
      </w: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RECONCILIATION OF CONSOLIDATED STATEMENT OF OPERATIONS FOR 2005</w:t>
      </w:r>
    </w:p>
    <w:p>
      <w:pPr>
        <w:jc w:val="center"/>
        <w:ind w:right="-139"/>
        <w:spacing w:after="0" w:line="211" w:lineRule="auto"/>
        <w:rPr>
          <w:sz w:val="20"/>
          <w:szCs w:val="20"/>
          <w:color w:val="auto"/>
        </w:rPr>
      </w:pPr>
      <w:r>
        <w:rPr>
          <w:rFonts w:ascii="Arial" w:cs="Arial" w:eastAsia="Arial" w:hAnsi="Arial"/>
          <w:sz w:val="18"/>
          <w:szCs w:val="18"/>
          <w:b w:val="1"/>
          <w:bCs w:val="1"/>
          <w:color w:val="auto"/>
        </w:rPr>
        <w:t>(in millions, except per share data)</w:t>
      </w:r>
    </w:p>
    <w:tbl>
      <w:tblPr>
        <w:tblLayout w:type="fixed"/>
        <w:tblInd w:w="1380" w:type="dxa"/>
        <w:tblCellMar>
          <w:top w:w="0" w:type="dxa"/>
          <w:left w:w="0" w:type="dxa"/>
          <w:bottom w:w="0" w:type="dxa"/>
          <w:right w:w="0" w:type="dxa"/>
        </w:tblCellMar>
      </w:tblPr>
      <w:tr>
        <w:trPr>
          <w:trHeight w:val="129"/>
        </w:trPr>
        <w:tc>
          <w:tcPr>
            <w:tcW w:w="3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96"/>
              </w:rPr>
              <w:t>Adjustment for</w:t>
            </w:r>
          </w:p>
        </w:tc>
        <w:tc>
          <w:tcPr>
            <w:tcW w:w="104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As Restated</w:t>
            </w:r>
          </w:p>
        </w:tc>
        <w:tc>
          <w:tcPr>
            <w:tcW w:w="11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4"/>
              </w:rPr>
              <w:t>Adjustment for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As</w:t>
            </w:r>
          </w:p>
        </w:tc>
        <w:tc>
          <w:tcPr>
            <w:tcW w:w="1160" w:type="dxa"/>
            <w:vAlign w:val="bottom"/>
            <w:gridSpan w:val="4"/>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International</w:t>
            </w:r>
          </w:p>
        </w:tc>
        <w:tc>
          <w:tcPr>
            <w:tcW w:w="200" w:type="dxa"/>
            <w:vAlign w:val="bottom"/>
          </w:tcPr>
          <w:p>
            <w:pPr>
              <w:spacing w:after="0"/>
              <w:rPr>
                <w:sz w:val="11"/>
                <w:szCs w:val="11"/>
                <w:color w:val="auto"/>
              </w:rPr>
            </w:pPr>
          </w:p>
        </w:tc>
        <w:tc>
          <w:tcPr>
            <w:tcW w:w="840" w:type="dxa"/>
            <w:vAlign w:val="bottom"/>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rPr>
              <w:t>for</w:t>
            </w:r>
          </w:p>
        </w:tc>
        <w:tc>
          <w:tcPr>
            <w:tcW w:w="118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160" w:type="dxa"/>
            <w:vAlign w:val="bottom"/>
            <w:gridSpan w:val="4"/>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Discontinued</w:t>
            </w:r>
          </w:p>
        </w:tc>
        <w:tc>
          <w:tcPr>
            <w:tcW w:w="1040" w:type="dxa"/>
            <w:vAlign w:val="bottom"/>
            <w:gridSpan w:val="4"/>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Discontinued</w:t>
            </w:r>
          </w:p>
        </w:tc>
        <w:tc>
          <w:tcPr>
            <w:tcW w:w="118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Stock Based</w:t>
            </w:r>
          </w:p>
        </w:tc>
        <w:tc>
          <w:tcPr>
            <w:tcW w:w="9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Reported</w:t>
            </w:r>
          </w:p>
        </w:tc>
        <w:tc>
          <w:tcPr>
            <w:tcW w:w="11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Operations</w:t>
            </w: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Operations</w:t>
            </w: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Expenses</w:t>
            </w:r>
          </w:p>
        </w:tc>
        <w:tc>
          <w:tcPr>
            <w:tcW w:w="9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Revenues</w:t>
            </w:r>
          </w:p>
        </w:tc>
        <w:tc>
          <w:tcPr>
            <w:tcW w:w="5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w w:val="97"/>
              </w:rPr>
              <w:t>$ 375.3</w:t>
            </w: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$ 37.6</w:t>
            </w:r>
          </w:p>
        </w:tc>
        <w:tc>
          <w:tcPr>
            <w:tcW w:w="3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$ 337.7</w:t>
            </w:r>
          </w:p>
        </w:tc>
        <w:tc>
          <w:tcPr>
            <w:tcW w:w="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gridSpan w:val="2"/>
            <w:shd w:val="clear" w:color="auto" w:fill="CCEEFF"/>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$ 337.7</w:t>
            </w: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revenues</w:t>
            </w:r>
          </w:p>
        </w:tc>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3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260.1</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shd w:val="clear" w:color="auto" w:fill="CCEEFF"/>
          </w:tcPr>
          <w:p>
            <w:pPr>
              <w:ind w:left="300"/>
              <w:spacing w:after="0" w:line="183" w:lineRule="exact"/>
              <w:rPr>
                <w:sz w:val="20"/>
                <w:szCs w:val="20"/>
                <w:color w:val="auto"/>
              </w:rPr>
            </w:pPr>
            <w:r>
              <w:rPr>
                <w:rFonts w:ascii="Arial" w:cs="Arial" w:eastAsia="Arial" w:hAnsi="Arial"/>
                <w:sz w:val="16"/>
                <w:szCs w:val="16"/>
                <w:color w:val="auto"/>
              </w:rPr>
              <w:t>Gross profit</w:t>
            </w: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84.3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6.7</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77.6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76.3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69.3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8.6</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60.7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0.8</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61.5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Contingent acquisition consideration</w:t>
            </w:r>
          </w:p>
        </w:tc>
        <w:tc>
          <w:tcPr>
            <w:tcW w:w="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300"/>
              <w:spacing w:after="0" w:line="166" w:lineRule="exact"/>
              <w:rPr>
                <w:sz w:val="20"/>
                <w:szCs w:val="20"/>
                <w:color w:val="auto"/>
              </w:rPr>
            </w:pPr>
            <w:r>
              <w:rPr>
                <w:rFonts w:ascii="Arial" w:cs="Arial" w:eastAsia="Arial" w:hAnsi="Arial"/>
                <w:sz w:val="16"/>
                <w:szCs w:val="16"/>
                <w:color w:val="auto"/>
              </w:rPr>
              <w:t>Operating income (loss)</w:t>
            </w:r>
          </w:p>
        </w:tc>
        <w:tc>
          <w:tcPr>
            <w:tcW w:w="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54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6"/>
                <w:szCs w:val="16"/>
                <w:color w:val="auto"/>
              </w:rPr>
              <w:t>17.1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20" w:type="dxa"/>
            <w:vAlign w:val="bottom"/>
            <w:gridSpan w:val="2"/>
          </w:tcPr>
          <w:p>
            <w:pPr>
              <w:jc w:val="right"/>
              <w:ind w:right="260"/>
              <w:spacing w:after="0" w:line="146" w:lineRule="exact"/>
              <w:rPr>
                <w:sz w:val="20"/>
                <w:szCs w:val="20"/>
                <w:color w:val="auto"/>
              </w:rPr>
            </w:pPr>
            <w:r>
              <w:rPr>
                <w:rFonts w:ascii="Arial" w:cs="Arial" w:eastAsia="Arial" w:hAnsi="Arial"/>
                <w:sz w:val="16"/>
                <w:szCs w:val="16"/>
                <w:color w:val="auto"/>
              </w:rPr>
              <w:t>(1.9)</w:t>
            </w:r>
          </w:p>
        </w:tc>
        <w:tc>
          <w:tcPr>
            <w:tcW w:w="1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6"/>
                <w:szCs w:val="16"/>
                <w:color w:val="auto"/>
              </w:rPr>
              <w:t>19.0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20"/>
              <w:spacing w:after="0" w:line="146" w:lineRule="exact"/>
              <w:rPr>
                <w:sz w:val="20"/>
                <w:szCs w:val="20"/>
                <w:color w:val="auto"/>
              </w:rPr>
            </w:pPr>
            <w:r>
              <w:rPr>
                <w:rFonts w:ascii="Arial" w:cs="Arial" w:eastAsia="Arial" w:hAnsi="Arial"/>
                <w:sz w:val="16"/>
                <w:szCs w:val="16"/>
                <w:color w:val="auto"/>
              </w:rPr>
              <w:t>(2.1)</w:t>
            </w:r>
          </w:p>
        </w:tc>
        <w:tc>
          <w:tcPr>
            <w:tcW w:w="1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6"/>
                <w:szCs w:val="16"/>
                <w:color w:val="auto"/>
              </w:rPr>
              <w:t>16.9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540" w:type="dxa"/>
            <w:vAlign w:val="bottom"/>
            <w:vMerge w:val="restart"/>
          </w:tcPr>
          <w:p>
            <w:pPr>
              <w:spacing w:after="0"/>
              <w:rPr>
                <w:sz w:val="20"/>
                <w:szCs w:val="20"/>
                <w:color w:val="auto"/>
              </w:rPr>
            </w:pPr>
            <w:r>
              <w:rPr>
                <w:rFonts w:ascii="Arial" w:cs="Arial" w:eastAsia="Arial" w:hAnsi="Arial"/>
                <w:sz w:val="16"/>
                <w:szCs w:val="16"/>
                <w:color w:val="auto"/>
              </w:rPr>
              <w:t>Other income (expense):</w:t>
            </w:r>
          </w:p>
        </w:tc>
        <w:tc>
          <w:tcPr>
            <w:tcW w:w="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3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-107315</wp:posOffset>
            </wp:positionV>
            <wp:extent cx="5497195"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97195" cy="128905"/>
                    </a:xfrm>
                    <a:prstGeom prst="rect">
                      <a:avLst/>
                    </a:prstGeom>
                    <a:noFill/>
                  </pic:spPr>
                </pic:pic>
              </a:graphicData>
            </a:graphic>
          </wp:anchor>
        </w:drawing>
      </w:r>
    </w:p>
    <w:p>
      <w:pPr>
        <w:sectPr>
          <w:pgSz w:w="11900" w:h="16838" w:orient="portrait"/>
          <w:cols w:equalWidth="0" w:num="1">
            <w:col w:w="11300"/>
          </w:cols>
          <w:pgMar w:left="240" w:top="125" w:right="359" w:bottom="0" w:gutter="0" w:footer="0" w:header="0"/>
        </w:sectPr>
      </w:pPr>
    </w:p>
    <w:p>
      <w:pPr>
        <w:ind w:left="1520"/>
        <w:spacing w:after="0"/>
        <w:rPr>
          <w:sz w:val="20"/>
          <w:szCs w:val="20"/>
          <w:color w:val="auto"/>
        </w:rPr>
      </w:pPr>
      <w:r>
        <w:rPr>
          <w:rFonts w:ascii="Arial" w:cs="Arial" w:eastAsia="Arial" w:hAnsi="Arial"/>
          <w:sz w:val="16"/>
          <w:szCs w:val="16"/>
          <w:color w:val="auto"/>
        </w:rPr>
        <w:t>Interest income, net</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Foreign currency gain (loss)</w:t>
      </w:r>
    </w:p>
    <w:p>
      <w:pPr>
        <w:spacing w:after="0" w:line="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Total other income (expense)</w:t>
      </w:r>
    </w:p>
    <w:p>
      <w:pPr>
        <w:spacing w:after="0" w:line="8" w:lineRule="exact"/>
        <w:rPr>
          <w:sz w:val="20"/>
          <w:szCs w:val="20"/>
          <w:color w:val="auto"/>
        </w:rPr>
      </w:pPr>
    </w:p>
    <w:p>
      <w:pPr>
        <w:ind w:left="1540" w:hanging="161"/>
        <w:spacing w:after="0" w:line="200" w:lineRule="auto"/>
        <w:rPr>
          <w:sz w:val="20"/>
          <w:szCs w:val="20"/>
          <w:color w:val="auto"/>
        </w:rPr>
      </w:pPr>
      <w:r>
        <w:rPr>
          <w:rFonts w:ascii="Arial" w:cs="Arial" w:eastAsia="Arial" w:hAnsi="Arial"/>
          <w:sz w:val="16"/>
          <w:szCs w:val="16"/>
          <w:color w:val="auto"/>
        </w:rPr>
        <w:t>Income (loss) from continuing operations before income taxes</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Provision (benefit) for income taxes</w:t>
      </w:r>
    </w:p>
    <w:p>
      <w:pPr>
        <w:spacing w:after="0" w:line="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Income (loss) from continuing operations</w:t>
      </w:r>
    </w:p>
    <w:p>
      <w:pPr>
        <w:spacing w:after="0" w:line="8"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Income (loss) from discontinued operations</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50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0.1</w:t>
            </w:r>
          </w:p>
        </w:tc>
        <w:tc>
          <w:tcPr>
            <w:tcW w:w="600" w:type="dxa"/>
            <w:vAlign w:val="bottom"/>
          </w:tcPr>
          <w:p>
            <w:pPr>
              <w:spacing w:after="0"/>
              <w:rPr>
                <w:sz w:val="16"/>
                <w:szCs w:val="16"/>
                <w:color w:val="auto"/>
              </w:rPr>
            </w:pPr>
          </w:p>
        </w:tc>
        <w:tc>
          <w:tcPr>
            <w:tcW w:w="1080" w:type="dxa"/>
            <w:vAlign w:val="bottom"/>
            <w:gridSpan w:val="2"/>
          </w:tcPr>
          <w:p>
            <w:pPr>
              <w:jc w:val="right"/>
              <w:ind w:right="499"/>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(0.4)</w:t>
            </w:r>
          </w:p>
        </w:tc>
        <w:tc>
          <w:tcPr>
            <w:tcW w:w="1300" w:type="dxa"/>
            <w:vAlign w:val="bottom"/>
            <w:gridSpan w:val="3"/>
          </w:tcPr>
          <w:p>
            <w:pPr>
              <w:jc w:val="right"/>
              <w:ind w:right="600"/>
              <w:spacing w:after="0"/>
              <w:rPr>
                <w:sz w:val="20"/>
                <w:szCs w:val="20"/>
                <w:color w:val="auto"/>
              </w:rPr>
            </w:pPr>
            <w:r>
              <w:rPr>
                <w:rFonts w:ascii="Arial" w:cs="Arial" w:eastAsia="Arial" w:hAnsi="Arial"/>
                <w:sz w:val="16"/>
                <w:szCs w:val="16"/>
                <w:color w:val="auto"/>
              </w:rPr>
              <w:t>(0.6)</w:t>
            </w:r>
          </w:p>
        </w:tc>
        <w:tc>
          <w:tcPr>
            <w:tcW w:w="500" w:type="dxa"/>
            <w:vAlign w:val="bottom"/>
          </w:tcPr>
          <w:p>
            <w:pPr>
              <w:jc w:val="right"/>
              <w:spacing w:after="0"/>
              <w:rPr>
                <w:sz w:val="20"/>
                <w:szCs w:val="20"/>
                <w:color w:val="auto"/>
              </w:rPr>
            </w:pPr>
            <w:r>
              <w:rPr>
                <w:rFonts w:ascii="Arial" w:cs="Arial" w:eastAsia="Arial" w:hAnsi="Arial"/>
                <w:sz w:val="16"/>
                <w:szCs w:val="16"/>
                <w:color w:val="auto"/>
              </w:rPr>
              <w:t>0.2</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78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(0.3)</w:t>
            </w:r>
          </w:p>
        </w:tc>
        <w:tc>
          <w:tcPr>
            <w:tcW w:w="240" w:type="dxa"/>
            <w:vAlign w:val="bottom"/>
            <w:vMerge w:val="continue"/>
          </w:tcPr>
          <w:p>
            <w:pPr>
              <w:spacing w:after="0"/>
              <w:rPr>
                <w:sz w:val="15"/>
                <w:szCs w:val="15"/>
                <w:color w:val="auto"/>
              </w:rPr>
            </w:pPr>
          </w:p>
        </w:tc>
        <w:tc>
          <w:tcPr>
            <w:tcW w:w="1060" w:type="dxa"/>
            <w:vAlign w:val="bottom"/>
            <w:gridSpan w:val="2"/>
          </w:tcPr>
          <w:p>
            <w:pPr>
              <w:jc w:val="right"/>
              <w:ind w:right="600"/>
              <w:spacing w:after="0" w:line="183" w:lineRule="exact"/>
              <w:rPr>
                <w:sz w:val="20"/>
                <w:szCs w:val="20"/>
                <w:color w:val="auto"/>
              </w:rPr>
            </w:pPr>
            <w:r>
              <w:rPr>
                <w:rFonts w:ascii="Arial" w:cs="Arial" w:eastAsia="Arial" w:hAnsi="Arial"/>
                <w:sz w:val="16"/>
                <w:szCs w:val="16"/>
                <w:color w:val="auto"/>
              </w:rPr>
              <w:t>(0.6)</w:t>
            </w:r>
          </w:p>
        </w:tc>
        <w:tc>
          <w:tcPr>
            <w:tcW w:w="500" w:type="dxa"/>
            <w:vAlign w:val="bottom"/>
          </w:tcPr>
          <w:p>
            <w:pPr>
              <w:jc w:val="right"/>
              <w:spacing w:after="0" w:line="183" w:lineRule="exact"/>
              <w:rPr>
                <w:sz w:val="20"/>
                <w:szCs w:val="20"/>
                <w:color w:val="auto"/>
              </w:rPr>
            </w:pPr>
            <w:r>
              <w:rPr>
                <w:rFonts w:ascii="Arial" w:cs="Arial" w:eastAsia="Arial" w:hAnsi="Arial"/>
                <w:sz w:val="16"/>
                <w:szCs w:val="16"/>
                <w:color w:val="auto"/>
              </w:rPr>
              <w:t>0.3</w:t>
            </w:r>
          </w:p>
        </w:tc>
        <w:tc>
          <w:tcPr>
            <w:tcW w:w="60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5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16.8</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6"/>
                <w:szCs w:val="16"/>
                <w:color w:val="auto"/>
              </w:rPr>
              <w:t>(2.5)</w:t>
            </w:r>
          </w:p>
        </w:tc>
        <w:tc>
          <w:tcPr>
            <w:tcW w:w="500" w:type="dxa"/>
            <w:vAlign w:val="bottom"/>
          </w:tcPr>
          <w:p>
            <w:pPr>
              <w:jc w:val="right"/>
              <w:spacing w:after="0"/>
              <w:rPr>
                <w:sz w:val="20"/>
                <w:szCs w:val="20"/>
                <w:color w:val="auto"/>
              </w:rPr>
            </w:pPr>
            <w:r>
              <w:rPr>
                <w:rFonts w:ascii="Arial" w:cs="Arial" w:eastAsia="Arial" w:hAnsi="Arial"/>
                <w:sz w:val="16"/>
                <w:szCs w:val="16"/>
                <w:color w:val="auto"/>
              </w:rPr>
              <w:t>19.3</w:t>
            </w:r>
          </w:p>
        </w:tc>
        <w:tc>
          <w:tcPr>
            <w:tcW w:w="600" w:type="dxa"/>
            <w:vAlign w:val="bottom"/>
          </w:tcPr>
          <w:p>
            <w:pPr>
              <w:spacing w:after="0"/>
              <w:rPr>
                <w:sz w:val="23"/>
                <w:szCs w:val="23"/>
                <w:color w:val="auto"/>
              </w:rPr>
            </w:pPr>
          </w:p>
        </w:tc>
        <w:tc>
          <w:tcPr>
            <w:tcW w:w="1080" w:type="dxa"/>
            <w:vAlign w:val="bottom"/>
            <w:gridSpan w:val="2"/>
          </w:tcPr>
          <w:p>
            <w:pPr>
              <w:jc w:val="right"/>
              <w:ind w:right="439"/>
              <w:spacing w:after="0"/>
              <w:rPr>
                <w:sz w:val="20"/>
                <w:szCs w:val="20"/>
                <w:color w:val="auto"/>
              </w:rPr>
            </w:pPr>
            <w:r>
              <w:rPr>
                <w:rFonts w:ascii="Arial" w:cs="Arial" w:eastAsia="Arial" w:hAnsi="Arial"/>
                <w:sz w:val="16"/>
                <w:szCs w:val="16"/>
                <w:color w:val="auto"/>
              </w:rPr>
              <w:t>(2.1)</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17.2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6"/>
                <w:szCs w:val="16"/>
                <w:color w:val="auto"/>
              </w:rPr>
              <w:t>(0.5)</w:t>
            </w:r>
          </w:p>
        </w:tc>
        <w:tc>
          <w:tcPr>
            <w:tcW w:w="500" w:type="dxa"/>
            <w:vAlign w:val="bottom"/>
          </w:tcPr>
          <w:p>
            <w:pPr>
              <w:jc w:val="right"/>
              <w:spacing w:after="0"/>
              <w:rPr>
                <w:sz w:val="20"/>
                <w:szCs w:val="20"/>
                <w:color w:val="auto"/>
              </w:rPr>
            </w:pPr>
            <w:r>
              <w:rPr>
                <w:rFonts w:ascii="Arial" w:cs="Arial" w:eastAsia="Arial" w:hAnsi="Arial"/>
                <w:sz w:val="16"/>
                <w:szCs w:val="16"/>
                <w:color w:val="auto"/>
              </w:rPr>
              <w:t>5.9</w:t>
            </w:r>
          </w:p>
        </w:tc>
        <w:tc>
          <w:tcPr>
            <w:tcW w:w="600" w:type="dxa"/>
            <w:vAlign w:val="bottom"/>
          </w:tcPr>
          <w:p>
            <w:pPr>
              <w:spacing w:after="0"/>
              <w:rPr>
                <w:sz w:val="17"/>
                <w:szCs w:val="17"/>
                <w:color w:val="auto"/>
              </w:rPr>
            </w:pPr>
          </w:p>
        </w:tc>
        <w:tc>
          <w:tcPr>
            <w:tcW w:w="1080" w:type="dxa"/>
            <w:vAlign w:val="bottom"/>
            <w:gridSpan w:val="2"/>
          </w:tcPr>
          <w:p>
            <w:pPr>
              <w:jc w:val="right"/>
              <w:ind w:right="499"/>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480" w:type="dxa"/>
            <w:vAlign w:val="bottom"/>
          </w:tcPr>
          <w:p>
            <w:pPr>
              <w:jc w:val="right"/>
              <w:spacing w:after="0" w:line="173" w:lineRule="exact"/>
              <w:rPr>
                <w:sz w:val="20"/>
                <w:szCs w:val="20"/>
                <w:color w:val="auto"/>
              </w:rPr>
            </w:pPr>
            <w:r>
              <w:rPr>
                <w:rFonts w:ascii="Arial" w:cs="Arial" w:eastAsia="Arial" w:hAnsi="Arial"/>
                <w:sz w:val="16"/>
                <w:szCs w:val="16"/>
                <w:color w:val="auto"/>
              </w:rPr>
              <w:t>11.4</w:t>
            </w:r>
          </w:p>
        </w:tc>
        <w:tc>
          <w:tcPr>
            <w:tcW w:w="3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060" w:type="dxa"/>
            <w:vAlign w:val="bottom"/>
            <w:gridSpan w:val="2"/>
          </w:tcPr>
          <w:p>
            <w:pPr>
              <w:jc w:val="right"/>
              <w:ind w:right="600"/>
              <w:spacing w:after="0" w:line="173" w:lineRule="exact"/>
              <w:rPr>
                <w:sz w:val="20"/>
                <w:szCs w:val="20"/>
                <w:color w:val="auto"/>
              </w:rPr>
            </w:pPr>
            <w:r>
              <w:rPr>
                <w:rFonts w:ascii="Arial" w:cs="Arial" w:eastAsia="Arial" w:hAnsi="Arial"/>
                <w:sz w:val="16"/>
                <w:szCs w:val="16"/>
                <w:color w:val="auto"/>
              </w:rPr>
              <w:t>(2.0)</w:t>
            </w: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13.4</w:t>
            </w:r>
          </w:p>
        </w:tc>
        <w:tc>
          <w:tcPr>
            <w:tcW w:w="600" w:type="dxa"/>
            <w:vAlign w:val="bottom"/>
          </w:tcPr>
          <w:p>
            <w:pPr>
              <w:spacing w:after="0"/>
              <w:rPr>
                <w:sz w:val="15"/>
                <w:szCs w:val="15"/>
                <w:color w:val="auto"/>
              </w:rPr>
            </w:pPr>
          </w:p>
        </w:tc>
        <w:tc>
          <w:tcPr>
            <w:tcW w:w="1080" w:type="dxa"/>
            <w:vAlign w:val="bottom"/>
            <w:gridSpan w:val="2"/>
          </w:tcPr>
          <w:p>
            <w:pPr>
              <w:jc w:val="right"/>
              <w:ind w:right="439"/>
              <w:spacing w:after="0" w:line="173" w:lineRule="exact"/>
              <w:rPr>
                <w:sz w:val="20"/>
                <w:szCs w:val="20"/>
                <w:color w:val="auto"/>
              </w:rPr>
            </w:pPr>
            <w:r>
              <w:rPr>
                <w:rFonts w:ascii="Arial" w:cs="Arial" w:eastAsia="Arial" w:hAnsi="Arial"/>
                <w:sz w:val="16"/>
                <w:szCs w:val="16"/>
                <w:color w:val="auto"/>
              </w:rPr>
              <w:t>(2.1)</w:t>
            </w:r>
          </w:p>
        </w:tc>
        <w:tc>
          <w:tcPr>
            <w:tcW w:w="20" w:type="dxa"/>
            <w:vAlign w:val="bottom"/>
            <w:vMerge w:val="continue"/>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11.3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0" w:type="dxa"/>
            <w:vAlign w:val="bottom"/>
            <w:gridSpan w:val="3"/>
          </w:tcPr>
          <w:p>
            <w:pPr>
              <w:jc w:val="right"/>
              <w:ind w:right="240"/>
              <w:spacing w:after="0"/>
              <w:rPr>
                <w:sz w:val="20"/>
                <w:szCs w:val="20"/>
                <w:color w:val="auto"/>
              </w:rPr>
            </w:pPr>
            <w:r>
              <w:rPr>
                <w:rFonts w:ascii="Arial" w:cs="Arial" w:eastAsia="Arial" w:hAnsi="Arial"/>
                <w:sz w:val="16"/>
                <w:szCs w:val="16"/>
                <w:color w:val="auto"/>
              </w:rPr>
              <w:t>(7.7)</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66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(9.7)</w:t>
            </w:r>
          </w:p>
        </w:tc>
        <w:tc>
          <w:tcPr>
            <w:tcW w:w="500" w:type="dxa"/>
            <w:vAlign w:val="bottom"/>
          </w:tcPr>
          <w:p>
            <w:pPr>
              <w:jc w:val="right"/>
              <w:spacing w:after="0"/>
              <w:rPr>
                <w:sz w:val="20"/>
                <w:szCs w:val="20"/>
                <w:color w:val="auto"/>
              </w:rPr>
            </w:pPr>
            <w:r>
              <w:rPr>
                <w:rFonts w:ascii="Arial" w:cs="Arial" w:eastAsia="Arial" w:hAnsi="Arial"/>
                <w:sz w:val="16"/>
                <w:szCs w:val="16"/>
                <w:color w:val="auto"/>
              </w:rPr>
              <w:t>0</w:t>
            </w:r>
          </w:p>
        </w:tc>
        <w:tc>
          <w:tcPr>
            <w:tcW w:w="58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3.7</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w:t>
            </w:r>
          </w:p>
        </w:tc>
        <w:tc>
          <w:tcPr>
            <w:tcW w:w="66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3.7</w:t>
            </w:r>
          </w:p>
        </w:tc>
        <w:tc>
          <w:tcPr>
            <w:tcW w:w="6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(2.1</w:t>
            </w:r>
          </w:p>
        </w:tc>
        <w:tc>
          <w:tcPr>
            <w:tcW w:w="580" w:type="dxa"/>
            <w:vAlign w:val="bottom"/>
          </w:tcPr>
          <w:p>
            <w:pPr>
              <w:jc w:val="right"/>
              <w:ind w:right="439"/>
              <w:spacing w:after="0" w:line="183" w:lineRule="exact"/>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-960120</wp:posOffset>
            </wp:positionV>
            <wp:extent cx="5497195" cy="1200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97195" cy="12001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-711200</wp:posOffset>
            </wp:positionV>
            <wp:extent cx="5497195"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97195" cy="18859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-402590</wp:posOffset>
            </wp:positionV>
            <wp:extent cx="5497195"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97195" cy="12890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-153670</wp:posOffset>
            </wp:positionV>
            <wp:extent cx="5497195"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97195" cy="137160"/>
                    </a:xfrm>
                    <a:prstGeom prst="rect">
                      <a:avLst/>
                    </a:prstGeom>
                    <a:noFill/>
                  </pic:spPr>
                </pic:pic>
              </a:graphicData>
            </a:graphic>
          </wp:anchor>
        </w:drawing>
      </w:r>
    </w:p>
    <w:p>
      <w:pPr>
        <w:sectPr>
          <w:pgSz w:w="11900" w:h="16838" w:orient="portrait"/>
          <w:cols w:equalWidth="0" w:num="2">
            <w:col w:w="4540" w:space="420"/>
            <w:col w:w="6340"/>
          </w:cols>
          <w:pgMar w:left="240" w:top="125" w:right="359" w:bottom="0" w:gutter="0" w:footer="0" w:header="0"/>
          <w:type w:val="continuous"/>
        </w:sectPr>
      </w:pPr>
    </w:p>
    <w:bookmarkStart w:id="84" w:name="page85"/>
    <w:bookmarkEnd w:id="84"/>
    <w:tbl>
      <w:tblPr>
        <w:tblLayout w:type="fixed"/>
        <w:tblInd w:w="1380" w:type="dxa"/>
        <w:tblCellMar>
          <w:top w:w="0" w:type="dxa"/>
          <w:left w:w="0" w:type="dxa"/>
          <w:bottom w:w="0" w:type="dxa"/>
          <w:right w:w="0" w:type="dxa"/>
        </w:tblCellMar>
      </w:tblPr>
      <w:tr>
        <w:trPr>
          <w:trHeight w:val="49"/>
        </w:trPr>
        <w:tc>
          <w:tcPr>
            <w:tcW w:w="3320" w:type="dxa"/>
            <w:vAlign w:val="bottom"/>
            <w:vMerge w:val="restart"/>
          </w:tcPr>
          <w:p>
            <w:pPr>
              <w:spacing w:after="0"/>
              <w:rPr>
                <w:sz w:val="20"/>
                <w:szCs w:val="20"/>
                <w:color w:val="auto"/>
              </w:rPr>
            </w:pPr>
            <w:r>
              <w:rPr>
                <w:rFonts w:ascii="Arial" w:cs="Arial" w:eastAsia="Arial" w:hAnsi="Arial"/>
                <w:sz w:val="16"/>
                <w:szCs w:val="16"/>
                <w:color w:val="auto"/>
              </w:rPr>
              <w:t>Net income (loss) from continuing</w:t>
            </w:r>
          </w:p>
        </w:tc>
        <w:tc>
          <w:tcPr>
            <w:tcW w:w="2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32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3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160"/>
              <w:spacing w:after="0" w:line="176" w:lineRule="exact"/>
              <w:rPr>
                <w:sz w:val="20"/>
                <w:szCs w:val="20"/>
                <w:color w:val="auto"/>
              </w:rPr>
            </w:pPr>
            <w:r>
              <w:rPr>
                <w:rFonts w:ascii="Arial" w:cs="Arial" w:eastAsia="Arial" w:hAnsi="Arial"/>
                <w:sz w:val="16"/>
                <w:szCs w:val="16"/>
                <w:color w:val="auto"/>
              </w:rPr>
              <w:t>operations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60"/>
              <w:spacing w:after="0"/>
              <w:rPr>
                <w:sz w:val="20"/>
                <w:szCs w:val="20"/>
                <w:color w:val="auto"/>
              </w:rPr>
            </w:pPr>
            <w:r>
              <w:rPr>
                <w:rFonts w:ascii="Arial" w:cs="Arial" w:eastAsia="Arial" w:hAnsi="Arial"/>
                <w:sz w:val="16"/>
                <w:szCs w:val="16"/>
                <w:color w:val="auto"/>
              </w:rPr>
              <w:t>Diluted</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0.15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0.18</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0.15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Loss from discontinued operations</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60"/>
              <w:spacing w:after="0"/>
              <w:rPr>
                <w:sz w:val="20"/>
                <w:szCs w:val="20"/>
                <w:color w:val="auto"/>
              </w:rPr>
            </w:pPr>
            <w:r>
              <w:rPr>
                <w:rFonts w:ascii="Arial" w:cs="Arial" w:eastAsia="Arial" w:hAnsi="Arial"/>
                <w:sz w:val="16"/>
                <w:szCs w:val="16"/>
                <w:color w:val="auto"/>
              </w:rPr>
              <w:t>Basic</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(0.10)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540"/>
              <w:spacing w:after="0"/>
              <w:rPr>
                <w:sz w:val="20"/>
                <w:szCs w:val="20"/>
                <w:color w:val="auto"/>
              </w:rPr>
            </w:pPr>
            <w:r>
              <w:rPr>
                <w:rFonts w:ascii="Arial" w:cs="Arial" w:eastAsia="Arial" w:hAnsi="Arial"/>
                <w:sz w:val="16"/>
                <w:szCs w:val="16"/>
                <w:color w:val="auto"/>
              </w:rPr>
              <w:t>(0.13)</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(0.10)</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(0.13)</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20"/>
                <w:szCs w:val="20"/>
                <w:color w:val="auto"/>
              </w:rPr>
            </w:pPr>
            <w:r>
              <w:rPr>
                <w:rFonts w:ascii="Arial" w:cs="Arial" w:eastAsia="Arial" w:hAnsi="Arial"/>
                <w:sz w:val="16"/>
                <w:szCs w:val="16"/>
                <w:color w:val="auto"/>
              </w:rPr>
              <w:t>Net income (loss), per share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60"/>
              <w:spacing w:after="0"/>
              <w:rPr>
                <w:sz w:val="20"/>
                <w:szCs w:val="20"/>
                <w:color w:val="auto"/>
              </w:rPr>
            </w:pPr>
            <w:r>
              <w:rPr>
                <w:rFonts w:ascii="Arial" w:cs="Arial" w:eastAsia="Arial" w:hAnsi="Arial"/>
                <w:sz w:val="16"/>
                <w:szCs w:val="16"/>
                <w:color w:val="auto"/>
              </w:rPr>
              <w:t>Diluted</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0.05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0.05</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0.02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w w:val="97"/>
              </w:rPr>
              <w:t>Weighted average common shares outstanding:</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6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74.0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74.0</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74.0</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8660" w:type="dxa"/>
            <w:vAlign w:val="bottom"/>
            <w:gridSpan w:val="18"/>
          </w:tcPr>
          <w:p>
            <w:pPr>
              <w:ind w:left="360"/>
              <w:spacing w:after="0"/>
              <w:rPr>
                <w:sz w:val="20"/>
                <w:szCs w:val="20"/>
                <w:color w:val="auto"/>
              </w:rPr>
            </w:pPr>
            <w:r>
              <w:rPr>
                <w:rFonts w:ascii="Arial" w:cs="Arial" w:eastAsia="Arial" w:hAnsi="Arial"/>
                <w:sz w:val="16"/>
                <w:szCs w:val="16"/>
                <w:color w:val="auto"/>
                <w:w w:val="97"/>
              </w:rPr>
              <w:t>The following table presents details of the total stock-based compenstion expense (excluding the impact of other tax and</w:t>
            </w:r>
          </w:p>
        </w:tc>
        <w:tc>
          <w:tcPr>
            <w:tcW w:w="0" w:type="dxa"/>
            <w:vAlign w:val="bottom"/>
          </w:tcPr>
          <w:p>
            <w:pPr>
              <w:spacing w:after="0"/>
              <w:rPr>
                <w:sz w:val="1"/>
                <w:szCs w:val="1"/>
                <w:color w:val="auto"/>
              </w:rPr>
            </w:pPr>
          </w:p>
        </w:tc>
      </w:tr>
      <w:tr>
        <w:trPr>
          <w:trHeight w:val="209"/>
        </w:trPr>
        <w:tc>
          <w:tcPr>
            <w:tcW w:w="7860" w:type="dxa"/>
            <w:vAlign w:val="bottom"/>
            <w:gridSpan w:val="15"/>
          </w:tcPr>
          <w:p>
            <w:pPr>
              <w:spacing w:after="0"/>
              <w:rPr>
                <w:sz w:val="20"/>
                <w:szCs w:val="20"/>
                <w:color w:val="auto"/>
              </w:rPr>
            </w:pPr>
            <w:r>
              <w:rPr>
                <w:rFonts w:ascii="Arial" w:cs="Arial" w:eastAsia="Arial" w:hAnsi="Arial"/>
                <w:sz w:val="16"/>
                <w:szCs w:val="16"/>
                <w:color w:val="auto"/>
                <w:w w:val="99"/>
              </w:rPr>
              <w:t xml:space="preserve">income tax adjustments) that is </w:t>
            </w:r>
            <w:r>
              <w:rPr>
                <w:rFonts w:ascii="Arial" w:cs="Arial" w:eastAsia="Arial" w:hAnsi="Arial"/>
                <w:sz w:val="16"/>
                <w:szCs w:val="16"/>
                <w:i w:val="1"/>
                <w:iCs w:val="1"/>
                <w:color w:val="auto"/>
                <w:w w:val="99"/>
              </w:rPr>
              <w:t>included</w:t>
            </w:r>
            <w:r>
              <w:rPr>
                <w:rFonts w:ascii="Arial" w:cs="Arial" w:eastAsia="Arial" w:hAnsi="Arial"/>
                <w:sz w:val="16"/>
                <w:szCs w:val="16"/>
                <w:color w:val="auto"/>
                <w:w w:val="99"/>
              </w:rPr>
              <w:t xml:space="preserve"> in each functional line item in the consolidated statement of operations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Data on Stock-Based</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Compensation Expense</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20"/>
                <w:szCs w:val="20"/>
                <w:color w:val="auto"/>
              </w:rPr>
            </w:pPr>
            <w:r>
              <w:rPr>
                <w:rFonts w:ascii="Arial" w:cs="Arial" w:eastAsia="Arial" w:hAnsi="Arial"/>
                <w:sz w:val="16"/>
                <w:szCs w:val="16"/>
                <w:color w:val="auto"/>
              </w:rPr>
              <w:t>Cost of revenue</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1.7</w:t>
            </w:r>
          </w:p>
        </w:tc>
        <w:tc>
          <w:tcPr>
            <w:tcW w:w="5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5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w w:val="87"/>
              </w:rPr>
              <w:t>—</w:t>
            </w: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0.1</w:t>
            </w: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w:t>
            </w:r>
          </w:p>
        </w:tc>
        <w:tc>
          <w:tcPr>
            <w:tcW w:w="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w:t>
            </w:r>
          </w:p>
        </w:tc>
        <w:tc>
          <w:tcPr>
            <w:tcW w:w="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Discontinued operations</w:t>
            </w: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300"/>
              <w:spacing w:after="0" w:line="170"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80"/>
              <w:spacing w:after="0" w:line="170"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shd w:val="clear" w:color="auto" w:fill="CCEEFF"/>
          </w:tcPr>
          <w:p>
            <w:pPr>
              <w:jc w:val="right"/>
              <w:ind w:right="620"/>
              <w:spacing w:after="0" w:line="170"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0.0</w:t>
            </w:r>
          </w:p>
        </w:tc>
        <w:tc>
          <w:tcPr>
            <w:tcW w:w="5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0.0</w:t>
            </w:r>
          </w:p>
        </w:tc>
        <w:tc>
          <w:tcPr>
            <w:tcW w:w="2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20" w:type="dxa"/>
            <w:vAlign w:val="bottom"/>
            <w:vMerge w:val="continue"/>
          </w:tcPr>
          <w:p>
            <w:pPr>
              <w:spacing w:after="0"/>
              <w:rPr>
                <w:sz w:val="16"/>
                <w:szCs w:val="16"/>
                <w:color w:val="auto"/>
              </w:rPr>
            </w:pPr>
          </w:p>
        </w:tc>
        <w:tc>
          <w:tcPr>
            <w:tcW w:w="3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6"/>
                <w:szCs w:val="16"/>
                <w:color w:val="auto"/>
              </w:rPr>
            </w:pP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600" w:type="dxa"/>
            <w:vAlign w:val="bottom"/>
          </w:tcPr>
          <w:p>
            <w:pPr>
              <w:spacing w:after="0"/>
              <w:rPr>
                <w:sz w:val="16"/>
                <w:szCs w:val="16"/>
                <w:color w:val="auto"/>
              </w:rPr>
            </w:pP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5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332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60" w:firstLine="360"/>
        <w:spacing w:after="0" w:line="249" w:lineRule="auto"/>
        <w:rPr>
          <w:sz w:val="20"/>
          <w:szCs w:val="20"/>
          <w:color w:val="auto"/>
        </w:rPr>
      </w:pPr>
      <w:r>
        <w:rPr>
          <w:rFonts w:ascii="Arial" w:cs="Arial" w:eastAsia="Arial" w:hAnsi="Arial"/>
          <w:sz w:val="16"/>
          <w:szCs w:val="16"/>
          <w:color w:val="auto"/>
        </w:rPr>
        <w:t>The following table presents details of the non-income tax payroll related expense (credit) that is included in each functional line item in the consolidated statement of operations:</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23"/>
        </w:trPr>
        <w:tc>
          <w:tcPr>
            <w:tcW w:w="3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020" w:type="dxa"/>
            <w:vAlign w:val="bottom"/>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Supplemental Data on Non-Income</w:t>
            </w: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CEEFF"/>
          </w:tcPr>
          <w:p>
            <w:pPr>
              <w:ind w:left="160"/>
              <w:spacing w:after="0" w:line="176" w:lineRule="exact"/>
              <w:rPr>
                <w:sz w:val="20"/>
                <w:szCs w:val="20"/>
                <w:color w:val="auto"/>
              </w:rPr>
            </w:pPr>
            <w:r>
              <w:rPr>
                <w:rFonts w:ascii="Arial" w:cs="Arial" w:eastAsia="Arial" w:hAnsi="Arial"/>
                <w:sz w:val="16"/>
                <w:szCs w:val="16"/>
                <w:b w:val="1"/>
                <w:bCs w:val="1"/>
                <w:color w:val="auto"/>
              </w:rPr>
              <w:t>Tax Payroll Expense</w:t>
            </w: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Arial" w:cs="Arial" w:eastAsia="Arial" w:hAnsi="Arial"/>
                <w:sz w:val="16"/>
                <w:szCs w:val="16"/>
                <w:color w:val="auto"/>
              </w:rPr>
              <w:t>Cost of revenue</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ind w:left="120"/>
              <w:spacing w:after="0"/>
              <w:rPr>
                <w:sz w:val="20"/>
                <w:szCs w:val="20"/>
                <w:color w:val="auto"/>
              </w:rPr>
            </w:pPr>
            <w:r>
              <w:rPr>
                <w:rFonts w:ascii="Arial" w:cs="Arial" w:eastAsia="Arial" w:hAnsi="Arial"/>
                <w:sz w:val="16"/>
                <w:szCs w:val="16"/>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39"/>
              <w:spacing w:after="0"/>
              <w:rPr>
                <w:sz w:val="20"/>
                <w:szCs w:val="20"/>
                <w:color w:val="auto"/>
              </w:rPr>
            </w:pPr>
            <w:r>
              <w:rPr>
                <w:rFonts w:ascii="Arial" w:cs="Arial" w:eastAsia="Arial" w:hAnsi="Arial"/>
                <w:sz w:val="16"/>
                <w:szCs w:val="16"/>
                <w:color w:val="auto"/>
              </w:rPr>
              <w:t>(0.4)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7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9"/>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6"/>
        </w:trPr>
        <w:tc>
          <w:tcPr>
            <w:tcW w:w="30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color w:val="auto"/>
                <w:w w:val="99"/>
              </w:rPr>
              <w:t>—</w:t>
            </w:r>
          </w:p>
        </w:tc>
        <w:tc>
          <w:tcPr>
            <w:tcW w:w="5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w w:val="87"/>
              </w:rPr>
              <w:t>—</w:t>
            </w:r>
          </w:p>
        </w:tc>
        <w:tc>
          <w:tcPr>
            <w:tcW w:w="6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color w:val="auto"/>
                <w:w w:val="99"/>
              </w:rPr>
              <w:t>—</w:t>
            </w:r>
          </w:p>
        </w:tc>
        <w:tc>
          <w:tcPr>
            <w:tcW w:w="6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(0.6)</w:t>
            </w:r>
          </w:p>
        </w:tc>
        <w:tc>
          <w:tcPr>
            <w:tcW w:w="5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0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Discontinued operations</w:t>
            </w:r>
          </w:p>
        </w:tc>
        <w:tc>
          <w:tcPr>
            <w:tcW w:w="5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9"/>
              </w:rPr>
              <w:t>—</w:t>
            </w:r>
          </w:p>
        </w:tc>
        <w:tc>
          <w:tcPr>
            <w:tcW w:w="5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5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jc w:val="right"/>
              <w:ind w:right="439"/>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17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97"/>
        </w:trPr>
        <w:tc>
          <w:tcPr>
            <w:tcW w:w="3020" w:type="dxa"/>
            <w:vAlign w:val="bottom"/>
          </w:tcPr>
          <w:p>
            <w:pPr>
              <w:spacing w:after="0"/>
              <w:rPr>
                <w:sz w:val="20"/>
                <w:szCs w:val="20"/>
                <w:color w:val="auto"/>
              </w:rPr>
            </w:pPr>
            <w:r>
              <w:rPr>
                <w:rFonts w:ascii="Arial" w:cs="Arial" w:eastAsia="Arial" w:hAnsi="Arial"/>
                <w:sz w:val="16"/>
                <w:szCs w:val="16"/>
                <w:color w:val="auto"/>
              </w:rPr>
              <w:t>Total</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ind w:left="120"/>
              <w:spacing w:after="0"/>
              <w:rPr>
                <w:sz w:val="20"/>
                <w:szCs w:val="20"/>
                <w:color w:val="auto"/>
              </w:rPr>
            </w:pPr>
            <w:r>
              <w:rPr>
                <w:rFonts w:ascii="Arial" w:cs="Arial" w:eastAsia="Arial" w:hAnsi="Arial"/>
                <w:sz w:val="16"/>
                <w:szCs w:val="16"/>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(0.6</w:t>
            </w:r>
          </w:p>
        </w:tc>
        <w:tc>
          <w:tcPr>
            <w:tcW w:w="580" w:type="dxa"/>
            <w:vAlign w:val="bottom"/>
            <w:vMerge w:val="continue"/>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(0.6</w:t>
            </w: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CONSOLIDATED STATEMENT OF OPERATIONS FOR 2004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tbl>
      <w:tblPr>
        <w:tblLayout w:type="fixed"/>
        <w:tblInd w:w="1380" w:type="dxa"/>
        <w:tblCellMar>
          <w:top w:w="0" w:type="dxa"/>
          <w:left w:w="0" w:type="dxa"/>
          <w:bottom w:w="0" w:type="dxa"/>
          <w:right w:w="0" w:type="dxa"/>
        </w:tblCellMar>
      </w:tblPr>
      <w:tr>
        <w:trPr>
          <w:trHeight w:val="128"/>
        </w:trPr>
        <w:tc>
          <w:tcPr>
            <w:tcW w:w="3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5"/>
          </w:tcPr>
          <w:p>
            <w:pPr>
              <w:jc w:val="center"/>
              <w:ind w:right="120"/>
              <w:spacing w:after="0" w:line="129" w:lineRule="exact"/>
              <w:rPr>
                <w:sz w:val="20"/>
                <w:szCs w:val="20"/>
                <w:color w:val="auto"/>
              </w:rPr>
            </w:pPr>
            <w:r>
              <w:rPr>
                <w:rFonts w:ascii="Arial" w:cs="Arial" w:eastAsia="Arial" w:hAnsi="Arial"/>
                <w:sz w:val="14"/>
                <w:szCs w:val="14"/>
                <w:b w:val="1"/>
                <w:bCs w:val="1"/>
                <w:color w:val="auto"/>
                <w:w w:val="96"/>
              </w:rPr>
              <w:t>Adjustment for</w:t>
            </w:r>
          </w:p>
        </w:tc>
        <w:tc>
          <w:tcPr>
            <w:tcW w:w="114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0"/>
              </w:rPr>
              <w:t>As Restated for</w:t>
            </w:r>
          </w:p>
        </w:tc>
        <w:tc>
          <w:tcPr>
            <w:tcW w:w="114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4"/>
              </w:rPr>
              <w:t>Adjustment for</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International</w:t>
            </w:r>
          </w:p>
        </w:tc>
        <w:tc>
          <w:tcPr>
            <w:tcW w:w="1140" w:type="dxa"/>
            <w:vAlign w:val="bottom"/>
            <w:gridSpan w:val="5"/>
            <w:vMerge w:val="continue"/>
          </w:tcPr>
          <w:p>
            <w:pPr>
              <w:spacing w:after="0"/>
              <w:rPr>
                <w:sz w:val="11"/>
                <w:szCs w:val="11"/>
                <w:color w:val="auto"/>
              </w:rPr>
            </w:pPr>
          </w:p>
        </w:tc>
        <w:tc>
          <w:tcPr>
            <w:tcW w:w="114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12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Discontinued</w:t>
            </w:r>
          </w:p>
        </w:tc>
        <w:tc>
          <w:tcPr>
            <w:tcW w:w="114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Discontinued</w:t>
            </w:r>
          </w:p>
        </w:tc>
        <w:tc>
          <w:tcPr>
            <w:tcW w:w="114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Stock Based</w:t>
            </w:r>
          </w:p>
        </w:tc>
        <w:tc>
          <w:tcPr>
            <w:tcW w:w="9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920" w:type="dxa"/>
            <w:vAlign w:val="bottom"/>
            <w:gridSpan w:val="5"/>
            <w:vMerge w:val="continue"/>
          </w:tcPr>
          <w:p>
            <w:pPr>
              <w:spacing w:after="0"/>
              <w:rPr>
                <w:sz w:val="14"/>
                <w:szCs w:val="14"/>
                <w:color w:val="auto"/>
              </w:rPr>
            </w:pPr>
          </w:p>
        </w:tc>
        <w:tc>
          <w:tcPr>
            <w:tcW w:w="11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Operations</w:t>
            </w:r>
          </w:p>
        </w:tc>
        <w:tc>
          <w:tcPr>
            <w:tcW w:w="11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Operations</w:t>
            </w:r>
          </w:p>
        </w:tc>
        <w:tc>
          <w:tcPr>
            <w:tcW w:w="11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Expenses</w:t>
            </w:r>
          </w:p>
        </w:tc>
        <w:tc>
          <w:tcPr>
            <w:tcW w:w="9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Revenues</w:t>
            </w:r>
          </w:p>
        </w:tc>
        <w:tc>
          <w:tcPr>
            <w:tcW w:w="28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334.2</w:t>
            </w:r>
          </w:p>
        </w:tc>
        <w:tc>
          <w:tcPr>
            <w:tcW w:w="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gridSpan w:val="2"/>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rPr>
              <w:t>(38.0)</w:t>
            </w:r>
          </w:p>
        </w:tc>
        <w:tc>
          <w:tcPr>
            <w:tcW w:w="1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296.2</w:t>
            </w: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shd w:val="clear" w:color="auto" w:fill="CCEEFF"/>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296.2</w:t>
            </w: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Cost of revenues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263.0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48"/>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232.8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226.8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71.2</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63.4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6.0</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69.4</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59.2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49.9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Contingent acquisition consideration and restatement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fees</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line="155" w:lineRule="exact"/>
              <w:rPr>
                <w:sz w:val="20"/>
                <w:szCs w:val="20"/>
                <w:color w:val="auto"/>
              </w:rPr>
            </w:pPr>
            <w:r>
              <w:rPr>
                <w:rFonts w:ascii="Arial" w:cs="Arial" w:eastAsia="Arial" w:hAnsi="Arial"/>
                <w:sz w:val="14"/>
                <w:szCs w:val="14"/>
                <w:color w:val="auto"/>
              </w:rPr>
              <w:t>Operating income (loss)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48"/>
              <w:spacing w:after="0" w:line="155"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9.2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5.6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Interest income (expense), net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gain (loss)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440" w:type="dxa"/>
            <w:vAlign w:val="bottom"/>
          </w:tcPr>
          <w:p>
            <w:pPr>
              <w:spacing w:after="0"/>
              <w:rPr>
                <w:sz w:val="20"/>
                <w:szCs w:val="20"/>
                <w:color w:val="auto"/>
              </w:rPr>
            </w:pPr>
            <w:r>
              <w:rPr>
                <w:rFonts w:ascii="Arial" w:cs="Arial" w:eastAsia="Arial" w:hAnsi="Arial"/>
                <w:sz w:val="14"/>
                <w:szCs w:val="14"/>
                <w:color w:val="auto"/>
                <w:w w:val="98"/>
              </w:rPr>
              <w:t>Impairment of investment in unconsolidated affiliate and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440" w:type="dxa"/>
            <w:vAlign w:val="bottom"/>
          </w:tcPr>
          <w:p>
            <w:pPr>
              <w:ind w:left="140"/>
              <w:spacing w:after="0"/>
              <w:rPr>
                <w:sz w:val="20"/>
                <w:szCs w:val="20"/>
                <w:color w:val="auto"/>
              </w:rPr>
            </w:pPr>
            <w:r>
              <w:rPr>
                <w:rFonts w:ascii="Arial" w:cs="Arial" w:eastAsia="Arial" w:hAnsi="Arial"/>
                <w:sz w:val="14"/>
                <w:szCs w:val="14"/>
                <w:color w:val="auto"/>
              </w:rPr>
              <w:t>other income (expenses), net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Total other income (expense)</w:t>
            </w: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5"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(2.8)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4"/>
                <w:szCs w:val="14"/>
                <w:color w:val="auto"/>
              </w:rPr>
              <w:t>Income (loss) from continuing operations income taxes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48"/>
              <w:spacing w:after="0" w:line="155"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9.2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Provision (benefit) for income taxes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4"/>
                <w:szCs w:val="14"/>
                <w:color w:val="auto"/>
              </w:rPr>
              <w:t>Income (loss) from continuing operations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48"/>
              <w:spacing w:after="0" w:line="155"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9.2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3.4</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Income (loss) from discontinued operations</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income (loss)</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(0.0</w:t>
            </w:r>
          </w:p>
        </w:tc>
        <w:tc>
          <w:tcPr>
            <w:tcW w:w="280" w:type="dxa"/>
            <w:vAlign w:val="bottom"/>
            <w:tcBorders>
              <w:bottom w:val="single" w:sz="8" w:color="CCEEFF"/>
            </w:tcBorders>
          </w:tcPr>
          <w:p>
            <w:pPr>
              <w:jc w:val="right"/>
              <w:ind w:right="14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w:t>
            </w: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10.0</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(loss) from continuing operations</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40" w:type="dxa"/>
            <w:vAlign w:val="bottom"/>
          </w:tcPr>
          <w:p>
            <w:pPr>
              <w:ind w:left="180"/>
              <w:spacing w:after="0"/>
              <w:rPr>
                <w:sz w:val="20"/>
                <w:szCs w:val="20"/>
                <w:color w:val="auto"/>
              </w:rPr>
            </w:pPr>
            <w:r>
              <w:rPr>
                <w:rFonts w:ascii="Arial" w:cs="Arial" w:eastAsia="Arial" w:hAnsi="Arial"/>
                <w:sz w:val="14"/>
                <w:szCs w:val="14"/>
                <w:color w:val="auto"/>
              </w:rPr>
              <w:t>Basic</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0.05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Loss from discontinued operations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ind w:left="18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0.14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0.16</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0.15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per share</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ind w:left="180"/>
              <w:spacing w:after="0"/>
              <w:rPr>
                <w:sz w:val="20"/>
                <w:szCs w:val="20"/>
                <w:color w:val="auto"/>
              </w:rPr>
            </w:pPr>
            <w:r>
              <w:rPr>
                <w:rFonts w:ascii="Arial" w:cs="Arial" w:eastAsia="Arial" w:hAnsi="Arial"/>
                <w:sz w:val="14"/>
                <w:szCs w:val="14"/>
                <w:color w:val="auto"/>
              </w:rPr>
              <w:t>Basic</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0.07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0.21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Weighted average common shares outstanding: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40" w:type="dxa"/>
            <w:vAlign w:val="bottom"/>
          </w:tcPr>
          <w:p>
            <w:pPr>
              <w:ind w:left="18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67.7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67.7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75.3</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right="20" w:firstLine="360"/>
        <w:spacing w:after="0" w:line="245" w:lineRule="auto"/>
        <w:rPr>
          <w:sz w:val="20"/>
          <w:szCs w:val="20"/>
          <w:color w:val="auto"/>
        </w:rPr>
      </w:pPr>
      <w:r>
        <w:rPr>
          <w:rFonts w:ascii="Arial" w:cs="Arial" w:eastAsia="Arial" w:hAnsi="Arial"/>
          <w:sz w:val="18"/>
          <w:szCs w:val="18"/>
          <w:color w:val="auto"/>
        </w:rPr>
        <w:t xml:space="preserve">The following table presents details of the total stock-based compensation expense (excluding the impact of other tax and income tax adjustments) that is </w:t>
      </w:r>
      <w:r>
        <w:rPr>
          <w:rFonts w:ascii="Arial" w:cs="Arial" w:eastAsia="Arial" w:hAnsi="Arial"/>
          <w:sz w:val="18"/>
          <w:szCs w:val="18"/>
          <w:i w:val="1"/>
          <w:iCs w:val="1"/>
          <w:color w:val="auto"/>
        </w:rPr>
        <w:t xml:space="preserve">included </w:t>
      </w:r>
      <w:r>
        <w:rPr>
          <w:rFonts w:ascii="Arial" w:cs="Arial" w:eastAsia="Arial" w:hAnsi="Arial"/>
          <w:sz w:val="18"/>
          <w:szCs w:val="18"/>
          <w:color w:val="auto"/>
        </w:rPr>
        <w:t>in each functional line item in the consolidated statement of operations</w:t>
      </w:r>
    </w:p>
    <w:tbl>
      <w:tblPr>
        <w:tblLayout w:type="fixed"/>
        <w:tblInd w:w="1380" w:type="dxa"/>
        <w:tblCellMar>
          <w:top w:w="0" w:type="dxa"/>
          <w:left w:w="0" w:type="dxa"/>
          <w:bottom w:w="0" w:type="dxa"/>
          <w:right w:w="0" w:type="dxa"/>
        </w:tblCellMar>
      </w:tblPr>
      <w:tr>
        <w:trPr>
          <w:trHeight w:val="147"/>
        </w:trPr>
        <w:tc>
          <w:tcPr>
            <w:tcW w:w="362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Supplemental Data on Stock-Based</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85"/>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Compensation Expense</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Cost of revenue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1.5</w:t>
            </w:r>
          </w:p>
        </w:tc>
        <w:tc>
          <w:tcPr>
            <w:tcW w:w="6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4"/>
                <w:szCs w:val="14"/>
                <w:color w:val="auto"/>
              </w:rPr>
            </w:pP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5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7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6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40" w:type="dxa"/>
            <w:vAlign w:val="bottom"/>
            <w:shd w:val="clear" w:color="auto" w:fill="CCEEFF"/>
          </w:tcPr>
          <w:p>
            <w:pPr>
              <w:spacing w:after="0"/>
              <w:rPr>
                <w:sz w:val="14"/>
                <w:szCs w:val="14"/>
                <w:color w:val="auto"/>
              </w:rPr>
            </w:pPr>
          </w:p>
        </w:tc>
      </w:tr>
      <w:tr>
        <w:trPr>
          <w:trHeight w:val="196"/>
        </w:trPr>
        <w:tc>
          <w:tcPr>
            <w:tcW w:w="36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0.2</w:t>
            </w:r>
          </w:p>
        </w:tc>
        <w:tc>
          <w:tcPr>
            <w:tcW w:w="5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0.2</w:t>
            </w:r>
          </w:p>
        </w:tc>
        <w:tc>
          <w:tcPr>
            <w:tcW w:w="7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w:t>
            </w:r>
          </w:p>
        </w:tc>
        <w:tc>
          <w:tcPr>
            <w:tcW w:w="6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w:t>
            </w:r>
          </w:p>
        </w:tc>
        <w:tc>
          <w:tcPr>
            <w:tcW w:w="240" w:type="dxa"/>
            <w:vAlign w:val="bottom"/>
            <w:tcBorders>
              <w:bottom w:val="single" w:sz="8" w:color="CCEEFF"/>
            </w:tcBorders>
          </w:tcPr>
          <w:p>
            <w:pPr>
              <w:spacing w:after="0"/>
              <w:rPr>
                <w:sz w:val="17"/>
                <w:szCs w:val="17"/>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40" w:type="dxa"/>
            <w:vAlign w:val="bottom"/>
            <w:shd w:val="clear" w:color="auto" w:fill="CCEEFF"/>
          </w:tcPr>
          <w:p>
            <w:pPr>
              <w:spacing w:after="0"/>
              <w:rPr>
                <w:sz w:val="18"/>
                <w:szCs w:val="18"/>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0.2</w:t>
            </w:r>
          </w:p>
        </w:tc>
        <w:tc>
          <w:tcPr>
            <w:tcW w:w="580" w:type="dxa"/>
            <w:vAlign w:val="bottom"/>
          </w:tcPr>
          <w:p>
            <w:pPr>
              <w:spacing w:after="0"/>
              <w:rPr>
                <w:sz w:val="19"/>
                <w:szCs w:val="19"/>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0.2</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2.2</w:t>
            </w:r>
          </w:p>
        </w:tc>
        <w:tc>
          <w:tcPr>
            <w:tcW w:w="6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04" w:right="239" w:bottom="0" w:gutter="0" w:footer="0" w:header="0"/>
        </w:sectPr>
      </w:pPr>
    </w:p>
    <w:p>
      <w:pPr>
        <w:ind w:firstLine="360"/>
        <w:spacing w:after="0" w:line="261" w:lineRule="auto"/>
        <w:rPr>
          <w:sz w:val="20"/>
          <w:szCs w:val="20"/>
          <w:color w:val="auto"/>
        </w:rPr>
      </w:pPr>
      <w:r>
        <w:rPr>
          <w:rFonts w:ascii="Arial" w:cs="Arial" w:eastAsia="Arial" w:hAnsi="Arial"/>
          <w:sz w:val="18"/>
          <w:szCs w:val="18"/>
          <w:color w:val="auto"/>
        </w:rPr>
        <w:t>The following table presents details of the non-income tax payroll related expense (credit) that is included in each functional line item in the consolidated statement of operations:</w:t>
      </w:r>
    </w:p>
    <w:p>
      <w:pPr>
        <w:sectPr>
          <w:pgSz w:w="11900" w:h="16838" w:orient="portrait"/>
          <w:cols w:equalWidth="0" w:num="1">
            <w:col w:w="11420"/>
          </w:cols>
          <w:pgMar w:left="240" w:top="104" w:right="239" w:bottom="0" w:gutter="0" w:footer="0" w:header="0"/>
          <w:type w:val="continuous"/>
        </w:sectPr>
      </w:pPr>
    </w:p>
    <w:bookmarkStart w:id="85" w:name="page86"/>
    <w:bookmarkEnd w:id="85"/>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Data on Non-Income</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85"/>
        </w:trPr>
        <w:tc>
          <w:tcPr>
            <w:tcW w:w="35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Tax Payroll Expense</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162"/>
        </w:trPr>
        <w:tc>
          <w:tcPr>
            <w:tcW w:w="3560" w:type="dxa"/>
            <w:vAlign w:val="bottom"/>
          </w:tcPr>
          <w:p>
            <w:pPr>
              <w:spacing w:after="0"/>
              <w:rPr>
                <w:sz w:val="20"/>
                <w:szCs w:val="20"/>
                <w:color w:val="auto"/>
              </w:rPr>
            </w:pPr>
            <w:r>
              <w:rPr>
                <w:rFonts w:ascii="Arial" w:cs="Arial" w:eastAsia="Arial" w:hAnsi="Arial"/>
                <w:sz w:val="14"/>
                <w:szCs w:val="14"/>
                <w:color w:val="auto"/>
              </w:rPr>
              <w:t>Cost of 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539"/>
              <w:spacing w:after="0"/>
              <w:rPr>
                <w:sz w:val="20"/>
                <w:szCs w:val="20"/>
                <w:color w:val="auto"/>
              </w:rPr>
            </w:pPr>
            <w:r>
              <w:rPr>
                <w:rFonts w:ascii="Arial" w:cs="Arial" w:eastAsia="Arial" w:hAnsi="Arial"/>
                <w:sz w:val="14"/>
                <w:szCs w:val="14"/>
                <w:color w:val="auto"/>
              </w:rPr>
              <w:t>(7.5)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59"/>
              <w:spacing w:after="0"/>
              <w:rPr>
                <w:sz w:val="20"/>
                <w:szCs w:val="20"/>
                <w:color w:val="auto"/>
              </w:rPr>
            </w:pPr>
            <w:r>
              <w:rPr>
                <w:rFonts w:ascii="Arial" w:cs="Arial" w:eastAsia="Arial" w:hAnsi="Arial"/>
                <w:sz w:val="14"/>
                <w:szCs w:val="14"/>
                <w:color w:val="auto"/>
              </w:rPr>
              <w:t>(7.5)</w:t>
            </w:r>
          </w:p>
        </w:tc>
      </w:tr>
      <w:tr>
        <w:trPr>
          <w:trHeight w:val="162"/>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539"/>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(3.9)</w:t>
            </w:r>
          </w:p>
        </w:tc>
      </w:tr>
      <w:tr>
        <w:trPr>
          <w:trHeight w:val="196"/>
        </w:trPr>
        <w:tc>
          <w:tcPr>
            <w:tcW w:w="35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99"/>
              </w:rPr>
              <w:t>—</w:t>
            </w:r>
          </w:p>
        </w:tc>
        <w:tc>
          <w:tcPr>
            <w:tcW w:w="5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(11.4)</w:t>
            </w:r>
          </w:p>
        </w:tc>
        <w:tc>
          <w:tcPr>
            <w:tcW w:w="6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(11.4)</w:t>
            </w:r>
          </w:p>
        </w:tc>
        <w:tc>
          <w:tcPr>
            <w:tcW w:w="240" w:type="dxa"/>
            <w:vAlign w:val="bottom"/>
            <w:tcBorders>
              <w:bottom w:val="single" w:sz="8" w:color="CCEEFF"/>
            </w:tcBorders>
          </w:tcPr>
          <w:p>
            <w:pPr>
              <w:spacing w:after="0"/>
              <w:rPr>
                <w:sz w:val="17"/>
                <w:szCs w:val="17"/>
                <w:color w:val="auto"/>
              </w:rPr>
            </w:pPr>
          </w:p>
        </w:tc>
      </w:tr>
      <w:tr>
        <w:trPr>
          <w:trHeight w:val="183"/>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Discontinued operations</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539"/>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(0.8)</w:t>
            </w:r>
          </w:p>
        </w:tc>
      </w:tr>
      <w:tr>
        <w:trPr>
          <w:trHeight w:val="196"/>
        </w:trPr>
        <w:tc>
          <w:tcPr>
            <w:tcW w:w="3560" w:type="dxa"/>
            <w:vAlign w:val="bottom"/>
          </w:tcPr>
          <w:p>
            <w:pPr>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w w:val="99"/>
              </w:rPr>
              <w:t>—</w:t>
            </w:r>
          </w:p>
        </w:tc>
        <w:tc>
          <w:tcPr>
            <w:tcW w:w="5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w w:val="99"/>
              </w:rPr>
              <w:t>—</w:t>
            </w:r>
          </w:p>
        </w:tc>
        <w:tc>
          <w:tcPr>
            <w:tcW w:w="6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w w:val="99"/>
              </w:rPr>
              <w:t>—</w:t>
            </w:r>
          </w:p>
        </w:tc>
        <w:tc>
          <w:tcPr>
            <w:tcW w:w="6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(12.2</w:t>
            </w:r>
          </w:p>
        </w:tc>
        <w:tc>
          <w:tcPr>
            <w:tcW w:w="620" w:type="dxa"/>
            <w:vAlign w:val="bottom"/>
          </w:tcPr>
          <w:p>
            <w:pPr>
              <w:jc w:val="right"/>
              <w:ind w:right="53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CONSOLIDATED STATEMENT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2005</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8"/>
              </w:rPr>
              <w:t>Adjustment for</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5"/>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International</w:t>
            </w:r>
          </w:p>
        </w:tc>
        <w:tc>
          <w:tcPr>
            <w:tcW w:w="108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As Restated for</w:t>
            </w:r>
          </w:p>
        </w:tc>
        <w:tc>
          <w:tcPr>
            <w:tcW w:w="108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Adjustment for</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Discontinued</w:t>
            </w:r>
          </w:p>
        </w:tc>
        <w:tc>
          <w:tcPr>
            <w:tcW w:w="108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Discontinued</w:t>
            </w:r>
          </w:p>
        </w:tc>
        <w:tc>
          <w:tcPr>
            <w:tcW w:w="108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Stock Based</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880" w:type="dxa"/>
            <w:vAlign w:val="bottom"/>
            <w:gridSpan w:val="5"/>
          </w:tcPr>
          <w:p>
            <w:pPr>
              <w:ind w:left="20"/>
              <w:spacing w:after="0"/>
              <w:rPr>
                <w:sz w:val="20"/>
                <w:szCs w:val="20"/>
                <w:color w:val="auto"/>
              </w:rPr>
            </w:pPr>
            <w:r>
              <w:rPr>
                <w:rFonts w:ascii="Arial" w:cs="Arial" w:eastAsia="Arial" w:hAnsi="Arial"/>
                <w:sz w:val="13"/>
                <w:szCs w:val="13"/>
                <w:b w:val="1"/>
                <w:bCs w:val="1"/>
                <w:color w:val="auto"/>
              </w:rPr>
              <w:t>As Reported</w:t>
            </w:r>
          </w:p>
        </w:tc>
        <w:tc>
          <w:tcPr>
            <w:tcW w:w="10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7"/>
              </w:rPr>
              <w:t>Operations</w:t>
            </w:r>
          </w:p>
        </w:tc>
        <w:tc>
          <w:tcPr>
            <w:tcW w:w="10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Operations</w:t>
            </w:r>
          </w:p>
        </w:tc>
        <w:tc>
          <w:tcPr>
            <w:tcW w:w="10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2"/>
              </w:rPr>
              <w:t>Expenses</w:t>
            </w:r>
          </w:p>
        </w:tc>
        <w:tc>
          <w:tcPr>
            <w:tcW w:w="780" w:type="dxa"/>
            <w:vAlign w:val="bottom"/>
            <w:gridSpan w:val="5"/>
          </w:tcPr>
          <w:p>
            <w:pPr>
              <w:ind w:left="40"/>
              <w:spacing w:after="0"/>
              <w:rPr>
                <w:sz w:val="20"/>
                <w:szCs w:val="20"/>
                <w:color w:val="auto"/>
              </w:rPr>
            </w:pPr>
            <w:r>
              <w:rPr>
                <w:rFonts w:ascii="Arial" w:cs="Arial" w:eastAsia="Arial" w:hAnsi="Arial"/>
                <w:sz w:val="13"/>
                <w:szCs w:val="13"/>
                <w:b w:val="1"/>
                <w:bCs w:val="1"/>
                <w:color w:val="auto"/>
                <w:w w:val="95"/>
              </w:rPr>
              <w:t>As Restated</w:t>
            </w:r>
          </w:p>
        </w:tc>
        <w:tc>
          <w:tcPr>
            <w:tcW w:w="0" w:type="dxa"/>
            <w:vAlign w:val="bottom"/>
          </w:tcPr>
          <w:p>
            <w:pPr>
              <w:spacing w:after="0"/>
              <w:rPr>
                <w:sz w:val="1"/>
                <w:szCs w:val="1"/>
                <w:color w:val="auto"/>
              </w:rPr>
            </w:pPr>
          </w:p>
        </w:tc>
      </w:tr>
      <w:tr>
        <w:trPr>
          <w:trHeight w:val="115"/>
        </w:trPr>
        <w:tc>
          <w:tcPr>
            <w:tcW w:w="38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Operating Activities:</w:t>
            </w:r>
          </w:p>
        </w:tc>
        <w:tc>
          <w:tcPr>
            <w:tcW w:w="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right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20"/>
              <w:spacing w:after="0" w:line="135" w:lineRule="exact"/>
              <w:rPr>
                <w:sz w:val="20"/>
                <w:szCs w:val="20"/>
                <w:color w:val="auto"/>
              </w:rPr>
            </w:pPr>
            <w:r>
              <w:rPr>
                <w:rFonts w:ascii="Arial" w:cs="Arial" w:eastAsia="Arial" w:hAnsi="Arial"/>
                <w:sz w:val="13"/>
                <w:szCs w:val="13"/>
                <w:color w:val="auto"/>
              </w:rPr>
              <w:t>Net income (loss)</w:t>
            </w: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46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3.7</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w w:val="89"/>
              </w:rPr>
              <w:t>(2.1)</w:t>
            </w:r>
          </w:p>
        </w:tc>
        <w:tc>
          <w:tcPr>
            <w:tcW w:w="160" w:type="dxa"/>
            <w:vAlign w:val="bottom"/>
          </w:tcPr>
          <w:p>
            <w:pPr>
              <w:spacing w:after="0"/>
              <w:rPr>
                <w:sz w:val="11"/>
                <w:szCs w:val="11"/>
                <w:color w:val="auto"/>
              </w:rPr>
            </w:pP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Less: income (loss) from discontinued operations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(7.7)</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w w:val="97"/>
              </w:rPr>
              <w:t>(2.0)</w:t>
            </w:r>
          </w:p>
        </w:tc>
        <w:tc>
          <w:tcPr>
            <w:tcW w:w="1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(9.7)</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20"/>
              <w:spacing w:after="0" w:line="135" w:lineRule="exact"/>
              <w:rPr>
                <w:sz w:val="20"/>
                <w:szCs w:val="20"/>
                <w:color w:val="auto"/>
              </w:rPr>
            </w:pPr>
            <w:r>
              <w:rPr>
                <w:rFonts w:ascii="Arial" w:cs="Arial" w:eastAsia="Arial" w:hAnsi="Arial"/>
                <w:sz w:val="13"/>
                <w:szCs w:val="13"/>
                <w:color w:val="auto"/>
              </w:rPr>
              <w:t>Income (loss) from continuing operations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11.4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13.4</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w w:val="89"/>
              </w:rPr>
              <w:t>(2.1)</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94"/>
              </w:rPr>
              <w:t>11.3</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8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2"/>
              </w:rPr>
              <w:t>Adjustments to reconcile net income (loss) from continuing operations</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 net cash provided by continuing operations: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60"/>
              <w:spacing w:after="0" w:line="135" w:lineRule="exact"/>
              <w:rPr>
                <w:sz w:val="20"/>
                <w:szCs w:val="20"/>
                <w:color w:val="auto"/>
              </w:rPr>
            </w:pPr>
            <w:r>
              <w:rPr>
                <w:rFonts w:ascii="Arial" w:cs="Arial" w:eastAsia="Arial" w:hAnsi="Arial"/>
                <w:sz w:val="13"/>
                <w:szCs w:val="13"/>
                <w:color w:val="auto"/>
              </w:rPr>
              <w:t>Depreciation and amortization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8.0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18"/>
              <w:spacing w:after="0" w:line="135" w:lineRule="exact"/>
              <w:rPr>
                <w:sz w:val="20"/>
                <w:szCs w:val="20"/>
                <w:color w:val="auto"/>
              </w:rPr>
            </w:pPr>
            <w:r>
              <w:rPr>
                <w:rFonts w:ascii="Arial" w:cs="Arial" w:eastAsia="Arial" w:hAnsi="Arial"/>
                <w:sz w:val="13"/>
                <w:szCs w:val="13"/>
                <w:color w:val="auto"/>
                <w:w w:val="97"/>
              </w:rPr>
              <w:t>(1.3)</w:t>
            </w:r>
          </w:p>
        </w:tc>
        <w:tc>
          <w:tcPr>
            <w:tcW w:w="14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6.7</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6.7</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Deferred income taxes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40" w:type="dxa"/>
            <w:vAlign w:val="bottom"/>
          </w:tcPr>
          <w:p>
            <w:pPr>
              <w:ind w:left="260"/>
              <w:spacing w:after="0" w:line="121" w:lineRule="exact"/>
              <w:rPr>
                <w:sz w:val="20"/>
                <w:szCs w:val="20"/>
                <w:color w:val="auto"/>
              </w:rPr>
            </w:pPr>
            <w:r>
              <w:rPr>
                <w:rFonts w:ascii="Arial" w:cs="Arial" w:eastAsia="Arial" w:hAnsi="Arial"/>
                <w:sz w:val="13"/>
                <w:szCs w:val="13"/>
                <w:color w:val="auto"/>
                <w:w w:val="91"/>
              </w:rPr>
              <w:t>Asset impairment charges and net (gain) loss on disposition of fixed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380"/>
              <w:spacing w:after="0"/>
              <w:rPr>
                <w:sz w:val="20"/>
                <w:szCs w:val="20"/>
                <w:color w:val="auto"/>
              </w:rPr>
            </w:pPr>
            <w:r>
              <w:rPr>
                <w:rFonts w:ascii="Arial" w:cs="Arial" w:eastAsia="Arial" w:hAnsi="Arial"/>
                <w:sz w:val="13"/>
                <w:szCs w:val="13"/>
                <w:color w:val="auto"/>
              </w:rPr>
              <w:t>assets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0.7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18"/>
              <w:spacing w:after="0"/>
              <w:rPr>
                <w:sz w:val="20"/>
                <w:szCs w:val="20"/>
                <w:color w:val="auto"/>
              </w:rPr>
            </w:pPr>
            <w:r>
              <w:rPr>
                <w:rFonts w:ascii="Arial" w:cs="Arial" w:eastAsia="Arial" w:hAnsi="Arial"/>
                <w:sz w:val="13"/>
                <w:szCs w:val="13"/>
                <w:color w:val="auto"/>
                <w:w w:val="97"/>
              </w:rPr>
              <w:t>(0.6)</w:t>
            </w:r>
          </w:p>
        </w:tc>
        <w:tc>
          <w:tcPr>
            <w:tcW w:w="14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0.1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5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0.1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Provision (credit) for doubtful accounts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0.5</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6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0.5</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0.5</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60"/>
              <w:spacing w:after="0" w:line="135" w:lineRule="exact"/>
              <w:rPr>
                <w:sz w:val="20"/>
                <w:szCs w:val="20"/>
                <w:color w:val="auto"/>
              </w:rPr>
            </w:pPr>
            <w:r>
              <w:rPr>
                <w:rFonts w:ascii="Arial" w:cs="Arial" w:eastAsia="Arial" w:hAnsi="Arial"/>
                <w:sz w:val="13"/>
                <w:szCs w:val="13"/>
                <w:color w:val="auto"/>
              </w:rPr>
              <w:t>Stock based compensation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6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0.1</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Changes in assets and liabilities, net of acquisitions: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380"/>
              <w:spacing w:after="0" w:line="135" w:lineRule="exact"/>
              <w:rPr>
                <w:sz w:val="20"/>
                <w:szCs w:val="20"/>
                <w:color w:val="auto"/>
              </w:rPr>
            </w:pPr>
            <w:r>
              <w:rPr>
                <w:rFonts w:ascii="Arial" w:cs="Arial" w:eastAsia="Arial" w:hAnsi="Arial"/>
                <w:sz w:val="13"/>
                <w:szCs w:val="13"/>
                <w:color w:val="auto"/>
              </w:rPr>
              <w:t>Accounts receivable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18"/>
              <w:spacing w:after="0" w:line="135" w:lineRule="exact"/>
              <w:rPr>
                <w:sz w:val="20"/>
                <w:szCs w:val="20"/>
                <w:color w:val="auto"/>
              </w:rPr>
            </w:pPr>
            <w:r>
              <w:rPr>
                <w:rFonts w:ascii="Arial" w:cs="Arial" w:eastAsia="Arial" w:hAnsi="Arial"/>
                <w:sz w:val="13"/>
                <w:szCs w:val="13"/>
                <w:color w:val="auto"/>
                <w:w w:val="97"/>
              </w:rPr>
              <w:t>(6.6)</w:t>
            </w:r>
          </w:p>
        </w:tc>
        <w:tc>
          <w:tcPr>
            <w:tcW w:w="140" w:type="dxa"/>
            <w:vAlign w:val="bottom"/>
          </w:tcPr>
          <w:p>
            <w:pPr>
              <w:spacing w:after="0"/>
              <w:rPr>
                <w:sz w:val="11"/>
                <w:szCs w:val="11"/>
                <w:color w:val="auto"/>
              </w:rPr>
            </w:pPr>
          </w:p>
        </w:tc>
        <w:tc>
          <w:tcPr>
            <w:tcW w:w="92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(9.5)</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6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0.9</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0.9</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380"/>
              <w:spacing w:after="0" w:line="135" w:lineRule="exact"/>
              <w:rPr>
                <w:sz w:val="20"/>
                <w:szCs w:val="20"/>
                <w:color w:val="auto"/>
              </w:rPr>
            </w:pPr>
            <w:r>
              <w:rPr>
                <w:rFonts w:ascii="Arial" w:cs="Arial" w:eastAsia="Arial" w:hAnsi="Arial"/>
                <w:sz w:val="13"/>
                <w:szCs w:val="13"/>
                <w:color w:val="auto"/>
              </w:rPr>
              <w:t>Other assets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(2.1)</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Accounts payable</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(3.6)</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380"/>
              <w:spacing w:after="0" w:line="135" w:lineRule="exact"/>
              <w:rPr>
                <w:sz w:val="20"/>
                <w:szCs w:val="20"/>
                <w:color w:val="auto"/>
              </w:rPr>
            </w:pPr>
            <w:r>
              <w:rPr>
                <w:rFonts w:ascii="Arial" w:cs="Arial" w:eastAsia="Arial" w:hAnsi="Arial"/>
                <w:sz w:val="13"/>
                <w:szCs w:val="13"/>
                <w:color w:val="auto"/>
              </w:rPr>
              <w:t>Accrued expenses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9.6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18"/>
              <w:spacing w:after="0" w:line="135" w:lineRule="exact"/>
              <w:rPr>
                <w:sz w:val="20"/>
                <w:szCs w:val="20"/>
                <w:color w:val="auto"/>
              </w:rPr>
            </w:pPr>
            <w:r>
              <w:rPr>
                <w:rFonts w:ascii="Arial" w:cs="Arial" w:eastAsia="Arial" w:hAnsi="Arial"/>
                <w:sz w:val="13"/>
                <w:szCs w:val="13"/>
                <w:color w:val="auto"/>
                <w:w w:val="97"/>
              </w:rPr>
              <w:t>(0.7)</w:t>
            </w:r>
          </w:p>
        </w:tc>
        <w:tc>
          <w:tcPr>
            <w:tcW w:w="14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8.9</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w w:val="89"/>
              </w:rPr>
              <w:t>(0.6)</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8.3</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Accrued compensation</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0.7</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0.7</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0.7</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380"/>
              <w:spacing w:after="0" w:line="135" w:lineRule="exact"/>
              <w:rPr>
                <w:sz w:val="20"/>
                <w:szCs w:val="20"/>
                <w:color w:val="auto"/>
              </w:rPr>
            </w:pPr>
            <w:r>
              <w:rPr>
                <w:rFonts w:ascii="Arial" w:cs="Arial" w:eastAsia="Arial" w:hAnsi="Arial"/>
                <w:sz w:val="13"/>
                <w:szCs w:val="13"/>
                <w:color w:val="auto"/>
              </w:rPr>
              <w:t>Tax contingencies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18"/>
              <w:spacing w:after="0" w:line="135" w:lineRule="exact"/>
              <w:rPr>
                <w:sz w:val="20"/>
                <w:szCs w:val="20"/>
                <w:color w:val="auto"/>
              </w:rPr>
            </w:pPr>
            <w:r>
              <w:rPr>
                <w:rFonts w:ascii="Arial" w:cs="Arial" w:eastAsia="Arial" w:hAnsi="Arial"/>
                <w:sz w:val="13"/>
                <w:szCs w:val="13"/>
                <w:color w:val="auto"/>
                <w:w w:val="97"/>
              </w:rPr>
              <w:t>(0.5)</w:t>
            </w:r>
          </w:p>
        </w:tc>
        <w:tc>
          <w:tcPr>
            <w:tcW w:w="140" w:type="dxa"/>
            <w:vAlign w:val="bottom"/>
          </w:tcPr>
          <w:p>
            <w:pPr>
              <w:spacing w:after="0"/>
              <w:rPr>
                <w:sz w:val="11"/>
                <w:szCs w:val="11"/>
                <w:color w:val="auto"/>
              </w:rPr>
            </w:pPr>
          </w:p>
        </w:tc>
        <w:tc>
          <w:tcPr>
            <w:tcW w:w="92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(0.1)</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Accrual for contingent acquisition consideration</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380"/>
              <w:spacing w:after="0" w:line="135" w:lineRule="exact"/>
              <w:rPr>
                <w:sz w:val="20"/>
                <w:szCs w:val="20"/>
                <w:color w:val="auto"/>
              </w:rPr>
            </w:pPr>
            <w:r>
              <w:rPr>
                <w:rFonts w:ascii="Arial" w:cs="Arial" w:eastAsia="Arial" w:hAnsi="Arial"/>
                <w:sz w:val="13"/>
                <w:szCs w:val="13"/>
                <w:color w:val="auto"/>
              </w:rPr>
              <w:t>Billings in excess of cost on completed contracts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18"/>
              <w:spacing w:after="0" w:line="135" w:lineRule="exact"/>
              <w:rPr>
                <w:sz w:val="20"/>
                <w:szCs w:val="20"/>
                <w:color w:val="auto"/>
              </w:rPr>
            </w:pPr>
            <w:r>
              <w:rPr>
                <w:rFonts w:ascii="Arial" w:cs="Arial" w:eastAsia="Arial" w:hAnsi="Arial"/>
                <w:sz w:val="13"/>
                <w:szCs w:val="13"/>
                <w:color w:val="auto"/>
                <w:w w:val="97"/>
              </w:rPr>
              <w:t>(0.1)</w:t>
            </w:r>
          </w:p>
        </w:tc>
        <w:tc>
          <w:tcPr>
            <w:tcW w:w="140" w:type="dxa"/>
            <w:vAlign w:val="bottom"/>
          </w:tcPr>
          <w:p>
            <w:pPr>
              <w:spacing w:after="0"/>
              <w:rPr>
                <w:sz w:val="11"/>
                <w:szCs w:val="11"/>
                <w:color w:val="auto"/>
              </w:rPr>
            </w:pPr>
          </w:p>
        </w:tc>
        <w:tc>
          <w:tcPr>
            <w:tcW w:w="92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(3.4)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Accrual for unused office space</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(0.9)</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(0.9)</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(0.9)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380"/>
              <w:spacing w:after="0" w:line="135" w:lineRule="exact"/>
              <w:rPr>
                <w:sz w:val="20"/>
                <w:szCs w:val="20"/>
                <w:color w:val="auto"/>
              </w:rPr>
            </w:pPr>
            <w:r>
              <w:rPr>
                <w:rFonts w:ascii="Arial" w:cs="Arial" w:eastAsia="Arial" w:hAnsi="Arial"/>
                <w:sz w:val="13"/>
                <w:szCs w:val="13"/>
                <w:color w:val="auto"/>
              </w:rPr>
              <w:t>Income tax payable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0.4</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(1.1)</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Other liabilities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500"/>
              <w:spacing w:after="0"/>
              <w:rPr>
                <w:sz w:val="20"/>
                <w:szCs w:val="20"/>
                <w:color w:val="auto"/>
              </w:rPr>
            </w:pPr>
            <w:r>
              <w:rPr>
                <w:rFonts w:ascii="Arial" w:cs="Arial" w:eastAsia="Arial" w:hAnsi="Arial"/>
                <w:sz w:val="13"/>
                <w:szCs w:val="13"/>
                <w:color w:val="auto"/>
              </w:rPr>
              <w:t>Net cash provided by (used in) continuing operations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Arial" w:cs="Arial" w:eastAsia="Arial" w:hAnsi="Arial"/>
                <w:sz w:val="13"/>
                <w:szCs w:val="13"/>
                <w:color w:val="auto"/>
              </w:rPr>
              <w:t>19.1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18"/>
              <w:spacing w:after="0" w:line="129" w:lineRule="exact"/>
              <w:rPr>
                <w:sz w:val="20"/>
                <w:szCs w:val="20"/>
                <w:color w:val="auto"/>
              </w:rPr>
            </w:pPr>
            <w:r>
              <w:rPr>
                <w:rFonts w:ascii="Arial" w:cs="Arial" w:eastAsia="Arial" w:hAnsi="Arial"/>
                <w:sz w:val="13"/>
                <w:szCs w:val="13"/>
                <w:color w:val="auto"/>
                <w:w w:val="97"/>
              </w:rPr>
              <w:t>(4.9)</w:t>
            </w:r>
          </w:p>
        </w:tc>
        <w:tc>
          <w:tcPr>
            <w:tcW w:w="14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3"/>
                <w:szCs w:val="13"/>
                <w:color w:val="auto"/>
              </w:rPr>
              <w:t>14.2</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3"/>
                <w:szCs w:val="13"/>
                <w:color w:val="auto"/>
              </w:rPr>
              <w:t>0.0</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jc w:val="right"/>
              <w:spacing w:after="0" w:line="129" w:lineRule="exact"/>
              <w:rPr>
                <w:sz w:val="20"/>
                <w:szCs w:val="20"/>
                <w:color w:val="auto"/>
              </w:rPr>
            </w:pPr>
            <w:r>
              <w:rPr>
                <w:rFonts w:ascii="Arial" w:cs="Arial" w:eastAsia="Arial" w:hAnsi="Arial"/>
                <w:sz w:val="13"/>
                <w:szCs w:val="13"/>
                <w:color w:val="auto"/>
                <w:w w:val="94"/>
              </w:rPr>
              <w:t>14.2</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Investing activities:</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20"/>
              <w:spacing w:after="0" w:line="135" w:lineRule="exact"/>
              <w:rPr>
                <w:sz w:val="20"/>
                <w:szCs w:val="20"/>
                <w:color w:val="auto"/>
              </w:rPr>
            </w:pPr>
            <w:r>
              <w:rPr>
                <w:rFonts w:ascii="Arial" w:cs="Arial" w:eastAsia="Arial" w:hAnsi="Arial"/>
                <w:sz w:val="13"/>
                <w:szCs w:val="13"/>
                <w:color w:val="auto"/>
              </w:rPr>
              <w:t>Sale/Maturity of short term investments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7.6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6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7.6</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7.6</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Cash paid for contingent acquisition consideration</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4"/>
              </w:rPr>
              <w:t>(17.1)</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(17.1)</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8"/>
              </w:rPr>
              <w:t>(17.1)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20"/>
              <w:spacing w:after="0" w:line="135" w:lineRule="exact"/>
              <w:rPr>
                <w:sz w:val="20"/>
                <w:szCs w:val="20"/>
                <w:color w:val="auto"/>
              </w:rPr>
            </w:pPr>
            <w:r>
              <w:rPr>
                <w:rFonts w:ascii="Arial" w:cs="Arial" w:eastAsia="Arial" w:hAnsi="Arial"/>
                <w:sz w:val="13"/>
                <w:szCs w:val="13"/>
                <w:color w:val="auto"/>
              </w:rPr>
              <w:t>Cash paid for acquisition, net of cash acquired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4"/>
              </w:rPr>
              <w:t>(33.6)</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(33.6)</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88"/>
              </w:rPr>
              <w:t>(33.6)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(8.0)</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(6.9)</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840" w:type="dxa"/>
            <w:vAlign w:val="bottom"/>
          </w:tcPr>
          <w:p>
            <w:pPr>
              <w:ind w:left="500"/>
              <w:spacing w:after="0" w:line="101" w:lineRule="exact"/>
              <w:rPr>
                <w:sz w:val="20"/>
                <w:szCs w:val="20"/>
                <w:color w:val="auto"/>
              </w:rPr>
            </w:pPr>
            <w:r>
              <w:rPr>
                <w:rFonts w:ascii="Arial" w:cs="Arial" w:eastAsia="Arial" w:hAnsi="Arial"/>
                <w:sz w:val="11"/>
                <w:szCs w:val="11"/>
                <w:color w:val="auto"/>
              </w:rPr>
              <w:t>Net cash used in investing activities from continuing</w:t>
            </w: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620"/>
              <w:spacing w:after="0"/>
              <w:rPr>
                <w:sz w:val="20"/>
                <w:szCs w:val="20"/>
                <w:color w:val="auto"/>
              </w:rPr>
            </w:pPr>
            <w:r>
              <w:rPr>
                <w:rFonts w:ascii="Arial" w:cs="Arial" w:eastAsia="Arial" w:hAnsi="Arial"/>
                <w:sz w:val="13"/>
                <w:szCs w:val="13"/>
                <w:color w:val="auto"/>
              </w:rPr>
              <w:t>operations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w w:val="94"/>
              </w:rPr>
              <w:t>(51.1)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(50.0)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5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w w:val="88"/>
              </w:rPr>
              <w:t>(50.0)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Financing activities:</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20"/>
              <w:spacing w:after="0" w:line="135" w:lineRule="exact"/>
              <w:rPr>
                <w:sz w:val="20"/>
                <w:szCs w:val="20"/>
                <w:color w:val="auto"/>
              </w:rPr>
            </w:pPr>
            <w:r>
              <w:rPr>
                <w:rFonts w:ascii="Arial" w:cs="Arial" w:eastAsia="Arial" w:hAnsi="Arial"/>
                <w:sz w:val="13"/>
                <w:szCs w:val="13"/>
                <w:color w:val="auto"/>
              </w:rPr>
              <w:t>Proceeds from issuance of 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6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Proceeds from issuance of common stock under employee</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stock purchase plan</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18"/>
              <w:spacing w:after="0"/>
              <w:rPr>
                <w:sz w:val="20"/>
                <w:szCs w:val="20"/>
                <w:color w:val="auto"/>
              </w:rPr>
            </w:pPr>
            <w:r>
              <w:rPr>
                <w:rFonts w:ascii="Arial" w:cs="Arial" w:eastAsia="Arial" w:hAnsi="Arial"/>
                <w:sz w:val="13"/>
                <w:szCs w:val="13"/>
                <w:color w:val="auto"/>
                <w:w w:val="97"/>
              </w:rPr>
              <w:t>(0.1)</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20"/>
              <w:spacing w:after="0" w:line="135" w:lineRule="exact"/>
              <w:rPr>
                <w:sz w:val="20"/>
                <w:szCs w:val="20"/>
                <w:color w:val="auto"/>
              </w:rPr>
            </w:pPr>
            <w:r>
              <w:rPr>
                <w:rFonts w:ascii="Arial" w:cs="Arial" w:eastAsia="Arial" w:hAnsi="Arial"/>
                <w:sz w:val="13"/>
                <w:szCs w:val="13"/>
                <w:color w:val="auto"/>
              </w:rPr>
              <w:t>Repayment of capital lease obligations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(0.4)</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(0.4)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840" w:type="dxa"/>
            <w:vAlign w:val="bottom"/>
            <w:tcBorders>
              <w:top w:val="single" w:sz="8" w:color="CCEEFF"/>
            </w:tcBorders>
            <w:shd w:val="clear" w:color="auto" w:fill="CCEEFF"/>
          </w:tcPr>
          <w:p>
            <w:pPr>
              <w:ind w:left="500"/>
              <w:spacing w:after="0" w:line="101" w:lineRule="exact"/>
              <w:rPr>
                <w:sz w:val="20"/>
                <w:szCs w:val="20"/>
                <w:color w:val="auto"/>
              </w:rPr>
            </w:pPr>
            <w:r>
              <w:rPr>
                <w:rFonts w:ascii="Arial" w:cs="Arial" w:eastAsia="Arial" w:hAnsi="Arial"/>
                <w:sz w:val="11"/>
                <w:szCs w:val="11"/>
                <w:color w:val="auto"/>
              </w:rPr>
              <w:t>Net cash provided by financing activities from</w:t>
            </w: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right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620"/>
              <w:spacing w:after="0"/>
              <w:rPr>
                <w:sz w:val="20"/>
                <w:szCs w:val="20"/>
                <w:color w:val="auto"/>
              </w:rPr>
            </w:pPr>
            <w:r>
              <w:rPr>
                <w:rFonts w:ascii="Arial" w:cs="Arial" w:eastAsia="Arial" w:hAnsi="Arial"/>
                <w:sz w:val="13"/>
                <w:szCs w:val="13"/>
                <w:color w:val="auto"/>
              </w:rPr>
              <w:t>continuing operations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18"/>
              <w:spacing w:after="0"/>
              <w:rPr>
                <w:sz w:val="20"/>
                <w:szCs w:val="20"/>
                <w:color w:val="auto"/>
              </w:rPr>
            </w:pPr>
            <w:r>
              <w:rPr>
                <w:rFonts w:ascii="Arial" w:cs="Arial" w:eastAsia="Arial" w:hAnsi="Arial"/>
                <w:sz w:val="13"/>
                <w:szCs w:val="13"/>
                <w:color w:val="auto"/>
                <w:w w:val="97"/>
              </w:rPr>
              <w:t>(0.1)</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3"/>
                <w:szCs w:val="13"/>
                <w:color w:val="auto"/>
              </w:rPr>
              <w:t>Net cash flows of continuing operations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w w:val="94"/>
              </w:rPr>
              <w:t>(27.4)</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18"/>
              <w:spacing w:after="0" w:line="129" w:lineRule="exact"/>
              <w:rPr>
                <w:sz w:val="20"/>
                <w:szCs w:val="20"/>
                <w:color w:val="auto"/>
              </w:rPr>
            </w:pPr>
            <w:r>
              <w:rPr>
                <w:rFonts w:ascii="Arial" w:cs="Arial" w:eastAsia="Arial" w:hAnsi="Arial"/>
                <w:sz w:val="13"/>
                <w:szCs w:val="13"/>
                <w:color w:val="auto"/>
                <w:w w:val="97"/>
              </w:rPr>
              <w:t>(3.9)</w:t>
            </w:r>
          </w:p>
        </w:tc>
        <w:tc>
          <w:tcPr>
            <w:tcW w:w="14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620" w:type="dxa"/>
            <w:vAlign w:val="bottom"/>
            <w:gridSpan w:val="2"/>
          </w:tcPr>
          <w:p>
            <w:pPr>
              <w:jc w:val="right"/>
              <w:ind w:right="260"/>
              <w:spacing w:after="0" w:line="129" w:lineRule="exact"/>
              <w:rPr>
                <w:sz w:val="20"/>
                <w:szCs w:val="20"/>
                <w:color w:val="auto"/>
              </w:rPr>
            </w:pPr>
            <w:r>
              <w:rPr>
                <w:rFonts w:ascii="Arial" w:cs="Arial" w:eastAsia="Arial" w:hAnsi="Arial"/>
                <w:sz w:val="13"/>
                <w:szCs w:val="13"/>
                <w:color w:val="auto"/>
                <w:w w:val="99"/>
              </w:rPr>
              <w:t>(31.3)</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3"/>
                <w:szCs w:val="13"/>
                <w:color w:val="auto"/>
              </w:rPr>
              <w:t>0.0</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w w:val="88"/>
              </w:rPr>
              <w:t>(31.3)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flows of discontinued operations (Revised—see Note 1(s))</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20"/>
              <w:spacing w:after="0" w:line="135" w:lineRule="exact"/>
              <w:rPr>
                <w:sz w:val="20"/>
                <w:szCs w:val="20"/>
                <w:color w:val="auto"/>
              </w:rPr>
            </w:pPr>
            <w:r>
              <w:rPr>
                <w:rFonts w:ascii="Arial" w:cs="Arial" w:eastAsia="Arial" w:hAnsi="Arial"/>
                <w:sz w:val="13"/>
                <w:szCs w:val="13"/>
                <w:color w:val="auto"/>
              </w:rPr>
              <w:t>Operating Cash Flows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4"/>
              </w:rPr>
              <w:t>(11.8)</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(10.2)</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88"/>
              </w:rPr>
              <w:t>(10.2)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Investing Cash Flows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w w:val="97"/>
              </w:rPr>
              <w:t>(1.2)</w:t>
            </w:r>
          </w:p>
        </w:tc>
        <w:tc>
          <w:tcPr>
            <w:tcW w:w="1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(2.2)</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20"/>
              <w:spacing w:after="0" w:line="135" w:lineRule="exact"/>
              <w:rPr>
                <w:sz w:val="20"/>
                <w:szCs w:val="20"/>
                <w:color w:val="auto"/>
              </w:rPr>
            </w:pPr>
            <w:r>
              <w:rPr>
                <w:rFonts w:ascii="Arial" w:cs="Arial" w:eastAsia="Arial" w:hAnsi="Arial"/>
                <w:sz w:val="13"/>
                <w:szCs w:val="13"/>
                <w:color w:val="auto"/>
              </w:rPr>
              <w:t>Effect of exchange rates on cash and cash equivalents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18"/>
              <w:spacing w:after="0" w:line="135" w:lineRule="exact"/>
              <w:rPr>
                <w:sz w:val="20"/>
                <w:szCs w:val="20"/>
                <w:color w:val="auto"/>
              </w:rPr>
            </w:pPr>
            <w:r>
              <w:rPr>
                <w:rFonts w:ascii="Arial" w:cs="Arial" w:eastAsia="Arial" w:hAnsi="Arial"/>
                <w:sz w:val="13"/>
                <w:szCs w:val="13"/>
                <w:color w:val="auto"/>
                <w:w w:val="97"/>
              </w:rPr>
              <w:t>(0.1)</w:t>
            </w:r>
          </w:p>
        </w:tc>
        <w:tc>
          <w:tcPr>
            <w:tcW w:w="14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CEEFF"/>
          </w:tcPr>
          <w:p>
            <w:pPr>
              <w:ind w:left="260"/>
              <w:spacing w:after="0"/>
              <w:rPr>
                <w:sz w:val="20"/>
                <w:szCs w:val="20"/>
                <w:color w:val="auto"/>
              </w:rPr>
            </w:pPr>
            <w:r>
              <w:rPr>
                <w:rFonts w:ascii="Arial" w:cs="Arial" w:eastAsia="Arial" w:hAnsi="Arial"/>
                <w:sz w:val="13"/>
                <w:szCs w:val="13"/>
                <w:color w:val="auto"/>
              </w:rPr>
              <w:t>Net cash flows of discontinued operations</w:t>
            </w: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w w:val="94"/>
              </w:rPr>
              <w:t>(11.7)</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0.3</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3"/>
                <w:szCs w:val="13"/>
                <w:color w:val="auto"/>
                <w:w w:val="99"/>
              </w:rPr>
              <w:t>(11.4)</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4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3"/>
                <w:szCs w:val="13"/>
                <w:color w:val="auto"/>
                <w:w w:val="88"/>
              </w:rPr>
              <w:t>(11.4)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3"/>
                <w:szCs w:val="13"/>
                <w:color w:val="auto"/>
              </w:rPr>
              <w:t>Net decrease in cash and cash equivalents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w w:val="94"/>
              </w:rPr>
              <w:t>(39.1)</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18"/>
              <w:spacing w:after="0" w:line="129" w:lineRule="exact"/>
              <w:rPr>
                <w:sz w:val="20"/>
                <w:szCs w:val="20"/>
                <w:color w:val="auto"/>
              </w:rPr>
            </w:pPr>
            <w:r>
              <w:rPr>
                <w:rFonts w:ascii="Arial" w:cs="Arial" w:eastAsia="Arial" w:hAnsi="Arial"/>
                <w:sz w:val="13"/>
                <w:szCs w:val="13"/>
                <w:color w:val="auto"/>
                <w:w w:val="97"/>
              </w:rPr>
              <w:t>(3.6)</w:t>
            </w:r>
          </w:p>
        </w:tc>
        <w:tc>
          <w:tcPr>
            <w:tcW w:w="14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620" w:type="dxa"/>
            <w:vAlign w:val="bottom"/>
            <w:gridSpan w:val="2"/>
          </w:tcPr>
          <w:p>
            <w:pPr>
              <w:jc w:val="right"/>
              <w:ind w:right="260"/>
              <w:spacing w:after="0" w:line="129" w:lineRule="exact"/>
              <w:rPr>
                <w:sz w:val="20"/>
                <w:szCs w:val="20"/>
                <w:color w:val="auto"/>
              </w:rPr>
            </w:pPr>
            <w:r>
              <w:rPr>
                <w:rFonts w:ascii="Arial" w:cs="Arial" w:eastAsia="Arial" w:hAnsi="Arial"/>
                <w:sz w:val="13"/>
                <w:szCs w:val="13"/>
                <w:color w:val="auto"/>
                <w:w w:val="99"/>
              </w:rPr>
              <w:t>(42.7)</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3"/>
                <w:szCs w:val="13"/>
                <w:color w:val="auto"/>
              </w:rPr>
              <w:t>0.0</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w w:val="88"/>
              </w:rPr>
              <w:t>(42.7)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Cash and cash equivalents at beginning of year</w:t>
            </w: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52.0</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18"/>
              <w:spacing w:after="0" w:line="129" w:lineRule="exact"/>
              <w:rPr>
                <w:sz w:val="20"/>
                <w:szCs w:val="20"/>
                <w:color w:val="auto"/>
              </w:rPr>
            </w:pPr>
            <w:r>
              <w:rPr>
                <w:rFonts w:ascii="Arial" w:cs="Arial" w:eastAsia="Arial" w:hAnsi="Arial"/>
                <w:sz w:val="13"/>
                <w:szCs w:val="13"/>
                <w:color w:val="auto"/>
                <w:w w:val="97"/>
              </w:rPr>
              <w:t>(1.6)</w:t>
            </w:r>
          </w:p>
        </w:tc>
        <w:tc>
          <w:tcPr>
            <w:tcW w:w="14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50.4</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4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50.4</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line="129" w:lineRule="exact"/>
              <w:rPr>
                <w:sz w:val="20"/>
                <w:szCs w:val="20"/>
                <w:color w:val="auto"/>
              </w:rPr>
            </w:pPr>
            <w:r>
              <w:rPr>
                <w:rFonts w:ascii="Arial" w:cs="Arial" w:eastAsia="Arial" w:hAnsi="Arial"/>
                <w:sz w:val="13"/>
                <w:szCs w:val="13"/>
                <w:color w:val="auto"/>
              </w:rPr>
              <w:t>Cash and cash equivalents at end of year</w:t>
            </w: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(5.2</w:t>
            </w:r>
          </w:p>
        </w:tc>
        <w:tc>
          <w:tcPr>
            <w:tcW w:w="300" w:type="dxa"/>
            <w:vAlign w:val="bottom"/>
          </w:tcPr>
          <w:p>
            <w:pPr>
              <w:jc w:val="right"/>
              <w:ind w:right="218"/>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  7.7</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2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7.7</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CONSOLIDATED STATEMENT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54"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Adjustment for</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3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International</w:t>
            </w:r>
          </w:p>
        </w:tc>
        <w:tc>
          <w:tcPr>
            <w:tcW w:w="10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As Restated for</w:t>
            </w:r>
          </w:p>
        </w:tc>
        <w:tc>
          <w:tcPr>
            <w:tcW w:w="10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Adjustment for</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3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Discontinued</w:t>
            </w:r>
          </w:p>
        </w:tc>
        <w:tc>
          <w:tcPr>
            <w:tcW w:w="10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Discontinued</w:t>
            </w:r>
          </w:p>
        </w:tc>
        <w:tc>
          <w:tcPr>
            <w:tcW w:w="10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Stock Based</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390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As Reported</w:t>
            </w: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Operations</w:t>
            </w: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Operations</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Expenses</w:t>
            </w: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w w:val="98"/>
              </w:rPr>
              <w:t>As Restated</w:t>
            </w:r>
          </w:p>
        </w:tc>
      </w:tr>
      <w:tr>
        <w:trPr>
          <w:trHeight w:val="115"/>
        </w:trPr>
        <w:tc>
          <w:tcPr>
            <w:tcW w:w="39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Operating Activities:</w:t>
            </w: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Net income (loss)</w:t>
            </w:r>
          </w:p>
        </w:tc>
        <w:tc>
          <w:tcPr>
            <w:tcW w:w="7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   5.0</w:t>
            </w:r>
          </w:p>
        </w:tc>
        <w:tc>
          <w:tcPr>
            <w:tcW w:w="160" w:type="dxa"/>
            <w:vAlign w:val="bottom"/>
          </w:tcPr>
          <w:p>
            <w:pPr>
              <w:spacing w:after="0"/>
              <w:rPr>
                <w:sz w:val="11"/>
                <w:szCs w:val="11"/>
                <w:color w:val="auto"/>
              </w:rPr>
            </w:pPr>
          </w:p>
        </w:tc>
        <w:tc>
          <w:tcPr>
            <w:tcW w:w="1040" w:type="dxa"/>
            <w:vAlign w:val="bottom"/>
            <w:gridSpan w:val="2"/>
          </w:tcPr>
          <w:p>
            <w:pPr>
              <w:jc w:val="right"/>
              <w:ind w:right="480"/>
              <w:spacing w:after="0" w:line="135" w:lineRule="exact"/>
              <w:rPr>
                <w:sz w:val="20"/>
                <w:szCs w:val="20"/>
                <w:color w:val="auto"/>
              </w:rPr>
            </w:pPr>
            <w:r>
              <w:rPr>
                <w:rFonts w:ascii="Arial" w:cs="Arial" w:eastAsia="Arial" w:hAnsi="Arial"/>
                <w:sz w:val="13"/>
                <w:szCs w:val="13"/>
                <w:color w:val="auto"/>
              </w:rPr>
              <w:t>$  —</w:t>
            </w:r>
          </w:p>
        </w:tc>
        <w:tc>
          <w:tcPr>
            <w:tcW w:w="9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  5.0</w:t>
            </w:r>
          </w:p>
        </w:tc>
        <w:tc>
          <w:tcPr>
            <w:tcW w:w="140" w:type="dxa"/>
            <w:vAlign w:val="bottom"/>
          </w:tcPr>
          <w:p>
            <w:pPr>
              <w:spacing w:after="0"/>
              <w:rPr>
                <w:sz w:val="11"/>
                <w:szCs w:val="11"/>
                <w:color w:val="auto"/>
              </w:rPr>
            </w:pPr>
          </w:p>
        </w:tc>
        <w:tc>
          <w:tcPr>
            <w:tcW w:w="9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$ 10.0</w:t>
            </w:r>
          </w:p>
        </w:tc>
        <w:tc>
          <w:tcPr>
            <w:tcW w:w="160" w:type="dxa"/>
            <w:vAlign w:val="bottom"/>
          </w:tcPr>
          <w:p>
            <w:pPr>
              <w:spacing w:after="0"/>
              <w:rPr>
                <w:sz w:val="11"/>
                <w:szCs w:val="11"/>
                <w:color w:val="auto"/>
              </w:rPr>
            </w:pPr>
          </w:p>
        </w:tc>
        <w:tc>
          <w:tcPr>
            <w:tcW w:w="7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$ 15.0</w:t>
            </w:r>
          </w:p>
        </w:tc>
        <w:tc>
          <w:tcPr>
            <w:tcW w:w="60" w:type="dxa"/>
            <w:vAlign w:val="bottom"/>
          </w:tcPr>
          <w:p>
            <w:pPr>
              <w:spacing w:after="0"/>
              <w:rPr>
                <w:sz w:val="11"/>
                <w:szCs w:val="1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Less: income (loss) from discontinued operations</w:t>
            </w:r>
          </w:p>
        </w:tc>
        <w:tc>
          <w:tcPr>
            <w:tcW w:w="7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9.4</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1.4</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10.8</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0.8</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11.6</w:t>
            </w:r>
          </w:p>
        </w:tc>
        <w:tc>
          <w:tcPr>
            <w:tcW w:w="60" w:type="dxa"/>
            <w:vAlign w:val="bottom"/>
            <w:shd w:val="clear" w:color="auto" w:fill="CCEEFF"/>
          </w:tcPr>
          <w:p>
            <w:pPr>
              <w:spacing w:after="0"/>
              <w:rPr>
                <w:sz w:val="11"/>
                <w:szCs w:val="1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Income (loss) from continuing operations</w:t>
            </w:r>
          </w:p>
        </w:tc>
        <w:tc>
          <w:tcPr>
            <w:tcW w:w="7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(4.4)</w:t>
            </w:r>
          </w:p>
        </w:tc>
        <w:tc>
          <w:tcPr>
            <w:tcW w:w="160" w:type="dxa"/>
            <w:vAlign w:val="bottom"/>
          </w:tcPr>
          <w:p>
            <w:pPr>
              <w:spacing w:after="0"/>
              <w:rPr>
                <w:sz w:val="11"/>
                <w:szCs w:val="11"/>
                <w:color w:val="auto"/>
              </w:rPr>
            </w:pPr>
          </w:p>
        </w:tc>
        <w:tc>
          <w:tcPr>
            <w:tcW w:w="8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(1.4)</w:t>
            </w:r>
          </w:p>
        </w:tc>
        <w:tc>
          <w:tcPr>
            <w:tcW w:w="160" w:type="dxa"/>
            <w:vAlign w:val="bottom"/>
          </w:tcPr>
          <w:p>
            <w:pPr>
              <w:spacing w:after="0"/>
              <w:rPr>
                <w:sz w:val="11"/>
                <w:szCs w:val="11"/>
                <w:color w:val="auto"/>
              </w:rPr>
            </w:pPr>
          </w:p>
        </w:tc>
        <w:tc>
          <w:tcPr>
            <w:tcW w:w="9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(5.8)</w:t>
            </w:r>
          </w:p>
        </w:tc>
        <w:tc>
          <w:tcPr>
            <w:tcW w:w="140" w:type="dxa"/>
            <w:vAlign w:val="bottom"/>
          </w:tcPr>
          <w:p>
            <w:pPr>
              <w:spacing w:after="0"/>
              <w:rPr>
                <w:sz w:val="11"/>
                <w:szCs w:val="11"/>
                <w:color w:val="auto"/>
              </w:rPr>
            </w:pPr>
          </w:p>
        </w:tc>
        <w:tc>
          <w:tcPr>
            <w:tcW w:w="9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9.2</w:t>
            </w:r>
          </w:p>
        </w:tc>
        <w:tc>
          <w:tcPr>
            <w:tcW w:w="160" w:type="dxa"/>
            <w:vAlign w:val="bottom"/>
          </w:tcPr>
          <w:p>
            <w:pPr>
              <w:spacing w:after="0"/>
              <w:rPr>
                <w:sz w:val="11"/>
                <w:szCs w:val="11"/>
                <w:color w:val="auto"/>
              </w:rPr>
            </w:pPr>
          </w:p>
        </w:tc>
        <w:tc>
          <w:tcPr>
            <w:tcW w:w="7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3.4</w:t>
            </w:r>
          </w:p>
        </w:tc>
        <w:tc>
          <w:tcPr>
            <w:tcW w:w="60" w:type="dxa"/>
            <w:vAlign w:val="bottom"/>
          </w:tcPr>
          <w:p>
            <w:pPr>
              <w:spacing w:after="0"/>
              <w:rPr>
                <w:sz w:val="11"/>
                <w:szCs w:val="11"/>
                <w:color w:val="auto"/>
              </w:rPr>
            </w:pPr>
          </w:p>
        </w:tc>
      </w:tr>
      <w:tr>
        <w:trPr>
          <w:trHeight w:val="188"/>
        </w:trPr>
        <w:tc>
          <w:tcPr>
            <w:tcW w:w="390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3"/>
              </w:rPr>
              <w:t>Adjustments to reconcile net income (loss) from continuing operations</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49"/>
        </w:trPr>
        <w:tc>
          <w:tcPr>
            <w:tcW w:w="39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 net cash provided by continuing operations:</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35"/>
        </w:trPr>
        <w:tc>
          <w:tcPr>
            <w:tcW w:w="3900" w:type="dxa"/>
            <w:vAlign w:val="bottom"/>
          </w:tcPr>
          <w:p>
            <w:pPr>
              <w:ind w:left="260"/>
              <w:spacing w:after="0" w:line="135" w:lineRule="exact"/>
              <w:rPr>
                <w:sz w:val="20"/>
                <w:szCs w:val="20"/>
                <w:color w:val="auto"/>
              </w:rPr>
            </w:pPr>
            <w:r>
              <w:rPr>
                <w:rFonts w:ascii="Arial" w:cs="Arial" w:eastAsia="Arial" w:hAnsi="Arial"/>
                <w:sz w:val="13"/>
                <w:szCs w:val="13"/>
                <w:color w:val="auto"/>
              </w:rPr>
              <w:t>Depreciation and amortization</w:t>
            </w:r>
          </w:p>
        </w:tc>
        <w:tc>
          <w:tcPr>
            <w:tcW w:w="7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7.2</w:t>
            </w:r>
          </w:p>
        </w:tc>
        <w:tc>
          <w:tcPr>
            <w:tcW w:w="160" w:type="dxa"/>
            <w:vAlign w:val="bottom"/>
          </w:tcPr>
          <w:p>
            <w:pPr>
              <w:spacing w:after="0"/>
              <w:rPr>
                <w:sz w:val="11"/>
                <w:szCs w:val="11"/>
                <w:color w:val="auto"/>
              </w:rPr>
            </w:pPr>
          </w:p>
        </w:tc>
        <w:tc>
          <w:tcPr>
            <w:tcW w:w="8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(0.7)</w:t>
            </w:r>
          </w:p>
        </w:tc>
        <w:tc>
          <w:tcPr>
            <w:tcW w:w="160" w:type="dxa"/>
            <w:vAlign w:val="bottom"/>
          </w:tcPr>
          <w:p>
            <w:pPr>
              <w:spacing w:after="0"/>
              <w:rPr>
                <w:sz w:val="11"/>
                <w:szCs w:val="11"/>
                <w:color w:val="auto"/>
              </w:rPr>
            </w:pPr>
          </w:p>
        </w:tc>
        <w:tc>
          <w:tcPr>
            <w:tcW w:w="9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6.5</w:t>
            </w:r>
          </w:p>
        </w:tc>
        <w:tc>
          <w:tcPr>
            <w:tcW w:w="140" w:type="dxa"/>
            <w:vAlign w:val="bottom"/>
          </w:tcPr>
          <w:p>
            <w:pPr>
              <w:spacing w:after="0"/>
              <w:rPr>
                <w:sz w:val="11"/>
                <w:szCs w:val="11"/>
                <w:color w:val="auto"/>
              </w:rPr>
            </w:pPr>
          </w:p>
        </w:tc>
        <w:tc>
          <w:tcPr>
            <w:tcW w:w="1080" w:type="dxa"/>
            <w:vAlign w:val="bottom"/>
            <w:gridSpan w:val="2"/>
          </w:tcPr>
          <w:p>
            <w:pPr>
              <w:jc w:val="right"/>
              <w:ind w:right="48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6.5</w:t>
            </w:r>
          </w:p>
        </w:tc>
        <w:tc>
          <w:tcPr>
            <w:tcW w:w="60" w:type="dxa"/>
            <w:vAlign w:val="bottom"/>
          </w:tcPr>
          <w:p>
            <w:pPr>
              <w:spacing w:after="0"/>
              <w:rPr>
                <w:sz w:val="11"/>
                <w:szCs w:val="11"/>
                <w:color w:val="auto"/>
              </w:rPr>
            </w:pPr>
          </w:p>
        </w:tc>
      </w:tr>
      <w:tr>
        <w:trPr>
          <w:trHeight w:val="135"/>
        </w:trPr>
        <w:tc>
          <w:tcPr>
            <w:tcW w:w="390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Deferred income taxes</w:t>
            </w:r>
          </w:p>
        </w:tc>
        <w:tc>
          <w:tcPr>
            <w:tcW w:w="7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(1.4)</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(0.1)</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48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spacing w:after="0"/>
              <w:rPr>
                <w:sz w:val="11"/>
                <w:szCs w:val="11"/>
                <w:color w:val="auto"/>
              </w:rPr>
            </w:pPr>
          </w:p>
        </w:tc>
      </w:tr>
      <w:tr>
        <w:trPr>
          <w:trHeight w:val="121"/>
        </w:trPr>
        <w:tc>
          <w:tcPr>
            <w:tcW w:w="3900" w:type="dxa"/>
            <w:vAlign w:val="bottom"/>
          </w:tcPr>
          <w:p>
            <w:pPr>
              <w:ind w:left="260"/>
              <w:spacing w:after="0" w:line="121" w:lineRule="exact"/>
              <w:rPr>
                <w:sz w:val="20"/>
                <w:szCs w:val="20"/>
                <w:color w:val="auto"/>
              </w:rPr>
            </w:pPr>
            <w:r>
              <w:rPr>
                <w:rFonts w:ascii="Arial" w:cs="Arial" w:eastAsia="Arial" w:hAnsi="Arial"/>
                <w:sz w:val="13"/>
                <w:szCs w:val="13"/>
                <w:color w:val="auto"/>
                <w:w w:val="92"/>
              </w:rPr>
              <w:t>Asset impairment charges and net (gain) loss on disposition of fixed</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0"/>
        </w:trPr>
        <w:tc>
          <w:tcPr>
            <w:tcW w:w="3900" w:type="dxa"/>
            <w:vAlign w:val="bottom"/>
          </w:tcPr>
          <w:p>
            <w:pPr>
              <w:ind w:left="380"/>
              <w:spacing w:after="0"/>
              <w:rPr>
                <w:sz w:val="20"/>
                <w:szCs w:val="20"/>
                <w:color w:val="auto"/>
              </w:rPr>
            </w:pPr>
            <w:r>
              <w:rPr>
                <w:rFonts w:ascii="Arial" w:cs="Arial" w:eastAsia="Arial" w:hAnsi="Arial"/>
                <w:sz w:val="13"/>
                <w:szCs w:val="13"/>
                <w:color w:val="auto"/>
              </w:rPr>
              <w:t>assets</w:t>
            </w:r>
          </w:p>
        </w:tc>
        <w:tc>
          <w:tcPr>
            <w:tcW w:w="720" w:type="dxa"/>
            <w:vAlign w:val="bottom"/>
          </w:tcPr>
          <w:p>
            <w:pPr>
              <w:jc w:val="right"/>
              <w:ind w:right="137"/>
              <w:spacing w:after="0"/>
              <w:rPr>
                <w:sz w:val="20"/>
                <w:szCs w:val="20"/>
                <w:color w:val="auto"/>
              </w:rPr>
            </w:pPr>
            <w:r>
              <w:rPr>
                <w:rFonts w:ascii="Arial" w:cs="Arial" w:eastAsia="Arial" w:hAnsi="Arial"/>
                <w:sz w:val="13"/>
                <w:szCs w:val="13"/>
                <w:color w:val="auto"/>
              </w:rPr>
              <w:t>0.2</w:t>
            </w:r>
          </w:p>
        </w:tc>
        <w:tc>
          <w:tcPr>
            <w:tcW w:w="160" w:type="dxa"/>
            <w:vAlign w:val="bottom"/>
          </w:tcPr>
          <w:p>
            <w:pPr>
              <w:spacing w:after="0"/>
              <w:rPr>
                <w:sz w:val="13"/>
                <w:szCs w:val="13"/>
                <w:color w:val="auto"/>
              </w:rPr>
            </w:pPr>
          </w:p>
        </w:tc>
        <w:tc>
          <w:tcPr>
            <w:tcW w:w="880" w:type="dxa"/>
            <w:vAlign w:val="bottom"/>
          </w:tcPr>
          <w:p>
            <w:pPr>
              <w:jc w:val="right"/>
              <w:ind w:right="197"/>
              <w:spacing w:after="0"/>
              <w:rPr>
                <w:sz w:val="20"/>
                <w:szCs w:val="20"/>
                <w:color w:val="auto"/>
              </w:rPr>
            </w:pPr>
            <w:r>
              <w:rPr>
                <w:rFonts w:ascii="Arial" w:cs="Arial" w:eastAsia="Arial" w:hAnsi="Arial"/>
                <w:sz w:val="13"/>
                <w:szCs w:val="13"/>
                <w:color w:val="auto"/>
              </w:rPr>
              <w:t>(0.2)</w:t>
            </w:r>
          </w:p>
        </w:tc>
        <w:tc>
          <w:tcPr>
            <w:tcW w:w="160" w:type="dxa"/>
            <w:vAlign w:val="bottom"/>
          </w:tcPr>
          <w:p>
            <w:pPr>
              <w:spacing w:after="0"/>
              <w:rPr>
                <w:sz w:val="13"/>
                <w:szCs w:val="13"/>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r>
    </w:tbl>
    <w:p>
      <w:pPr>
        <w:sectPr>
          <w:pgSz w:w="11900" w:h="16854" w:orient="portrait"/>
          <w:cols w:equalWidth="0" w:num="1">
            <w:col w:w="9019"/>
          </w:cols>
          <w:pgMar w:left="1440" w:top="131" w:right="1440" w:bottom="0" w:gutter="0" w:footer="0" w:header="0"/>
        </w:sectPr>
      </w:pPr>
    </w:p>
    <w:bookmarkStart w:id="86" w:name="page87"/>
    <w:bookmarkEnd w:id="86"/>
    <w:p>
      <w:pPr>
        <w:spacing w:after="0" w:line="1" w:lineRule="exact"/>
        <w:rPr>
          <w:sz w:val="20"/>
          <w:szCs w:val="20"/>
          <w:color w:val="auto"/>
        </w:rPr>
      </w:pPr>
    </w:p>
    <w:tbl>
      <w:tblPr>
        <w:tblLayout w:type="fixed"/>
        <w:tblInd w:w="1340" w:type="dxa"/>
        <w:tblCellMar>
          <w:top w:w="0" w:type="dxa"/>
          <w:left w:w="0" w:type="dxa"/>
          <w:bottom w:w="0" w:type="dxa"/>
          <w:right w:w="0" w:type="dxa"/>
        </w:tblCellMar>
      </w:tblPr>
      <w:tr>
        <w:trPr>
          <w:trHeight w:val="149"/>
        </w:trPr>
        <w:tc>
          <w:tcPr>
            <w:tcW w:w="3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Equity loss in unconsolidated affiliates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78"/>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3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60"/>
              <w:spacing w:after="0" w:line="135" w:lineRule="exact"/>
              <w:rPr>
                <w:sz w:val="20"/>
                <w:szCs w:val="20"/>
                <w:color w:val="auto"/>
              </w:rPr>
            </w:pPr>
            <w:r>
              <w:rPr>
                <w:rFonts w:ascii="Arial" w:cs="Arial" w:eastAsia="Arial" w:hAnsi="Arial"/>
                <w:sz w:val="13"/>
                <w:szCs w:val="13"/>
                <w:color w:val="auto"/>
              </w:rPr>
              <w:t>Tax benefit from stock options</w:t>
            </w:r>
          </w:p>
        </w:tc>
        <w:tc>
          <w:tcPr>
            <w:tcW w:w="88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(0.7)</w:t>
            </w:r>
          </w:p>
        </w:tc>
        <w:tc>
          <w:tcPr>
            <w:tcW w:w="300" w:type="dxa"/>
            <w:vAlign w:val="bottom"/>
          </w:tcPr>
          <w:p>
            <w:pPr>
              <w:spacing w:after="0"/>
              <w:rPr>
                <w:sz w:val="11"/>
                <w:szCs w:val="11"/>
                <w:color w:val="auto"/>
              </w:rPr>
            </w:pPr>
          </w:p>
        </w:tc>
        <w:tc>
          <w:tcPr>
            <w:tcW w:w="700" w:type="dxa"/>
            <w:vAlign w:val="bottom"/>
            <w:gridSpan w:val="2"/>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(0.7)</w:t>
            </w:r>
          </w:p>
        </w:tc>
        <w:tc>
          <w:tcPr>
            <w:tcW w:w="360" w:type="dxa"/>
            <w:vAlign w:val="bottom"/>
          </w:tcPr>
          <w:p>
            <w:pPr>
              <w:spacing w:after="0"/>
              <w:rPr>
                <w:sz w:val="11"/>
                <w:szCs w:val="11"/>
                <w:color w:val="auto"/>
              </w:rPr>
            </w:pPr>
          </w:p>
        </w:tc>
        <w:tc>
          <w:tcPr>
            <w:tcW w:w="6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Provision (credit) for doubtful accounts</w:t>
            </w:r>
          </w:p>
        </w:tc>
        <w:tc>
          <w:tcPr>
            <w:tcW w:w="88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(0.7)</w:t>
            </w:r>
          </w:p>
        </w:tc>
        <w:tc>
          <w:tcPr>
            <w:tcW w:w="3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(0.7)</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35"/>
        </w:trPr>
        <w:tc>
          <w:tcPr>
            <w:tcW w:w="3880" w:type="dxa"/>
            <w:vAlign w:val="bottom"/>
          </w:tcPr>
          <w:p>
            <w:pPr>
              <w:ind w:left="260"/>
              <w:spacing w:after="0" w:line="135" w:lineRule="exact"/>
              <w:rPr>
                <w:sz w:val="20"/>
                <w:szCs w:val="20"/>
                <w:color w:val="auto"/>
              </w:rPr>
            </w:pPr>
            <w:r>
              <w:rPr>
                <w:rFonts w:ascii="Arial" w:cs="Arial" w:eastAsia="Arial" w:hAnsi="Arial"/>
                <w:sz w:val="13"/>
                <w:szCs w:val="13"/>
                <w:color w:val="auto"/>
              </w:rPr>
              <w:t>Stock based compensation</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0.2</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0.2</w:t>
            </w:r>
          </w:p>
        </w:tc>
        <w:tc>
          <w:tcPr>
            <w:tcW w:w="38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w:t>
            </w:r>
          </w:p>
        </w:tc>
        <w:tc>
          <w:tcPr>
            <w:tcW w:w="34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Changes in assets and liabilities, net of acquisitions:</w:t>
            </w: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380"/>
              <w:spacing w:after="0" w:line="135" w:lineRule="exact"/>
              <w:rPr>
                <w:sz w:val="20"/>
                <w:szCs w:val="20"/>
                <w:color w:val="auto"/>
              </w:rPr>
            </w:pPr>
            <w:r>
              <w:rPr>
                <w:rFonts w:ascii="Arial" w:cs="Arial" w:eastAsia="Arial" w:hAnsi="Arial"/>
                <w:sz w:val="13"/>
                <w:szCs w:val="13"/>
                <w:color w:val="auto"/>
              </w:rPr>
              <w:t>Accounts receivable</w:t>
            </w:r>
          </w:p>
        </w:tc>
        <w:tc>
          <w:tcPr>
            <w:tcW w:w="88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(21.2)</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5.4</w:t>
            </w:r>
          </w:p>
        </w:tc>
        <w:tc>
          <w:tcPr>
            <w:tcW w:w="400" w:type="dxa"/>
            <w:vAlign w:val="bottom"/>
          </w:tcPr>
          <w:p>
            <w:pPr>
              <w:spacing w:after="0"/>
              <w:rPr>
                <w:sz w:val="11"/>
                <w:szCs w:val="11"/>
                <w:color w:val="auto"/>
              </w:rPr>
            </w:pPr>
          </w:p>
        </w:tc>
        <w:tc>
          <w:tcPr>
            <w:tcW w:w="106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(15.8)</w:t>
            </w:r>
          </w:p>
        </w:tc>
        <w:tc>
          <w:tcPr>
            <w:tcW w:w="360" w:type="dxa"/>
            <w:vAlign w:val="bottom"/>
          </w:tcPr>
          <w:p>
            <w:pPr>
              <w:spacing w:after="0"/>
              <w:rPr>
                <w:sz w:val="11"/>
                <w:szCs w:val="11"/>
                <w:color w:val="auto"/>
              </w:rPr>
            </w:pPr>
          </w:p>
        </w:tc>
        <w:tc>
          <w:tcPr>
            <w:tcW w:w="6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Prepaid expenses</w:t>
            </w:r>
          </w:p>
        </w:tc>
        <w:tc>
          <w:tcPr>
            <w:tcW w:w="88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(0.6)</w:t>
            </w:r>
          </w:p>
        </w:tc>
        <w:tc>
          <w:tcPr>
            <w:tcW w:w="1000" w:type="dxa"/>
            <w:vAlign w:val="bottom"/>
            <w:gridSpan w:val="3"/>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(0.1)</w:t>
            </w:r>
          </w:p>
        </w:tc>
        <w:tc>
          <w:tcPr>
            <w:tcW w:w="106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(0.7)</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35"/>
        </w:trPr>
        <w:tc>
          <w:tcPr>
            <w:tcW w:w="3880" w:type="dxa"/>
            <w:vAlign w:val="bottom"/>
          </w:tcPr>
          <w:p>
            <w:pPr>
              <w:ind w:left="380"/>
              <w:spacing w:after="0" w:line="135" w:lineRule="exact"/>
              <w:rPr>
                <w:sz w:val="20"/>
                <w:szCs w:val="20"/>
                <w:color w:val="auto"/>
              </w:rPr>
            </w:pPr>
            <w:r>
              <w:rPr>
                <w:rFonts w:ascii="Arial" w:cs="Arial" w:eastAsia="Arial" w:hAnsi="Arial"/>
                <w:sz w:val="13"/>
                <w:szCs w:val="13"/>
                <w:color w:val="auto"/>
              </w:rPr>
              <w:t>Other assets</w:t>
            </w:r>
          </w:p>
        </w:tc>
        <w:tc>
          <w:tcPr>
            <w:tcW w:w="88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(0.5)</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0.9</w:t>
            </w:r>
          </w:p>
        </w:tc>
        <w:tc>
          <w:tcPr>
            <w:tcW w:w="4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0.4</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0.4</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Accounts payable</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14.4</w:t>
            </w:r>
          </w:p>
        </w:tc>
        <w:tc>
          <w:tcPr>
            <w:tcW w:w="32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(0.8)</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13.6</w:t>
            </w: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13.6</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380"/>
              <w:spacing w:after="0" w:line="135" w:lineRule="exact"/>
              <w:rPr>
                <w:sz w:val="20"/>
                <w:szCs w:val="20"/>
                <w:color w:val="auto"/>
              </w:rPr>
            </w:pPr>
            <w:r>
              <w:rPr>
                <w:rFonts w:ascii="Arial" w:cs="Arial" w:eastAsia="Arial" w:hAnsi="Arial"/>
                <w:sz w:val="13"/>
                <w:szCs w:val="13"/>
                <w:color w:val="auto"/>
              </w:rPr>
              <w:t>Accrued expenses</w:t>
            </w:r>
          </w:p>
        </w:tc>
        <w:tc>
          <w:tcPr>
            <w:tcW w:w="88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(7.4)</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0.1</w:t>
            </w:r>
          </w:p>
        </w:tc>
        <w:tc>
          <w:tcPr>
            <w:tcW w:w="400" w:type="dxa"/>
            <w:vAlign w:val="bottom"/>
          </w:tcPr>
          <w:p>
            <w:pPr>
              <w:spacing w:after="0"/>
              <w:rPr>
                <w:sz w:val="11"/>
                <w:szCs w:val="11"/>
                <w:color w:val="auto"/>
              </w:rPr>
            </w:pPr>
          </w:p>
        </w:tc>
        <w:tc>
          <w:tcPr>
            <w:tcW w:w="106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(7.3)</w:t>
            </w:r>
          </w:p>
        </w:tc>
        <w:tc>
          <w:tcPr>
            <w:tcW w:w="102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(11.4)</w:t>
            </w:r>
          </w:p>
        </w:tc>
        <w:tc>
          <w:tcPr>
            <w:tcW w:w="92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Accrued compensation</w:t>
            </w: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(0.1)</w:t>
            </w:r>
          </w:p>
        </w:tc>
        <w:tc>
          <w:tcPr>
            <w:tcW w:w="106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(0.1)</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3880" w:type="dxa"/>
            <w:vAlign w:val="bottom"/>
          </w:tcPr>
          <w:p>
            <w:pPr>
              <w:ind w:left="380"/>
              <w:spacing w:after="0" w:line="135" w:lineRule="exact"/>
              <w:rPr>
                <w:sz w:val="20"/>
                <w:szCs w:val="20"/>
                <w:color w:val="auto"/>
              </w:rPr>
            </w:pPr>
            <w:r>
              <w:rPr>
                <w:rFonts w:ascii="Arial" w:cs="Arial" w:eastAsia="Arial" w:hAnsi="Arial"/>
                <w:sz w:val="13"/>
                <w:szCs w:val="13"/>
                <w:color w:val="auto"/>
              </w:rPr>
              <w:t>Tax contingencies</w:t>
            </w:r>
          </w:p>
        </w:tc>
        <w:tc>
          <w:tcPr>
            <w:tcW w:w="88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(1.2)</w:t>
            </w:r>
          </w:p>
        </w:tc>
        <w:tc>
          <w:tcPr>
            <w:tcW w:w="1000" w:type="dxa"/>
            <w:vAlign w:val="bottom"/>
            <w:gridSpan w:val="3"/>
          </w:tcPr>
          <w:p>
            <w:pPr>
              <w:jc w:val="right"/>
              <w:ind w:right="318"/>
              <w:spacing w:after="0" w:line="135" w:lineRule="exact"/>
              <w:rPr>
                <w:sz w:val="20"/>
                <w:szCs w:val="20"/>
                <w:color w:val="auto"/>
              </w:rPr>
            </w:pPr>
            <w:r>
              <w:rPr>
                <w:rFonts w:ascii="Arial" w:cs="Arial" w:eastAsia="Arial" w:hAnsi="Arial"/>
                <w:sz w:val="13"/>
                <w:szCs w:val="13"/>
                <w:color w:val="auto"/>
              </w:rPr>
              <w:t>(0.2)</w:t>
            </w:r>
          </w:p>
        </w:tc>
        <w:tc>
          <w:tcPr>
            <w:tcW w:w="106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(1.4)</w:t>
            </w:r>
          </w:p>
        </w:tc>
        <w:tc>
          <w:tcPr>
            <w:tcW w:w="360" w:type="dxa"/>
            <w:vAlign w:val="bottom"/>
          </w:tcPr>
          <w:p>
            <w:pPr>
              <w:spacing w:after="0"/>
              <w:rPr>
                <w:sz w:val="11"/>
                <w:szCs w:val="11"/>
                <w:color w:val="auto"/>
              </w:rPr>
            </w:pPr>
          </w:p>
        </w:tc>
        <w:tc>
          <w:tcPr>
            <w:tcW w:w="6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Accrual for contingent acquisition consideration</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14.4</w:t>
            </w: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14.4</w:t>
            </w: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14.4</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380"/>
              <w:spacing w:after="0" w:line="135" w:lineRule="exact"/>
              <w:rPr>
                <w:sz w:val="20"/>
                <w:szCs w:val="20"/>
                <w:color w:val="auto"/>
              </w:rPr>
            </w:pPr>
            <w:r>
              <w:rPr>
                <w:rFonts w:ascii="Arial" w:cs="Arial" w:eastAsia="Arial" w:hAnsi="Arial"/>
                <w:sz w:val="13"/>
                <w:szCs w:val="13"/>
                <w:color w:val="auto"/>
              </w:rPr>
              <w:t>Billings in excess of cost on completed contracts</w:t>
            </w:r>
          </w:p>
        </w:tc>
        <w:tc>
          <w:tcPr>
            <w:tcW w:w="88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(1.0)</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0.2</w:t>
            </w:r>
          </w:p>
        </w:tc>
        <w:tc>
          <w:tcPr>
            <w:tcW w:w="400" w:type="dxa"/>
            <w:vAlign w:val="bottom"/>
          </w:tcPr>
          <w:p>
            <w:pPr>
              <w:spacing w:after="0"/>
              <w:rPr>
                <w:sz w:val="11"/>
                <w:szCs w:val="11"/>
                <w:color w:val="auto"/>
              </w:rPr>
            </w:pPr>
          </w:p>
        </w:tc>
        <w:tc>
          <w:tcPr>
            <w:tcW w:w="106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(0.8)</w:t>
            </w:r>
          </w:p>
        </w:tc>
        <w:tc>
          <w:tcPr>
            <w:tcW w:w="360" w:type="dxa"/>
            <w:vAlign w:val="bottom"/>
          </w:tcPr>
          <w:p>
            <w:pPr>
              <w:spacing w:after="0"/>
              <w:rPr>
                <w:sz w:val="11"/>
                <w:szCs w:val="11"/>
                <w:color w:val="auto"/>
              </w:rPr>
            </w:pPr>
          </w:p>
        </w:tc>
        <w:tc>
          <w:tcPr>
            <w:tcW w:w="6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Accrual for unused office space</w:t>
            </w:r>
          </w:p>
        </w:tc>
        <w:tc>
          <w:tcPr>
            <w:tcW w:w="88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(1.0)</w:t>
            </w:r>
          </w:p>
        </w:tc>
        <w:tc>
          <w:tcPr>
            <w:tcW w:w="3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(1.0)</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3880" w:type="dxa"/>
            <w:vAlign w:val="bottom"/>
          </w:tcPr>
          <w:p>
            <w:pPr>
              <w:ind w:left="380"/>
              <w:spacing w:after="0" w:line="135" w:lineRule="exact"/>
              <w:rPr>
                <w:sz w:val="20"/>
                <w:szCs w:val="20"/>
                <w:color w:val="auto"/>
              </w:rPr>
            </w:pPr>
            <w:r>
              <w:rPr>
                <w:rFonts w:ascii="Arial" w:cs="Arial" w:eastAsia="Arial" w:hAnsi="Arial"/>
                <w:sz w:val="13"/>
                <w:szCs w:val="13"/>
                <w:color w:val="auto"/>
              </w:rPr>
              <w:t>Income tax payable</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w:t>
            </w:r>
          </w:p>
        </w:tc>
        <w:tc>
          <w:tcPr>
            <w:tcW w:w="320" w:type="dxa"/>
            <w:vAlign w:val="bottom"/>
          </w:tcPr>
          <w:p>
            <w:pPr>
              <w:spacing w:after="0"/>
              <w:rPr>
                <w:sz w:val="11"/>
                <w:szCs w:val="11"/>
                <w:color w:val="auto"/>
              </w:rPr>
            </w:pPr>
          </w:p>
        </w:tc>
        <w:tc>
          <w:tcPr>
            <w:tcW w:w="1000" w:type="dxa"/>
            <w:vAlign w:val="bottom"/>
            <w:gridSpan w:val="3"/>
          </w:tcPr>
          <w:p>
            <w:pPr>
              <w:jc w:val="right"/>
              <w:ind w:right="318"/>
              <w:spacing w:after="0" w:line="135" w:lineRule="exact"/>
              <w:rPr>
                <w:sz w:val="20"/>
                <w:szCs w:val="20"/>
                <w:color w:val="auto"/>
              </w:rPr>
            </w:pPr>
            <w:r>
              <w:rPr>
                <w:rFonts w:ascii="Arial" w:cs="Arial" w:eastAsia="Arial" w:hAnsi="Arial"/>
                <w:sz w:val="13"/>
                <w:szCs w:val="13"/>
                <w:color w:val="auto"/>
              </w:rPr>
              <w:t>(1.2)</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0.9</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0.9</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Other liabilities</w:t>
            </w: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(0.2)</w:t>
            </w:r>
          </w:p>
        </w:tc>
        <w:tc>
          <w:tcPr>
            <w:tcW w:w="3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(0.2)</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500"/>
              <w:spacing w:after="0"/>
              <w:rPr>
                <w:sz w:val="20"/>
                <w:szCs w:val="20"/>
                <w:color w:val="auto"/>
              </w:rPr>
            </w:pPr>
            <w:r>
              <w:rPr>
                <w:rFonts w:ascii="Arial" w:cs="Arial" w:eastAsia="Arial" w:hAnsi="Arial"/>
                <w:sz w:val="13"/>
                <w:szCs w:val="13"/>
                <w:color w:val="auto"/>
              </w:rPr>
              <w:t>Net cash provided by (used in) continuing operations</w:t>
            </w: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3"/>
                <w:szCs w:val="13"/>
                <w:color w:val="auto"/>
              </w:rPr>
              <w:t>1.3</w:t>
            </w:r>
          </w:p>
        </w:tc>
        <w:tc>
          <w:tcPr>
            <w:tcW w:w="32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Arial" w:cs="Arial" w:eastAsia="Arial" w:hAnsi="Arial"/>
                <w:sz w:val="13"/>
                <w:szCs w:val="13"/>
                <w:color w:val="auto"/>
              </w:rPr>
              <w:t>1.8</w:t>
            </w:r>
          </w:p>
        </w:tc>
        <w:tc>
          <w:tcPr>
            <w:tcW w:w="40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3"/>
                <w:szCs w:val="13"/>
                <w:color w:val="auto"/>
              </w:rPr>
              <w:t>3.1</w:t>
            </w:r>
          </w:p>
        </w:tc>
        <w:tc>
          <w:tcPr>
            <w:tcW w:w="38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660" w:type="dxa"/>
            <w:vAlign w:val="bottom"/>
            <w:gridSpan w:val="2"/>
          </w:tcPr>
          <w:p>
            <w:pPr>
              <w:jc w:val="right"/>
              <w:ind w:right="300"/>
              <w:spacing w:after="0" w:line="129" w:lineRule="exact"/>
              <w:rPr>
                <w:sz w:val="20"/>
                <w:szCs w:val="20"/>
                <w:color w:val="auto"/>
              </w:rPr>
            </w:pPr>
            <w:r>
              <w:rPr>
                <w:rFonts w:ascii="Arial" w:cs="Arial" w:eastAsia="Arial" w:hAnsi="Arial"/>
                <w:sz w:val="13"/>
                <w:szCs w:val="13"/>
                <w:color w:val="auto"/>
              </w:rPr>
              <w:t>(0.0)</w:t>
            </w:r>
          </w:p>
        </w:tc>
        <w:tc>
          <w:tcPr>
            <w:tcW w:w="320" w:type="dxa"/>
            <w:vAlign w:val="bottom"/>
            <w:vMerge w:val="continue"/>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3"/>
                <w:szCs w:val="13"/>
                <w:color w:val="auto"/>
              </w:rPr>
              <w:t>3.1</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Investing activities:</w:t>
            </w: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Sale/Maturity of short term investments</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27.5</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27.5</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27.5</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Cash paid for contingent acquisition consideration</w:t>
            </w:r>
          </w:p>
        </w:tc>
        <w:tc>
          <w:tcPr>
            <w:tcW w:w="88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(8.3)</w:t>
            </w:r>
          </w:p>
        </w:tc>
        <w:tc>
          <w:tcPr>
            <w:tcW w:w="3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(8.3)</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Cash paid for acquisition, net of cash acquired</w:t>
            </w:r>
          </w:p>
        </w:tc>
        <w:tc>
          <w:tcPr>
            <w:tcW w:w="88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(53.9)</w:t>
            </w:r>
          </w:p>
        </w:tc>
        <w:tc>
          <w:tcPr>
            <w:tcW w:w="300" w:type="dxa"/>
            <w:vAlign w:val="bottom"/>
          </w:tcPr>
          <w:p>
            <w:pPr>
              <w:spacing w:after="0"/>
              <w:rPr>
                <w:sz w:val="11"/>
                <w:szCs w:val="11"/>
                <w:color w:val="auto"/>
              </w:rPr>
            </w:pPr>
          </w:p>
        </w:tc>
        <w:tc>
          <w:tcPr>
            <w:tcW w:w="700" w:type="dxa"/>
            <w:vAlign w:val="bottom"/>
            <w:gridSpan w:val="2"/>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(53.9)</w:t>
            </w:r>
          </w:p>
        </w:tc>
        <w:tc>
          <w:tcPr>
            <w:tcW w:w="360" w:type="dxa"/>
            <w:vAlign w:val="bottom"/>
          </w:tcPr>
          <w:p>
            <w:pPr>
              <w:spacing w:after="0"/>
              <w:rPr>
                <w:sz w:val="11"/>
                <w:szCs w:val="11"/>
                <w:color w:val="auto"/>
              </w:rPr>
            </w:pPr>
          </w:p>
        </w:tc>
        <w:tc>
          <w:tcPr>
            <w:tcW w:w="6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Proceeds from the disposition of discontinued operations</w:t>
            </w: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Cash transferred to restricted cash</w:t>
            </w:r>
          </w:p>
        </w:tc>
        <w:tc>
          <w:tcPr>
            <w:tcW w:w="200" w:type="dxa"/>
            <w:vAlign w:val="bottom"/>
          </w:tcPr>
          <w:p>
            <w:pPr>
              <w:spacing w:after="0"/>
              <w:rPr>
                <w:sz w:val="11"/>
                <w:szCs w:val="11"/>
                <w:color w:val="auto"/>
              </w:rPr>
            </w:pP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700" w:type="dxa"/>
            <w:vAlign w:val="bottom"/>
            <w:gridSpan w:val="2"/>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72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6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6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Investment in unconsolidated subsidiary</w:t>
            </w:r>
          </w:p>
        </w:tc>
        <w:tc>
          <w:tcPr>
            <w:tcW w:w="88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(1.0)</w:t>
            </w:r>
          </w:p>
        </w:tc>
        <w:tc>
          <w:tcPr>
            <w:tcW w:w="3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(1.0)</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200" w:type="dxa"/>
            <w:vAlign w:val="bottom"/>
          </w:tcPr>
          <w:p>
            <w:pPr>
              <w:spacing w:after="0"/>
              <w:rPr>
                <w:sz w:val="11"/>
                <w:szCs w:val="11"/>
                <w:color w:val="auto"/>
              </w:rPr>
            </w:pP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(7.7)</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w:t>
            </w:r>
          </w:p>
        </w:tc>
        <w:tc>
          <w:tcPr>
            <w:tcW w:w="400" w:type="dxa"/>
            <w:vAlign w:val="bottom"/>
          </w:tcPr>
          <w:p>
            <w:pPr>
              <w:spacing w:after="0"/>
              <w:rPr>
                <w:sz w:val="11"/>
                <w:szCs w:val="11"/>
                <w:color w:val="auto"/>
              </w:rPr>
            </w:pPr>
          </w:p>
        </w:tc>
        <w:tc>
          <w:tcPr>
            <w:tcW w:w="106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(5.0)</w:t>
            </w:r>
          </w:p>
        </w:tc>
        <w:tc>
          <w:tcPr>
            <w:tcW w:w="360" w:type="dxa"/>
            <w:vAlign w:val="bottom"/>
          </w:tcPr>
          <w:p>
            <w:pPr>
              <w:spacing w:after="0"/>
              <w:rPr>
                <w:sz w:val="11"/>
                <w:szCs w:val="11"/>
                <w:color w:val="auto"/>
              </w:rPr>
            </w:pPr>
          </w:p>
        </w:tc>
        <w:tc>
          <w:tcPr>
            <w:tcW w:w="6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CEEFF"/>
          </w:tcPr>
          <w:p>
            <w:pPr>
              <w:ind w:left="500"/>
              <w:spacing w:after="0"/>
              <w:rPr>
                <w:sz w:val="20"/>
                <w:szCs w:val="20"/>
                <w:color w:val="auto"/>
              </w:rPr>
            </w:pPr>
            <w:r>
              <w:rPr>
                <w:rFonts w:ascii="Arial" w:cs="Arial" w:eastAsia="Arial" w:hAnsi="Arial"/>
                <w:sz w:val="13"/>
                <w:szCs w:val="13"/>
                <w:color w:val="auto"/>
                <w:w w:val="92"/>
              </w:rPr>
              <w:t>Net cash used in investing activities from continuing operations</w:t>
            </w:r>
          </w:p>
        </w:tc>
        <w:tc>
          <w:tcPr>
            <w:tcW w:w="2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68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3"/>
                <w:szCs w:val="13"/>
                <w:color w:val="auto"/>
              </w:rPr>
              <w:t>(43.4)</w:t>
            </w:r>
          </w:p>
        </w:tc>
        <w:tc>
          <w:tcPr>
            <w:tcW w:w="30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w:t>
            </w:r>
          </w:p>
        </w:tc>
        <w:tc>
          <w:tcPr>
            <w:tcW w:w="40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72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3"/>
                <w:szCs w:val="13"/>
                <w:color w:val="auto"/>
                <w:w w:val="99"/>
              </w:rPr>
              <w:t>(40.7)</w:t>
            </w: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40" w:type="dxa"/>
            <w:vAlign w:val="bottom"/>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3"/>
                <w:szCs w:val="13"/>
                <w:color w:val="auto"/>
              </w:rPr>
              <w:t>(40.7)</w:t>
            </w:r>
          </w:p>
        </w:tc>
        <w:tc>
          <w:tcPr>
            <w:tcW w:w="0" w:type="dxa"/>
            <w:vAlign w:val="bottom"/>
          </w:tcPr>
          <w:p>
            <w:pPr>
              <w:spacing w:after="0"/>
              <w:rPr>
                <w:sz w:val="1"/>
                <w:szCs w:val="1"/>
                <w:color w:val="auto"/>
              </w:rPr>
            </w:pPr>
          </w:p>
        </w:tc>
      </w:tr>
      <w:tr>
        <w:trPr>
          <w:trHeight w:val="183"/>
        </w:trPr>
        <w:tc>
          <w:tcPr>
            <w:tcW w:w="3880" w:type="dxa"/>
            <w:vAlign w:val="bottom"/>
          </w:tcPr>
          <w:p>
            <w:pPr>
              <w:spacing w:after="0"/>
              <w:rPr>
                <w:sz w:val="20"/>
                <w:szCs w:val="20"/>
                <w:color w:val="auto"/>
              </w:rPr>
            </w:pPr>
            <w:r>
              <w:rPr>
                <w:rFonts w:ascii="Arial" w:cs="Arial" w:eastAsia="Arial" w:hAnsi="Arial"/>
                <w:sz w:val="13"/>
                <w:szCs w:val="13"/>
                <w:color w:val="auto"/>
              </w:rPr>
              <w:t>Financing activities:</w:t>
            </w:r>
          </w:p>
        </w:tc>
        <w:tc>
          <w:tcPr>
            <w:tcW w:w="2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Proceeds from issuance of common stock</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80" w:type="dxa"/>
            <w:vAlign w:val="bottom"/>
          </w:tcPr>
          <w:p>
            <w:pPr>
              <w:ind w:left="120"/>
              <w:spacing w:after="0" w:line="121" w:lineRule="exact"/>
              <w:rPr>
                <w:sz w:val="20"/>
                <w:szCs w:val="20"/>
                <w:color w:val="auto"/>
              </w:rPr>
            </w:pPr>
            <w:r>
              <w:rPr>
                <w:rFonts w:ascii="Arial" w:cs="Arial" w:eastAsia="Arial" w:hAnsi="Arial"/>
                <w:sz w:val="13"/>
                <w:szCs w:val="13"/>
                <w:color w:val="auto"/>
              </w:rPr>
              <w:t>Proceeds from issuance of common stock under employee</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260"/>
              <w:spacing w:after="0"/>
              <w:rPr>
                <w:sz w:val="20"/>
                <w:szCs w:val="20"/>
                <w:color w:val="auto"/>
              </w:rPr>
            </w:pPr>
            <w:r>
              <w:rPr>
                <w:rFonts w:ascii="Arial" w:cs="Arial" w:eastAsia="Arial" w:hAnsi="Arial"/>
                <w:sz w:val="13"/>
                <w:szCs w:val="13"/>
                <w:color w:val="auto"/>
              </w:rPr>
              <w:t>stock purchase plan</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right"/>
              <w:ind w:right="378"/>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Repayment of capital lease obligations</w:t>
            </w:r>
          </w:p>
        </w:tc>
        <w:tc>
          <w:tcPr>
            <w:tcW w:w="88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(0.5)</w:t>
            </w:r>
          </w:p>
        </w:tc>
        <w:tc>
          <w:tcPr>
            <w:tcW w:w="3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(0.5)</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01"/>
        </w:trPr>
        <w:tc>
          <w:tcPr>
            <w:tcW w:w="3880" w:type="dxa"/>
            <w:vAlign w:val="bottom"/>
          </w:tcPr>
          <w:p>
            <w:pPr>
              <w:ind w:left="500"/>
              <w:spacing w:after="0" w:line="101" w:lineRule="exact"/>
              <w:rPr>
                <w:sz w:val="20"/>
                <w:szCs w:val="20"/>
                <w:color w:val="auto"/>
              </w:rPr>
            </w:pPr>
            <w:r>
              <w:rPr>
                <w:rFonts w:ascii="Arial" w:cs="Arial" w:eastAsia="Arial" w:hAnsi="Arial"/>
                <w:sz w:val="11"/>
                <w:szCs w:val="11"/>
                <w:color w:val="auto"/>
              </w:rPr>
              <w:t>Net cash provided by financing activities from</w:t>
            </w:r>
          </w:p>
        </w:tc>
        <w:tc>
          <w:tcPr>
            <w:tcW w:w="2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8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continuing operations</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3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cash flows of continuing operations</w:t>
            </w: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3"/>
                <w:szCs w:val="13"/>
                <w:color w:val="auto"/>
              </w:rPr>
              <w:t>(31.9)</w:t>
            </w:r>
          </w:p>
        </w:tc>
        <w:tc>
          <w:tcPr>
            <w:tcW w:w="3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4.5</w:t>
            </w: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3"/>
                <w:szCs w:val="13"/>
                <w:color w:val="auto"/>
                <w:w w:val="99"/>
              </w:rPr>
              <w:t>(27.4)</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3"/>
                <w:szCs w:val="13"/>
                <w:color w:val="auto"/>
              </w:rPr>
              <w:t>(0.0)</w:t>
            </w:r>
          </w:p>
        </w:tc>
        <w:tc>
          <w:tcPr>
            <w:tcW w:w="3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83"/>
        </w:trPr>
        <w:tc>
          <w:tcPr>
            <w:tcW w:w="3880" w:type="dxa"/>
            <w:vAlign w:val="bottom"/>
          </w:tcPr>
          <w:p>
            <w:pPr>
              <w:spacing w:after="0"/>
              <w:rPr>
                <w:sz w:val="20"/>
                <w:szCs w:val="20"/>
                <w:color w:val="auto"/>
              </w:rPr>
            </w:pPr>
            <w:r>
              <w:rPr>
                <w:rFonts w:ascii="Arial" w:cs="Arial" w:eastAsia="Arial" w:hAnsi="Arial"/>
                <w:sz w:val="13"/>
                <w:szCs w:val="13"/>
                <w:color w:val="auto"/>
              </w:rPr>
              <w:t>Cash flows of discontinued operations (Revised—see Note 1(s))</w:t>
            </w:r>
          </w:p>
        </w:tc>
        <w:tc>
          <w:tcPr>
            <w:tcW w:w="2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Operating Cash Flows</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w:t>
            </w:r>
          </w:p>
        </w:tc>
        <w:tc>
          <w:tcPr>
            <w:tcW w:w="32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(2.4)</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w:t>
            </w: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Investing Cash Flows</w:t>
            </w:r>
          </w:p>
        </w:tc>
        <w:tc>
          <w:tcPr>
            <w:tcW w:w="88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(0.2)</w:t>
            </w:r>
          </w:p>
        </w:tc>
        <w:tc>
          <w:tcPr>
            <w:tcW w:w="1000" w:type="dxa"/>
            <w:vAlign w:val="bottom"/>
            <w:gridSpan w:val="3"/>
          </w:tcPr>
          <w:p>
            <w:pPr>
              <w:jc w:val="right"/>
              <w:ind w:right="318"/>
              <w:spacing w:after="0" w:line="135" w:lineRule="exact"/>
              <w:rPr>
                <w:sz w:val="20"/>
                <w:szCs w:val="20"/>
                <w:color w:val="auto"/>
              </w:rPr>
            </w:pPr>
            <w:r>
              <w:rPr>
                <w:rFonts w:ascii="Arial" w:cs="Arial" w:eastAsia="Arial" w:hAnsi="Arial"/>
                <w:sz w:val="13"/>
                <w:szCs w:val="13"/>
                <w:color w:val="auto"/>
              </w:rPr>
              <w:t>(2.7)</w:t>
            </w:r>
          </w:p>
        </w:tc>
        <w:tc>
          <w:tcPr>
            <w:tcW w:w="106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(2.9)</w:t>
            </w:r>
          </w:p>
        </w:tc>
        <w:tc>
          <w:tcPr>
            <w:tcW w:w="360" w:type="dxa"/>
            <w:vAlign w:val="bottom"/>
          </w:tcPr>
          <w:p>
            <w:pPr>
              <w:spacing w:after="0"/>
              <w:rPr>
                <w:sz w:val="11"/>
                <w:szCs w:val="11"/>
                <w:color w:val="auto"/>
              </w:rPr>
            </w:pPr>
          </w:p>
        </w:tc>
        <w:tc>
          <w:tcPr>
            <w:tcW w:w="6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Effect of exchange rates on cash and cash equivalents</w:t>
            </w:r>
          </w:p>
        </w:tc>
        <w:tc>
          <w:tcPr>
            <w:tcW w:w="88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(0.1)</w:t>
            </w:r>
          </w:p>
        </w:tc>
        <w:tc>
          <w:tcPr>
            <w:tcW w:w="3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(0.1)</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29"/>
        </w:trPr>
        <w:tc>
          <w:tcPr>
            <w:tcW w:w="3880" w:type="dxa"/>
            <w:vAlign w:val="bottom"/>
            <w:tcBorders>
              <w:bottom w:val="single" w:sz="8" w:color="CCEEFF"/>
            </w:tcBorders>
          </w:tcPr>
          <w:p>
            <w:pPr>
              <w:ind w:left="260"/>
              <w:spacing w:after="0" w:line="129" w:lineRule="exact"/>
              <w:rPr>
                <w:sz w:val="20"/>
                <w:szCs w:val="20"/>
                <w:color w:val="auto"/>
              </w:rPr>
            </w:pPr>
            <w:r>
              <w:rPr>
                <w:rFonts w:ascii="Arial" w:cs="Arial" w:eastAsia="Arial" w:hAnsi="Arial"/>
                <w:sz w:val="13"/>
                <w:szCs w:val="13"/>
                <w:color w:val="auto"/>
              </w:rPr>
              <w:t>Net cash flows of discontinued operations</w:t>
            </w:r>
          </w:p>
        </w:tc>
        <w:tc>
          <w:tcPr>
            <w:tcW w:w="20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7.1</w:t>
            </w:r>
          </w:p>
        </w:tc>
        <w:tc>
          <w:tcPr>
            <w:tcW w:w="32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w:t>
            </w:r>
          </w:p>
        </w:tc>
        <w:tc>
          <w:tcPr>
            <w:tcW w:w="40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w:t>
            </w:r>
          </w:p>
        </w:tc>
        <w:tc>
          <w:tcPr>
            <w:tcW w:w="38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w:t>
            </w:r>
          </w:p>
        </w:tc>
        <w:tc>
          <w:tcPr>
            <w:tcW w:w="2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decrease in cash and cash equivalents</w:t>
            </w:r>
          </w:p>
        </w:tc>
        <w:tc>
          <w:tcPr>
            <w:tcW w:w="2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(24.8)</w:t>
            </w: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(0.6)</w:t>
            </w: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(25.4)</w:t>
            </w: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(0.0)</w:t>
            </w: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(25.4)</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8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Cash and cash equivalents at beginning of year</w:t>
            </w:r>
          </w:p>
        </w:tc>
        <w:tc>
          <w:tcPr>
            <w:tcW w:w="2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76.8</w:t>
            </w:r>
          </w:p>
        </w:tc>
        <w:tc>
          <w:tcPr>
            <w:tcW w:w="32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w:t>
            </w:r>
          </w:p>
        </w:tc>
        <w:tc>
          <w:tcPr>
            <w:tcW w:w="40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75.8</w:t>
            </w:r>
          </w:p>
        </w:tc>
        <w:tc>
          <w:tcPr>
            <w:tcW w:w="38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75.8</w:t>
            </w:r>
          </w:p>
        </w:tc>
        <w:tc>
          <w:tcPr>
            <w:tcW w:w="2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and cash equivalents at end of year</w:t>
            </w:r>
          </w:p>
        </w:tc>
        <w:tc>
          <w:tcPr>
            <w:tcW w:w="2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0"/>
              </w:rPr>
              <w:t>$  52.0</w:t>
            </w: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8"/>
              </w:rPr>
              <w:t>$ (1.6</w:t>
            </w:r>
          </w:p>
        </w:tc>
        <w:tc>
          <w:tcPr>
            <w:tcW w:w="400" w:type="dxa"/>
            <w:vAlign w:val="bottom"/>
            <w:shd w:val="clear" w:color="auto" w:fill="CCEEFF"/>
          </w:tcPr>
          <w:p>
            <w:pPr>
              <w:jc w:val="right"/>
              <w:ind w:right="318"/>
              <w:spacing w:after="0"/>
              <w:rPr>
                <w:sz w:val="20"/>
                <w:szCs w:val="20"/>
                <w:color w:val="auto"/>
              </w:rPr>
            </w:pPr>
            <w:r>
              <w:rPr>
                <w:rFonts w:ascii="Arial" w:cs="Arial" w:eastAsia="Arial" w:hAnsi="Arial"/>
                <w:sz w:val="8"/>
                <w:szCs w:val="8"/>
                <w:color w:val="auto"/>
                <w:w w:val="73"/>
              </w:rPr>
              <w:t>)</w:t>
            </w:r>
          </w:p>
        </w:tc>
        <w:tc>
          <w:tcPr>
            <w:tcW w:w="34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$ 50.4</w:t>
            </w: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  —</w:t>
            </w: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$ 50.4</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Other Intangible Assets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information for finite-lived intangible assets subject to amortization (in millions):</w:t>
      </w:r>
    </w:p>
    <w:p>
      <w:pPr>
        <w:spacing w:after="0" w:line="203"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right"/>
              <w:ind w:right="227"/>
              <w:spacing w:after="0"/>
              <w:rPr>
                <w:sz w:val="20"/>
                <w:szCs w:val="20"/>
                <w:color w:val="auto"/>
              </w:rPr>
            </w:pPr>
            <w:r>
              <w:rPr>
                <w:rFonts w:ascii="Arial" w:cs="Arial" w:eastAsia="Arial" w:hAnsi="Arial"/>
                <w:sz w:val="14"/>
                <w:szCs w:val="14"/>
                <w:b w:val="1"/>
                <w:bCs w:val="1"/>
                <w:color w:val="auto"/>
              </w:rPr>
              <w:t>As of December 31, 2005</w:t>
            </w:r>
          </w:p>
        </w:tc>
        <w:tc>
          <w:tcPr>
            <w:tcW w:w="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December 31, 2006</w:t>
            </w:r>
          </w:p>
        </w:tc>
        <w:tc>
          <w:tcPr>
            <w:tcW w:w="3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02"/>
        </w:trPr>
        <w:tc>
          <w:tcPr>
            <w:tcW w:w="3100" w:type="dxa"/>
            <w:vAlign w:val="bottom"/>
          </w:tcPr>
          <w:p>
            <w:pPr>
              <w:spacing w:after="0"/>
              <w:rPr>
                <w:sz w:val="8"/>
                <w:szCs w:val="8"/>
                <w:color w:val="auto"/>
              </w:rPr>
            </w:pPr>
          </w:p>
        </w:tc>
        <w:tc>
          <w:tcPr>
            <w:tcW w:w="46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Gross</w:t>
            </w:r>
          </w:p>
        </w:tc>
        <w:tc>
          <w:tcPr>
            <w:tcW w:w="180" w:type="dxa"/>
            <w:vAlign w:val="bottom"/>
          </w:tcPr>
          <w:p>
            <w:pPr>
              <w:spacing w:after="0"/>
              <w:rPr>
                <w:sz w:val="8"/>
                <w:szCs w:val="8"/>
                <w:color w:val="auto"/>
              </w:rPr>
            </w:pPr>
          </w:p>
        </w:tc>
        <w:tc>
          <w:tcPr>
            <w:tcW w:w="1080" w:type="dxa"/>
            <w:vAlign w:val="bottom"/>
            <w:gridSpan w:val="4"/>
          </w:tcPr>
          <w:p>
            <w:pPr>
              <w:ind w:left="40"/>
              <w:spacing w:after="0" w:line="102" w:lineRule="exact"/>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8"/>
                <w:szCs w:val="8"/>
                <w:color w:val="auto"/>
              </w:rPr>
            </w:pPr>
          </w:p>
        </w:tc>
        <w:tc>
          <w:tcPr>
            <w:tcW w:w="360" w:type="dxa"/>
            <w:vAlign w:val="bottom"/>
          </w:tcPr>
          <w:p>
            <w:pPr>
              <w:jc w:val="right"/>
              <w:ind w:right="7"/>
              <w:spacing w:after="0" w:line="102" w:lineRule="exact"/>
              <w:rPr>
                <w:sz w:val="20"/>
                <w:szCs w:val="20"/>
                <w:color w:val="auto"/>
              </w:rPr>
            </w:pPr>
            <w:r>
              <w:rPr>
                <w:rFonts w:ascii="Arial" w:cs="Arial" w:eastAsia="Arial" w:hAnsi="Arial"/>
                <w:sz w:val="11"/>
                <w:szCs w:val="11"/>
                <w:b w:val="1"/>
                <w:bCs w:val="1"/>
                <w:color w:val="auto"/>
              </w:rPr>
              <w:t>Net</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Gross</w:t>
            </w:r>
          </w:p>
        </w:tc>
        <w:tc>
          <w:tcPr>
            <w:tcW w:w="200" w:type="dxa"/>
            <w:vAlign w:val="bottom"/>
          </w:tcPr>
          <w:p>
            <w:pPr>
              <w:spacing w:after="0"/>
              <w:rPr>
                <w:sz w:val="8"/>
                <w:szCs w:val="8"/>
                <w:color w:val="auto"/>
              </w:rPr>
            </w:pPr>
          </w:p>
        </w:tc>
        <w:tc>
          <w:tcPr>
            <w:tcW w:w="980" w:type="dxa"/>
            <w:vAlign w:val="bottom"/>
            <w:gridSpan w:val="3"/>
          </w:tcPr>
          <w:p>
            <w:pPr>
              <w:jc w:val="right"/>
              <w:ind w:right="80"/>
              <w:spacing w:after="0" w:line="102" w:lineRule="exact"/>
              <w:rPr>
                <w:sz w:val="20"/>
                <w:szCs w:val="20"/>
                <w:color w:val="auto"/>
              </w:rPr>
            </w:pPr>
            <w:r>
              <w:rPr>
                <w:rFonts w:ascii="Arial" w:cs="Arial" w:eastAsia="Arial" w:hAnsi="Arial"/>
                <w:sz w:val="11"/>
                <w:szCs w:val="11"/>
                <w:b w:val="1"/>
                <w:bCs w:val="1"/>
                <w:color w:val="auto"/>
              </w:rPr>
              <w:t>Accumulated</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jc w:val="right"/>
              <w:ind w:right="76"/>
              <w:spacing w:after="0" w:line="102" w:lineRule="exact"/>
              <w:rPr>
                <w:sz w:val="20"/>
                <w:szCs w:val="20"/>
                <w:color w:val="auto"/>
              </w:rPr>
            </w:pPr>
            <w:r>
              <w:rPr>
                <w:rFonts w:ascii="Arial" w:cs="Arial" w:eastAsia="Arial" w:hAnsi="Arial"/>
                <w:sz w:val="11"/>
                <w:szCs w:val="11"/>
                <w:b w:val="1"/>
                <w:bCs w:val="1"/>
                <w:color w:val="auto"/>
              </w:rPr>
              <w:t>Net</w:t>
            </w:r>
          </w:p>
        </w:tc>
        <w:tc>
          <w:tcPr>
            <w:tcW w:w="40" w:type="dxa"/>
            <w:vAlign w:val="bottom"/>
          </w:tcPr>
          <w:p>
            <w:pPr>
              <w:spacing w:after="0"/>
              <w:rPr>
                <w:sz w:val="8"/>
                <w:szCs w:val="8"/>
                <w:color w:val="auto"/>
              </w:rPr>
            </w:pPr>
          </w:p>
        </w:tc>
      </w:tr>
      <w:tr>
        <w:trPr>
          <w:trHeight w:val="162"/>
        </w:trPr>
        <w:tc>
          <w:tcPr>
            <w:tcW w:w="3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54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w:t>
            </w: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finite-lived intangible assets</w:t>
            </w: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 (0.9)</w:t>
            </w: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$ 2.5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10.0</w:t>
            </w:r>
          </w:p>
        </w:tc>
        <w:tc>
          <w:tcPr>
            <w:tcW w:w="1180" w:type="dxa"/>
            <w:vAlign w:val="bottom"/>
            <w:gridSpan w:val="4"/>
          </w:tcPr>
          <w:p>
            <w:pPr>
              <w:jc w:val="right"/>
              <w:ind w:right="200"/>
              <w:spacing w:after="0"/>
              <w:rPr>
                <w:sz w:val="20"/>
                <w:szCs w:val="20"/>
                <w:color w:val="auto"/>
              </w:rPr>
            </w:pPr>
            <w:r>
              <w:rPr>
                <w:rFonts w:ascii="Arial" w:cs="Arial" w:eastAsia="Arial" w:hAnsi="Arial"/>
                <w:sz w:val="18"/>
                <w:szCs w:val="18"/>
                <w:color w:val="auto"/>
              </w:rPr>
              <w:t>$ (1.6)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8"/>
                <w:szCs w:val="18"/>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1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180" w:type="dxa"/>
            <w:vAlign w:val="bottom"/>
            <w:gridSpan w:val="4"/>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1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r>
      <w:tr>
        <w:trPr>
          <w:trHeight w:val="210"/>
        </w:trPr>
        <w:tc>
          <w:tcPr>
            <w:tcW w:w="310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 (3.7)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$ 7.4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13.4</w:t>
            </w:r>
          </w:p>
        </w:tc>
        <w:tc>
          <w:tcPr>
            <w:tcW w:w="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Aggregate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256"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increase in finite-lived intangibles in 2006 is related to the acquisition of Madison Research Corporation. Refer to the schedule below and to Note 5 of the Consolidated Financial Statements.</w:t>
      </w:r>
    </w:p>
    <w:p>
      <w:pPr>
        <w:spacing w:after="0" w:line="149"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3"/>
              </w:rPr>
              <w:t>As of December 31, 2006</w:t>
            </w: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Weighted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Gross</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6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8"/>
              </w:rPr>
              <w:t>Net</w:t>
            </w: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Period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Intangible Assets</w:t>
            </w: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4"/>
              </w:rPr>
              <w:t>$ 6.5</w:t>
            </w:r>
          </w:p>
        </w:tc>
        <w:tc>
          <w:tcPr>
            <w:tcW w:w="1180" w:type="dxa"/>
            <w:vAlign w:val="bottom"/>
            <w:gridSpan w:val="5"/>
          </w:tcPr>
          <w:p>
            <w:pPr>
              <w:jc w:val="right"/>
              <w:ind w:right="180"/>
              <w:spacing w:after="0"/>
              <w:rPr>
                <w:sz w:val="20"/>
                <w:szCs w:val="20"/>
                <w:color w:val="auto"/>
              </w:rPr>
            </w:pPr>
            <w:r>
              <w:rPr>
                <w:rFonts w:ascii="Arial" w:cs="Arial" w:eastAsia="Arial" w:hAnsi="Arial"/>
                <w:sz w:val="18"/>
                <w:szCs w:val="18"/>
                <w:color w:val="auto"/>
              </w:rPr>
              <w:t>$ (0.2)</w:t>
            </w: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$ 6.3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62"/>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Contracts and Backlog</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1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$ 8.1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 (0.4)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$ 7.7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262"/>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Information about estimated amortization expense for intangible assets subject to amortization for the five years succeeding December 31, 2006, is as follows (in millions):</w:t>
      </w:r>
    </w:p>
    <w:p>
      <w:pPr>
        <w:spacing w:after="0" w:line="132"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Amortization</w:t>
            </w:r>
          </w:p>
        </w:tc>
      </w:tr>
      <w:tr>
        <w:trPr>
          <w:trHeight w:val="162"/>
        </w:trPr>
        <w:tc>
          <w:tcPr>
            <w:tcW w:w="594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Expense</w:t>
            </w:r>
          </w:p>
        </w:tc>
      </w:tr>
      <w:tr>
        <w:trPr>
          <w:trHeight w:val="210"/>
        </w:trPr>
        <w:tc>
          <w:tcPr>
            <w:tcW w:w="5940" w:type="dxa"/>
            <w:vAlign w:val="bottom"/>
            <w:tcBorders>
              <w:top w:val="single" w:sz="8" w:color="CCEEFF"/>
            </w:tcBorders>
            <w:shd w:val="clear" w:color="auto" w:fill="CCEEFF"/>
          </w:tcPr>
          <w:p>
            <w:pPr>
              <w:jc w:val="right"/>
              <w:ind w:right="5490"/>
              <w:spacing w:after="0"/>
              <w:rPr>
                <w:sz w:val="20"/>
                <w:szCs w:val="20"/>
                <w:color w:val="auto"/>
              </w:rPr>
            </w:pPr>
            <w:r>
              <w:rPr>
                <w:rFonts w:ascii="Arial" w:cs="Arial" w:eastAsia="Arial" w:hAnsi="Arial"/>
                <w:sz w:val="18"/>
                <w:szCs w:val="18"/>
                <w:color w:val="auto"/>
                <w:w w:val="84"/>
              </w:rPr>
              <w:t>2007</w:t>
            </w:r>
          </w:p>
        </w:tc>
        <w:tc>
          <w:tcPr>
            <w:tcW w:w="88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$ 2.8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jc w:val="right"/>
              <w:ind w:right="5490"/>
              <w:spacing w:after="0"/>
              <w:rPr>
                <w:sz w:val="20"/>
                <w:szCs w:val="20"/>
                <w:color w:val="auto"/>
              </w:rPr>
            </w:pPr>
            <w:r>
              <w:rPr>
                <w:rFonts w:ascii="Arial" w:cs="Arial" w:eastAsia="Arial" w:hAnsi="Arial"/>
                <w:sz w:val="18"/>
                <w:szCs w:val="18"/>
                <w:color w:val="auto"/>
                <w:w w:val="84"/>
              </w:rPr>
              <w:t>2008</w:t>
            </w:r>
          </w:p>
        </w:tc>
        <w:tc>
          <w:tcPr>
            <w:tcW w:w="880" w:type="dxa"/>
            <w:vAlign w:val="bottom"/>
          </w:tcPr>
          <w:p>
            <w:pPr>
              <w:jc w:val="right"/>
              <w:ind w:right="195"/>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jc w:val="right"/>
              <w:ind w:right="5490"/>
              <w:spacing w:after="0"/>
              <w:rPr>
                <w:sz w:val="20"/>
                <w:szCs w:val="20"/>
                <w:color w:val="auto"/>
              </w:rPr>
            </w:pPr>
            <w:r>
              <w:rPr>
                <w:rFonts w:ascii="Arial" w:cs="Arial" w:eastAsia="Arial" w:hAnsi="Arial"/>
                <w:sz w:val="18"/>
                <w:szCs w:val="18"/>
                <w:color w:val="auto"/>
                <w:w w:val="84"/>
              </w:rPr>
              <w:t>2009</w:t>
            </w:r>
          </w:p>
        </w:tc>
        <w:tc>
          <w:tcPr>
            <w:tcW w:w="8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jc w:val="right"/>
              <w:ind w:right="5490"/>
              <w:spacing w:after="0"/>
              <w:rPr>
                <w:sz w:val="20"/>
                <w:szCs w:val="20"/>
                <w:color w:val="auto"/>
              </w:rPr>
            </w:pPr>
            <w:r>
              <w:rPr>
                <w:rFonts w:ascii="Arial" w:cs="Arial" w:eastAsia="Arial" w:hAnsi="Arial"/>
                <w:sz w:val="18"/>
                <w:szCs w:val="18"/>
                <w:color w:val="auto"/>
                <w:w w:val="84"/>
              </w:rPr>
              <w:t>2010</w:t>
            </w:r>
          </w:p>
        </w:tc>
        <w:tc>
          <w:tcPr>
            <w:tcW w:w="880" w:type="dxa"/>
            <w:vAlign w:val="bottom"/>
          </w:tcPr>
          <w:p>
            <w:pPr>
              <w:jc w:val="right"/>
              <w:ind w:right="195"/>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jc w:val="right"/>
              <w:ind w:right="5490"/>
              <w:spacing w:after="0"/>
              <w:rPr>
                <w:sz w:val="20"/>
                <w:szCs w:val="20"/>
                <w:color w:val="auto"/>
              </w:rPr>
            </w:pPr>
            <w:r>
              <w:rPr>
                <w:rFonts w:ascii="Arial" w:cs="Arial" w:eastAsia="Arial" w:hAnsi="Arial"/>
                <w:sz w:val="18"/>
                <w:szCs w:val="18"/>
                <w:color w:val="auto"/>
                <w:w w:val="84"/>
              </w:rPr>
              <w:t>2011</w:t>
            </w:r>
          </w:p>
        </w:tc>
        <w:tc>
          <w:tcPr>
            <w:tcW w:w="8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340"/>
          </w:cols>
          <w:pgMar w:left="240" w:top="139" w:right="319" w:bottom="445" w:gutter="0" w:footer="0" w:header="0"/>
        </w:sect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39" w:right="319" w:bottom="445" w:gutter="0" w:footer="0" w:header="0"/>
          <w:type w:val="continuous"/>
        </w:sectPr>
      </w:pPr>
    </w:p>
    <w:bookmarkStart w:id="87" w:name="page88"/>
    <w:bookmarkEnd w:id="87"/>
    <w:p>
      <w:pPr>
        <w:ind w:left="360"/>
        <w:spacing w:after="0"/>
        <w:rPr>
          <w:sz w:val="20"/>
          <w:szCs w:val="20"/>
          <w:color w:val="auto"/>
        </w:rPr>
      </w:pPr>
      <w:r>
        <w:rPr>
          <w:rFonts w:ascii="Arial" w:cs="Arial" w:eastAsia="Arial" w:hAnsi="Arial"/>
          <w:sz w:val="16"/>
          <w:szCs w:val="16"/>
          <w:color w:val="auto"/>
        </w:rPr>
        <w:t>The changes in the carrying amounts of goodwill by operating segment for the year ended December 31, 2005 and 2006, are as follows (in millions):</w:t>
      </w:r>
    </w:p>
    <w:p>
      <w:pPr>
        <w:spacing w:after="0" w:line="210"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Wireless</w:t>
            </w:r>
          </w:p>
        </w:tc>
        <w:tc>
          <w:tcPr>
            <w:tcW w:w="9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Enterprise</w:t>
            </w: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Government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0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Network</w:t>
            </w:r>
          </w:p>
        </w:tc>
        <w:tc>
          <w:tcPr>
            <w:tcW w:w="940" w:type="dxa"/>
            <w:vAlign w:val="bottom"/>
            <w:gridSpan w:val="5"/>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Network</w:t>
            </w:r>
          </w:p>
        </w:tc>
        <w:tc>
          <w:tcPr>
            <w:tcW w:w="840" w:type="dxa"/>
            <w:vAlign w:val="bottom"/>
            <w:gridSpan w:val="4"/>
          </w:tcPr>
          <w:p>
            <w:pPr>
              <w:ind w:left="140"/>
              <w:spacing w:after="0" w:line="135" w:lineRule="exact"/>
              <w:rPr>
                <w:sz w:val="20"/>
                <w:szCs w:val="20"/>
                <w:color w:val="auto"/>
              </w:rPr>
            </w:pPr>
            <w:r>
              <w:rPr>
                <w:rFonts w:ascii="Arial" w:cs="Arial" w:eastAsia="Arial" w:hAnsi="Arial"/>
                <w:sz w:val="14"/>
                <w:szCs w:val="14"/>
                <w:b w:val="1"/>
                <w:bCs w:val="1"/>
                <w:color w:val="auto"/>
              </w:rPr>
              <w:t>Network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Services</w:t>
            </w:r>
          </w:p>
        </w:tc>
        <w:tc>
          <w:tcPr>
            <w:tcW w:w="9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2004</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$ 25.5</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Acquisitions</w:t>
            </w: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Earn-out consideration</w:t>
            </w: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Acquisitions/Purchase Accounting</w:t>
            </w: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Impairments</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Balance as of December 31, 2006</w:t>
            </w:r>
          </w:p>
        </w:tc>
        <w:tc>
          <w:tcPr>
            <w:tcW w:w="8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$ 25.5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129.9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 xml:space="preserve">We test goodwill for impairment annually during the fourth quarter of each fiscal year at the reporting unit level using a fair value approach, in accordance with the provisions of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Our annual testing resulted in no impairments of goodwill in fiscal year 2005.</w:t>
      </w:r>
    </w:p>
    <w:p>
      <w:pPr>
        <w:spacing w:after="0" w:line="73"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In 2006 the annual test resulted in a non-cash impairment charge of $18.3 million in the Enterprise Network Services segment. This was due in part to changes in the industry and the strategic focus of the Company as well as operational challenges from significant employee turnover that we encountered after the completion of the earn-out periods. The fair value of goodwill was estimated by taking into consideration recent performance and expected future performance and using a combination of a discounted cash flow model and a market approach model which takes into consideration comparable businesses and market transactions. We also concluded based upon this analysis the intangible assets for ENS were not impaired.</w:t>
      </w:r>
    </w:p>
    <w:p>
      <w:pPr>
        <w:spacing w:after="0" w:line="64"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If an event occurs or circumstances change that would more likely than not reduce the fair value of a reporting unit below its carrying value, goodwill will be evaluated for impairment between annual tests.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EMEA Operations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During the second quarter of 2004, the Company made the decision to sell or otherwise divest its Network Management business in Scandinavia—a part of our EMEA operations which had been reported in its Wireless Network Services segment. WFI determined that this entity met the criteria to classify it as held for sale. Accordingly, WFI has reflected this operation as discontinued in accordance with SFAS No. 144, “Accounting for the Impairment or Disposal of Long-Lived Assets.” After actively marketing to sell this business for one quarter, the Company made the decision to wind-down this operation in the third quarter of 2004. As of December 31, 2004 operations had been substantially wound-down. All prior period amounts have been restated to reflect these operations as discontinued.</w:t>
      </w:r>
    </w:p>
    <w:p>
      <w:pPr>
        <w:spacing w:after="0" w:line="85"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On December 28, 2006, the Board of Directors of the Company approved a plan to divest portions of the Company’s business where critical mass has not been achieved. This plan included the divestiture of all of the Company’s remaining EMEA operations. Accordingly, WFI has reflected this operation as discontinued in accordance with SFAS No. 144, “Accounting for the Impairment or Disposal of Long-Lived Assets.” On March 9, 2007, the Company signed a Definitive Agreement with LCC International (LCCI) to sell WFI’s EMEA operations in a cash for stock transaction valued at $4 million.</w:t>
      </w:r>
    </w:p>
    <w:p>
      <w:pPr>
        <w:spacing w:after="0" w:line="46"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Revenue generated by these operations was $34.8 million, $27.1 million and $17.0 million for 2004, 2005 and 2006 respectively. Net income (loss) in these operations were $1.6 million, $1.1 million,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40"/>
        <w:spacing w:after="0" w:line="375" w:lineRule="auto"/>
        <w:rPr>
          <w:sz w:val="20"/>
          <w:szCs w:val="20"/>
          <w:color w:val="auto"/>
        </w:rPr>
      </w:pPr>
      <w:r>
        <w:rPr>
          <w:rFonts w:ascii="Arial" w:cs="Arial" w:eastAsia="Arial" w:hAnsi="Arial"/>
          <w:sz w:val="18"/>
          <w:szCs w:val="18"/>
          <w:color w:val="auto"/>
        </w:rPr>
        <w:t xml:space="preserve">$(3.2) million and income tax expense (benefit) was $(0.5) million, $0.0 million and $0.1 million for 2004, 2005 and 2006 respectively. </w:t>
      </w:r>
      <w:r>
        <w:rPr>
          <w:rFonts w:ascii="Arial" w:cs="Arial" w:eastAsia="Arial" w:hAnsi="Arial"/>
          <w:sz w:val="18"/>
          <w:szCs w:val="18"/>
          <w:b w:val="1"/>
          <w:bCs w:val="1"/>
          <w:color w:val="auto"/>
        </w:rPr>
        <w:t>(b) Latin American Operations</w:t>
      </w:r>
    </w:p>
    <w:p>
      <w:pPr>
        <w:spacing w:after="0" w:line="1" w:lineRule="exact"/>
        <w:rPr>
          <w:sz w:val="20"/>
          <w:szCs w:val="20"/>
          <w:color w:val="auto"/>
        </w:rPr>
      </w:pPr>
    </w:p>
    <w:p>
      <w:pPr>
        <w:ind w:right="140" w:firstLine="360"/>
        <w:spacing w:after="0" w:line="270" w:lineRule="auto"/>
        <w:rPr>
          <w:sz w:val="20"/>
          <w:szCs w:val="20"/>
          <w:color w:val="auto"/>
        </w:rPr>
      </w:pPr>
      <w:r>
        <w:rPr>
          <w:rFonts w:ascii="Arial" w:cs="Arial" w:eastAsia="Arial" w:hAnsi="Arial"/>
          <w:sz w:val="17"/>
          <w:szCs w:val="17"/>
          <w:color w:val="auto"/>
        </w:rPr>
        <w:t>In December 2005, the Company’s Board of Directors made the decision to exit the Company’s Mexican operations and certain of its other deployment businesses in South America. Prior to this decision, these operations had been reported in its Wireless Network Services segment. The Company determined that these operations meet the criteria to be classified as held for sale. Accordingly, WFI has reflected these operations as discontinued in accordance with SFAS No. 144, “Accounting for the Impairment or Disposal of Long-Lived Assets.” The South American operations were substantially shut down as of the end of December 2005. On February 17, 2006, the Company entered into a definitive agreement to divest all of our operations in Mexico for total approximate cash consideration of $18.0 million, which approximates the net book value of the operations, including $13.2 million of liabilities associated with a loss contingency. The transaction closed on March 10, 2006. The transaction was structured as a sale of our subsidiaries in Mexico, and the purchase price consisted of $1.5 million in cash paid on February 17, 2006, plus a secured promissory note payable in installments through December 31, 2006. The note was fully paid as of the end of December 31, 2006. Total cash consideration of $18.9 million was collected related to this transaction. All prior period amounts have been restated to reflect these operations as discontinued.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South American Operations</w:t>
      </w:r>
    </w:p>
    <w:p>
      <w:pPr>
        <w:spacing w:after="0" w:line="121"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On December 28, 2006, the Board of Directors of the Company approved a plan to divest portions of the Company’s business where critical mass has not been achieved. This plan involves the divestiture of the Company’s remaining South American operations. Accordingly, WFI has reflected this operation as discontinued in accordance with SFAS No. 144, “Accounting for the Impairment or Disposal of Long-Lived Assets.” The Company recorded an impairment charge of approximately $5.2 million to reduce the carrying value of the South American operations to their estimated fair value based upon current indications of interest. On April 20, 2007, the Company entered into an Equity Purchase Agreement to sell all of the issued and outstanding equity of its interests of its wholly owned subsidiary WFI de Brazil Techlogia en Telecomunicaciones LTDA, to Strategic Project Services, LLC (SPS). The consideration included the assumption of substantially all outstanding liabilities of WFI Brazil, nominal cash consideration, and additional earn-out consideration based on 25 percent of net receivables collected subsequent to the closing date. The Company does not currently anticipate that the impairment charges will result in any material net future cash expenditures</w:t>
      </w:r>
    </w:p>
    <w:p>
      <w:pPr>
        <w:spacing w:after="0" w:line="74"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Revenue generated by the Latin American and South American operations was $66.0 million, $52.6 million and $10.0 million for 2004, 2005 and 2006, respectively. Net income (loss) in these operations were $10.0 million, ($10.8) million, and ($8.0) million and income tax expense was $1.9 million, $3.1 million and $1.1 million respectively, for 2004, 2005 and 2006 respectively.</w:t>
      </w:r>
    </w:p>
    <w:p>
      <w:pPr>
        <w:sectPr>
          <w:pgSz w:w="11900" w:h="16838" w:orient="portrait"/>
          <w:cols w:equalWidth="0" w:num="1">
            <w:col w:w="11420"/>
          </w:cols>
          <w:pgMar w:left="240" w:top="125" w:right="239" w:bottom="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20" w:firstLine="360"/>
        <w:spacing w:after="0" w:line="277" w:lineRule="auto"/>
        <w:rPr>
          <w:sz w:val="20"/>
          <w:szCs w:val="20"/>
          <w:color w:val="auto"/>
        </w:rPr>
      </w:pPr>
      <w:r>
        <w:rPr>
          <w:rFonts w:ascii="Arial" w:cs="Arial" w:eastAsia="Arial" w:hAnsi="Arial"/>
          <w:sz w:val="18"/>
          <w:szCs w:val="18"/>
          <w:color w:val="auto"/>
        </w:rPr>
        <w:t>Following is a summary of the assets and liabilities of discontinued operations as of December 31, 2005 and 2006 (in millions) for each of the operations:</w:t>
      </w:r>
    </w:p>
    <w:p>
      <w:pPr>
        <w:spacing w:after="0" w:line="149" w:lineRule="exact"/>
        <w:rPr>
          <w:sz w:val="20"/>
          <w:szCs w:val="20"/>
          <w:color w:val="auto"/>
        </w:rPr>
      </w:pPr>
    </w:p>
    <w:tbl>
      <w:tblPr>
        <w:tblLayout w:type="fixed"/>
        <w:tblInd w:w="140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280" w:type="dxa"/>
            <w:vAlign w:val="bottom"/>
          </w:tcPr>
          <w:p>
            <w:pPr>
              <w:spacing w:after="0"/>
              <w:rPr>
                <w:sz w:val="8"/>
                <w:szCs w:val="8"/>
                <w:color w:val="auto"/>
              </w:rPr>
            </w:pPr>
          </w:p>
        </w:tc>
        <w:tc>
          <w:tcPr>
            <w:tcW w:w="980" w:type="dxa"/>
            <w:vAlign w:val="bottom"/>
            <w:gridSpan w:val="4"/>
          </w:tcPr>
          <w:p>
            <w:pPr>
              <w:jc w:val="center"/>
              <w:ind w:right="20"/>
              <w:spacing w:after="0" w:line="102" w:lineRule="exact"/>
              <w:rPr>
                <w:sz w:val="20"/>
                <w:szCs w:val="20"/>
                <w:color w:val="auto"/>
              </w:rPr>
            </w:pPr>
            <w:r>
              <w:rPr>
                <w:rFonts w:ascii="Arial" w:cs="Arial" w:eastAsia="Arial" w:hAnsi="Arial"/>
                <w:sz w:val="11"/>
                <w:szCs w:val="11"/>
                <w:b w:val="1"/>
                <w:bCs w:val="1"/>
                <w:color w:val="auto"/>
              </w:rPr>
              <w:t>Latin and</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EMEA</w:t>
            </w: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8"/>
                <w:szCs w:val="8"/>
                <w:color w:val="auto"/>
              </w:rPr>
            </w:pPr>
          </w:p>
        </w:tc>
        <w:tc>
          <w:tcPr>
            <w:tcW w:w="1000" w:type="dxa"/>
            <w:vAlign w:val="bottom"/>
            <w:gridSpan w:val="4"/>
          </w:tcPr>
          <w:p>
            <w:pPr>
              <w:jc w:val="right"/>
              <w:ind w:right="200"/>
              <w:spacing w:after="0" w:line="102" w:lineRule="exact"/>
              <w:rPr>
                <w:sz w:val="20"/>
                <w:szCs w:val="20"/>
                <w:color w:val="auto"/>
              </w:rPr>
            </w:pPr>
            <w:r>
              <w:rPr>
                <w:rFonts w:ascii="Arial" w:cs="Arial" w:eastAsia="Arial" w:hAnsi="Arial"/>
                <w:sz w:val="11"/>
                <w:szCs w:val="11"/>
                <w:b w:val="1"/>
                <w:bCs w:val="1"/>
                <w:color w:val="auto"/>
              </w:rPr>
              <w:t>Latin and</w:t>
            </w:r>
          </w:p>
        </w:tc>
        <w:tc>
          <w:tcPr>
            <w:tcW w:w="300" w:type="dxa"/>
            <w:vAlign w:val="bottom"/>
          </w:tcPr>
          <w:p>
            <w:pPr>
              <w:spacing w:after="0"/>
              <w:rPr>
                <w:sz w:val="8"/>
                <w:szCs w:val="8"/>
                <w:color w:val="auto"/>
              </w:rPr>
            </w:pPr>
          </w:p>
        </w:tc>
        <w:tc>
          <w:tcPr>
            <w:tcW w:w="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EMEA</w:t>
            </w:r>
          </w:p>
        </w:tc>
        <w:tc>
          <w:tcPr>
            <w:tcW w:w="6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South America</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5"/>
              </w:rPr>
              <w:t>South America</w:t>
            </w:r>
          </w:p>
        </w:tc>
        <w:tc>
          <w:tcPr>
            <w:tcW w:w="30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44.0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Impairment allowance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(4.3)</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Current assets of discontinued operations</w:t>
            </w:r>
          </w:p>
        </w:tc>
        <w:tc>
          <w:tcPr>
            <w:tcW w:w="2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53.3</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63.3</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Impairment allowance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Non-current assets of discontinued</w:t>
            </w: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80" w:type="dxa"/>
            <w:vAlign w:val="bottom"/>
            <w:vMerge w:val="continue"/>
            <w:shd w:val="clear" w:color="auto" w:fill="CCEEFF"/>
          </w:tcPr>
          <w:p>
            <w:pPr>
              <w:spacing w:after="0"/>
              <w:rPr>
                <w:sz w:val="15"/>
                <w:szCs w:val="15"/>
                <w:color w:val="auto"/>
              </w:rPr>
            </w:pP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5"/>
                <w:szCs w:val="15"/>
                <w:color w:val="auto"/>
              </w:rPr>
            </w:pPr>
          </w:p>
        </w:tc>
        <w:tc>
          <w:tcPr>
            <w:tcW w:w="4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36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3"/>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600" w:type="dxa"/>
            <w:vAlign w:val="bottom"/>
            <w:gridSpan w:val="3"/>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80" w:type="dxa"/>
            <w:vAlign w:val="bottom"/>
            <w:vMerge w:val="continue"/>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Tax contingencies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13.2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Current liabilities of discontinued</w:t>
            </w: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35.6</w:t>
            </w:r>
          </w:p>
        </w:tc>
        <w:tc>
          <w:tcPr>
            <w:tcW w:w="260" w:type="dxa"/>
            <w:vAlign w:val="bottom"/>
            <w:shd w:val="clear" w:color="auto" w:fill="CCEEFF"/>
          </w:tcPr>
          <w:p>
            <w:pPr>
              <w:spacing w:after="0"/>
              <w:rPr>
                <w:sz w:val="15"/>
                <w:szCs w:val="15"/>
                <w:color w:val="auto"/>
              </w:rPr>
            </w:pPr>
          </w:p>
        </w:tc>
        <w:tc>
          <w:tcPr>
            <w:tcW w:w="4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41.0</w:t>
            </w: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11.3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36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3"/>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600" w:type="dxa"/>
            <w:vAlign w:val="bottom"/>
            <w:gridSpan w:val="3"/>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Non-current liabilities of discontinued</w:t>
            </w: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8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36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restricted cash of $0.6 million for 2005, was a one-year fixed account at zero interest as a result of a 2005 regulation in Argentina which required the maintenance of cash balances as a percentage of foreign loans advanced by the Company to its foreign subsidiary. The final restriction was removed in the fourth quarter of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 in Unconsolidated Affiliate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Tactical Survey Group, Inc. (“TSG”)</w:t>
      </w:r>
    </w:p>
    <w:p>
      <w:pPr>
        <w:spacing w:after="0" w:line="117"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In February 2004, the Company paid $1.0 million in cash to bring its total stock ownership position in Tactical Survey Group, Inc. (TSG), a privately-held company that provides expertise in developing, deploying and integrating tactical survey systems for use in government and commercial applications, to 11%. Pursuant to the provisions of APB Opinion No. 18, “The Equity Method of Accounting for Investments in Common Stock”, this investment was accounted for under the equity method of accounting due to the presence of significant influence deemed to exist based on the significant number of subcontracts that the Company has entered into with TSG and the presence of a WFI employee on TSG’s board of directors.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During the third quarter of 2006, TSG was no longer considered a significant subcontractor to the Company. This factor, combined with the lack of current representation on TSG’s board of directors resulted in the Company concluding effective September 29, 2006 that significant influence no longer existed. Accordingly, the investment in TSG no longer met the conditions for the use of the equity method of accounting and has been accounted for under the cost method effective September 29, 2006. There were no equity earnings related to this investment during the period this investment was accounted for under the equity method of accounting. The balance of the Company’s investment in TSG at December 31, 2005 and December 31, 2006 totaled $1.2 million and has been classified on the consolidated balance sheet under the caption “Investments in unconsolidated affiliates.”</w:t>
      </w:r>
    </w:p>
    <w:p>
      <w:pPr>
        <w:spacing w:after="0" w:line="5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Company evaluates the realizability of its investment in TSG according to the provisions of APB Opinion No. 18 and EITF Issue 03-1. The Company periodically obtains and reviews the financial statements of TSG. Based on this review, and the facts listed above, there is no indication that a decrease in value of the TSG investment has occurred which is other than temporary and the Company has concluded that the carrying value of its investment in TSG has not been impaired as of December 31,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CommVerge Solutions, Inc.</w:t>
      </w:r>
    </w:p>
    <w:p>
      <w:pPr>
        <w:spacing w:after="0" w:line="11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Company has an investment in CommVerge Solutions, Inc., a privately-held wireless network planning and deployment company. The balance of the Company’s investment in CommVerge Solutions, Inc. at December 31, 2005 and December 31, 2006 totals $0.9 million. This investment is accounted for under the cost method and has been classified on the consolidated balance sheet under the caption “Investments in unconsolidated affiliates.” One of the Company’s directors is also a director of CommVerge Solutions, Inc.</w:t>
      </w:r>
    </w:p>
    <w:p>
      <w:pPr>
        <w:spacing w:after="0" w:line="79" w:lineRule="exact"/>
        <w:rPr>
          <w:sz w:val="20"/>
          <w:szCs w:val="20"/>
          <w:color w:val="auto"/>
        </w:rPr>
      </w:pPr>
    </w:p>
    <w:p>
      <w:pPr>
        <w:ind w:right="260" w:firstLine="360"/>
        <w:spacing w:after="0" w:line="342" w:lineRule="auto"/>
        <w:rPr>
          <w:sz w:val="20"/>
          <w:szCs w:val="20"/>
          <w:color w:val="auto"/>
        </w:rPr>
      </w:pPr>
      <w:r>
        <w:rPr>
          <w:rFonts w:ascii="Arial" w:cs="Arial" w:eastAsia="Arial" w:hAnsi="Arial"/>
          <w:sz w:val="16"/>
          <w:szCs w:val="16"/>
          <w:color w:val="auto"/>
        </w:rPr>
        <w:t>Management periodically obtains and reviews the most recent financial performance and financial forecasts available from CommVerge which may include information regarding project status and current progress of the business. Based on this review, there is no indication that a decrease in value of the</w:t>
      </w:r>
    </w:p>
    <w:p>
      <w:pPr>
        <w:sectPr>
          <w:pgSz w:w="11900" w:h="16838" w:orient="portrait"/>
          <w:cols w:equalWidth="0" w:num="1">
            <w:col w:w="11420"/>
          </w:cols>
          <w:pgMar w:left="240" w:top="125" w:right="239" w:bottom="0" w:gutter="0" w:footer="0" w:header="0"/>
        </w:sectPr>
      </w:pPr>
    </w:p>
    <w:bookmarkStart w:id="89" w:name="page90"/>
    <w:bookmarkEnd w:id="89"/>
    <w:p>
      <w:pPr>
        <w:spacing w:after="0" w:line="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CommVerge investment has occurred which is other than temporary and the Company has concluded that the carrying value of its investment in CommVerge has not been impaired as of December 31, 2006.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Network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Madison Research Corporation</w:t>
      </w:r>
    </w:p>
    <w:p>
      <w:pPr>
        <w:spacing w:after="0" w:line="117"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On October 2, 2006 the Company acquired Huntsville, Alabama based Madison Research Technology Corporation (“MRC”) as part of the Company’s Government Network Services business. MRC offers a broad range of technical, engineering and IT solutions, and has developed core competencies in weapons system lifecycle support, integrated logistics, test and evaluation, commercial-off-the-shelf software and hardware selection and implementation, software development and systems lifecycle maintenance.</w:t>
      </w:r>
    </w:p>
    <w:p>
      <w:pPr>
        <w:spacing w:after="0" w:line="79"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The purchase price was approximately $73.8 million, including a working capital adjustment of $4.6 million and transaction costs of $0.2 million, is subject to certain post-closing adjustments. The Company paid $62.1 million at closing, the working capital adjustment of $4.6 million was paid in April 2007 and the remaining $6.9 million was held back to secure the Company’s indemnity rights and will be released, subject to indemnity rights, in installments following 6, 12, and 18 months from the date of close. In April 2007, $1.5 million of the holdback was released and paid to the former shareholders of MRC. The Company entered into a new $85 million credit facility with KeyBank National Association (“KeyBank”) to fund the acquisition, which replaced the Company’s existing credit facility of $15 million. Refer to Note 8 for further discussion. The results of operations of MRC have been included in the Company’s consolidated statement of operations for the period from the acquisition date of October 2, 2006 in the Company’s fourth quarter.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w w:val="95"/>
              </w:rPr>
              <w:t>The purchase price, including transaction costs of $0.2 million, was accounted for as follows (in millions):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Goodwill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$ 73.8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right="780" w:firstLine="360"/>
        <w:spacing w:after="0" w:line="277" w:lineRule="auto"/>
        <w:rPr>
          <w:sz w:val="20"/>
          <w:szCs w:val="20"/>
          <w:color w:val="auto"/>
        </w:rPr>
      </w:pPr>
      <w:r>
        <w:rPr>
          <w:rFonts w:ascii="Arial" w:cs="Arial" w:eastAsia="Arial" w:hAnsi="Arial"/>
          <w:sz w:val="18"/>
          <w:szCs w:val="18"/>
          <w:color w:val="auto"/>
        </w:rPr>
        <w:t>The results of MRC’s operations since the acquisition date are included in the Company’s consolidated financial statements for 2006 and are a component within the Government Network Services segment.</w:t>
      </w:r>
    </w:p>
    <w:p>
      <w:pPr>
        <w:spacing w:after="0" w:line="62"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The following summary presents pro forma consolidated results of operations for the years ended December 31, 2005 and December 31, 2006 as if the MRC acquisition described above had occurred January 1, 2006 and includes adjustments that were directly attributable to the transaction or were not expected to have a continuing impact on the Company. The pro forma results are unaudited and for illustrative purposes only for the applicable period and do not purport to be indicative of the actual results which would have occurred had the transactions been completed as of the beginning of the period, nor or they indicative of results of operations which may occur in the future (all unaudited amounts, except per share amounts, are in million):</w:t>
      </w:r>
    </w:p>
    <w:p>
      <w:pPr>
        <w:spacing w:after="0" w:line="79"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Pro forma</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2005</w:t>
            </w:r>
          </w:p>
        </w:tc>
        <w:tc>
          <w:tcPr>
            <w:tcW w:w="2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As Restated</w:t>
            </w:r>
          </w:p>
        </w:tc>
        <w:tc>
          <w:tcPr>
            <w:tcW w:w="2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Pro forma</w:t>
            </w: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$ 337.7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62.4</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$ 400.1</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9"/>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  (1.7)</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 (0.04)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(0.02)</w:t>
            </w:r>
          </w:p>
        </w:tc>
        <w:tc>
          <w:tcPr>
            <w:tcW w:w="240" w:type="dxa"/>
            <w:vAlign w:val="bottom"/>
            <w:shd w:val="clear" w:color="auto" w:fill="CCEEFF"/>
          </w:tcPr>
          <w:p>
            <w:pPr>
              <w:spacing w:after="0"/>
              <w:rPr>
                <w:sz w:val="18"/>
                <w:szCs w:val="18"/>
                <w:color w:val="auto"/>
              </w:rPr>
            </w:pPr>
          </w:p>
        </w:tc>
      </w:tr>
      <w:tr>
        <w:trPr>
          <w:trHeight w:val="37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Pro forma</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2006</w:t>
            </w:r>
          </w:p>
        </w:tc>
        <w:tc>
          <w:tcPr>
            <w:tcW w:w="24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As Reported</w:t>
            </w:r>
          </w:p>
        </w:tc>
        <w:tc>
          <w:tcPr>
            <w:tcW w:w="2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Pro forma</w:t>
            </w: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tcBorders>
              <w:top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rPr>
              <w:t>$ 327.8</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$ 46.7</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$ 374.5</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3"/>
          </w:tcPr>
          <w:p>
            <w:pPr>
              <w:ind w:left="120"/>
              <w:spacing w:after="0"/>
              <w:rPr>
                <w:sz w:val="20"/>
                <w:szCs w:val="20"/>
                <w:color w:val="auto"/>
              </w:rPr>
            </w:pPr>
            <w:r>
              <w:rPr>
                <w:rFonts w:ascii="Arial" w:cs="Arial" w:eastAsia="Arial" w:hAnsi="Arial"/>
                <w:sz w:val="18"/>
                <w:szCs w:val="18"/>
                <w:color w:val="auto"/>
              </w:rPr>
              <w:t>$ (57.9)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 (3.9)</w:t>
            </w:r>
          </w:p>
        </w:tc>
        <w:tc>
          <w:tcPr>
            <w:tcW w:w="22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 (61.8)</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(0.79)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 (0.5)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(0.84)</w:t>
            </w:r>
          </w:p>
        </w:tc>
        <w:tc>
          <w:tcPr>
            <w:tcW w:w="240" w:type="dxa"/>
            <w:vAlign w:val="bottom"/>
            <w:shd w:val="clear" w:color="auto" w:fill="CCEEFF"/>
          </w:tcPr>
          <w:p>
            <w:pPr>
              <w:spacing w:after="0"/>
              <w:rPr>
                <w:sz w:val="18"/>
                <w:szCs w:val="18"/>
                <w:color w:val="auto"/>
              </w:rPr>
            </w:pPr>
          </w:p>
        </w:tc>
      </w:tr>
    </w:tbl>
    <w:p>
      <w:pPr>
        <w:spacing w:after="0" w:line="256"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On January 27, 2005, the Company acquired all of the issued and outstanding shares of capital stock of JMA Associates, Inc d/b/a TLA Associates (TLA) for $37.3 million in cash. TLA provides services including network engineering, network infrastructure support, information assurance, application development, and managed services, including network maintenance and monitoring, to government agencies. The acquisition was a continuation of the Company’s strategy to expand its government services business. The intangible assets consist of backlog of $1.3 million being amortized over a 3 year period, customer relationships of $0.8 million being amortized over a 10 year period and non-compete agreements of $0.6 million being amortized over a 3 year period.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w w:val="95"/>
              </w:rPr>
              <w:t>The purchase price, including transaction costs of $0.6 million, was accounted for as follows (in millions):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40" w:type="dxa"/>
            <w:vAlign w:val="bottom"/>
            <w:vMerge w:val="continue"/>
          </w:tcPr>
          <w:p>
            <w:pPr>
              <w:spacing w:after="0"/>
              <w:rPr>
                <w:sz w:val="16"/>
                <w:szCs w:val="16"/>
                <w:color w:val="auto"/>
              </w:rPr>
            </w:pPr>
          </w:p>
        </w:tc>
        <w:tc>
          <w:tcPr>
            <w:tcW w:w="6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7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8.4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020" w:type="dxa"/>
            <w:vAlign w:val="bottom"/>
          </w:tcPr>
          <w:p>
            <w:pPr>
              <w:spacing w:after="0" w:line="189" w:lineRule="exact"/>
              <w:rPr>
                <w:sz w:val="20"/>
                <w:szCs w:val="20"/>
                <w:color w:val="auto"/>
              </w:rPr>
            </w:pPr>
            <w:r>
              <w:rPr>
                <w:rFonts w:ascii="Arial" w:cs="Arial" w:eastAsia="Arial" w:hAnsi="Arial"/>
                <w:sz w:val="18"/>
                <w:szCs w:val="18"/>
                <w:color w:val="auto"/>
              </w:rPr>
              <w:t>Property, plant, and equipment</w:t>
            </w:r>
          </w:p>
        </w:tc>
        <w:tc>
          <w:tcPr>
            <w:tcW w:w="7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Intangible assets</w:t>
            </w:r>
          </w:p>
        </w:tc>
        <w:tc>
          <w:tcPr>
            <w:tcW w:w="7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02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7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6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40.9</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Accrual for loss contracts</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ectPr>
          <w:pgSz w:w="11900" w:h="16885" w:orient="portrait"/>
          <w:cols w:equalWidth="0" w:num="1">
            <w:col w:w="11400"/>
          </w:cols>
          <w:pgMar w:left="240" w:top="125" w:right="259" w:bottom="0" w:gutter="0" w:footer="0" w:header="0"/>
        </w:sectPr>
      </w:pPr>
    </w:p>
    <w:bookmarkStart w:id="90" w:name="page91"/>
    <w:bookmarkEnd w:id="90"/>
    <w:p>
      <w:pPr>
        <w:spacing w:after="0" w:line="1" w:lineRule="exact"/>
        <w:rPr>
          <w:sz w:val="20"/>
          <w:szCs w:val="20"/>
          <w:color w:val="auto"/>
        </w:rPr>
      </w:pPr>
    </w:p>
    <w:tbl>
      <w:tblPr>
        <w:tblLayout w:type="fixed"/>
        <w:tblInd w:w="22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profit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Pr>
          <w:p>
            <w:pPr>
              <w:spacing w:after="0" w:line="189" w:lineRule="exact"/>
              <w:rPr>
                <w:sz w:val="20"/>
                <w:szCs w:val="20"/>
                <w:color w:val="auto"/>
              </w:rPr>
            </w:pPr>
            <w:r>
              <w:rPr>
                <w:rFonts w:ascii="Arial" w:cs="Arial" w:eastAsia="Arial" w:hAnsi="Arial"/>
                <w:sz w:val="18"/>
                <w:szCs w:val="18"/>
                <w:color w:val="auto"/>
              </w:rPr>
              <w:t>Other current liabilities</w:t>
            </w: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right w:val="single" w:sz="8" w:color="CCEEFF"/>
            </w:tcBorders>
            <w:vMerge w:val="restart"/>
            <w:shd w:val="clear" w:color="auto" w:fill="CCEEFF"/>
          </w:tcPr>
          <w:p>
            <w:pPr>
              <w:spacing w:after="0" w:line="202" w:lineRule="exact"/>
              <w:rPr>
                <w:sz w:val="20"/>
                <w:szCs w:val="20"/>
                <w:color w:val="auto"/>
              </w:rPr>
            </w:pPr>
            <w:r>
              <w:rPr>
                <w:rFonts w:ascii="Arial" w:cs="Arial" w:eastAsia="Arial" w:hAnsi="Arial"/>
                <w:sz w:val="18"/>
                <w:szCs w:val="18"/>
                <w:color w:val="auto"/>
              </w:rPr>
              <w:t>Total liabilities assumed</w:t>
            </w: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320" w:type="dxa"/>
            <w:vAlign w:val="bottom"/>
            <w:tcBorders>
              <w:right w:val="single" w:sz="8" w:color="CCEEFF"/>
            </w:tcBorders>
            <w:vMerge w:val="continue"/>
            <w:shd w:val="clear" w:color="auto" w:fill="CCEEFF"/>
          </w:tcPr>
          <w:p>
            <w:pPr>
              <w:spacing w:after="0"/>
              <w:rPr>
                <w:sz w:val="15"/>
                <w:szCs w:val="15"/>
                <w:color w:val="auto"/>
              </w:rPr>
            </w:pPr>
          </w:p>
        </w:tc>
        <w:tc>
          <w:tcPr>
            <w:tcW w:w="5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20" w:type="dxa"/>
            <w:vAlign w:val="bottom"/>
          </w:tcPr>
          <w:p>
            <w:pPr>
              <w:spacing w:after="0" w:line="182" w:lineRule="exact"/>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5"/>
              </w:rPr>
              <w:t>$ 37.9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5, 2004, the Company acquired of all of the outstanding securities of High Technology Solutions, Inc. (HTS), for $48.5 million in cash. HTS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provides systems engineering, systems integration, and the outsourcing of technical services such as operational test and evaluation and program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government agencies. The acquisition of HTS was a part of the Company’s strategy to enter into the government sector and its overall diversification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long-term growth strategy. The excess purchase price paid over the fair value of tangible net assets acquired of $43.5 million to goodwill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$39.6 million, and to identifiable finite-life intangible assets in the amount of $3.9 million. The identified intangible assets consist of $3.2 million allocated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contracts and backlog, $0.2 million for intellectual property and $0.5 million for a non-compete agreement. The allocation of the purchase price is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adjustments within a one-year period of the acquisition date based on the resolution of pre-acquisition contingencies, which is comprised primarily of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incentive arrangements. In connection with the Company’s acquisition of HTS and the determination of the fair value of assets acquired pursuant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provisions of SFAS No. 141, the Company valued acquired contracts in process at contract price, minus the estimated costs to complete and an allowance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for the normal industry profit on its effort to complete such contracts. The Company reflected this allowance as an increase to goodwill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corresponding increase to billings in excess of costs (deferred profit). During 2005 and 2004, $0.7 million and $0.4 million, respectively, of this allowance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amortized into income. The remaining amount of $0.3 million at December 31, 2005 is estimated to reduce costs through 2006. The results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HTS since the acquisition date are included in the Company’s accompanying consolidated financial statements and are a component of the government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network services operating segment.</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final purchase price, including transaction costs (in millions):</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At January 5, 2004</w:t>
      </w:r>
    </w:p>
    <w:p>
      <w:pPr>
        <w:spacing w:after="0" w:line="199" w:lineRule="exact"/>
        <w:rPr>
          <w:sz w:val="20"/>
          <w:szCs w:val="20"/>
          <w:color w:val="auto"/>
        </w:rPr>
      </w:pPr>
    </w:p>
    <w:tbl>
      <w:tblPr>
        <w:tblLayout w:type="fixed"/>
        <w:tblInd w:w="22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Pr>
          <w:p>
            <w:pPr>
              <w:spacing w:after="0" w:line="189" w:lineRule="exact"/>
              <w:rPr>
                <w:sz w:val="20"/>
                <w:szCs w:val="20"/>
                <w:color w:val="auto"/>
              </w:rPr>
            </w:pPr>
            <w:r>
              <w:rPr>
                <w:rFonts w:ascii="Arial" w:cs="Arial" w:eastAsia="Arial" w:hAnsi="Arial"/>
                <w:sz w:val="18"/>
                <w:szCs w:val="18"/>
                <w:color w:val="auto"/>
              </w:rPr>
              <w:t>Property, plant, and equipment</w:t>
            </w: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8"/>
                <w:szCs w:val="18"/>
                <w:color w:val="auto"/>
              </w:rPr>
              <w:t>0.5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Intangible assets</w:t>
            </w:r>
          </w:p>
        </w:tc>
        <w:tc>
          <w:tcPr>
            <w:tcW w:w="3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8"/>
                <w:szCs w:val="18"/>
                <w:color w:val="auto"/>
                <w:w w:val="85"/>
              </w:rPr>
              <w:t>39.6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Deferred tax asset</w:t>
            </w:r>
          </w:p>
        </w:tc>
        <w:tc>
          <w:tcPr>
            <w:tcW w:w="3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assets</w:t>
            </w:r>
          </w:p>
        </w:tc>
        <w:tc>
          <w:tcPr>
            <w:tcW w:w="35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assets</w:t>
            </w:r>
          </w:p>
        </w:tc>
        <w:tc>
          <w:tcPr>
            <w:tcW w:w="3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85"/>
              </w:rPr>
              <w:t>56.3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Deferred profit</w:t>
            </w:r>
          </w:p>
        </w:tc>
        <w:tc>
          <w:tcPr>
            <w:tcW w:w="3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Pr>
          <w:p>
            <w:pPr>
              <w:spacing w:after="0" w:line="189" w:lineRule="exact"/>
              <w:rPr>
                <w:sz w:val="20"/>
                <w:szCs w:val="20"/>
                <w:color w:val="auto"/>
              </w:rPr>
            </w:pPr>
            <w:r>
              <w:rPr>
                <w:rFonts w:ascii="Arial" w:cs="Arial" w:eastAsia="Arial" w:hAnsi="Arial"/>
                <w:sz w:val="18"/>
                <w:szCs w:val="18"/>
                <w:color w:val="auto"/>
              </w:rPr>
              <w:t>Deferred tax liability</w:t>
            </w: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3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vMerge w:val="restart"/>
          </w:tcPr>
          <w:p>
            <w:pPr>
              <w:spacing w:after="0" w:line="202" w:lineRule="exact"/>
              <w:rPr>
                <w:sz w:val="20"/>
                <w:szCs w:val="20"/>
                <w:color w:val="auto"/>
              </w:rPr>
            </w:pPr>
            <w:r>
              <w:rPr>
                <w:rFonts w:ascii="Arial" w:cs="Arial" w:eastAsia="Arial" w:hAnsi="Arial"/>
                <w:sz w:val="18"/>
                <w:szCs w:val="18"/>
                <w:color w:val="auto"/>
              </w:rPr>
              <w:t>Total liabilities assumed</w:t>
            </w:r>
          </w:p>
        </w:tc>
        <w:tc>
          <w:tcPr>
            <w:tcW w:w="3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740" w:type="dxa"/>
            <w:vAlign w:val="bottom"/>
            <w:vMerge w:val="continue"/>
          </w:tcPr>
          <w:p>
            <w:pPr>
              <w:spacing w:after="0"/>
              <w:rPr>
                <w:sz w:val="15"/>
                <w:szCs w:val="15"/>
                <w:color w:val="auto"/>
              </w:rPr>
            </w:pPr>
          </w:p>
        </w:tc>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assets acquired</w:t>
            </w:r>
          </w:p>
        </w:tc>
        <w:tc>
          <w:tcPr>
            <w:tcW w:w="3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5"/>
              </w:rPr>
              <w:t>49.5</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560" w:type="dxa"/>
            <w:vAlign w:val="bottom"/>
          </w:tcPr>
          <w:p>
            <w:pPr>
              <w:jc w:val="right"/>
              <w:ind w:right="267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On August 4, 2004, the Company completed its acquisition of Defense Systems, Incorporated (DSI), a company that provides a full range of information technology and logistics automation services to federal government and commercial clients, with a strategic focus on providing the end-to-end total radio frequency identification (“RFID”) solutions. The initial purchase consideration consisted of a cash payment of $6.6 million, of which $5.8 million was allocated to goodwill and $1.6 million was allocated to identifiable finite-lived intangible assets. The identified intangible assets consist of $0.8 million backlog, $0.7 million of customer relationships and $0.1 million non-compete agreement, which are being amortized over their useful lives of 5, 10 and 3 years, respectively. Additional consideration of up to $3.2 million could be earned by the former major stockholders of DSI over an 18 month period based upon performance milestones related to certain specified contracts. The additional consideration if any, has been recorded as goodwill as earned. As of December 31, 2005, approximately $0.5 million was accrued of the additional consideration based upon the attainment of certain milestones. As of December 31, 2006, the performance period had ended and no further contingent acquisition consideration was due. Approximately $2.8 million in additional consideration had been earned and paid related to the contract milestones achieved by DSI. The operating results for DSI for the year ended December 31, 2003, are not included in the proforma results presented above as the results were immaterial.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results of operations of these acquired entities since the acquisition date are included in the Company’s consolidated financial statements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2004 and 2005 and are a component within the Government Network Services segment.</w:t>
      </w:r>
    </w:p>
    <w:p>
      <w:pPr>
        <w:spacing w:after="0" w:line="103"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The following summary presents pro forma consolidated results of operations for the year ended December 31, 2004 as if the acquisitions described above had occurred January 1, 2004 and includes adjustments that were directly attributable to the transaction or were not expected to have a continuing impact on the Company. The pro forma adjustment amount for the period from January 1, 2005 to January 27, 2005, related to the acquisition of TLA is immaterial. The pro forma results are unaudited and for illustrative purposes only for the applicable period and do not purport to be indicative of the actual results which would have occurred had the transactions been completed as of the beginning of the period, nor or they indicative of results of operations which may occur in the future (all unaudited amounts, except per share amounts, are in million):</w:t>
      </w:r>
    </w:p>
    <w:p>
      <w:pPr>
        <w:spacing w:after="0" w:line="14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ind w:right="174"/>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Pro forma</w:t>
            </w:r>
          </w:p>
        </w:tc>
        <w:tc>
          <w:tcPr>
            <w:tcW w:w="180" w:type="dxa"/>
            <w:vAlign w:val="bottom"/>
          </w:tcPr>
          <w:p>
            <w:pPr>
              <w:spacing w:after="0"/>
              <w:rPr>
                <w:sz w:val="14"/>
                <w:szCs w:val="14"/>
                <w:color w:val="auto"/>
              </w:rPr>
            </w:pPr>
          </w:p>
        </w:tc>
        <w:tc>
          <w:tcPr>
            <w:tcW w:w="520" w:type="dxa"/>
            <w:vAlign w:val="bottom"/>
          </w:tcPr>
          <w:p>
            <w:pPr>
              <w:jc w:val="right"/>
              <w:ind w:right="134"/>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4"/>
                <w:szCs w:val="14"/>
                <w:color w:val="auto"/>
              </w:rPr>
            </w:pPr>
          </w:p>
        </w:tc>
      </w:tr>
      <w:tr>
        <w:trPr>
          <w:trHeight w:val="162"/>
        </w:trPr>
        <w:tc>
          <w:tcPr>
            <w:tcW w:w="48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As Restated</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Adjustments</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88"/>
              </w:rPr>
              <w:t>296.2</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1"/>
              </w:rPr>
              <w:t>31.6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r>
      <w:tr>
        <w:trPr>
          <w:trHeight w:val="284"/>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1"/>
              </w:rPr>
              <w:t>0.04</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60" w:type="dxa"/>
            <w:vAlign w:val="bottom"/>
            <w:shd w:val="clear" w:color="auto" w:fill="CCEEFF"/>
          </w:tcPr>
          <w:p>
            <w:pPr>
              <w:spacing w:after="0"/>
              <w:rPr>
                <w:sz w:val="24"/>
                <w:szCs w:val="24"/>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Network Services Segment</w:t>
      </w:r>
    </w:p>
    <w:p>
      <w:pPr>
        <w:spacing w:after="0" w:line="117" w:lineRule="exact"/>
        <w:rPr>
          <w:sz w:val="20"/>
          <w:szCs w:val="20"/>
          <w:color w:val="auto"/>
        </w:rPr>
      </w:pPr>
    </w:p>
    <w:p>
      <w:pPr>
        <w:ind w:right="460" w:firstLine="360"/>
        <w:spacing w:after="0" w:line="302" w:lineRule="auto"/>
        <w:rPr>
          <w:sz w:val="20"/>
          <w:szCs w:val="20"/>
          <w:color w:val="auto"/>
        </w:rPr>
      </w:pPr>
      <w:r>
        <w:rPr>
          <w:rFonts w:ascii="Arial" w:cs="Arial" w:eastAsia="Arial" w:hAnsi="Arial"/>
          <w:sz w:val="16"/>
          <w:szCs w:val="16"/>
          <w:color w:val="auto"/>
        </w:rPr>
        <w:t>On February 13, 2003, the Company acquired all of the outstanding capital stock of Suntech Systems, Inc (Suntech)., a company that provides subcontracting services primarily for general contractors and enterprise customers for the design and installation of commercial electrical systems. This acquisition was the first in the Company’s diversification strategy into the enterprise market. Initial purchase consideration consisted of a cash payment totaling $1.8 million, of which $1.0 million was allocated to goodwill and $0.6 million was allocated to the fair value of identifiable intangible assets.</w:t>
      </w:r>
    </w:p>
    <w:p>
      <w:pPr>
        <w:sectPr>
          <w:pgSz w:w="11900" w:h="16838" w:orient="portrait"/>
          <w:cols w:equalWidth="0" w:num="1">
            <w:col w:w="11380"/>
          </w:cols>
          <w:pgMar w:left="240" w:top="135" w:right="279" w:bottom="0" w:gutter="0" w:footer="0" w:header="0"/>
        </w:sectPr>
      </w:pPr>
    </w:p>
    <w:bookmarkStart w:id="91" w:name="page92"/>
    <w:bookmarkEnd w:id="91"/>
    <w:p>
      <w:pPr>
        <w:ind w:right="60"/>
        <w:spacing w:after="0" w:line="259" w:lineRule="auto"/>
        <w:rPr>
          <w:sz w:val="20"/>
          <w:szCs w:val="20"/>
          <w:color w:val="auto"/>
        </w:rPr>
      </w:pPr>
      <w:r>
        <w:rPr>
          <w:rFonts w:ascii="Arial" w:cs="Arial" w:eastAsia="Arial" w:hAnsi="Arial"/>
          <w:sz w:val="18"/>
          <w:szCs w:val="18"/>
          <w:color w:val="auto"/>
        </w:rPr>
        <w:t>Purchased intangible assets primarily consisted of customer relationships and are being amortized over their 5-year estimated useful life. The acquisition was accounted for under the provisions of purchase method accounting in accordance with Statement of Financial Accounting Standards No. 141 (SFAS No. 141) “Business Combinations”. Included in the stock purchase agreement is a provision whereby the Company has agreed to pay the selling shareholders additional consideration that is contingent upon the acquired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entity’s successful achievement of specific annual earnings targets for each of the years ending December 31, 2003, 2004 and 2005 and the continued employment of certain individuals. As of December 31, 2005, $2.6 million of additional purchase consideration was recorded as goodwill, bringing the total purchase consideration to $4.4 million.</w:t>
      </w:r>
    </w:p>
    <w:p>
      <w:pPr>
        <w:spacing w:after="0" w:line="73" w:lineRule="exact"/>
        <w:rPr>
          <w:sz w:val="20"/>
          <w:szCs w:val="20"/>
          <w:color w:val="auto"/>
        </w:rPr>
      </w:pPr>
    </w:p>
    <w:p>
      <w:pPr>
        <w:ind w:right="120" w:firstLine="360"/>
        <w:spacing w:after="0" w:line="290" w:lineRule="auto"/>
        <w:rPr>
          <w:sz w:val="20"/>
          <w:szCs w:val="20"/>
          <w:color w:val="auto"/>
        </w:rPr>
      </w:pPr>
      <w:r>
        <w:rPr>
          <w:rFonts w:ascii="Arial" w:cs="Arial" w:eastAsia="Arial" w:hAnsi="Arial"/>
          <w:sz w:val="16"/>
          <w:szCs w:val="16"/>
          <w:color w:val="auto"/>
        </w:rPr>
        <w:t>On April 15, 2003, the Company acquired all of the outstanding capital stock of Delmarva Systems Corporation, a company that provides various commercial electrical systems integration services. This acquisition was a continuation of the Company’s diversification strategy. Initial purchase consideration consisted of a cash payment totaling $6.2 million, of which $1.3 million was allocated to goodwill and $2.1 million was allocated to the fair value of identifiable intangible assets. Purchased intangible assets consisted primarily of customer relationships that are being amortized over their 7-year estimated useful life. The acquisition was accounted for under the provisions of the purchase method of accounting in accordance with SFAS No. 141. The stock purchase agreement included a provision whereby the Company agreed to pay the selling shareholders additional consideration that is contingent upon the acquired entity’s successful achievement of specific earnings targets for each of the twelve month periods ended March 31, 2004, 2005 and 2006. As of December 31, 2005, $10.9 million of additional purchase consideration was recorded as goodwill, bringing the total purchase consideration to $15.8 million.</w:t>
      </w:r>
    </w:p>
    <w:p>
      <w:pPr>
        <w:spacing w:after="0" w:line="58"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On August 7, 2003, the Company acquired all of the outstanding equity interests of Enco Systems, Inc. (Enco), a company that provides full-service security systems and building technologies integration. This acquisition was a continuation of the Company’s diversification strategy. The initial purchase consideration consisted of a cash payment totaling $3.7 million, of which $0.1 million was allocated to goodwill and $0.1 million was allocated to identifiable intangible assets. The acquisition was accounted for under the provisions of the purchase method of accounting in accordance with SFAS No. 141. The stock purchase agreement included a provision whereby the Company has agreed to pay the selling equity holders additional consideration that is contingent upon the acquired entity’s successful achievement of specific annual earnings targets for the six month period ended December 31, 2003 and the years ending December 31, 2004, 2005 and 2006, and the continued employment of certain individuals. All additional contingent consideration earned by Enco was classified as compensation expense. The stock purchase agreement contained a provision whereby either party could terminate the earn-out provision at the end of 2005 and the Company has chosen to exercise this option.</w:t>
      </w:r>
    </w:p>
    <w:p>
      <w:pPr>
        <w:spacing w:after="0" w:line="74"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In connection with the acquisitions of Suntech and Enco, certain selling shareholders had continued employment provisions as a condition to receiving additional earn-out consideration. In accordance with EITF 95-8 “Accounting for Contingent Consideration Paid to the Shareholders of an Acquired Enterprise in a Purchase Business Combination,” such payments were recorded as compensation expense. During 2003, the Company recorded $2.9 million of associated compensation expense. In September 2004, the Company amended these purchase agreements to more accurately reflect the intent of the transaction, resulting in a rescission of the continuous employment clauses from the earn-out arrangements. These amendments constituted a triggering event which resulted in a one-time charge of $12.4 million in the third quarter of 2004 and is reflected on the consolidated statements of operations as Contingent Acquisition Consideration, which represents estimated payments to be made to certain ENS selling shareholders based on the original continuous employment clauses. During the third quarter of 2005, the Company reduced $2.5 million of this accrual as a credit to Contingent acquisition consideration on the accompanying consolidated statements of operations, when it became reasonably certain that the total earn-out consideration earned would be less than originally estimated based upon the performance of the acquired entities. During the fourth quarter of 2005, the Company recorded an additional increase of $0.4 million accrual that was recorded to selling, general and administrative expense of contingent acquisition consideration as a result of one of the entities financial performance exceeding previously estimated performance.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As part of the Company’s 2006 annual test of goodwill for impairment, the Company recorded a non-cash impairment charge of $18.3 million in the Enterprise Network Services segment. This was due in part to changes in the industry and the strategic focus of the Company as well as operational challenges from significant employee turnover that the Company encountered after the completion of the earn out periods. Refer to Note 2 Goodwill and Other Intangible Assets for further discussion. As of December 31, 2006, there is no remaining goodwill balances related to the Enterprise Network Services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Acquisition Consideration</w:t>
      </w:r>
    </w:p>
    <w:p>
      <w:pPr>
        <w:spacing w:after="0" w:line="121"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In connection with certain business acquisitions, the Company may agree to make additional future payments to sellers contingent upon achievement of specific performance-based milestones by the acquired entities. Pursuant to the provisions of SFAS No. 141, such amounts are accrued, and therefore, recorded by the Company when the contingency is resolved beyond a reasonable doubt and, hence, the additional consideration becomes payable. A summary of the contingent acquisition consideration as of December 31, 2005 and December 31, 2006 is summarized in the following table.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Contingent Acquisition Consideration</w:t>
      </w:r>
    </w:p>
    <w:p>
      <w:pPr>
        <w:spacing w:after="0" w:line="207"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0"/>
              </w:rPr>
              <w:t>Suntech</w:t>
            </w:r>
          </w:p>
        </w:tc>
        <w:tc>
          <w:tcPr>
            <w:tcW w:w="180" w:type="dxa"/>
            <w:vAlign w:val="bottom"/>
          </w:tcPr>
          <w:p>
            <w:pPr>
              <w:spacing w:after="0"/>
              <w:rPr>
                <w:sz w:val="14"/>
                <w:szCs w:val="14"/>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Enco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DSI</w:t>
            </w:r>
          </w:p>
        </w:tc>
        <w:tc>
          <w:tcPr>
            <w:tcW w:w="80" w:type="dxa"/>
            <w:vAlign w:val="bottom"/>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MRC</w:t>
            </w:r>
          </w:p>
        </w:tc>
        <w:tc>
          <w:tcPr>
            <w:tcW w:w="20" w:type="dxa"/>
            <w:vAlign w:val="bottom"/>
          </w:tcPr>
          <w:p>
            <w:pPr>
              <w:spacing w:after="0"/>
              <w:rPr>
                <w:sz w:val="14"/>
                <w:szCs w:val="14"/>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(Release) accrual for contingent consideration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(8.5)</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Balance as of December 31, 2006</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Network Services</w:t>
      </w:r>
    </w:p>
    <w:p>
      <w:pPr>
        <w:spacing w:after="0" w:line="117" w:lineRule="exact"/>
        <w:rPr>
          <w:sz w:val="20"/>
          <w:szCs w:val="20"/>
          <w:color w:val="auto"/>
        </w:rPr>
      </w:pPr>
    </w:p>
    <w:p>
      <w:pPr>
        <w:ind w:right="140" w:firstLine="360"/>
        <w:spacing w:after="0" w:line="308" w:lineRule="auto"/>
        <w:rPr>
          <w:sz w:val="20"/>
          <w:szCs w:val="20"/>
          <w:color w:val="auto"/>
        </w:rPr>
      </w:pPr>
      <w:r>
        <w:rPr>
          <w:rFonts w:ascii="Arial" w:cs="Arial" w:eastAsia="Arial" w:hAnsi="Arial"/>
          <w:sz w:val="17"/>
          <w:szCs w:val="17"/>
          <w:color w:val="auto"/>
        </w:rPr>
        <w:t>During the full year ended December 31, 2006, $7.8 million was paid to certain shareholders of the companies acquired in ENS. As of March 31, 2006, all earn-out performance periods had ended and there was no additional contingent consideration earned related to the ENS shareholders.</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 Network Services</w:t>
      </w:r>
    </w:p>
    <w:p>
      <w:pPr>
        <w:sectPr>
          <w:pgSz w:w="11900" w:h="16838" w:orient="portrait"/>
          <w:cols w:equalWidth="0" w:num="1">
            <w:col w:w="11420"/>
          </w:cols>
          <w:pgMar w:left="240" w:top="125" w:right="239" w:bottom="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Madison Research Corporation (MRC)</w:t>
      </w:r>
    </w:p>
    <w:p>
      <w:pPr>
        <w:spacing w:after="0" w:line="117"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In connection with the Company’s acquisition of Madison Research Corporation (“MRC”) in October 2006, the purchase price included a working capital adjustment of $4.6 million, which was paid in April 2007 and $6.9 million which was held back to secure the Company’s indemnity rights and will be released, subject to indemnity rights, in installments following 6, 12, and 18 months from the date of close. In April 2007, $1.5 million of the holdback was released and paid to the former shareholders of MRC. As of December 31, 2006, the $11.6 million contingent acquisition consideration balance which includes accrued interest of $0.1 million was reflected as $9.8 million in the Accrual for contingent acquisition consideration with the remaining $1.8 million non-current portion reflected in Other liabilities on the accompanying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Systems, Incorporated</w:t>
      </w:r>
    </w:p>
    <w:p>
      <w:pPr>
        <w:spacing w:after="0" w:line="117" w:lineRule="exact"/>
        <w:rPr>
          <w:sz w:val="20"/>
          <w:szCs w:val="20"/>
          <w:color w:val="auto"/>
        </w:rPr>
      </w:pPr>
    </w:p>
    <w:p>
      <w:pPr>
        <w:jc w:val="both"/>
        <w:ind w:right="100" w:firstLine="360"/>
        <w:spacing w:after="0" w:line="279" w:lineRule="auto"/>
        <w:rPr>
          <w:sz w:val="20"/>
          <w:szCs w:val="20"/>
          <w:color w:val="auto"/>
        </w:rPr>
      </w:pPr>
      <w:r>
        <w:rPr>
          <w:rFonts w:ascii="Arial" w:cs="Arial" w:eastAsia="Arial" w:hAnsi="Arial"/>
          <w:sz w:val="17"/>
          <w:szCs w:val="17"/>
          <w:color w:val="auto"/>
        </w:rPr>
        <w:t>In connection with the Company’s acquisition of Defense Systems, Incorporated (“DSI”) in August 2004, additional consideration of up to $3.2 million could be earned by the former major stockholders of DSI over an 18 month period, based upon performance milestones related to certain specified contracts. As of December 31, 2006, approximately $2.8 million additional consideration had been earned and paid related to the contract milestones achieved by DSI. As of March 31, 2006, the performance period had ended and no further contingent consideration could be earned.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Details</w:t>
      </w:r>
    </w:p>
    <w:p>
      <w:pPr>
        <w:spacing w:after="0" w:line="121"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The Company’s cash equivalents consist of overnight cash sweep accounts that are invested on a daily basis. As of December 31, 2006, the company had no other short term investments. The cash and cash equivalents at December 31, 2005 and December 31, 2006 were as follows (in millions):</w:t>
      </w:r>
    </w:p>
    <w:p>
      <w:pPr>
        <w:spacing w:after="0" w:line="102" w:lineRule="exact"/>
        <w:rPr>
          <w:sz w:val="20"/>
          <w:szCs w:val="20"/>
          <w:color w:val="auto"/>
        </w:rPr>
      </w:pPr>
    </w:p>
    <w:tbl>
      <w:tblPr>
        <w:tblLayout w:type="fixed"/>
        <w:tblInd w:w="180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7"/>
          </w:tcPr>
          <w:p>
            <w:pPr>
              <w:ind w:left="40"/>
              <w:spacing w:after="0"/>
              <w:rPr>
                <w:sz w:val="20"/>
                <w:szCs w:val="20"/>
                <w:color w:val="auto"/>
              </w:rPr>
            </w:pPr>
            <w:r>
              <w:rPr>
                <w:rFonts w:ascii="Arial" w:cs="Arial" w:eastAsia="Arial" w:hAnsi="Arial"/>
                <w:sz w:val="14"/>
                <w:szCs w:val="14"/>
                <w:b w:val="1"/>
                <w:bCs w:val="1"/>
                <w:color w:val="auto"/>
              </w:rPr>
              <w:t>December 31, 2005</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8"/>
          </w:tcPr>
          <w:p>
            <w:pPr>
              <w:spacing w:after="0"/>
              <w:rPr>
                <w:sz w:val="20"/>
                <w:szCs w:val="20"/>
                <w:color w:val="auto"/>
              </w:rPr>
            </w:pPr>
            <w:r>
              <w:rPr>
                <w:rFonts w:ascii="Arial" w:cs="Arial" w:eastAsia="Arial" w:hAnsi="Arial"/>
                <w:sz w:val="14"/>
                <w:szCs w:val="14"/>
                <w:b w:val="1"/>
                <w:bCs w:val="1"/>
                <w:color w:val="auto"/>
              </w:rPr>
              <w:t>December 31, 2006</w:t>
            </w:r>
          </w:p>
        </w:tc>
      </w:tr>
      <w:tr>
        <w:trPr>
          <w:trHeight w:val="102"/>
        </w:trPr>
        <w:tc>
          <w:tcPr>
            <w:tcW w:w="3520" w:type="dxa"/>
            <w:vAlign w:val="bottom"/>
          </w:tcPr>
          <w:p>
            <w:pPr>
              <w:spacing w:after="0"/>
              <w:rPr>
                <w:sz w:val="8"/>
                <w:szCs w:val="8"/>
                <w:color w:val="auto"/>
              </w:rPr>
            </w:pPr>
          </w:p>
        </w:tc>
        <w:tc>
          <w:tcPr>
            <w:tcW w:w="1240" w:type="dxa"/>
            <w:vAlign w:val="bottom"/>
            <w:tcBorders>
              <w:top w:val="single" w:sz="8" w:color="auto"/>
            </w:tcBorders>
            <w:gridSpan w:val="4"/>
          </w:tcPr>
          <w:p>
            <w:pPr>
              <w:jc w:val="center"/>
              <w:ind w:right="220"/>
              <w:spacing w:after="0" w:line="102" w:lineRule="exact"/>
              <w:rPr>
                <w:sz w:val="20"/>
                <w:szCs w:val="20"/>
                <w:color w:val="auto"/>
              </w:rPr>
            </w:pPr>
            <w:r>
              <w:rPr>
                <w:rFonts w:ascii="Arial" w:cs="Arial" w:eastAsia="Arial" w:hAnsi="Arial"/>
                <w:sz w:val="11"/>
                <w:szCs w:val="11"/>
                <w:b w:val="1"/>
                <w:bCs w:val="1"/>
                <w:color w:val="auto"/>
              </w:rPr>
              <w:t>Amortized Cost</w:t>
            </w:r>
          </w:p>
        </w:tc>
        <w:tc>
          <w:tcPr>
            <w:tcW w:w="700" w:type="dxa"/>
            <w:vAlign w:val="bottom"/>
            <w:tcBorders>
              <w:top w:val="single" w:sz="8" w:color="auto"/>
            </w:tcBorders>
            <w:gridSpan w:val="3"/>
          </w:tcPr>
          <w:p>
            <w:pPr>
              <w:jc w:val="center"/>
              <w:ind w:right="20"/>
              <w:spacing w:after="0" w:line="102" w:lineRule="exact"/>
              <w:rPr>
                <w:sz w:val="20"/>
                <w:szCs w:val="20"/>
                <w:color w:val="auto"/>
              </w:rPr>
            </w:pPr>
            <w:r>
              <w:rPr>
                <w:rFonts w:ascii="Arial" w:cs="Arial" w:eastAsia="Arial" w:hAnsi="Arial"/>
                <w:sz w:val="11"/>
                <w:szCs w:val="11"/>
                <w:b w:val="1"/>
                <w:bCs w:val="1"/>
                <w:color w:val="auto"/>
              </w:rPr>
              <w:t>Fair Value</w:t>
            </w:r>
          </w:p>
        </w:tc>
        <w:tc>
          <w:tcPr>
            <w:tcW w:w="220" w:type="dxa"/>
            <w:vAlign w:val="bottom"/>
          </w:tcPr>
          <w:p>
            <w:pPr>
              <w:spacing w:after="0"/>
              <w:rPr>
                <w:sz w:val="8"/>
                <w:szCs w:val="8"/>
                <w:color w:val="auto"/>
              </w:rPr>
            </w:pPr>
          </w:p>
        </w:tc>
        <w:tc>
          <w:tcPr>
            <w:tcW w:w="1280" w:type="dxa"/>
            <w:vAlign w:val="bottom"/>
            <w:tcBorders>
              <w:top w:val="single" w:sz="8" w:color="auto"/>
            </w:tcBorders>
            <w:gridSpan w:val="5"/>
          </w:tcPr>
          <w:p>
            <w:pPr>
              <w:jc w:val="center"/>
              <w:ind w:right="240"/>
              <w:spacing w:after="0" w:line="102" w:lineRule="exact"/>
              <w:rPr>
                <w:sz w:val="20"/>
                <w:szCs w:val="20"/>
                <w:color w:val="auto"/>
              </w:rPr>
            </w:pPr>
            <w:r>
              <w:rPr>
                <w:rFonts w:ascii="Arial" w:cs="Arial" w:eastAsia="Arial" w:hAnsi="Arial"/>
                <w:sz w:val="11"/>
                <w:szCs w:val="11"/>
                <w:b w:val="1"/>
                <w:bCs w:val="1"/>
                <w:color w:val="auto"/>
              </w:rPr>
              <w:t>Amortized Cost</w:t>
            </w:r>
          </w:p>
        </w:tc>
        <w:tc>
          <w:tcPr>
            <w:tcW w:w="740" w:type="dxa"/>
            <w:vAlign w:val="bottom"/>
            <w:tcBorders>
              <w:top w:val="single" w:sz="8" w:color="auto"/>
            </w:tcBorders>
            <w:gridSpan w:val="4"/>
          </w:tcPr>
          <w:p>
            <w:pPr>
              <w:jc w:val="center"/>
              <w:ind w:right="20"/>
              <w:spacing w:after="0" w:line="102" w:lineRule="exact"/>
              <w:rPr>
                <w:sz w:val="20"/>
                <w:szCs w:val="20"/>
                <w:color w:val="auto"/>
              </w:rPr>
            </w:pPr>
            <w:r>
              <w:rPr>
                <w:rFonts w:ascii="Arial" w:cs="Arial" w:eastAsia="Arial" w:hAnsi="Arial"/>
                <w:sz w:val="11"/>
                <w:szCs w:val="11"/>
                <w:b w:val="1"/>
                <w:bCs w:val="1"/>
                <w:color w:val="auto"/>
              </w:rPr>
              <w:t>Fair Value</w:t>
            </w:r>
          </w:p>
        </w:tc>
        <w:tc>
          <w:tcPr>
            <w:tcW w:w="120" w:type="dxa"/>
            <w:vAlign w:val="bottom"/>
          </w:tcPr>
          <w:p>
            <w:pPr>
              <w:spacing w:after="0"/>
              <w:rPr>
                <w:sz w:val="8"/>
                <w:szCs w:val="8"/>
                <w:color w:val="auto"/>
              </w:rPr>
            </w:pPr>
          </w:p>
        </w:tc>
      </w:tr>
      <w:tr>
        <w:trPr>
          <w:trHeight w:val="162"/>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Basis</w:t>
            </w:r>
          </w:p>
        </w:tc>
        <w:tc>
          <w:tcPr>
            <w:tcW w:w="180" w:type="dxa"/>
            <w:vAlign w:val="bottom"/>
          </w:tcPr>
          <w:p>
            <w:pPr>
              <w:spacing w:after="0"/>
              <w:rPr>
                <w:sz w:val="14"/>
                <w:szCs w:val="14"/>
                <w:color w:val="auto"/>
              </w:rPr>
            </w:pPr>
          </w:p>
        </w:tc>
        <w:tc>
          <w:tcPr>
            <w:tcW w:w="7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Basis</w:t>
            </w:r>
          </w:p>
        </w:tc>
        <w:tc>
          <w:tcPr>
            <w:tcW w:w="300" w:type="dxa"/>
            <w:vAlign w:val="bottom"/>
          </w:tcPr>
          <w:p>
            <w:pPr>
              <w:spacing w:after="0"/>
              <w:rPr>
                <w:sz w:val="14"/>
                <w:szCs w:val="14"/>
                <w:color w:val="auto"/>
              </w:rPr>
            </w:pPr>
          </w:p>
        </w:tc>
        <w:tc>
          <w:tcPr>
            <w:tcW w:w="98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5"/>
              </w:rPr>
              <w:t>Basis</w:t>
            </w:r>
          </w:p>
        </w:tc>
        <w:tc>
          <w:tcPr>
            <w:tcW w:w="140" w:type="dxa"/>
            <w:vAlign w:val="bottom"/>
          </w:tcPr>
          <w:p>
            <w:pPr>
              <w:spacing w:after="0"/>
              <w:rPr>
                <w:sz w:val="14"/>
                <w:szCs w:val="14"/>
                <w:color w:val="auto"/>
              </w:rPr>
            </w:pPr>
          </w:p>
        </w:tc>
        <w:tc>
          <w:tcPr>
            <w:tcW w:w="7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Basis</w:t>
            </w:r>
          </w:p>
        </w:tc>
      </w:tr>
      <w:tr>
        <w:trPr>
          <w:trHeight w:val="196"/>
        </w:trPr>
        <w:tc>
          <w:tcPr>
            <w:tcW w:w="3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Cash and cash equivalents:</w:t>
            </w: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Cash</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$ 2.7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(0.0)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35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$ 7.7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unrealized gains and realized gains recorded during the year ended December 31, 2005 and December 31, 2006 were immaterial.</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consolidated balance sheets consist of the following at December 31, 2005 and 2006 (in millions):</w:t>
      </w:r>
    </w:p>
    <w:p>
      <w:pPr>
        <w:spacing w:after="0" w:line="203" w:lineRule="exact"/>
        <w:rPr>
          <w:sz w:val="20"/>
          <w:szCs w:val="20"/>
          <w:color w:val="auto"/>
        </w:rPr>
      </w:pPr>
    </w:p>
    <w:tbl>
      <w:tblPr>
        <w:tblLayout w:type="fixed"/>
        <w:tblInd w:w="1920" w:type="dxa"/>
        <w:tblCellMar>
          <w:top w:w="0" w:type="dxa"/>
          <w:left w:w="0" w:type="dxa"/>
          <w:bottom w:w="0" w:type="dxa"/>
          <w:right w:w="0" w:type="dxa"/>
        </w:tblCellMar>
      </w:tblPr>
      <w:tr>
        <w:trPr>
          <w:trHeight w:val="171"/>
        </w:trPr>
        <w:tc>
          <w:tcPr>
            <w:tcW w:w="3640" w:type="dxa"/>
            <w:vAlign w:val="bottom"/>
            <w:tcBorders>
              <w:bottom w:val="single" w:sz="8" w:color="CCEEFF"/>
            </w:tcBorders>
          </w:tcPr>
          <w:p>
            <w:pPr>
              <w:spacing w:after="0"/>
              <w:rPr>
                <w:sz w:val="14"/>
                <w:szCs w:val="14"/>
                <w:color w:val="auto"/>
              </w:rPr>
            </w:pPr>
          </w:p>
        </w:tc>
        <w:tc>
          <w:tcPr>
            <w:tcW w:w="2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Borders>
              <w:bottom w:val="single" w:sz="8" w:color="CCEEFF"/>
            </w:tcBorders>
          </w:tcPr>
          <w:p>
            <w:pPr>
              <w:spacing w:after="0"/>
              <w:rPr>
                <w:sz w:val="14"/>
                <w:szCs w:val="14"/>
                <w:color w:val="auto"/>
              </w:rPr>
            </w:pPr>
          </w:p>
        </w:tc>
      </w:tr>
      <w:tr>
        <w:trPr>
          <w:trHeight w:val="196"/>
        </w:trPr>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w:t>
            </w:r>
          </w:p>
        </w:tc>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Billed</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w:t>
            </w:r>
          </w:p>
        </w:tc>
        <w:tc>
          <w:tcPr>
            <w:tcW w:w="2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r>
      <w:tr>
        <w:trPr>
          <w:trHeight w:val="210"/>
        </w:trPr>
        <w:tc>
          <w:tcPr>
            <w:tcW w:w="3640" w:type="dxa"/>
            <w:vAlign w:val="bottom"/>
          </w:tcPr>
          <w:p>
            <w:pPr>
              <w:spacing w:after="0"/>
              <w:rPr>
                <w:sz w:val="20"/>
                <w:szCs w:val="20"/>
                <w:color w:val="auto"/>
              </w:rPr>
            </w:pPr>
            <w:r>
              <w:rPr>
                <w:rFonts w:ascii="Arial" w:cs="Arial" w:eastAsia="Arial" w:hAnsi="Arial"/>
                <w:sz w:val="18"/>
                <w:szCs w:val="18"/>
                <w:color w:val="auto"/>
              </w:rPr>
              <w:t>Total accounts receivable</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116.2</w:t>
            </w:r>
          </w:p>
        </w:tc>
        <w:tc>
          <w:tcPr>
            <w:tcW w:w="1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10"/>
        </w:trPr>
        <w:tc>
          <w:tcPr>
            <w:tcW w:w="3640" w:type="dxa"/>
            <w:vAlign w:val="bottom"/>
          </w:tcPr>
          <w:p>
            <w:pPr>
              <w:ind w:left="360"/>
              <w:spacing w:after="0"/>
              <w:rPr>
                <w:sz w:val="20"/>
                <w:szCs w:val="20"/>
                <w:color w:val="auto"/>
              </w:rPr>
            </w:pPr>
            <w:r>
              <w:rPr>
                <w:rFonts w:ascii="Arial" w:cs="Arial" w:eastAsia="Arial" w:hAnsi="Arial"/>
                <w:sz w:val="18"/>
                <w:szCs w:val="18"/>
                <w:color w:val="auto"/>
              </w:rPr>
              <w:t>Total accounts receivable, net</w:t>
            </w:r>
          </w:p>
        </w:tc>
        <w:tc>
          <w:tcPr>
            <w:tcW w:w="25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115.7</w:t>
            </w:r>
          </w:p>
        </w:tc>
        <w:tc>
          <w:tcPr>
            <w:tcW w:w="120" w:type="dxa"/>
            <w:vAlign w:val="bottom"/>
          </w:tcPr>
          <w:p>
            <w:pPr>
              <w:spacing w:after="0"/>
              <w:rPr>
                <w:sz w:val="18"/>
                <w:szCs w:val="18"/>
                <w:color w:val="auto"/>
              </w:rPr>
            </w:pPr>
          </w:p>
        </w:tc>
      </w:tr>
      <w:tr>
        <w:trPr>
          <w:trHeight w:val="284"/>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Computer equipment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office equipment</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Software</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w w:val="99"/>
              </w:rPr>
              <w:t>Accumulated depreciation and amortization</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r>
      <w:tr>
        <w:trPr>
          <w:trHeight w:val="210"/>
        </w:trPr>
        <w:tc>
          <w:tcPr>
            <w:tcW w:w="3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2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CCEEFF"/>
            </w:tcBorders>
            <w:shd w:val="clear" w:color="auto" w:fill="CCEEFF"/>
          </w:tcPr>
          <w:p>
            <w:pPr>
              <w:spacing w:after="0"/>
              <w:rPr>
                <w:sz w:val="18"/>
                <w:szCs w:val="18"/>
                <w:color w:val="auto"/>
              </w:rPr>
            </w:pPr>
          </w:p>
        </w:tc>
      </w:tr>
      <w:tr>
        <w:trPr>
          <w:trHeight w:val="284"/>
        </w:trPr>
        <w:tc>
          <w:tcPr>
            <w:tcW w:w="3640" w:type="dxa"/>
            <w:vAlign w:val="bottom"/>
          </w:tcPr>
          <w:p>
            <w:pPr>
              <w:spacing w:after="0"/>
              <w:rPr>
                <w:sz w:val="20"/>
                <w:szCs w:val="20"/>
                <w:color w:val="auto"/>
              </w:rPr>
            </w:pPr>
            <w:r>
              <w:rPr>
                <w:rFonts w:ascii="Arial" w:cs="Arial" w:eastAsia="Arial" w:hAnsi="Arial"/>
                <w:sz w:val="18"/>
                <w:szCs w:val="18"/>
                <w:color w:val="auto"/>
              </w:rPr>
              <w:t>Other intangibles, net:</w:t>
            </w: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Trade name</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10"/>
        </w:trPr>
        <w:tc>
          <w:tcPr>
            <w:tcW w:w="3640" w:type="dxa"/>
            <w:vAlign w:val="bottom"/>
          </w:tcPr>
          <w:p>
            <w:pPr>
              <w:ind w:left="360"/>
              <w:spacing w:after="0"/>
              <w:rPr>
                <w:sz w:val="20"/>
                <w:szCs w:val="20"/>
                <w:color w:val="auto"/>
              </w:rPr>
            </w:pPr>
            <w:r>
              <w:rPr>
                <w:rFonts w:ascii="Arial" w:cs="Arial" w:eastAsia="Arial" w:hAnsi="Arial"/>
                <w:sz w:val="18"/>
                <w:szCs w:val="18"/>
                <w:color w:val="auto"/>
              </w:rPr>
              <w:t>Total other intangibles, net</w:t>
            </w:r>
          </w:p>
        </w:tc>
        <w:tc>
          <w:tcPr>
            <w:tcW w:w="25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r>
      <w:tr>
        <w:trPr>
          <w:trHeight w:val="284"/>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affiliates:</w:t>
            </w:r>
          </w:p>
        </w:tc>
        <w:tc>
          <w:tcPr>
            <w:tcW w:w="2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CommVerge, Inc.</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Tactical Survey Group, Inc.</w:t>
            </w:r>
          </w:p>
        </w:tc>
        <w:tc>
          <w:tcPr>
            <w:tcW w:w="2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r>
      <w:tr>
        <w:trPr>
          <w:trHeight w:val="224"/>
        </w:trPr>
        <w:tc>
          <w:tcPr>
            <w:tcW w:w="3640" w:type="dxa"/>
            <w:vAlign w:val="bottom"/>
          </w:tcPr>
          <w:p>
            <w:pPr>
              <w:ind w:left="360"/>
              <w:spacing w:after="0"/>
              <w:rPr>
                <w:sz w:val="20"/>
                <w:szCs w:val="20"/>
                <w:color w:val="auto"/>
              </w:rPr>
            </w:pPr>
            <w:r>
              <w:rPr>
                <w:rFonts w:ascii="Arial" w:cs="Arial" w:eastAsia="Arial" w:hAnsi="Arial"/>
                <w:sz w:val="18"/>
                <w:szCs w:val="18"/>
                <w:color w:val="auto"/>
                <w:w w:val="91"/>
              </w:rPr>
              <w:t>Total investments in unconsolidated affiliates</w:t>
            </w:r>
          </w:p>
        </w:tc>
        <w:tc>
          <w:tcPr>
            <w:tcW w:w="2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r>
      <w:tr>
        <w:trPr>
          <w:trHeight w:val="688"/>
        </w:trPr>
        <w:tc>
          <w:tcPr>
            <w:tcW w:w="3640" w:type="dxa"/>
            <w:vAlign w:val="bottom"/>
          </w:tcPr>
          <w:p>
            <w:pPr>
              <w:spacing w:after="0"/>
              <w:rPr>
                <w:sz w:val="24"/>
                <w:szCs w:val="24"/>
                <w:color w:val="auto"/>
              </w:rPr>
            </w:pPr>
          </w:p>
        </w:tc>
        <w:tc>
          <w:tcPr>
            <w:tcW w:w="2560" w:type="dxa"/>
            <w:vAlign w:val="bottom"/>
          </w:tcPr>
          <w:p>
            <w:pPr>
              <w:jc w:val="right"/>
              <w:ind w:right="2190"/>
              <w:spacing w:after="0"/>
              <w:rPr>
                <w:sz w:val="20"/>
                <w:szCs w:val="20"/>
                <w:color w:val="auto"/>
              </w:rPr>
            </w:pPr>
            <w:r>
              <w:rPr>
                <w:rFonts w:ascii="Arial" w:cs="Arial" w:eastAsia="Arial" w:hAnsi="Arial"/>
                <w:sz w:val="18"/>
                <w:szCs w:val="18"/>
                <w:color w:val="auto"/>
                <w:w w:val="86"/>
              </w:rPr>
              <w:t>164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Payable and Other 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Credit Agreement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March 16, 2005, the Company entered into a credit agreement with KeyBank National Association (“KeyBank”) to provide a $15.0 million senior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KeyBank was designated as the sole arranger and sole book manager. The facility had a three-year term and could have been expanded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 million facility. The Company used the facility for general corporate purposes and to fund acquisitions. On October 2, 2006, the Company entered into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new credit agreement with Key Bank to provide an $85 million senior credit facility, which replaced the Company’s existing $15 million senior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facility. The facility has a 5 year term with principal due in 2011 and interest payable on a monthly basis. At the Company’s option, interest is payable at the</w:t>
      </w:r>
    </w:p>
    <w:p>
      <w:pPr>
        <w:sectPr>
          <w:pgSz w:w="11900" w:h="16838" w:orient="portrait"/>
          <w:cols w:equalWidth="0" w:num="1">
            <w:col w:w="11400"/>
          </w:cols>
          <w:pgMar w:left="240" w:top="125" w:right="259" w:bottom="0" w:gutter="0" w:footer="0" w:header="0"/>
        </w:sectPr>
      </w:pPr>
    </w:p>
    <w:bookmarkStart w:id="93" w:name="page94"/>
    <w:bookmarkEnd w:id="93"/>
    <w:p>
      <w:pPr>
        <w:ind w:right="40"/>
        <w:spacing w:after="0" w:line="255" w:lineRule="auto"/>
        <w:rPr>
          <w:sz w:val="20"/>
          <w:szCs w:val="20"/>
          <w:color w:val="auto"/>
        </w:rPr>
      </w:pPr>
      <w:r>
        <w:rPr>
          <w:rFonts w:ascii="Arial" w:cs="Arial" w:eastAsia="Arial" w:hAnsi="Arial"/>
          <w:sz w:val="18"/>
          <w:szCs w:val="18"/>
          <w:color w:val="auto"/>
        </w:rPr>
        <w:t>London Interbank Offer Rate plus 1.75-3.50%, or at the prime rate plus 0.30-0.75%, with either option adjusted quarterly based on the company’s total net debt-to-EBITDA ratio. The Company has used the facility to fund its acquisition of Madison Research Corporation (MRC) and for general corporate purposes. The terms of the new credit agreement require the Company to provide certain customary covenants for a credit agreement, including certain financial covenants, computed as defined by the terms of the agreement. These financial covenants include a maximum total net debt leverage ratio of 4.00 to 1.00, a minimum liquidity ratio of 1.35 to 1.00, and a minimum fixed charge coverage ratio of 1.10 to 1.00. The facility is collateralized by the assets of the Company.</w:t>
      </w:r>
    </w:p>
    <w:p>
      <w:pPr>
        <w:spacing w:after="0" w:line="85"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The facility contains customary events of default, including payment defaults, breaches of representations and warranties, and covenant defaults. As of March 30, 2007 the Company was in technical default of this agreement as it had not yet filed its Form 10-K and 2006 audited financials. On April 6, 2007 the Company entered into an amendment to the credit agreement whereby Key Bank waived this technical default and provided an extension through April 30, 2007 for filing our 10-K and 2006 audited financial statements. On June 1, 2007, the Company entered into a second amendment to the credit agreement whereby Key Bank extended the original waiver for filing our 10-K and 2006 audited financial statements and the quarterly unaudited financial statements for the fiscal quarters ended March 31, 2007 and June 30, 2007 through September 30, 2007 and reduced the total Facility to $50 million to reflect the net pay downs of the revolving line of credit reflecting the divestiture of our EMEA business in March 2007 and the divesture of our domestic Engineering business. In addition, the second amendment provides for the further reduction of our credit facility to $35 million effective upon receipt of principal payments under the note received from the buyer of the domestic engineering business, which occurred on July 3, 2007.</w:t>
      </w:r>
    </w:p>
    <w:p>
      <w:pPr>
        <w:spacing w:after="0" w:line="59"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As of December 31, 2006, the Company’s outstanding balance on the facility was $51.0 million and the weighted average interest rate was 8.99%. This includes $0.3 million of financing costs related to the original and replacement of the Senior Credit Facility in the fourth quarter of 2006. The replacement of the facility in the fourth quarter resulted in a write-off of $0.2 million in deferred financing costs related to the original facility. The Company had $1.2 million in deferred financing costs outstanding as of December 31, 2006 which are related to the new facility and are being amortized over the five year life of the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Financing</w:t>
      </w:r>
    </w:p>
    <w:p>
      <w:pPr>
        <w:spacing w:after="0" w:line="121" w:lineRule="exact"/>
        <w:rPr>
          <w:sz w:val="20"/>
          <w:szCs w:val="20"/>
          <w:color w:val="auto"/>
        </w:rPr>
      </w:pPr>
    </w:p>
    <w:p>
      <w:pPr>
        <w:ind w:right="200" w:firstLine="360"/>
        <w:spacing w:after="0" w:line="286" w:lineRule="auto"/>
        <w:rPr>
          <w:sz w:val="20"/>
          <w:szCs w:val="20"/>
          <w:color w:val="auto"/>
        </w:rPr>
      </w:pPr>
      <w:r>
        <w:rPr>
          <w:rFonts w:ascii="Arial" w:cs="Arial" w:eastAsia="Arial" w:hAnsi="Arial"/>
          <w:sz w:val="17"/>
          <w:szCs w:val="17"/>
          <w:color w:val="auto"/>
        </w:rPr>
        <w:t>In February 2005, the Company entered into an agreement with National City Vendor Finance, LLC to finance $0.59 million in software, maintenance and support fees of one of its IT systems. The interest rate for the financing is at 4.2% per annum. Principal and interest payments of $0.05 million are payable quarterly through January 2008. As of December 31, 2006, $0.3 million was outstanding on this financing.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 Commitments</w:t>
      </w:r>
    </w:p>
    <w:p>
      <w:pPr>
        <w:spacing w:after="0" w:line="121" w:lineRule="exact"/>
        <w:rPr>
          <w:sz w:val="20"/>
          <w:szCs w:val="20"/>
          <w:color w:val="auto"/>
        </w:rPr>
      </w:pPr>
    </w:p>
    <w:p>
      <w:pPr>
        <w:ind w:right="180" w:firstLine="360"/>
        <w:spacing w:after="0" w:line="286" w:lineRule="auto"/>
        <w:rPr>
          <w:sz w:val="20"/>
          <w:szCs w:val="20"/>
          <w:color w:val="auto"/>
        </w:rPr>
      </w:pPr>
      <w:r>
        <w:rPr>
          <w:rFonts w:ascii="Arial" w:cs="Arial" w:eastAsia="Arial" w:hAnsi="Arial"/>
          <w:sz w:val="17"/>
          <w:szCs w:val="17"/>
          <w:color w:val="auto"/>
        </w:rPr>
        <w:t>The Company leases certain equipment under capital leases with a weighted average interest rate of approximately 5.0% that expire at various dates through 2010. The Company also leases certain facilities and equipment under operating leases having terms expiring at various dates through 2011. Future minimum lease payments under capital and operating leases as of December 31, 2006 are as follows (in millions):</w:t>
      </w:r>
    </w:p>
    <w:p>
      <w:pPr>
        <w:spacing w:after="0" w:line="127"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4"/>
                <w:szCs w:val="14"/>
                <w:color w:val="auto"/>
              </w:rPr>
            </w:pPr>
          </w:p>
        </w:tc>
        <w:tc>
          <w:tcPr>
            <w:tcW w:w="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62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Leases</w:t>
            </w: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ending December 31,</w:t>
            </w: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2007</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$ 0.4</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2009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2011</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Total future minimum lease payments</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w w:val="91"/>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Present value of capital lease obligations</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Long-term capital lease obligations</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$ 0.0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820" w:firstLine="360"/>
        <w:spacing w:after="0" w:line="277" w:lineRule="auto"/>
        <w:rPr>
          <w:sz w:val="20"/>
          <w:szCs w:val="20"/>
          <w:color w:val="auto"/>
        </w:rPr>
      </w:pPr>
      <w:r>
        <w:rPr>
          <w:rFonts w:ascii="Arial" w:cs="Arial" w:eastAsia="Arial" w:hAnsi="Arial"/>
          <w:sz w:val="18"/>
          <w:szCs w:val="18"/>
          <w:color w:val="auto"/>
        </w:rPr>
        <w:t>Equipment recorded under capital leases approximated $0.7 million as of December 31, 2005 and $0.9 million as of December 31, 2006, with accumulated amortization of $0.5 million and $0.4 million as of December 31, 2005 and 2006, respectively.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terms of sublease agreements as of December 31, 2006, approximately $0.3 million of sublease income will offset future minimum lease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payments as of December 31, 2007. Gross rent expense under operating leases for the years ended December 31, 2004, 2005 and 2006 were $5.2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$6.6 million and $5.8 million, respectively. Total sublease income for the years ended December 31, 2004, 2005 and 2006 totaling $1.0 million, $0.8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$0.6 million, respectively, has been netted against rent expense.</w:t>
      </w:r>
    </w:p>
    <w:p>
      <w:pPr>
        <w:spacing w:after="0" w:line="103"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Based on management’s assessment of assumptions based upon existing market conditions, sublease rental rates and recoverability of operating lease expenses for the Company’s vacant properties and due to the Company’s actions to consolidate facilities, during the fourth quarter of 2006, the Company reevaluated its accrual for unused office space and determined that a portion of its corporate facility would no longer be utilized to the extent previously expected. As a result, the Company calculated the estimated loss on unused office space to increase by approximately $1.4 million in the quarter ended December 31, 2006. The accrual for loss on unused office space was $1.7 million, net of approximately $0.9 million of lease payments and $2.6 million, net of approximately $0.4 million of lease payments as of December 31, 2005 and December 31, 2006, respectively. The Company estimates that the remaining accrual will be paid through 2010. Such amount is included in asset impairment and other charges on the Company’s statement of operations. The lease on certain office facilities includes scheduled base rent increases over the term of the lease. The total amount of the base rent payments is being charged to expense on the straight-line method over the term of the lease. In addition to the base rent payment, the Company pays a monthly allocation of the building’s operating expenses. The Company has recorded deferred rent, included in accrued expenses, of $1.2 million and $1.1 million at December 31, 2005 and 2006, respectively, to reflect the excess of rent expense over cash payments since inception of the respective lease.</w:t>
      </w:r>
    </w:p>
    <w:p>
      <w:pPr>
        <w:sectPr>
          <w:pgSz w:w="11900" w:h="16838" w:orient="portrait"/>
          <w:cols w:equalWidth="0" w:num="1">
            <w:col w:w="11400"/>
          </w:cols>
          <w:pgMar w:left="240" w:top="125" w:right="259" w:bottom="8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8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Income (loss) from continuing operations before cumulative effect of change in accounting principle and before provision (benefit) for income taxes for the years ended December 31, 2004, 2005 and 2006 is comprised of the following (in millions):</w:t>
      </w:r>
    </w:p>
    <w:p>
      <w:pPr>
        <w:spacing w:after="0" w:line="149" w:lineRule="exact"/>
        <w:rPr>
          <w:sz w:val="20"/>
          <w:szCs w:val="20"/>
          <w:color w:val="auto"/>
        </w:rPr>
      </w:pPr>
    </w:p>
    <w:tbl>
      <w:tblPr>
        <w:tblLayout w:type="fixed"/>
        <w:tblInd w:w="186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129"/>
        </w:trPr>
        <w:tc>
          <w:tcPr>
            <w:tcW w:w="5200" w:type="dxa"/>
            <w:vAlign w:val="bottom"/>
          </w:tcPr>
          <w:p>
            <w:pPr>
              <w:spacing w:after="0"/>
              <w:rPr>
                <w:sz w:val="11"/>
                <w:szCs w:val="11"/>
                <w:color w:val="auto"/>
              </w:rPr>
            </w:pPr>
          </w:p>
        </w:tc>
        <w:tc>
          <w:tcPr>
            <w:tcW w:w="680" w:type="dxa"/>
            <w:vAlign w:val="bottom"/>
            <w:tcBorders>
              <w:top w:val="single" w:sz="8" w:color="auto"/>
            </w:tcBorders>
            <w:gridSpan w:val="4"/>
          </w:tcPr>
          <w:p>
            <w:pPr>
              <w:ind w:left="20"/>
              <w:spacing w:after="0" w:line="129" w:lineRule="exact"/>
              <w:rPr>
                <w:sz w:val="20"/>
                <w:szCs w:val="20"/>
                <w:color w:val="auto"/>
              </w:rPr>
            </w:pPr>
            <w:r>
              <w:rPr>
                <w:rFonts w:ascii="Arial" w:cs="Arial" w:eastAsia="Arial" w:hAnsi="Arial"/>
                <w:sz w:val="14"/>
                <w:szCs w:val="14"/>
                <w:b w:val="1"/>
                <w:bCs w:val="1"/>
                <w:color w:val="auto"/>
                <w:w w:val="93"/>
              </w:rPr>
              <w:t>(Restated)</w:t>
            </w:r>
          </w:p>
        </w:tc>
        <w:tc>
          <w:tcPr>
            <w:tcW w:w="220" w:type="dxa"/>
            <w:vAlign w:val="bottom"/>
          </w:tcPr>
          <w:p>
            <w:pPr>
              <w:spacing w:after="0"/>
              <w:rPr>
                <w:sz w:val="11"/>
                <w:szCs w:val="11"/>
                <w:color w:val="auto"/>
              </w:rPr>
            </w:pPr>
          </w:p>
        </w:tc>
        <w:tc>
          <w:tcPr>
            <w:tcW w:w="74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w w:val="99"/>
              </w:rPr>
              <w:t>(Restated)</w:t>
            </w: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$ 17.1</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(32.3)</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23"/>
        </w:trPr>
        <w:tc>
          <w:tcPr>
            <w:tcW w:w="5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$ 17.2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(32.2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The provision (benefit) for income taxes from continuing operations for the years ended December 31, 2004, 2005 and 2006 is comprised of the following (in millions):</w:t>
      </w:r>
    </w:p>
    <w:p>
      <w:pPr>
        <w:spacing w:after="0" w:line="149"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68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w w:val="90"/>
              </w:rPr>
              <w:t>(Restated)</w:t>
            </w:r>
          </w:p>
        </w:tc>
        <w:tc>
          <w:tcPr>
            <w:tcW w:w="220" w:type="dxa"/>
            <w:vAlign w:val="bottom"/>
          </w:tcPr>
          <w:p>
            <w:pPr>
              <w:spacing w:after="0"/>
              <w:rPr>
                <w:sz w:val="11"/>
                <w:szCs w:val="11"/>
                <w:color w:val="auto"/>
              </w:rPr>
            </w:pPr>
          </w:p>
        </w:tc>
        <w:tc>
          <w:tcPr>
            <w:tcW w:w="680" w:type="dxa"/>
            <w:vAlign w:val="bottom"/>
            <w:tcBorders>
              <w:top w:val="single" w:sz="8" w:color="auto"/>
            </w:tcBorders>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90"/>
              </w:rPr>
              <w:t>(Restated)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Federal</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(2.1)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13.6</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Additionally, the Company recognized net tax benefits (adjustments) from exercise of stock options of $(0.7) million, zero and zero for the years ended December 31, 2004, 2005 and 2006, respectively, which were recorded in stockholders’ equity.</w:t>
      </w:r>
    </w:p>
    <w:p>
      <w:pPr>
        <w:spacing w:after="0" w:line="62" w:lineRule="exact"/>
        <w:rPr>
          <w:sz w:val="20"/>
          <w:szCs w:val="20"/>
          <w:color w:val="auto"/>
        </w:rPr>
      </w:pPr>
    </w:p>
    <w:p>
      <w:pPr>
        <w:ind w:right="340" w:firstLine="360"/>
        <w:spacing w:after="0" w:line="308" w:lineRule="auto"/>
        <w:rPr>
          <w:sz w:val="20"/>
          <w:szCs w:val="20"/>
          <w:color w:val="auto"/>
        </w:rPr>
      </w:pPr>
      <w:r>
        <w:rPr>
          <w:rFonts w:ascii="Arial" w:cs="Arial" w:eastAsia="Arial" w:hAnsi="Arial"/>
          <w:sz w:val="17"/>
          <w:szCs w:val="17"/>
          <w:color w:val="auto"/>
        </w:rPr>
        <w:t>A reconciliation of total income tax provision (benefit) to the amount computed by applying the statutory federal income tax rate of 35% to income (loss) before income tax provision (benefit) for the years ended December 31, 2004, 2005 and 2006 is as follows (in millions):</w:t>
      </w:r>
    </w:p>
    <w:p>
      <w:pPr>
        <w:spacing w:after="0" w:line="125"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6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0"/>
              </w:rPr>
              <w:t>(Restated)</w:t>
            </w:r>
          </w:p>
        </w:tc>
        <w:tc>
          <w:tcPr>
            <w:tcW w:w="220" w:type="dxa"/>
            <w:vAlign w:val="bottom"/>
          </w:tcPr>
          <w:p>
            <w:pPr>
              <w:spacing w:after="0"/>
              <w:rPr>
                <w:sz w:val="11"/>
                <w:szCs w:val="11"/>
                <w:color w:val="auto"/>
              </w:rPr>
            </w:pPr>
          </w:p>
        </w:tc>
        <w:tc>
          <w:tcPr>
            <w:tcW w:w="680" w:type="dxa"/>
            <w:vAlign w:val="bottom"/>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90"/>
              </w:rPr>
              <w:t>(Restated)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federal statutory rate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State taxes, net of federal tax benefit and valuation allowance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Foreign tax expense (benefit), net of valuation allowance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Increase (decrease) in federal valuation allowance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reserves for uncertain tax positions</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Contingent acquisition consideration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Tax basis difference on subsidiaries</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Nondeductible expense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Revision of prior year estimates</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Goodwill write-off</w:t>
            </w:r>
          </w:p>
        </w:tc>
        <w:tc>
          <w:tcPr>
            <w:tcW w:w="120" w:type="dxa"/>
            <w:vAlign w:val="bottom"/>
          </w:tcPr>
          <w:p>
            <w:pPr>
              <w:spacing w:after="0"/>
              <w:rPr>
                <w:sz w:val="18"/>
                <w:szCs w:val="18"/>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(0.6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jc w:val="right"/>
              <w:ind w:right="115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51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The tax effects of temporary differences that give rise to the deferred tax assets and deferred tax liabilities as of December 31, 2005 and 2006 are as follows (in millions):</w:t>
      </w:r>
    </w:p>
    <w:p>
      <w:pPr>
        <w:spacing w:after="0" w:line="149" w:lineRule="exact"/>
        <w:rPr>
          <w:sz w:val="20"/>
          <w:szCs w:val="20"/>
          <w:color w:val="auto"/>
        </w:rPr>
      </w:pPr>
    </w:p>
    <w:tbl>
      <w:tblPr>
        <w:tblLayout w:type="fixed"/>
        <w:tblInd w:w="192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r>
      <w:tr>
        <w:trPr>
          <w:trHeight w:val="129"/>
        </w:trPr>
        <w:tc>
          <w:tcPr>
            <w:tcW w:w="6060" w:type="dxa"/>
            <w:vAlign w:val="bottom"/>
          </w:tcPr>
          <w:p>
            <w:pPr>
              <w:spacing w:after="0"/>
              <w:rPr>
                <w:sz w:val="11"/>
                <w:szCs w:val="11"/>
                <w:color w:val="auto"/>
              </w:rPr>
            </w:pPr>
          </w:p>
        </w:tc>
        <w:tc>
          <w:tcPr>
            <w:tcW w:w="68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w w:val="93"/>
              </w:rPr>
              <w:t>(Restated)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  1.2</w:t>
            </w: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   0.7</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Sundry accruals</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Vacation accrual</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Property and equipment, principally due to differences in depreciation</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Goodwill and other intangibles</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Capital loss carryforward</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Reserves and other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w:t>
            </w:r>
          </w:p>
        </w:tc>
      </w:tr>
      <w:tr>
        <w:trPr>
          <w:trHeight w:val="210"/>
        </w:trPr>
        <w:tc>
          <w:tcPr>
            <w:tcW w:w="6060" w:type="dxa"/>
            <w:vAlign w:val="bottom"/>
          </w:tcPr>
          <w:p>
            <w:pPr>
              <w:ind w:left="360"/>
              <w:spacing w:after="0"/>
              <w:rPr>
                <w:sz w:val="20"/>
                <w:szCs w:val="20"/>
                <w:color w:val="auto"/>
              </w:rPr>
            </w:pPr>
            <w:r>
              <w:rPr>
                <w:rFonts w:ascii="Arial" w:cs="Arial" w:eastAsia="Arial" w:hAnsi="Arial"/>
                <w:sz w:val="18"/>
                <w:szCs w:val="18"/>
                <w:color w:val="auto"/>
              </w:rPr>
              <w:t>Total deferred tax assets, net of allowance</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-8255</wp:posOffset>
            </wp:positionV>
            <wp:extent cx="4827905" cy="1803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27905" cy="180340"/>
                    </a:xfrm>
                    <a:prstGeom prst="rect">
                      <a:avLst/>
                    </a:prstGeom>
                    <a:noFill/>
                  </pic:spPr>
                </pic:pic>
              </a:graphicData>
            </a:graphic>
          </wp:anchor>
        </w:drawing>
      </w:r>
    </w:p>
    <w:p>
      <w:pPr>
        <w:spacing w:after="0" w:line="2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Deferred tax liabilities:</w:t>
      </w:r>
    </w:p>
    <w:p>
      <w:pPr>
        <w:sectPr>
          <w:pgSz w:w="11900" w:h="16838" w:orient="portrait"/>
          <w:cols w:equalWidth="0" w:num="1">
            <w:col w:w="11320"/>
          </w:cols>
          <w:pgMar w:left="240" w:top="364" w:right="339" w:bottom="0" w:gutter="0" w:footer="0" w:header="0"/>
        </w:sectPr>
      </w:pPr>
    </w:p>
    <w:bookmarkStart w:id="95" w:name="page96"/>
    <w:bookmarkEnd w:id="95"/>
    <w:p>
      <w:pPr>
        <w:spacing w:after="0" w:line="69" w:lineRule="exact"/>
        <w:rPr>
          <w:sz w:val="20"/>
          <w:szCs w:val="20"/>
          <w:color w:val="auto"/>
        </w:rPr>
      </w:pPr>
    </w:p>
    <w:tbl>
      <w:tblPr>
        <w:tblLayout w:type="fixed"/>
        <w:tblInd w:w="1920" w:type="dxa"/>
        <w:tblCellMar>
          <w:top w:w="0" w:type="dxa"/>
          <w:left w:w="0" w:type="dxa"/>
          <w:bottom w:w="0" w:type="dxa"/>
          <w:right w:w="0" w:type="dxa"/>
        </w:tblCellMar>
      </w:tblPr>
      <w:tr>
        <w:trPr>
          <w:trHeight w:val="230"/>
        </w:trPr>
        <w:tc>
          <w:tcPr>
            <w:tcW w:w="5680" w:type="dxa"/>
            <w:vAlign w:val="bottom"/>
          </w:tcPr>
          <w:p>
            <w:pPr>
              <w:ind w:left="180"/>
              <w:spacing w:after="0"/>
              <w:rPr>
                <w:sz w:val="20"/>
                <w:szCs w:val="20"/>
                <w:color w:val="auto"/>
              </w:rPr>
            </w:pPr>
            <w:r>
              <w:rPr>
                <w:rFonts w:ascii="Arial" w:cs="Arial" w:eastAsia="Arial" w:hAnsi="Arial"/>
                <w:sz w:val="18"/>
                <w:szCs w:val="18"/>
                <w:color w:val="auto"/>
              </w:rPr>
              <w:t>Unearned revenue</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(13.3)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w w:val="99"/>
              </w:rPr>
              <w:t>Property and equipment, principally due to differences in depreciation</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360"/>
              <w:spacing w:after="0"/>
              <w:rPr>
                <w:sz w:val="20"/>
                <w:szCs w:val="20"/>
                <w:color w:val="auto"/>
              </w:rPr>
            </w:pPr>
            <w:r>
              <w:rPr>
                <w:rFonts w:ascii="Arial" w:cs="Arial" w:eastAsia="Arial" w:hAnsi="Arial"/>
                <w:sz w:val="18"/>
                <w:szCs w:val="18"/>
                <w:color w:val="auto"/>
              </w:rPr>
              <w:t>Total deferred tax liabilities</w:t>
            </w:r>
          </w:p>
        </w:tc>
        <w:tc>
          <w:tcPr>
            <w:tcW w:w="4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deferred tax asset (liability)</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$ 12.3</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(1.4</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At December 31, 2006, the Company had federal tax loss carryforwards of $105.9 million (including stock option net operating loss carryforwards) which expire beginning in 2020 and various state tax loss carryforwards of $85.3 million which expire beginning in 2012. Federal and state tax laws impose restrictions on the utilization of net operating loss and tax credit carryforwards in the event of an “ownership change” for tax purposes as defined by Section 382 of the Internal Revenue Code. The Company has determined that any ownership changes under Section 382 will not materially impact the Company’s ability to utilize its net operating loss and tax credit carryforwards. In addition, utilization of state tax loss carryforwards is dependent upon sufficient taxable income apportioned to the states.</w:t>
      </w:r>
    </w:p>
    <w:p>
      <w:pPr>
        <w:spacing w:after="0" w:line="85"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In assessing the realizability of deferred tax assets, management considers, on a periodic basis, whether it is more likely than not that some portion or all of the deferred tax assets will not be realized. During fiscal 2006, the Company recorded an increase in its valuation allowance of $21.9 million, as it determined that an increase was required based on the Company’s overall assessment of the risks and uncertainties related to its future ability to realize and utilize the Company’s deferred tax assets. This resulted in the income tax expense being greater than the expected amount for the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Preferred Stock</w:t>
      </w:r>
    </w:p>
    <w:p>
      <w:pPr>
        <w:spacing w:after="0" w:line="121"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On May 30, 2002, the Company issued an aggregate of 90,000 shares of Series B Convertible Preferred Stock, at an aggregate purchase price of $45.0 million, in a private placement to entities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affiliated with one of the directors of the Company (40,000 shares), to a brother of the Chairman and Chief Executive Officer of the Company (10,000 shares) and to an unrelated third-party investor (40,000 shares). The Company received $44.9 million of net proceeds. Each share of Series B Convertible Preferred Stock is initially convertible into 100 shares of Common Stock for a conversion price of $5.00 per share, which was the fair market value of the common stock at the closing, at the option of the holder at any time, subject to certain provisions in the Series B Preferred Stock Purchase Agreement. The Series B Preferred Stock Purchase Agreement had a lock-up provision, which has expired prior to March 5, 2004, on which date 40,000 shares of Series B Convertible Preferred Stock were converted into 4,000,000 shares of the Company’s Common Stock. On April 5, 2006, 15,483 shares of Series B Convertible Preferred Stock were converted into 1,548,300 shares of the Company’s Common Stock.</w:t>
      </w:r>
    </w:p>
    <w:p>
      <w:pPr>
        <w:spacing w:after="0" w:line="70" w:lineRule="exact"/>
        <w:rPr>
          <w:sz w:val="20"/>
          <w:szCs w:val="20"/>
          <w:color w:val="auto"/>
        </w:rPr>
      </w:pPr>
    </w:p>
    <w:p>
      <w:pPr>
        <w:ind w:right="120" w:firstLine="360"/>
        <w:spacing w:after="0" w:line="288" w:lineRule="auto"/>
        <w:rPr>
          <w:sz w:val="20"/>
          <w:szCs w:val="20"/>
          <w:color w:val="auto"/>
        </w:rPr>
      </w:pPr>
      <w:r>
        <w:rPr>
          <w:rFonts w:ascii="Arial" w:cs="Arial" w:eastAsia="Arial" w:hAnsi="Arial"/>
          <w:sz w:val="16"/>
          <w:szCs w:val="16"/>
          <w:color w:val="auto"/>
        </w:rPr>
        <w:t>Through December 31, 2006, the Company has received notices from the holders to convert an aggregate number of 80,000 shares of Series B Convertible Preferred Stock into an aggregate 8,000,000 shares of the Company’s Common Stock. On December 31, 2005 and December 31, 2006, the total liquidated preference equaled $12.7 million and $5.0 million, respectively. In accordance with EITF No. 03-06 “Participating Securities and the Two-</w:t>
      </w:r>
    </w:p>
    <w:p>
      <w:pPr>
        <w:ind w:right="20"/>
        <w:spacing w:after="0" w:line="261" w:lineRule="auto"/>
        <w:rPr>
          <w:sz w:val="20"/>
          <w:szCs w:val="20"/>
          <w:color w:val="auto"/>
        </w:rPr>
      </w:pPr>
      <w:r>
        <w:rPr>
          <w:rFonts w:ascii="Arial" w:cs="Arial" w:eastAsia="Arial" w:hAnsi="Arial"/>
          <w:sz w:val="18"/>
          <w:szCs w:val="18"/>
          <w:color w:val="auto"/>
        </w:rPr>
        <w:t>Class Method under FASB Statement No. 128”, the Company’s Series A and B Preferred Stock was considered a participating security for purposes of computing basic earnings per share as further discussed in Note 1(l).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Stock Option Plans</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During the years ended 1997, 1999 and 2000, the Board of Directors approved the 1997 Stock Option Plan (the “1997 Plan”), the 1999 Equity Incentive Plan (the “1999 Plan”) and the 2000 Non-statutory Stock Option Plan (the “2000 Plan”), respectively. Further, in February 2005, the Board of Directors approved the 2005 Equity Incentive Plan (the “2005 Plan”). The 2005 Plan was subsequently approved by a majority of the Company’s stockholders on May 18, 2005.</w:t>
      </w:r>
    </w:p>
    <w:p>
      <w:pPr>
        <w:spacing w:after="0" w:line="79"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Stock options granted under the 1997 Plan and 1999 Plan may be incentive stock options or non-statutory stock options and are exercisable for up to ten years following the date of grant. The Company ceased making grants under, and subsequently terminated the 1997 Plan upon completion of its initial public offering. The 1999 Plan permits the granting of incentive stock options or non-statutory stock options which are exercisable for up to ten years after the grant date. The 2000 Plan permits the grant of non-statutory stock options, which are exercisable for a period following the date of grant as determined by the Board of Directors (generally ten years). Additionally, in July 2004, the Board of Directors resolved that all future stock option grants under all of the Company’s stock option plans would be non-statutory stock options, until such further determination by the Board of Directors.</w:t>
      </w:r>
    </w:p>
    <w:p>
      <w:pPr>
        <w:spacing w:after="0" w:line="7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Stock option exercise prices for the 1997 Plan, 1999 Plan, 2000 Plan and 2005 Plan must be equal to or greater than the fair market value of the common stock on the date of grant. A cumulative total of 7.5 million, 15.9 million, 6.5 million and 3.5 million shares of common stock have been authorized for issuance under the 1997 Plan, 1999 Plan, 2000 Plan and 2005 Plan, respectively. There remains approximately 2.3 million shares of common stock authorized for the 1997 Plan which are no longer issuable due to the termination of the plan. In accordance with the provisions of SFAS No. 123, “Accounting for Stock-Based Compensation,” the Company applies APB Opinion No. 25, “Accounting for Stock Issued to Employees,” and related interpretations in accounting for its 1997 Plan, 1999 Plan and 2000 Plan. All options granted in 2002, 2003 and 2004, except as noted below, were at or above fair market value on the date of grant.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firstLine="360"/>
        <w:spacing w:after="0" w:line="302" w:lineRule="auto"/>
        <w:rPr>
          <w:sz w:val="20"/>
          <w:szCs w:val="20"/>
          <w:color w:val="auto"/>
        </w:rPr>
      </w:pPr>
      <w:r>
        <w:rPr>
          <w:rFonts w:ascii="Arial" w:cs="Arial" w:eastAsia="Arial" w:hAnsi="Arial"/>
          <w:sz w:val="16"/>
          <w:szCs w:val="16"/>
          <w:color w:val="auto"/>
        </w:rPr>
        <w:t>On May 18, 2005, the Compensation Committee of the Company’s Board of Directors approved the acceleration of vesting of all unvested options to purchase shares of the Company’s common stock that were held by current employees, including executive officers, and which have an exercise price per share equal to or greater than $10.00. Options to purchase 2,044,487 shares of common stock were subject to this acceleration. The options subject to acceleration had a weighted average exercise price of $12.02. The exercise prices and number of shares subject to the accelerated options were unchanged.</w:t>
      </w:r>
    </w:p>
    <w:p>
      <w:pPr>
        <w:spacing w:after="0" w:line="46"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On September 19, 2005, the Compensation Committee of the Company’s Board of Directors approved the acceleration of vesting of all unvested options to purchase shares of the Company’s common stock that were held by current employees, including executive officers, and excluding Directors and which</w:t>
      </w:r>
    </w:p>
    <w:p>
      <w:pPr>
        <w:sectPr>
          <w:pgSz w:w="11900" w:h="16908" w:orient="portrait"/>
          <w:cols w:equalWidth="0" w:num="1">
            <w:col w:w="11400"/>
          </w:cols>
          <w:pgMar w:left="240" w:top="125" w:right="259" w:bottom="0" w:gutter="0" w:footer="0" w:header="0"/>
        </w:sectPr>
      </w:pPr>
    </w:p>
    <w:bookmarkStart w:id="96" w:name="page97"/>
    <w:bookmarkEnd w:id="96"/>
    <w:p>
      <w:pPr>
        <w:jc w:val="both"/>
        <w:ind w:right="100"/>
        <w:spacing w:after="0" w:line="264" w:lineRule="auto"/>
        <w:rPr>
          <w:sz w:val="20"/>
          <w:szCs w:val="20"/>
          <w:color w:val="auto"/>
        </w:rPr>
      </w:pPr>
      <w:r>
        <w:rPr>
          <w:rFonts w:ascii="Arial" w:cs="Arial" w:eastAsia="Arial" w:hAnsi="Arial"/>
          <w:sz w:val="18"/>
          <w:szCs w:val="18"/>
          <w:color w:val="auto"/>
        </w:rPr>
        <w:t>have an exercise price per share equal to or greater than $8.00. Options to purchase 1,026,197 shares of common stock were subject to this acceleration. The options subject to acceleration had a weighted average exercise price $9.06. The exercise prices and number of shares subject to the accelerated options were unchanged.</w:t>
      </w:r>
    </w:p>
    <w:p>
      <w:pPr>
        <w:spacing w:after="0" w:line="73"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On December 21, 2005, the Company’s Board of Directors approved, subject to certain limited conditions, the acceleration of vesting of all unvested options to purchase shares of common stock of the Company that were held by employees, and which have an exercise price per share equal to or greater than $6.50. The acceleration was effective as of December 30, 2005, provided that holders of incentive stock options within the meaning of Section 422 of the Internal Revenue Code of 1986, as amended, were given the election to decline the acceleration of an option if such acceleration would have the effect of changing the status of such option for federal income tax purposes from an incentive stock option to a non-qualified stock option. Options to purchase approximately 316,239 shares of common stock were subject to this acceleration. The options subject to acceleration had a weighted average exercise price of $6.82. The number of shares subject to the accelerated options remained unchanged.</w:t>
      </w:r>
    </w:p>
    <w:p>
      <w:pPr>
        <w:spacing w:after="0" w:line="70"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The acceleration of these options was undertaken to avoid recognition of future compensation expense that the Company would otherwise recognize in its consolidated statement of operations with respect to these options once the Financial Accounting Standards (“FASB”) No. 123 (revised 2004) “Share-Based Payment”, issued by the Financial Accounting Standards Board, becomes effective. As originally issued by the FASB, SFAS No. 123 was to be implemented as of the beginning of the first interim or annual period beginning after June 15, 2005. In April, 2005, the SEC announced it will permit companies to implement SFAS No. 123R at the beginning of the next fiscal year. The future expense that was eliminated as a result of the acceleration of the accelerated vesting of these options was approximately $18.4 million, net of tax (of which approximately $7.8 million was attributable to options held by executive officers and $0.4 million is attributable to options held by directors).</w:t>
      </w:r>
    </w:p>
    <w:p>
      <w:pPr>
        <w:spacing w:after="0" w:line="70" w:lineRule="exact"/>
        <w:rPr>
          <w:sz w:val="20"/>
          <w:szCs w:val="20"/>
          <w:color w:val="auto"/>
        </w:rPr>
      </w:pPr>
    </w:p>
    <w:p>
      <w:pPr>
        <w:ind w:firstLine="360"/>
        <w:spacing w:after="0" w:line="284" w:lineRule="auto"/>
        <w:rPr>
          <w:sz w:val="20"/>
          <w:szCs w:val="20"/>
          <w:color w:val="auto"/>
        </w:rPr>
      </w:pPr>
      <w:r>
        <w:rPr>
          <w:rFonts w:ascii="Arial" w:cs="Arial" w:eastAsia="Arial" w:hAnsi="Arial"/>
          <w:sz w:val="16"/>
          <w:szCs w:val="16"/>
          <w:color w:val="auto"/>
        </w:rPr>
        <w:t>In addition, on December 21, 2005, the Board of Directors of the Company approved, subject to certain limited conditions, the amendment of all outstanding stock option grants under the Company’s 1999 Equity Incentive Plan and 2000 Nonstatutory Stock Option Plan (collectively, the “</w:t>
      </w:r>
      <w:r>
        <w:rPr>
          <w:rFonts w:ascii="Arial" w:cs="Arial" w:eastAsia="Arial" w:hAnsi="Arial"/>
          <w:sz w:val="16"/>
          <w:szCs w:val="16"/>
          <w:i w:val="1"/>
          <w:iCs w:val="1"/>
          <w:color w:val="auto"/>
        </w:rPr>
        <w:t>Option</w:t>
      </w:r>
      <w:r>
        <w:rPr>
          <w:rFonts w:ascii="Arial" w:cs="Arial" w:eastAsia="Arial" w:hAnsi="Arial"/>
          <w:sz w:val="16"/>
          <w:szCs w:val="16"/>
          <w:color w:val="auto"/>
        </w:rPr>
        <w:t xml:space="preserve"> </w:t>
      </w:r>
      <w:r>
        <w:rPr>
          <w:rFonts w:ascii="Arial" w:cs="Arial" w:eastAsia="Arial" w:hAnsi="Arial"/>
          <w:sz w:val="16"/>
          <w:szCs w:val="16"/>
          <w:i w:val="1"/>
          <w:iCs w:val="1"/>
          <w:color w:val="auto"/>
        </w:rPr>
        <w:t>Plans</w:t>
      </w:r>
      <w:r>
        <w:rPr>
          <w:rFonts w:ascii="Arial" w:cs="Arial" w:eastAsia="Arial" w:hAnsi="Arial"/>
          <w:sz w:val="16"/>
          <w:szCs w:val="16"/>
          <w:color w:val="auto"/>
        </w:rPr>
        <w:t>”), with an exercise price per share greater than 120% of the closing market price of the Company’s common stock on December 29, 2005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as of December 30, 2005, the exercise price of each outstanding stock option under the Option Plans shall be reduced to 120% of the closing price of the Company’s common stock as reported on the NASDAQ National Market on December 29, 2005;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holder of such outstanding stock option is an employee of the Company on December 30, 2005, but excluding (i) employees of the Company that are categorized as project staff associates and</w:t>
      </w:r>
    </w:p>
    <w:p>
      <w:pPr>
        <w:spacing w:after="0" w:line="5" w:lineRule="exact"/>
        <w:rPr>
          <w:sz w:val="20"/>
          <w:szCs w:val="20"/>
          <w:color w:val="auto"/>
        </w:rPr>
      </w:pPr>
    </w:p>
    <w:p>
      <w:pPr>
        <w:ind w:right="120" w:firstLine="8"/>
        <w:spacing w:after="0" w:line="261" w:lineRule="auto"/>
        <w:tabs>
          <w:tab w:leader="none" w:pos="2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employees who have, prior to December 30, 2005, given notice to, or received notice from, the Company terminating their employment on a date or time period after December 30, 2005. There was no financial impact related to this amendment.</w:t>
      </w:r>
    </w:p>
    <w:p>
      <w:pPr>
        <w:spacing w:after="0" w:line="76"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The acceleration of these options was undertaken to eliminate the future compensation expense that the Company would otherwise recognize in its consolidated statement of operations with respect to these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options once the Statement of Financial Accounting Standards No. 123 (revised 2004) “Share-Based Payment”, issued by the Financial Accounting Standards Board (“</w:t>
      </w:r>
      <w:r>
        <w:rPr>
          <w:rFonts w:ascii="Arial" w:cs="Arial" w:eastAsia="Arial" w:hAnsi="Arial"/>
          <w:sz w:val="18"/>
          <w:szCs w:val="18"/>
          <w:i w:val="1"/>
          <w:iCs w:val="1"/>
          <w:color w:val="auto"/>
        </w:rPr>
        <w:t>FAS 123</w:t>
      </w:r>
      <w:r>
        <w:rPr>
          <w:rFonts w:ascii="Arial" w:cs="Arial" w:eastAsia="Arial" w:hAnsi="Arial"/>
          <w:sz w:val="18"/>
          <w:szCs w:val="18"/>
          <w:color w:val="auto"/>
        </w:rPr>
        <w:t xml:space="preserve">”), becomes effective for reporting periods beginning in January 2006. Assuming that no holders of incentive stock options elect to decline the acceleration, the future expense that is eliminated as a result of the acceleration of the vesting of these options is approximately $0.8 million (none of which is attributable to options held by executive officers). In addition, because the repricing will occur in lieu of additional option grants in 2006 of approximately 2.5 million shares for certain of the Company’s employees (the “2006 </w:t>
      </w:r>
      <w:r>
        <w:rPr>
          <w:rFonts w:ascii="Arial" w:cs="Arial" w:eastAsia="Arial" w:hAnsi="Arial"/>
          <w:sz w:val="18"/>
          <w:szCs w:val="18"/>
          <w:i w:val="1"/>
          <w:iCs w:val="1"/>
          <w:color w:val="auto"/>
        </w:rPr>
        <w:t>Option Grants</w:t>
      </w:r>
      <w:r>
        <w:rPr>
          <w:rFonts w:ascii="Arial" w:cs="Arial" w:eastAsia="Arial" w:hAnsi="Arial"/>
          <w:sz w:val="18"/>
          <w:szCs w:val="18"/>
          <w:color w:val="auto"/>
        </w:rPr>
        <w:t>”), the repricing enabled the Company to significantly offset the dilutive impact of the 2006 Option Grants by reducing both the FAS 123 compensation expense for future option grants as well as the dilution to the Company’s outstanding share amount.</w:t>
      </w:r>
    </w:p>
    <w:p>
      <w:pPr>
        <w:spacing w:after="0" w:line="8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Effective January 1, 2006, the Company adopted the provisions of Statement of Financial Accounting Standards No. 123R (“SFAS 123R”), “Share-Based Payments,” which requires the measurement and recognition of compensation expense for all share-based payment awards to employees and directors based on estimated fair values. SFAS 123R supersedes the Company’s previous accounting methodology using the intrinsic value method under Accounting Principles Board Opinion APB No. 25, “Accounting for Stock Issued to Employees.” Under the intrinsic value method, no share-based compensation expense related to stock option awards granted to employees had been recognized in the Company’s Consolidated Statements of Operations, as all stock option awards granted under the plans had an exercise price equal to or greater than the market value of the common stock on the date of grant. The Company has no awards with market or performance conditions.</w:t>
      </w:r>
    </w:p>
    <w:p>
      <w:pPr>
        <w:spacing w:after="0" w:line="81"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The Company adopted SFAS 123R using the modified prospective transition method. Under this transition method, compensation expense recognized during the twelve months ended December 31, 2006 included: (a) compensation expense for all share-based awards granted prior to, but not yet vested, as of December 31, 2005, based on the grant date fair value estimated in accordance with the original provisions of SFAS 123, and (b) compensation expense for all share-based awards granted subsequent to December 31, 2005, based on the grant date fair value estimated in accordance with the provisions of SFAS 123R. In accordance with the modified prospective transition method, the Company’s consolidated financial statements for prior periods have not been restated to reflect the impact of SFAS 123R.</w:t>
      </w:r>
    </w:p>
    <w:p>
      <w:pPr>
        <w:spacing w:after="0" w:line="85"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On December 28, 2006, the Board of Directors of the Company approved the acceleration of vesting of all unvested options issued prior to June 30, 2006 to purchase shares of common stock of the Company that are held by employees and directors. The acceleration was effective as of December 29, 2006, provided that holders of incentive stock options within the meaning of Section 422 of the Internal Revenue Code of 1986, as amended, were given the election to decline the acceleration of an option if such acceleration would have the effect of changing the status of such option for federal income tax purposes from an incentive stock option to a non-qualified stock option. Options to purchase approximately 2.1 million shares of common stock were subject to this acceleration. The number of shares subject to the accelerated options will remain unchanged.</w:t>
      </w:r>
    </w:p>
    <w:p>
      <w:pPr>
        <w:spacing w:after="0" w:line="70"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The acceleration of these options was undertaken to eliminate the future compensation expense that the Company would otherwise recognize in its consolidated statement of operations with respect to these options under the Statement of Financial Accounting Standards No. 123R “Share-Based Payment”, issued by the Financial Accounting Standards Board (“</w:t>
      </w:r>
      <w:r>
        <w:rPr>
          <w:rFonts w:ascii="Arial" w:cs="Arial" w:eastAsia="Arial" w:hAnsi="Arial"/>
          <w:sz w:val="17"/>
          <w:szCs w:val="17"/>
          <w:i w:val="1"/>
          <w:iCs w:val="1"/>
          <w:color w:val="auto"/>
        </w:rPr>
        <w:t>FAS 123R</w:t>
      </w:r>
      <w:r>
        <w:rPr>
          <w:rFonts w:ascii="Arial" w:cs="Arial" w:eastAsia="Arial" w:hAnsi="Arial"/>
          <w:sz w:val="17"/>
          <w:szCs w:val="17"/>
          <w:color w:val="auto"/>
        </w:rPr>
        <w:t>”). The future expense that is eliminated as a result of the acceleration of the vesting of these options is approximately $7.5 million (of which approximately $1.4 million is attributable to options held by executive officers). The expense that was incurred related to the vesting of these options was $ 9.2 million in continuing operations and $0.3 million in discontinued operations due to the fact that the future expense assumed that options would be forfeited as employees left the company and the acceleration of the vesting resulted in a 0% forfeiture rate on the vested options and thus a higher expense.</w:t>
      </w:r>
    </w:p>
    <w:p>
      <w:pPr>
        <w:sectPr>
          <w:pgSz w:w="11900" w:h="16838" w:orient="portrait"/>
          <w:cols w:equalWidth="0" w:num="1">
            <w:col w:w="11420"/>
          </w:cols>
          <w:pgMar w:left="240" w:top="125" w:right="239" w:bottom="323"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23" w:gutter="0" w:footer="0" w:header="0"/>
          <w:type w:val="continuous"/>
        </w:sectPr>
      </w:pPr>
    </w:p>
    <w:bookmarkStart w:id="97" w:name="page98"/>
    <w:bookmarkEnd w:id="97"/>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under FAS123R for Fiscal 2006</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 option-pricing model and the weighted average assumptions (annualized percentages) included in the following table. Awards with graded vesting are recognized using the straight-line method. Fair value under SFAS No. 123R is determined using the Black-Scholes option-pricing model with the following assumptions:</w:t>
      </w:r>
    </w:p>
    <w:p>
      <w:pPr>
        <w:spacing w:after="0" w:line="165"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9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CCEEFF"/>
            </w:tcBorders>
          </w:tcPr>
          <w:p>
            <w:pPr>
              <w:spacing w:after="0"/>
              <w:rPr>
                <w:sz w:val="14"/>
                <w:szCs w:val="14"/>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life:(1)</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3.8 years</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Risk-free interest rate(2)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Forfeiture rate(4)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360" w:right="140" w:hanging="352"/>
        <w:spacing w:after="0" w:line="342" w:lineRule="auto"/>
        <w:tabs>
          <w:tab w:leader="none" w:pos="34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expected life of stock options granted under the Plans is based upon historical exercise patterns which the Company believes are representative of future behavior. The expected life of shares under the Purchase Plan represents the amount of time remaining in the offering period.</w:t>
      </w:r>
    </w:p>
    <w:p>
      <w:pPr>
        <w:spacing w:after="0" w:line="15" w:lineRule="exact"/>
        <w:rPr>
          <w:rFonts w:ascii="Arial" w:cs="Arial" w:eastAsia="Arial" w:hAnsi="Arial"/>
          <w:sz w:val="16"/>
          <w:szCs w:val="16"/>
          <w:color w:val="auto"/>
        </w:rPr>
      </w:pPr>
    </w:p>
    <w:p>
      <w:pPr>
        <w:ind w:left="360" w:hanging="352"/>
        <w:spacing w:after="0"/>
        <w:tabs>
          <w:tab w:leader="none" w:pos="3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risk-free interest rate is based on U.S. Treasury yields in effect at the time of grant with a term equal to the expected term of the options.</w:t>
      </w:r>
    </w:p>
    <w:p>
      <w:pPr>
        <w:spacing w:after="0" w:line="128" w:lineRule="exact"/>
        <w:rPr>
          <w:rFonts w:ascii="Arial" w:cs="Arial" w:eastAsia="Arial" w:hAnsi="Arial"/>
          <w:sz w:val="17"/>
          <w:szCs w:val="17"/>
          <w:color w:val="auto"/>
        </w:rPr>
      </w:pPr>
    </w:p>
    <w:p>
      <w:pPr>
        <w:ind w:left="360" w:right="200" w:hanging="352"/>
        <w:spacing w:after="0" w:line="277" w:lineRule="auto"/>
        <w:tabs>
          <w:tab w:leader="none" w:pos="34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estimates the implied volatility of its common stock at the date of grant based on an equally weighted average of trailing volatility and market based implied volatility for the computation.</w:t>
      </w:r>
    </w:p>
    <w:p>
      <w:pPr>
        <w:spacing w:after="0" w:line="62" w:lineRule="exact"/>
        <w:rPr>
          <w:rFonts w:ascii="Arial" w:cs="Arial" w:eastAsia="Arial" w:hAnsi="Arial"/>
          <w:sz w:val="18"/>
          <w:szCs w:val="18"/>
          <w:color w:val="auto"/>
        </w:rPr>
      </w:pPr>
    </w:p>
    <w:p>
      <w:pPr>
        <w:ind w:left="360" w:right="80" w:hanging="352"/>
        <w:spacing w:after="0" w:line="277" w:lineRule="auto"/>
        <w:tabs>
          <w:tab w:leader="none" w:pos="345"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Forfeitures are estimated at the time of grant based upon historical information. Forfeitures will be revised, if necessary, in subsequent periods if actual forfeitures differ from estimates. Previously, under APB25, the Company recognized forfeitures as they were incurred.</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11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Upon option exercise, the Company issues new shares of stock. A summary of the status of the Company’s stock option plan as of December 31, 2006 and of changes in options outstanding under the plan for the year ended December 31, 2006 is as follows:</w:t>
      </w:r>
    </w:p>
    <w:p>
      <w:pPr>
        <w:spacing w:after="0" w:line="132"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06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106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98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0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116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Exercise Price</w:t>
            </w:r>
          </w:p>
        </w:tc>
        <w:tc>
          <w:tcPr>
            <w:tcW w:w="106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9"/>
              </w:rPr>
              <w:t>Term</w:t>
            </w:r>
          </w:p>
        </w:tc>
        <w:tc>
          <w:tcPr>
            <w:tcW w:w="10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per Share</w:t>
            </w: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(in years)</w:t>
            </w:r>
          </w:p>
        </w:tc>
        <w:tc>
          <w:tcPr>
            <w:tcW w:w="10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29"/>
        </w:trPr>
        <w:tc>
          <w:tcPr>
            <w:tcW w:w="3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4"/>
              </w:rPr>
              <w:t>(000’s)</w:t>
            </w: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(000’s)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Options forfeited or expired</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(1,961)</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11,629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$ 6.08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$ 176.7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line="195" w:lineRule="exact"/>
              <w:rPr>
                <w:sz w:val="20"/>
                <w:szCs w:val="20"/>
                <w:color w:val="auto"/>
              </w:rPr>
            </w:pPr>
            <w:r>
              <w:rPr>
                <w:rFonts w:ascii="Arial" w:cs="Arial" w:eastAsia="Arial" w:hAnsi="Arial"/>
                <w:sz w:val="18"/>
                <w:szCs w:val="18"/>
                <w:color w:val="auto"/>
              </w:rPr>
              <w:t>Options vested and exercisable at</w:t>
            </w: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20" w:type="dxa"/>
            <w:vAlign w:val="bottom"/>
            <w:vMerge w:val="continue"/>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11,435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$ 6.11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vMerge w:val="restart"/>
          </w:tcPr>
          <w:p>
            <w:pPr>
              <w:jc w:val="center"/>
              <w:ind w:left="225"/>
              <w:spacing w:after="0"/>
              <w:rPr>
                <w:sz w:val="20"/>
                <w:szCs w:val="20"/>
                <w:color w:val="auto"/>
              </w:rPr>
            </w:pPr>
            <w:r>
              <w:rPr>
                <w:rFonts w:ascii="Arial" w:cs="Arial" w:eastAsia="Arial" w:hAnsi="Arial"/>
                <w:sz w:val="18"/>
                <w:szCs w:val="18"/>
                <w:color w:val="auto"/>
                <w:w w:val="87"/>
              </w:rPr>
              <w:t>6.6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center"/>
              <w:ind w:left="162"/>
              <w:spacing w:after="0"/>
              <w:rPr>
                <w:sz w:val="20"/>
                <w:szCs w:val="20"/>
                <w:color w:val="auto"/>
              </w:rPr>
            </w:pPr>
            <w:r>
              <w:rPr>
                <w:rFonts w:ascii="Arial" w:cs="Arial" w:eastAsia="Arial" w:hAnsi="Arial"/>
                <w:sz w:val="18"/>
                <w:szCs w:val="18"/>
                <w:color w:val="auto"/>
                <w:w w:val="89"/>
              </w:rPr>
              <w:t>$ 130.7</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520" w:type="dxa"/>
            <w:vAlign w:val="bottom"/>
          </w:tcPr>
          <w:p>
            <w:pPr>
              <w:ind w:left="180"/>
              <w:spacing w:after="0"/>
              <w:rPr>
                <w:sz w:val="20"/>
                <w:szCs w:val="20"/>
                <w:color w:val="auto"/>
              </w:rPr>
            </w:pPr>
            <w:r>
              <w:rPr>
                <w:rFonts w:ascii="Arial" w:cs="Arial" w:eastAsia="Arial" w:hAnsi="Arial"/>
                <w:sz w:val="18"/>
                <w:szCs w:val="18"/>
                <w:color w:val="auto"/>
              </w:rPr>
              <w:t>December 31, 2006.</w:t>
            </w:r>
          </w:p>
        </w:tc>
        <w:tc>
          <w:tcPr>
            <w:tcW w:w="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520" w:type="dxa"/>
            <w:vAlign w:val="bottom"/>
          </w:tcPr>
          <w:p>
            <w:pPr>
              <w:spacing w:after="0"/>
              <w:rPr>
                <w:sz w:val="24"/>
                <w:szCs w:val="24"/>
                <w:color w:val="auto"/>
              </w:rPr>
            </w:pPr>
          </w:p>
        </w:tc>
        <w:tc>
          <w:tcPr>
            <w:tcW w:w="660" w:type="dxa"/>
            <w:vAlign w:val="bottom"/>
            <w:gridSpan w:val="2"/>
          </w:tcPr>
          <w:p>
            <w:pPr>
              <w:jc w:val="right"/>
              <w:ind w:right="8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As of December 31, 2006 there was $1.6 million of total unrecognized stock compensation expense related to nonvested shares which is expected to be recognized over a remaining weighted-average vesting period of 2.6 years. The total intrinsic value of options exercised during the year ended December 31, 2006 was $0.7 million. The weighted-average estimated fair value of employee stock options granted during 2006 was $2.33. The total fair value of options vested during the year was $11.1 million.</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Additional information about stock options outstanding at December 31, 2006 with exercise prices less than $2.85 per share, the exercise price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29, 2006 the last trading day of the period, follows (number of shares in thousands):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340"/>
              <w:spacing w:after="0"/>
              <w:rPr>
                <w:sz w:val="20"/>
                <w:szCs w:val="20"/>
                <w:color w:val="auto"/>
              </w:rPr>
            </w:pPr>
            <w:r>
              <w:rPr>
                <w:rFonts w:ascii="Arial" w:cs="Arial" w:eastAsia="Arial" w:hAnsi="Arial"/>
                <w:sz w:val="14"/>
                <w:szCs w:val="14"/>
                <w:b w:val="1"/>
                <w:bCs w:val="1"/>
                <w:color w:val="auto"/>
              </w:rPr>
              <w:t>Exercisable</w:t>
            </w:r>
          </w:p>
        </w:tc>
        <w:tc>
          <w:tcPr>
            <w:tcW w:w="160" w:type="dxa"/>
            <w:vAlign w:val="bottom"/>
          </w:tcPr>
          <w:p>
            <w:pPr>
              <w:spacing w:after="0"/>
              <w:rPr>
                <w:sz w:val="14"/>
                <w:szCs w:val="14"/>
                <w:color w:val="auto"/>
              </w:rPr>
            </w:pPr>
          </w:p>
        </w:tc>
        <w:tc>
          <w:tcPr>
            <w:tcW w:w="1600" w:type="dxa"/>
            <w:vAlign w:val="bottom"/>
            <w:gridSpan w:val="5"/>
          </w:tcPr>
          <w:p>
            <w:pPr>
              <w:ind w:left="180"/>
              <w:spacing w:after="0"/>
              <w:rPr>
                <w:sz w:val="20"/>
                <w:szCs w:val="20"/>
                <w:color w:val="auto"/>
              </w:rPr>
            </w:pPr>
            <w:r>
              <w:rPr>
                <w:rFonts w:ascii="Arial" w:cs="Arial" w:eastAsia="Arial" w:hAnsi="Arial"/>
                <w:sz w:val="14"/>
                <w:szCs w:val="14"/>
                <w:b w:val="1"/>
                <w:bCs w:val="1"/>
                <w:color w:val="auto"/>
              </w:rPr>
              <w:t>Unexercisable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2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Weighted</w:t>
            </w:r>
          </w:p>
        </w:tc>
        <w:tc>
          <w:tcPr>
            <w:tcW w:w="2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Weighted</w:t>
            </w: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Weighted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8"/>
              </w:rPr>
              <w:t>Number</w:t>
            </w: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Exercise</w:t>
            </w:r>
          </w:p>
        </w:tc>
        <w:tc>
          <w:tcPr>
            <w:tcW w:w="880" w:type="dxa"/>
            <w:vAlign w:val="bottom"/>
            <w:gridSpan w:val="4"/>
            <w:vMerge w:val="continue"/>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62"/>
        </w:trPr>
        <w:tc>
          <w:tcPr>
            <w:tcW w:w="2680" w:type="dxa"/>
            <w:vAlign w:val="bottom"/>
            <w:gridSpan w:val="2"/>
            <w:vMerge w:val="continue"/>
          </w:tcPr>
          <w:p>
            <w:pPr>
              <w:spacing w:after="0"/>
              <w:rPr>
                <w:sz w:val="14"/>
                <w:szCs w:val="14"/>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of Shares</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8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of Shares</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$2.85</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$ 1.94</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$ 2.21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8"/>
                <w:szCs w:val="18"/>
                <w:color w:val="auto"/>
              </w:rPr>
              <w:t>$ 2.03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Above $2.85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11,295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22"/>
              <w:spacing w:after="0"/>
              <w:rPr>
                <w:sz w:val="20"/>
                <w:szCs w:val="20"/>
                <w:color w:val="auto"/>
              </w:rPr>
            </w:pPr>
            <w:r>
              <w:rPr>
                <w:rFonts w:ascii="Arial" w:cs="Arial" w:eastAsia="Arial" w:hAnsi="Arial"/>
                <w:sz w:val="18"/>
                <w:szCs w:val="18"/>
                <w:color w:val="auto"/>
              </w:rPr>
              <w:t>$6.16</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42"/>
              <w:spacing w:after="0"/>
              <w:rPr>
                <w:sz w:val="20"/>
                <w:szCs w:val="20"/>
                <w:color w:val="auto"/>
              </w:rPr>
            </w:pPr>
            <w:r>
              <w:rPr>
                <w:rFonts w:ascii="Arial" w:cs="Arial" w:eastAsia="Arial" w:hAnsi="Arial"/>
                <w:sz w:val="18"/>
                <w:szCs w:val="18"/>
                <w:color w:val="auto"/>
              </w:rPr>
              <w:t>$5.80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11,421</w:t>
            </w:r>
          </w:p>
        </w:tc>
        <w:tc>
          <w:tcPr>
            <w:tcW w:w="1040" w:type="dxa"/>
            <w:vAlign w:val="bottom"/>
            <w:gridSpan w:val="3"/>
          </w:tcPr>
          <w:p>
            <w:pPr>
              <w:jc w:val="right"/>
              <w:ind w:right="47"/>
              <w:spacing w:after="0"/>
              <w:rPr>
                <w:sz w:val="20"/>
                <w:szCs w:val="20"/>
                <w:color w:val="auto"/>
              </w:rPr>
            </w:pPr>
            <w:r>
              <w:rPr>
                <w:rFonts w:ascii="Arial" w:cs="Arial" w:eastAsia="Arial" w:hAnsi="Arial"/>
                <w:sz w:val="18"/>
                <w:szCs w:val="18"/>
                <w:color w:val="auto"/>
              </w:rPr>
              <w:t>$6.16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11,435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$ 6.11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$ 4.53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11,629</w:t>
            </w:r>
          </w:p>
        </w:tc>
        <w:tc>
          <w:tcPr>
            <w:tcW w:w="1040" w:type="dxa"/>
            <w:vAlign w:val="bottom"/>
            <w:tcBorders>
              <w:top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$ 6.08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under FAS 123 for Periods Prior to Fiscal 2006</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 transactions are summarized below (shares in thousands):</w:t>
      </w:r>
    </w:p>
    <w:p>
      <w:pPr>
        <w:spacing w:after="0" w:line="203" w:lineRule="exact"/>
        <w:rPr>
          <w:sz w:val="20"/>
          <w:szCs w:val="20"/>
          <w:color w:val="auto"/>
        </w:rPr>
      </w:pPr>
    </w:p>
    <w:tbl>
      <w:tblPr>
        <w:tblLayout w:type="fixed"/>
        <w:tblInd w:w="180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Options Outstanding</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840" w:type="dxa"/>
            <w:vAlign w:val="bottom"/>
            <w:gridSpan w:val="3"/>
          </w:tcPr>
          <w:p>
            <w:pPr>
              <w:jc w:val="center"/>
              <w:ind w:right="20"/>
              <w:spacing w:after="0" w:line="106" w:lineRule="exact"/>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9"/>
                <w:szCs w:val="9"/>
                <w:color w:val="auto"/>
              </w:rPr>
            </w:pPr>
          </w:p>
        </w:tc>
        <w:tc>
          <w:tcPr>
            <w:tcW w:w="2140" w:type="dxa"/>
            <w:vAlign w:val="bottom"/>
            <w:gridSpan w:val="6"/>
          </w:tcPr>
          <w:p>
            <w:pPr>
              <w:ind w:left="320"/>
              <w:spacing w:after="0" w:line="106" w:lineRule="exact"/>
              <w:rPr>
                <w:sz w:val="20"/>
                <w:szCs w:val="20"/>
                <w:color w:val="auto"/>
              </w:rPr>
            </w:pPr>
            <w:r>
              <w:rPr>
                <w:rFonts w:ascii="Arial" w:cs="Arial" w:eastAsia="Arial" w:hAnsi="Arial"/>
                <w:sz w:val="12"/>
                <w:szCs w:val="12"/>
                <w:b w:val="1"/>
                <w:bCs w:val="1"/>
                <w:color w:val="auto"/>
              </w:rPr>
              <w:t>Exercise Price per Share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line="20" w:lineRule="exact"/>
              <w:rPr>
                <w:sz w:val="1"/>
                <w:szCs w:val="1"/>
                <w:color w:val="auto"/>
              </w:rPr>
            </w:pPr>
          </w:p>
        </w:tc>
        <w:tc>
          <w:tcPr>
            <w:tcW w:w="1040" w:type="dxa"/>
            <w:vAlign w:val="bottom"/>
            <w:gridSpan w:val="4"/>
            <w:vMerge w:val="restart"/>
          </w:tcPr>
          <w:p>
            <w:pPr>
              <w:jc w:val="center"/>
              <w:ind w:right="200"/>
              <w:spacing w:after="0" w:line="145" w:lineRule="exact"/>
              <w:rPr>
                <w:sz w:val="20"/>
                <w:szCs w:val="20"/>
                <w:color w:val="auto"/>
              </w:rPr>
            </w:pPr>
            <w:r>
              <w:rPr>
                <w:rFonts w:ascii="Arial" w:cs="Arial" w:eastAsia="Arial" w:hAnsi="Arial"/>
                <w:sz w:val="14"/>
                <w:szCs w:val="14"/>
                <w:b w:val="1"/>
                <w:bCs w:val="1"/>
                <w:color w:val="auto"/>
                <w:w w:val="95"/>
              </w:rPr>
              <w:t>Available for</w:t>
            </w:r>
          </w:p>
        </w:tc>
        <w:tc>
          <w:tcPr>
            <w:tcW w:w="140" w:type="dxa"/>
            <w:vAlign w:val="bottom"/>
          </w:tcPr>
          <w:p>
            <w:pPr>
              <w:spacing w:after="0" w:line="20" w:lineRule="exact"/>
              <w:rPr>
                <w:sz w:val="1"/>
                <w:szCs w:val="1"/>
                <w:color w:val="auto"/>
              </w:rPr>
            </w:pPr>
          </w:p>
        </w:tc>
        <w:tc>
          <w:tcPr>
            <w:tcW w:w="700" w:type="dxa"/>
            <w:vAlign w:val="bottom"/>
            <w:gridSpan w:val="2"/>
            <w:vMerge w:val="restart"/>
          </w:tcPr>
          <w:p>
            <w:pPr>
              <w:jc w:val="center"/>
              <w:ind w:right="160"/>
              <w:spacing w:after="0" w:line="145" w:lineRule="exact"/>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5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Range</w:t>
            </w:r>
          </w:p>
        </w:tc>
        <w:tc>
          <w:tcPr>
            <w:tcW w:w="180" w:type="dxa"/>
            <w:vAlign w:val="bottom"/>
          </w:tcPr>
          <w:p>
            <w:pPr>
              <w:spacing w:after="0"/>
              <w:rPr>
                <w:sz w:val="8"/>
                <w:szCs w:val="8"/>
                <w:color w:val="auto"/>
              </w:rPr>
            </w:pPr>
          </w:p>
        </w:tc>
        <w:tc>
          <w:tcPr>
            <w:tcW w:w="720" w:type="dxa"/>
            <w:vAlign w:val="bottom"/>
            <w:gridSpan w:val="4"/>
          </w:tcPr>
          <w:p>
            <w:pPr>
              <w:ind w:left="60"/>
              <w:spacing w:after="0" w:line="102" w:lineRule="exact"/>
              <w:rPr>
                <w:sz w:val="20"/>
                <w:szCs w:val="20"/>
                <w:color w:val="auto"/>
              </w:rPr>
            </w:pPr>
            <w:r>
              <w:rPr>
                <w:rFonts w:ascii="Arial" w:cs="Arial" w:eastAsia="Arial" w:hAnsi="Arial"/>
                <w:sz w:val="11"/>
                <w:szCs w:val="11"/>
                <w:b w:val="1"/>
                <w:bCs w:val="1"/>
                <w:color w:val="auto"/>
              </w:rPr>
              <w:t>Weighted</w:t>
            </w: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Grant</w:t>
            </w: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9,340</w:t>
            </w: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$ 1.33 - $132.06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Plan Shares Expired</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(3,807)</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3.69 - $14.86</w:t>
            </w:r>
          </w:p>
        </w:tc>
        <w:tc>
          <w:tcPr>
            <w:tcW w:w="3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2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(1,534)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1.33 - $15.00</w:t>
            </w:r>
          </w:p>
        </w:tc>
        <w:tc>
          <w:tcPr>
            <w:tcW w:w="380" w:type="dxa"/>
            <w:vAlign w:val="bottom"/>
            <w:gridSpan w:val="3"/>
          </w:tcPr>
          <w:p>
            <w:pPr>
              <w:ind w:left="26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$ 1.33 - </w:t>
            </w:r>
            <w:r>
              <w:rPr>
                <w:rFonts w:ascii="Arial" w:cs="Arial" w:eastAsia="Arial" w:hAnsi="Arial"/>
                <w:sz w:val="18"/>
                <w:szCs w:val="18"/>
                <w:u w:val="single" w:color="auto"/>
                <w:color w:val="auto"/>
              </w:rPr>
              <w:t>$</w:t>
            </w:r>
            <w:r>
              <w:rPr>
                <w:rFonts w:ascii="Arial" w:cs="Arial" w:eastAsia="Arial" w:hAnsi="Arial"/>
                <w:sz w:val="18"/>
                <w:szCs w:val="18"/>
                <w:color w:val="auto"/>
              </w:rPr>
              <w:t>132.00</w:t>
            </w:r>
          </w:p>
        </w:tc>
        <w:tc>
          <w:tcPr>
            <w:tcW w:w="3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8"/>
                <w:szCs w:val="18"/>
                <w:color w:val="auto"/>
              </w:rPr>
              <w:t>Outstanding at December 31, 2004</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11,831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$ 1.33 - $132.06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Shares Expired</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300"/>
          </w:cols>
          <w:pgMar w:left="240" w:top="368" w:right="359" w:bottom="0" w:gutter="0" w:footer="0" w:header="0"/>
        </w:sectPr>
      </w:pPr>
    </w:p>
    <w:bookmarkStart w:id="98" w:name="page99"/>
    <w:bookmarkEnd w:id="98"/>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(10,196)</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10,196</w:t>
            </w:r>
          </w:p>
        </w:tc>
        <w:tc>
          <w:tcPr>
            <w:tcW w:w="2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4.95 - $9.54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Pr>
          <w:p>
            <w:pPr>
              <w:spacing w:after="0"/>
              <w:rPr>
                <w:sz w:val="20"/>
                <w:szCs w:val="20"/>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 $6.43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4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600" w:type="dxa"/>
            <w:vAlign w:val="bottom"/>
          </w:tcPr>
          <w:p>
            <w:pPr>
              <w:jc w:val="right"/>
              <w:spacing w:after="0"/>
              <w:rPr>
                <w:sz w:val="20"/>
                <w:szCs w:val="20"/>
                <w:color w:val="auto"/>
              </w:rPr>
            </w:pPr>
            <w:r>
              <w:rPr>
                <w:rFonts w:ascii="Arial" w:cs="Arial" w:eastAsia="Arial" w:hAnsi="Arial"/>
                <w:sz w:val="18"/>
                <w:szCs w:val="18"/>
                <w:color w:val="auto"/>
              </w:rPr>
              <w:t>8,269</w:t>
            </w:r>
          </w:p>
        </w:tc>
        <w:tc>
          <w:tcPr>
            <w:tcW w:w="4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(8,269)</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xml:space="preserve">$ 3.58 - </w:t>
            </w:r>
            <w:r>
              <w:rPr>
                <w:rFonts w:ascii="Arial" w:cs="Arial" w:eastAsia="Arial" w:hAnsi="Arial"/>
                <w:sz w:val="18"/>
                <w:szCs w:val="18"/>
                <w:u w:val="single" w:color="auto"/>
                <w:color w:val="auto"/>
              </w:rPr>
              <w:t>$</w:t>
            </w:r>
            <w:r>
              <w:rPr>
                <w:rFonts w:ascii="Arial" w:cs="Arial" w:eastAsia="Arial" w:hAnsi="Arial"/>
                <w:sz w:val="18"/>
                <w:szCs w:val="18"/>
                <w:color w:val="auto"/>
              </w:rPr>
              <w:t>132.00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10.42</w:t>
            </w:r>
          </w:p>
        </w:tc>
        <w:tc>
          <w:tcPr>
            <w:tcW w:w="140" w:type="dxa"/>
            <w:vAlign w:val="bottom"/>
          </w:tcPr>
          <w:p>
            <w:pPr>
              <w:spacing w:after="0"/>
              <w:rPr>
                <w:sz w:val="18"/>
                <w:szCs w:val="18"/>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13,165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1.33 - $52.88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Borders>
              <w:top w:val="single" w:sz="8" w:color="CCEEFF"/>
            </w:tcBorders>
            <w:shd w:val="clear" w:color="auto" w:fill="CCEEFF"/>
          </w:tcPr>
          <w:p>
            <w:pPr>
              <w:spacing w:after="0"/>
              <w:rPr>
                <w:sz w:val="18"/>
                <w:szCs w:val="18"/>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Employee Stock Purchase Plan</w:t>
      </w:r>
    </w:p>
    <w:p>
      <w:pPr>
        <w:spacing w:after="0" w:line="121"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In August 1999, the Board of Directors approved the 1999 Employee Stock Purchase Plan (the “Purchase Plan”). A total of 2.9 million shares of Common Stock have been authorized for issuance under the Purchase Plan. The Purchase Plan qualifies as an employee stock purchase plan within the meaning of Section 423 of the Internal Revenue Service Code. The Purchase Plan commenced in November 1999 upon completion of the Company’s initial public offering. On November 16, 2005, the Compensation Committee of the Board of Directors elected to suspend all future offerings under the Purchase Plan effective January 1, 2006.</w:t>
      </w:r>
    </w:p>
    <w:p>
      <w:pPr>
        <w:spacing w:after="0" w:line="80"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Unless otherwise determined by the Compensation Committee of the Board of Directors, all employees were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Employees who actively participated in the Purchase Plan were eligible to have up to 15% of their earnings for each purchase period withheld pursuant to the Purchase Plan. The amount that was withheld was used at various purchase dates within the offering period to purchase shares of Common Stock. The price paid for Common Stock at each such purchase date was then equal the lower of 85% of the fair market value of the Common Stock at the commencement date of that offering period or 85% of the fair market value of the Common Stock on the relevant purchase date. Employees were also able to end their participation in the offering at any time during the offering period, and participation ended automatically upon termination of employment. From the Purchase Plan’s inception through December 31, 2005, the cumulative number of shares of Common Stock that have been issued under the Purchase Plan was 2,005,899.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Restricted Stock Unit Agreement</w:t>
      </w:r>
    </w:p>
    <w:p>
      <w:pPr>
        <w:spacing w:after="0" w:line="121" w:lineRule="exact"/>
        <w:rPr>
          <w:sz w:val="20"/>
          <w:szCs w:val="20"/>
          <w:color w:val="auto"/>
        </w:rPr>
      </w:pPr>
    </w:p>
    <w:p>
      <w:pPr>
        <w:ind w:right="300" w:firstLine="360"/>
        <w:spacing w:after="0" w:line="273" w:lineRule="auto"/>
        <w:rPr>
          <w:sz w:val="20"/>
          <w:szCs w:val="20"/>
          <w:color w:val="auto"/>
        </w:rPr>
      </w:pPr>
      <w:r>
        <w:rPr>
          <w:rFonts w:ascii="Arial" w:cs="Arial" w:eastAsia="Arial" w:hAnsi="Arial"/>
          <w:sz w:val="17"/>
          <w:szCs w:val="17"/>
          <w:color w:val="auto"/>
        </w:rPr>
        <w:t>On January 10, 2007, the Compensation Committee of the Board approved a form of Restricted Stock Unit Agreement (the “RSU Agreement”) to govern the issuance of restricted stock units (“RSU”) to executive officers under the Company’s 2005 Equity Incentive Plan (the “Plan”). Each RSU represents the right to receive a share of Stock (a “Share”) on the vesting date. Unless and until the RSUs vest, the Employee will have no right to receive Shares under such RSUs. Prior to actual distribution of Shares pursuant to any vested RSUs, such RSUs will represent an unsecured obligation of the Company, payable (if at all) only from the general assets of the Company. The RSUs that may be awarded to executive officers under the RSU Agreement will vest according to vesting schedules specified in the notice of grant accompanying each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Shelf Registration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February 19, 2004 the Company filed a universal shelf Registration statement on Form S-3 and an acquisition shelf Registration on Form S-4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and Exchange Commission (SEC). The Company has no immediate plans to raise capital under the shelf Form S-3 or to utilize the shelf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 S-4 for acquisition transactions. The universal shelf registration statement on Form S-3 will permit the Company to sell, in one or more public offerings,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newly issued common stock, shares of newly issued preferred stock, warrants or debt securities, or any combination of such securities, for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 aggregate amount of up to $200 million. In addition, the universal shelf will permit certain stockholders who purchased the Company’s Series A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B Convertible Preferred Stock, to sell up to 5.4 million shares of common stock, all of which are currently included in the Company’s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2005 weighted average diluted common shares outstanding. The acquisition shelf registration statement on Form S-4 will enable the Company to issue 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of its common stock in one or more acquisition transactions that the Company may make from time to time. These transactions may include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assets, businesses or securities, whether by purchase, merger or any other form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Stockholder Rights Agreement</w:t>
      </w:r>
    </w:p>
    <w:p>
      <w:pPr>
        <w:spacing w:after="0" w:line="121"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On December 16, 2004, the Company entered into a Stockholder Right Agreement (the “Rights Agreement”). Under the terms of the Rights Agreement, initially, the Rights will attach to all certificates representing shares of outstanding Company common stock and no separate Rights Certificates will be distributed. Subject to the provisions of the Rights Agreement the Rights will separate from the Company common stock and the “Distribution Date” will occur upon the earlier of (i) ten business days following a public announcement (the date of such announcement being the “Stock Acquisition Date”) that person or group of affiliated or associated persons has acquired or obtained the right to acquire beneficial ownership of 15% or more of the then-outstanding Common Stock (an “Acquiring Person”), or (ii) ten business days (or such later date as may be determined by action of the Board of Directors prior to such time as any person becomes an Acquiring Person) following the commencement of a tender offer or exchange offer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that would result in a person or group becoming an Acquiring Person. An Acquiring Person does not include certain persons specified in the Rights Agreement.</w:t>
      </w:r>
    </w:p>
    <w:p>
      <w:pPr>
        <w:spacing w:after="0" w:line="62"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On December 16, 2004, the Company’s Board of Directors authorized and declared a dividend of one right (a “Right”) to purchase on one-hundredth of a share of the Company’s Series C Preferred Stock (“Series C Preferred”) for each outstanding share of Common Stock, par value $0.001 (“Common Stock”), to stockholders of record as of the close of business December 27, 2004 (the “Record Date”). Each Right entitles the registered holder, subject to the terms of the Rights Agreement, to purchase from the Company one one-hundredth of a share of Series C Preferred at a purchase price of $54.00, subject to adjustment (the “Purchase Price”).</w:t>
      </w:r>
    </w:p>
    <w:p>
      <w:pPr>
        <w:spacing w:after="0" w:line="80"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Rights are not exercisable until the Distribution Date and will expire at the close of business on the tenth anniversary of the Rights Agreement unless earlier redeemed or exchanged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Employee Benefit Plan</w:t>
      </w:r>
    </w:p>
    <w:p>
      <w:pPr>
        <w:sectPr>
          <w:pgSz w:w="11900" w:h="16883" w:orient="portrait"/>
          <w:cols w:equalWidth="0" w:num="1">
            <w:col w:w="11420"/>
          </w:cols>
          <w:pgMar w:left="240" w:top="125" w:right="239" w:bottom="0" w:gutter="0" w:footer="0" w:header="0"/>
        </w:sectPr>
      </w:pPr>
    </w:p>
    <w:bookmarkStart w:id="99" w:name="page100"/>
    <w:bookmarkEnd w:id="99"/>
    <w:p>
      <w:pPr>
        <w:ind w:right="100" w:firstLine="360"/>
        <w:spacing w:after="0" w:line="259" w:lineRule="auto"/>
        <w:rPr>
          <w:sz w:val="20"/>
          <w:szCs w:val="20"/>
          <w:color w:val="auto"/>
        </w:rPr>
      </w:pPr>
      <w:r>
        <w:rPr>
          <w:rFonts w:ascii="Arial" w:cs="Arial" w:eastAsia="Arial" w:hAnsi="Arial"/>
          <w:sz w:val="18"/>
          <w:szCs w:val="18"/>
          <w:color w:val="auto"/>
        </w:rPr>
        <w:t>In 1996, the Company implemented a 401(k) savings plan pursuant to Section 401(k) of the Internal Revenue Code (the “Code”), covering substantially all employees. Participants in the plan may contribute a percentage of compensation, but not in excess of the maximum allowed under the Code. The Company may make contributions at the discretion of its Board of Directors. The Company made contributions of $0.3 million in 2004, $2.1 million in 2005 and $1.2 million in 2006.</w:t>
      </w:r>
    </w:p>
    <w:p>
      <w:pPr>
        <w:spacing w:after="0" w:line="79"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On November 18, 2004, the Board of Directors adopted the Wireless Facilities, Inc. Nonqualified Deferred Compensation Plan, effective as of January 1, 2005 (the “Plan”). The Plan provides executive officers and other eligible highly compensated employees with the opportunity to enter into agreements to defer up to eighty percent (80%) of their cash compensation derived from base salary, bonus awards and/or commissions. In addition, the Company may, in its sole and absolute discretion, award any participant under the Plan an additional employer contribution. Deferrals are adjusted for gain or loss based on the performance of one or more investment options selected by the participant from among investment funds chosen by the committee appointed to administer the Plan. Participants may elect that distribution of deferred amounts be paid in the form of either a lump sum or in annual installments if the participant terminates employment as a result of his or her retirement. However, all other distributions under the Plan will be made in a single lump sum. Distributions occur upon termination of service or upon such other dates that may be elected by the participant in accordance with the terms of the Plan. The Company, in its sole discretion, may suspend or terminate the Plan or revise of amend it in any respect whatsoever; provided, however, that no such action may reduce amounts credited to deferral accounts and such accounts will continue to be owed to the participants or beneficiaries and will continue to be a liability of the Company.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Significant Customers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our key customers for the years presented and the percentage of net sales made to such customers (in millions):</w:t>
      </w:r>
    </w:p>
    <w:p>
      <w:pPr>
        <w:spacing w:after="0" w:line="131"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Key Customer</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62"/>
        </w:trPr>
        <w:tc>
          <w:tcPr>
            <w:tcW w:w="60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10"/>
        </w:trPr>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2004</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Cingular (now AT&amp;T)</w:t>
            </w:r>
          </w:p>
        </w:tc>
        <w:tc>
          <w:tcPr>
            <w:tcW w:w="580" w:type="dxa"/>
            <w:vAlign w:val="bottom"/>
          </w:tcPr>
          <w:p>
            <w:pPr>
              <w:jc w:val="right"/>
              <w:spacing w:after="0"/>
              <w:rPr>
                <w:sz w:val="20"/>
                <w:szCs w:val="20"/>
                <w:color w:val="auto"/>
              </w:rPr>
            </w:pPr>
            <w:r>
              <w:rPr>
                <w:rFonts w:ascii="Arial" w:cs="Arial" w:eastAsia="Arial" w:hAnsi="Arial"/>
                <w:sz w:val="18"/>
                <w:szCs w:val="18"/>
                <w:color w:val="auto"/>
                <w:w w:val="95"/>
              </w:rPr>
              <w:t>$ 67.9</w:t>
            </w:r>
          </w:p>
        </w:tc>
        <w:tc>
          <w:tcPr>
            <w:tcW w:w="22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Western Wireless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Cingular (now AT&amp;T)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U.S. Navy</w:t>
            </w:r>
          </w:p>
        </w:tc>
        <w:tc>
          <w:tcPr>
            <w:tcW w:w="58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Cingular (now AT&amp;T)</w:t>
            </w:r>
          </w:p>
        </w:tc>
        <w:tc>
          <w:tcPr>
            <w:tcW w:w="580" w:type="dxa"/>
            <w:vAlign w:val="bottom"/>
          </w:tcPr>
          <w:p>
            <w:pPr>
              <w:jc w:val="right"/>
              <w:spacing w:after="0"/>
              <w:rPr>
                <w:sz w:val="20"/>
                <w:szCs w:val="20"/>
                <w:color w:val="auto"/>
              </w:rPr>
            </w:pPr>
            <w:r>
              <w:rPr>
                <w:rFonts w:ascii="Arial" w:cs="Arial" w:eastAsia="Arial" w:hAnsi="Arial"/>
                <w:sz w:val="18"/>
                <w:szCs w:val="18"/>
                <w:color w:val="auto"/>
              </w:rPr>
              <w:t>89.6</w:t>
            </w:r>
          </w:p>
        </w:tc>
        <w:tc>
          <w:tcPr>
            <w:tcW w:w="22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Navy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Sprint</w:t>
            </w:r>
          </w:p>
        </w:tc>
        <w:tc>
          <w:tcPr>
            <w:tcW w:w="580" w:type="dxa"/>
            <w:vAlign w:val="bottom"/>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Our top five customers accounted for approximately 53%, 54% and 56% of our total revenue in 2004, 2005 and 2006, respectively. The U.S. Navy is a customer of our Government Services segment and Cingular (now AT&amp;T), Sprint and Western Wireless are customers of our Wireless Network Services segment.</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net accounts receivable for customers with significant concentrations (in millions):</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Key Customer</w:t>
            </w:r>
          </w:p>
        </w:tc>
        <w:tc>
          <w:tcPr>
            <w:tcW w:w="1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Accounts receivable, net</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 of Total accounts</w:t>
            </w:r>
          </w:p>
        </w:tc>
        <w:tc>
          <w:tcPr>
            <w:tcW w:w="0" w:type="dxa"/>
            <w:vAlign w:val="bottom"/>
          </w:tcPr>
          <w:p>
            <w:pPr>
              <w:spacing w:after="0"/>
              <w:rPr>
                <w:sz w:val="1"/>
                <w:szCs w:val="1"/>
                <w:color w:val="auto"/>
              </w:rPr>
            </w:pPr>
          </w:p>
        </w:tc>
      </w:tr>
      <w:tr>
        <w:trPr>
          <w:trHeight w:val="162"/>
        </w:trPr>
        <w:tc>
          <w:tcPr>
            <w:tcW w:w="458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receivable, net</w:t>
            </w: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2004</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Cingular (now AT&amp;T)</w:t>
            </w: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$ 14.9</w:t>
            </w:r>
          </w:p>
        </w:tc>
        <w:tc>
          <w:tcPr>
            <w:tcW w:w="220" w:type="dxa"/>
            <w:vAlign w:val="bottom"/>
          </w:tcPr>
          <w:p>
            <w:pPr>
              <w:spacing w:after="0"/>
              <w:rPr>
                <w:sz w:val="18"/>
                <w:szCs w:val="18"/>
                <w:color w:val="auto"/>
              </w:rPr>
            </w:pPr>
          </w:p>
        </w:tc>
        <w:tc>
          <w:tcPr>
            <w:tcW w:w="1300" w:type="dxa"/>
            <w:vAlign w:val="bottom"/>
          </w:tcPr>
          <w:p>
            <w:pPr>
              <w:jc w:val="right"/>
              <w:ind w:right="316"/>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Cingular (now AT&amp;T)</w:t>
            </w: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8"/>
                <w:szCs w:val="18"/>
                <w:color w:val="auto"/>
              </w:rPr>
            </w:pPr>
          </w:p>
        </w:tc>
        <w:tc>
          <w:tcPr>
            <w:tcW w:w="1300" w:type="dxa"/>
            <w:vAlign w:val="bottom"/>
          </w:tcPr>
          <w:p>
            <w:pPr>
              <w:jc w:val="right"/>
              <w:ind w:right="316"/>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Cingular (now AT&amp;T)</w:t>
            </w: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1300" w:type="dxa"/>
            <w:vAlign w:val="bottom"/>
          </w:tcPr>
          <w:p>
            <w:pPr>
              <w:jc w:val="right"/>
              <w:ind w:right="316"/>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Sprint</w:t>
            </w:r>
          </w:p>
        </w:tc>
        <w:tc>
          <w:tcPr>
            <w:tcW w:w="15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21"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SFAS No. 131, “Disclosures about Segments of an Enterprise and Related Information,” establishes annual and interim reporting standards for an enterprise’s operating segments and related disclosures about its products, services, geographic areas and major customers. An operating segment is defined as a component of an enterprise that engages in business activities from which it may earn revenues and incur expenses, and about which separate financial information is regularly evaluated by the chief operating decision maker in deciding how to allocate resources. Our chief operating decision maker is our Chief Executive Officer.</w:t>
      </w:r>
    </w:p>
    <w:p>
      <w:pPr>
        <w:spacing w:after="0" w:line="8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2004, the Company reorganized its operating segments to reflect its current operations and strategic direction. Effective January 1, 2004, the Company reorganized its business along service lines including three reportable segments: Wireless Network Services, Enterprise Network Services, and Government Network Services. The Company evaluates the performance of our operating segments based on operating income. Operating income includes the allocation of certain corporate expenses to the segments, including depreciation and amortization expense related to corporate assets. Certain income and charges are not allocated to segments in the Company’s management reports because they are not considered in evaluating the segments’ operating performance. Unallocated income and charges are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primarily related to share based compensation charges and related tax adjustments and accruals such as unused office space. As of December 31, 2006 we had discontinued substantially all of our international operations so all items presented for continuing operations relate to the United States and assets presented for discontinued operations relate to international geographical locations. All prior period amounts have been reclassified in order to conform with the current period presentation and allocation methodology.</w:t>
      </w:r>
    </w:p>
    <w:p>
      <w:pPr>
        <w:sectPr>
          <w:pgSz w:w="11900" w:h="16838" w:orient="portrait"/>
          <w:cols w:equalWidth="0" w:num="1">
            <w:col w:w="11420"/>
          </w:cols>
          <w:pgMar w:left="240" w:top="125" w:right="239" w:bottom="0" w:gutter="0" w:footer="0" w:header="0"/>
        </w:sectPr>
      </w:pPr>
    </w:p>
    <w:bookmarkStart w:id="100" w:name="page101"/>
    <w:bookmarkEnd w:id="100"/>
    <w:p>
      <w:pPr>
        <w:spacing w:after="0" w:line="79"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Revenues, operating income (loss) and assets provided by the Company’s segments for the years ended December 31, 2004, 2005 and 2006 are as follows (in millions):</w:t>
      </w:r>
    </w:p>
    <w:p>
      <w:pPr>
        <w:spacing w:after="0" w:line="81" w:lineRule="exact"/>
        <w:rPr>
          <w:sz w:val="20"/>
          <w:szCs w:val="20"/>
          <w:color w:val="auto"/>
        </w:rPr>
      </w:pPr>
    </w:p>
    <w:tbl>
      <w:tblPr>
        <w:tblLayout w:type="fixed"/>
        <w:tblInd w:w="1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9"/>
              </w:rPr>
              <w:t>2004</w:t>
            </w: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6"/>
              </w:rPr>
              <w:t>2005</w:t>
            </w:r>
          </w:p>
        </w:tc>
        <w:tc>
          <w:tcPr>
            <w:tcW w:w="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00" w:type="dxa"/>
            <w:vAlign w:val="bottom"/>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93"/>
              </w:rPr>
              <w:t>(Restated)</w:t>
            </w:r>
          </w:p>
        </w:tc>
        <w:tc>
          <w:tcPr>
            <w:tcW w:w="220" w:type="dxa"/>
            <w:vAlign w:val="bottom"/>
          </w:tcPr>
          <w:p>
            <w:pPr>
              <w:spacing w:after="0"/>
              <w:rPr>
                <w:sz w:val="11"/>
                <w:szCs w:val="11"/>
                <w:color w:val="auto"/>
              </w:rPr>
            </w:pPr>
          </w:p>
        </w:tc>
        <w:tc>
          <w:tcPr>
            <w:tcW w:w="720" w:type="dxa"/>
            <w:vAlign w:val="bottom"/>
            <w:gridSpan w:val="4"/>
          </w:tcPr>
          <w:p>
            <w:pPr>
              <w:jc w:val="right"/>
              <w:ind w:right="60"/>
              <w:spacing w:after="0" w:line="129" w:lineRule="exact"/>
              <w:rPr>
                <w:sz w:val="20"/>
                <w:szCs w:val="20"/>
                <w:color w:val="auto"/>
              </w:rPr>
            </w:pPr>
            <w:r>
              <w:rPr>
                <w:rFonts w:ascii="Arial" w:cs="Arial" w:eastAsia="Arial" w:hAnsi="Arial"/>
                <w:sz w:val="14"/>
                <w:szCs w:val="14"/>
                <w:b w:val="1"/>
                <w:bCs w:val="1"/>
                <w:color w:val="auto"/>
                <w:w w:val="93"/>
              </w:rPr>
              <w:t>(Restated)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Wireless Network Services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179.3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185.4</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174.7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Enterprise Network Services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Government Network Services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Wireless Network Services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Enterprise Network Services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Network Services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Reconciling amounts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income (loss)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Wireless Network Services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Enterprise Network Services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Network Services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Discontinued Operations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335.9</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operating income (loss) of Enterprise Network Services for 2004, 2005 and 2006 were impacted by the following items:</w:t>
      </w:r>
    </w:p>
    <w:p>
      <w:pPr>
        <w:spacing w:after="0" w:line="117" w:lineRule="exact"/>
        <w:rPr>
          <w:sz w:val="20"/>
          <w:szCs w:val="20"/>
          <w:color w:val="auto"/>
        </w:rPr>
      </w:pPr>
    </w:p>
    <w:p>
      <w:pPr>
        <w:ind w:left="540" w:right="280" w:hanging="172"/>
        <w:spacing w:after="0" w:line="277"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expense in 2004 for contingent acquisition consideration of $12.4 million resulting from the Company’s amendment of the purchase agreements related to two of the companies acquired in the ENS division.</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benefit to operating income in 2005 as a result of a $2.1 million credit to reduce an excess contingent acquisition accrual.</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charges in 2006 of $18.3 million related to the impairment of goodwill and a $1.8 million impairment of an asset.</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operating loss related to the Wireless Network Services segment in 2006 is primarily due to reduced margins in our deployment business that have been negatively impacted by a large national deployment program under which the customer is issuing purchase orders for each separate phase of the project, rather than the entire project, resulting in the Company recording zero profit margin or below the anticipated projected margin at completion on these projects.</w:t>
      </w:r>
    </w:p>
    <w:p>
      <w:pPr>
        <w:spacing w:after="0" w:line="79"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The reconciling amounts in 2004 were impacted by the reduction of approximately $12.2 million of previously recorded payroll tax adjustments related to stock-based compensation expense that was previously recorded related to stock-based compensation expense from 2000 to 2003. The reconciling amounts in 2006 were impacted by increased stock-based compensation expense due to the Company’s adoption of SFAS No. 123R in January 2006.</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Assets of the Company’s corporate headquarters and other corporate related assets have been included in the assets of the Wireless Network Services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121"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On May 30, 2002, the Company issued an aggregate of 90,000 shares of Series B Convertible Preferred Stock, at an aggregate purchase price of $45.0 million, in a private placement to entities affiliated with one of the directors of the Company (40,000 shares), to a brother of the Chairman and Chief Executive Officer of the Company (10,000 shares) and to an unrelated third-party investor (40,000 shares). The Company received $44.9 million of net proceeds. Each share of Series B Convertible Preferred Stock is initially convertible into 100 shares of Common Stock for a conversion price of $5.00 per share, which was the fair market value of the common stock at the closing, at the option of the holder at any time, subject to certain provisions in the Series B Preferred Stock Purchase Agreement. The Series B Preferred Stock Purchase Agreement had a lock-up provision, which has expired prior to March 5, 2004, on which date 40,000 shares of Series B Convertible Preferred Stock were converted into 4,000,000 shares of the Company’s Common Stock. On April 5, 2006, 15,483 shares of Series B Convertible Preferred Stock were converted into 1,548,300 shares of the Company’s Common Stock.</w:t>
      </w:r>
    </w:p>
    <w:p>
      <w:pPr>
        <w:spacing w:after="0" w:line="58"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Through December 31, 2006, the Company has received notices from the holders to convert an aggregate number of 80,000 shares of Series B Convertible Preferred Stock into an aggregate 8,000,000 shares of the Company’s Common Stock. On December 31, 2005 and December 31, 2006, the total liquidated preference equaled $12.7 million and $5.0 million, respectively.</w:t>
      </w:r>
    </w:p>
    <w:p>
      <w:pPr>
        <w:spacing w:after="0" w:line="73"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In 2003, in connection with the Company’s acquisition of a company in its Enterprise Network Services business, the Company assumed certain facility lease obligations relating to facilities that were owned by the previous shareholders. The lease expense, which approximates $0.3 million, $0.2 million and $0.2 million for the years ended December 31, 2004, 2005 and 2006, respectively, is reflected in the statement of operations.</w:t>
      </w:r>
    </w:p>
    <w:p>
      <w:pPr>
        <w:spacing w:after="0" w:line="57"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In connection with the Company’s acquisition of TLA in January 2005, the Company assumed certain facility lease obligations for a facility owned by the previous shareholders. The lease expense, which approximates $0.7 million for the year ended December 31, 2005 and December 31, 2006, respectively, is reflected in the statement of operations.</w:t>
      </w:r>
    </w:p>
    <w:p>
      <w:pPr>
        <w:spacing w:after="0" w:line="73"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On February 17, 2006, the Company entered into a definitive agreement to divest all of its operations in Mexico for total approximate cash consideration of $18.0 million subject to adjustments for the closing net asset calculations, with $1.5 million payable in cash on signing of the Equity Purchase Agreement and $16.5 million by means of a secured promissory note payable in installments through December 2006, which approximates the net book value of the operations. The purchaser, Sakoki LLC, is a newly-formed entity controlled by Massih Tayebi. Although Massih Tayebi has no current role with the Company, he was a co-founder of the Company, having served as Chief Executive Officer from inception in 1994 through September 2000 and as a director from inception through April 2002. In addition, as of July 31, 2007, Massih Tayebi owns or controls approximately 8.2% of the total voting power of the Company’s capital stock. He is also the brother of Masood Tayebi, who was the Company’s Chairman of the Board of Directors until March 6, 2007. Masood Tayebi had no personal financial interest in the transaction and has no role with the entity that has purchased the Mexico Operations. The transaction was approved by the disinterested members of the Company’s Board of Directors after consideration of other expressions of interest and an independent valuation analysis.</w:t>
      </w:r>
    </w:p>
    <w:p>
      <w:pPr>
        <w:sectPr>
          <w:pgSz w:w="11900" w:h="16918" w:orient="portrait"/>
          <w:cols w:equalWidth="0" w:num="1">
            <w:col w:w="11380"/>
          </w:cols>
          <w:pgMar w:left="240" w:top="125" w:right="279" w:bottom="0" w:gutter="0" w:footer="0" w:header="0"/>
        </w:sectPr>
      </w:pPr>
    </w:p>
    <w:bookmarkStart w:id="101" w:name="page102"/>
    <w:bookmarkEnd w:id="101"/>
    <w:p>
      <w:pPr>
        <w:ind w:right="80" w:firstLine="360"/>
        <w:spacing w:after="0" w:line="264" w:lineRule="auto"/>
        <w:rPr>
          <w:sz w:val="20"/>
          <w:szCs w:val="20"/>
          <w:color w:val="auto"/>
        </w:rPr>
      </w:pPr>
      <w:r>
        <w:rPr>
          <w:rFonts w:ascii="Arial" w:cs="Arial" w:eastAsia="Arial" w:hAnsi="Arial"/>
          <w:sz w:val="18"/>
          <w:szCs w:val="18"/>
          <w:color w:val="auto"/>
        </w:rPr>
        <w:t>The final closing balance sheet as of February 17, 2006 resulted in net asset adjustments aggregating to a total approximate $18.9 million consideration, $1.5 million which was paid on February 17, 2006, with the remaining $17.4 million payable by means of the promissory note in installments through December 31, 2006 with an interest rate of 7.5% per annum. On June 26, 2006, the Company entered into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 Addendum with the buyer to finalize the closing net asset calculations, pursuant to which the parties agreed that the resulting total purchase price was $18.9 million. The Addendum also provided for a conditional waiver that permits the purchaser to make the payment due on August 17, 2006 by September 30, 2006, and for the installments due on November 17, 2006 and December 31, 2006 to be made on or before December 29, 2006. Failure to make the payments on such later dates would have resulted in a restoration of the original terms of the note. The first scheduled note payment of $3.3 million was received from the buyer on May 19, 2006, and the second scheduled note payment of $5.5 million was received in installments of $5.2 million on September 29, 2006 and $0.3 million on October 10, 2006. The remaining note receivable balance of $9.5 million which included accrued interest through December 29, 2006, was paid in full in on December 29, 2006.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2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The Company periodically evaluates all pending or threatened contingencies and any commitments, if any, that are reasonably likely to have a material adverse effect on its operations or financial position. The Company assesses the probability of an adverse outcome and determines if it is remote, reasonably possible or probable as defined in accordance with the provisions of SFAS No. 5, “Accounting for Contingencies.” If information available prior to the issuance of the Company’s financial statements indicates that it is probable that an asset had been impaired or a liability had been incurred at the date of the Company’s financial statements, and the amount of the loss, or the range of probable loss can be reasonably estimated, then such loss is accrued and charged to operations. If no accrual is made for a loss contingency because one or both of the conditions pursuant to SFAS No. 5 are not met, but the probability of an adverse outcome is at least reasonably possible, the Company will disclose the nature of the contingency and provide an estimate of the possible loss or range of loss, or state that such an estimate cannot be made.</w:t>
      </w:r>
    </w:p>
    <w:p>
      <w:pPr>
        <w:spacing w:after="0" w:line="71" w:lineRule="exact"/>
        <w:rPr>
          <w:sz w:val="20"/>
          <w:szCs w:val="20"/>
          <w:color w:val="auto"/>
        </w:rPr>
      </w:pPr>
    </w:p>
    <w:p>
      <w:pPr>
        <w:ind w:right="140" w:firstLine="360"/>
        <w:spacing w:after="0" w:line="312" w:lineRule="auto"/>
        <w:rPr>
          <w:sz w:val="20"/>
          <w:szCs w:val="20"/>
          <w:color w:val="auto"/>
        </w:rPr>
      </w:pPr>
      <w:r>
        <w:rPr>
          <w:rFonts w:ascii="Arial" w:cs="Arial" w:eastAsia="Arial" w:hAnsi="Arial"/>
          <w:sz w:val="16"/>
          <w:szCs w:val="16"/>
          <w:color w:val="auto"/>
        </w:rPr>
        <w:t>The Company assesses tax uncertainties and exposure items related to value added taxes (VAT) after taking into consideration the probability of the tax contingencies being incurred. Accordingly, based upon the Company’s assessment of the probability of these tax contingencies, it was determined that accruals of $0.8 million and $0.8 million for VAT tax contingencies were required as of December 31, 2005 and December 31, 2006, respectively.</w:t>
      </w:r>
    </w:p>
    <w:p>
      <w:pPr>
        <w:spacing w:after="0" w:line="39"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The Company maintains an accrual for the Company’s health and workers compensation partial self-insurance, which is a component of total accrued expenses in the consolidated balance sheets. Management determines the adequacy of these accruals based on a monthly evaluation of the Company’s historical experience and trends related to both medical and workers compensation claims and payments, information provided to the Company by the Company’s insurance broker, industry experience and the average lag period in which claims are paid. If such information indicates that the Company’s accruals require adjustment, the Company will, correspondingly, revise the assumptions utilized in the Company’s methodologies and reduce or provide for additional accruals as deemed appropriate. As of December 31, 2005 and December 31, 2006, the accrual for the Company’s partial self-insurance programs approximated $2.6 million and $1.8 million, respectively. The Company also carries stop-loss insurance that provides coverage limiting the Company’s total exposure related to each medical and workers compensation claim incurred, as defined in the applicable insurance policies. The medical and workers compensation annual claim limits are $100,000 and $250,000, respectively. For the year ending December 31, 2006, the Company experienced no claims that exceeded the limits for medical and one claim that exceeded the limits for workers compensation. As of December 31, 2006, the Company had a $700,000 letter of credit outstanding issued from the Company’s insurance carrier to cover a performance bond and liabilities in connection with the Company’s workers’ compensation partial self-insurance.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Legal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11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 xml:space="preserve">Beginning in June 2001, WFI and certain of its officers and directors were named as defendants in several parallel class action shareholder complaints filed in the United States District Court for the Southern District of New York, now consolidated under the caption, </w:t>
      </w:r>
      <w:r>
        <w:rPr>
          <w:rFonts w:ascii="Arial" w:cs="Arial" w:eastAsia="Arial" w:hAnsi="Arial"/>
          <w:sz w:val="16"/>
          <w:szCs w:val="16"/>
          <w:i w:val="1"/>
          <w:iCs w:val="1"/>
          <w:color w:val="auto"/>
        </w:rPr>
        <w:t>In re Wireless Facilities, Inc. Initial</w:t>
      </w:r>
      <w:r>
        <w:rPr>
          <w:rFonts w:ascii="Arial" w:cs="Arial" w:eastAsia="Arial" w:hAnsi="Arial"/>
          <w:sz w:val="16"/>
          <w:szCs w:val="16"/>
          <w:color w:val="auto"/>
        </w:rPr>
        <w:t xml:space="preserve"> </w:t>
      </w:r>
      <w:r>
        <w:rPr>
          <w:rFonts w:ascii="Arial" w:cs="Arial" w:eastAsia="Arial" w:hAnsi="Arial"/>
          <w:sz w:val="16"/>
          <w:szCs w:val="16"/>
          <w:i w:val="1"/>
          <w:iCs w:val="1"/>
          <w:color w:val="auto"/>
        </w:rPr>
        <w:t>Public Offering Securities Litigation</w:t>
      </w:r>
      <w:r>
        <w:rPr>
          <w:rFonts w:ascii="Arial" w:cs="Arial" w:eastAsia="Arial" w:hAnsi="Arial"/>
          <w:sz w:val="16"/>
          <w:szCs w:val="16"/>
          <w:color w:val="auto"/>
        </w:rPr>
        <w:t>, Case No. 01-CV-4779. In the amended complaint, the plaintiffs allege that WFI, certain of its officers and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underwriters of WFI’s initial public offering (“IPO”) violated section 11 of the Securities Act of 1933 and section 10(b) of the Securities Exchange Act of 1934 based on allegations that WFI’s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June 2004, the Issuers (including WFI) executed a settlement agreement with the plaintiffs that would, among other things, result in the dismissal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prejudice of all claims against the Issuers and their officers and directors and the assignment of certain potential Issuer claims to the plaintiffs.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15, 2005, the court issued a decision certifying a class action for settlement purposes and granting preliminary approval of the settlement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modification of certain bar orders contemplated by the settlement. On August 31, 2005, the court reaffirmed class certification and preliminary approval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modified settlement in a comprehensive Order. On February 24, 2006, the court dismissed litigation filed against certain underwriters in connection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 certain claims to be assigned under the settlement. On April 24, 2006, the court held a Final Fairness Hearing to determine whether to grant final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approval of the settlement. On December 5, 2006, the Second Circuit Court of Appeals vacated the lower court’s earlier decision certifying as class actions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six IPO Cases designated as “focus cases.” Thereafter, the District Court ordered a stay of all proceedings in all of the IPO Cases pending the outcome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plaintiffs’ petition to the Second Circuit for rehearing en banc and resolution of the class certification issue. On April 6, 2007, the Second Circuit denied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plaintiffs’ rehearing petition, but clarified that the plaintiffs may seek to certify a more limited class in the District Court. Accordingly, the stay remains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place and the plaintiffs and Issuers have stated that they are prepared to discuss how the settlement might be amended or renegotiated to comply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Circuit’s decision. Plaintiffs filed amended complaints in the six focus cases on or about August 14, 2007. The court has not yet set a deadline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plaintiffs to file amended complaints in the other IPO lawsuits. WFI is covered by a claims-made liability insurance policy which it believes will satisfy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potential liability of WFI under this settlement. Due to the inherent uncertainties of litigation, and because the settlement may not receive final approval</w:t>
      </w:r>
    </w:p>
    <w:p>
      <w:pPr>
        <w:sectPr>
          <w:pgSz w:w="11900" w:h="16838" w:orient="portrait"/>
          <w:cols w:equalWidth="0" w:num="1">
            <w:col w:w="11400"/>
          </w:cols>
          <w:pgMar w:left="240" w:top="125" w:right="259" w:bottom="0" w:gutter="0" w:footer="0" w:header="0"/>
        </w:sectPr>
      </w:pPr>
    </w:p>
    <w:bookmarkStart w:id="102" w:name="page103"/>
    <w:bookmarkEnd w:id="102"/>
    <w:p>
      <w:pPr>
        <w:ind w:right="120"/>
        <w:spacing w:after="0" w:line="308" w:lineRule="auto"/>
        <w:rPr>
          <w:sz w:val="20"/>
          <w:szCs w:val="20"/>
          <w:color w:val="auto"/>
        </w:rPr>
      </w:pPr>
      <w:r>
        <w:rPr>
          <w:rFonts w:ascii="Arial" w:cs="Arial" w:eastAsia="Arial" w:hAnsi="Arial"/>
          <w:sz w:val="17"/>
          <w:szCs w:val="17"/>
          <w:color w:val="auto"/>
        </w:rPr>
        <w:t xml:space="preserve">from the Court, the ultimate outcome of this matter cannot be predicted. In accordance with FASB No.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xml:space="preserve"> WFI believes any contingent liability related to this claim is not probable or estimable and therefore no amounts have been accrued in regards to this matter.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Securities Litigation</w:t>
      </w:r>
    </w:p>
    <w:p>
      <w:pPr>
        <w:spacing w:after="0" w:line="117" w:lineRule="exact"/>
        <w:rPr>
          <w:sz w:val="20"/>
          <w:szCs w:val="20"/>
          <w:color w:val="auto"/>
        </w:rPr>
      </w:pPr>
    </w:p>
    <w:p>
      <w:pPr>
        <w:ind w:right="200" w:firstLine="360"/>
        <w:spacing w:after="0" w:line="276" w:lineRule="auto"/>
        <w:rPr>
          <w:sz w:val="20"/>
          <w:szCs w:val="20"/>
          <w:color w:val="auto"/>
        </w:rPr>
      </w:pPr>
      <w:r>
        <w:rPr>
          <w:rFonts w:ascii="Arial" w:cs="Arial" w:eastAsia="Arial" w:hAnsi="Arial"/>
          <w:sz w:val="17"/>
          <w:szCs w:val="17"/>
          <w:color w:val="auto"/>
        </w:rPr>
        <w:t>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w:t>
      </w:r>
      <w:r>
        <w:rPr>
          <w:rFonts w:ascii="Arial" w:cs="Arial" w:eastAsia="Arial" w:hAnsi="Arial"/>
          <w:sz w:val="16"/>
          <w:szCs w:val="16"/>
          <w:i w:val="1"/>
          <w:iCs w:val="1"/>
          <w:color w:val="auto"/>
        </w:rPr>
        <w:t>In re Wireless Facilities, Inc. Securities Litigation,</w:t>
      </w:r>
      <w:r>
        <w:rPr>
          <w:rFonts w:ascii="Arial" w:cs="Arial" w:eastAsia="Arial" w:hAnsi="Arial"/>
          <w:sz w:val="16"/>
          <w:szCs w:val="16"/>
          <w:color w:val="auto"/>
        </w:rPr>
        <w:t xml:space="preserve"> Master File No. 04CV1589-JAH. Plaintiffs filed a First Amended Consolidated</w:t>
      </w:r>
    </w:p>
    <w:p>
      <w:pPr>
        <w:ind w:right="40"/>
        <w:spacing w:after="0" w:line="267" w:lineRule="auto"/>
        <w:rPr>
          <w:sz w:val="20"/>
          <w:szCs w:val="20"/>
          <w:color w:val="auto"/>
        </w:rPr>
      </w:pPr>
      <w:r>
        <w:rPr>
          <w:rFonts w:ascii="Arial" w:cs="Arial" w:eastAsia="Arial" w:hAnsi="Arial"/>
          <w:sz w:val="17"/>
          <w:szCs w:val="17"/>
          <w:color w:val="auto"/>
        </w:rPr>
        <w:t>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79" w:lineRule="exact"/>
        <w:rPr>
          <w:sz w:val="20"/>
          <w:szCs w:val="20"/>
          <w:color w:val="auto"/>
        </w:rPr>
      </w:pPr>
    </w:p>
    <w:p>
      <w:pPr>
        <w:ind w:firstLine="360"/>
        <w:spacing w:after="0" w:line="267" w:lineRule="auto"/>
        <w:rPr>
          <w:sz w:val="20"/>
          <w:szCs w:val="20"/>
          <w:color w:val="auto"/>
        </w:rPr>
      </w:pPr>
      <w:r>
        <w:rPr>
          <w:rFonts w:ascii="Arial" w:cs="Arial" w:eastAsia="Arial" w:hAnsi="Arial"/>
          <w:sz w:val="17"/>
          <w:szCs w:val="17"/>
          <w:color w:val="auto"/>
        </w:rPr>
        <w:t xml:space="preserve">In 2004, two derivative lawsuits were filed in the United States District Court for the Southern District of California against certain of the Company’s current and former officers and directors: </w:t>
      </w:r>
      <w:r>
        <w:rPr>
          <w:rFonts w:ascii="Arial" w:cs="Arial" w:eastAsia="Arial" w:hAnsi="Arial"/>
          <w:sz w:val="17"/>
          <w:szCs w:val="17"/>
          <w:i w:val="1"/>
          <w:iCs w:val="1"/>
          <w:color w:val="auto"/>
        </w:rPr>
        <w:t>Pedicini v. Wireless Facilities, Inc.,</w:t>
      </w:r>
      <w:r>
        <w:rPr>
          <w:rFonts w:ascii="Arial" w:cs="Arial" w:eastAsia="Arial" w:hAnsi="Arial"/>
          <w:sz w:val="17"/>
          <w:szCs w:val="17"/>
          <w:color w:val="auto"/>
        </w:rPr>
        <w:t xml:space="preserve"> Case No. 04CV1663; and </w:t>
      </w:r>
      <w:r>
        <w:rPr>
          <w:rFonts w:ascii="Arial" w:cs="Arial" w:eastAsia="Arial" w:hAnsi="Arial"/>
          <w:sz w:val="17"/>
          <w:szCs w:val="17"/>
          <w:i w:val="1"/>
          <w:iCs w:val="1"/>
          <w:color w:val="auto"/>
        </w:rPr>
        <w:t>Roth v. Wireless Facilities, Inc.,</w:t>
      </w:r>
      <w:r>
        <w:rPr>
          <w:rFonts w:ascii="Arial" w:cs="Arial" w:eastAsia="Arial" w:hAnsi="Arial"/>
          <w:sz w:val="17"/>
          <w:szCs w:val="17"/>
          <w:color w:val="auto"/>
        </w:rPr>
        <w:t xml:space="preserve"> Case No. 04CV1810. These actions were consolidated into a single action in </w:t>
      </w:r>
      <w:r>
        <w:rPr>
          <w:rFonts w:ascii="Arial" w:cs="Arial" w:eastAsia="Arial" w:hAnsi="Arial"/>
          <w:sz w:val="17"/>
          <w:szCs w:val="17"/>
          <w:i w:val="1"/>
          <w:iCs w:val="1"/>
          <w:color w:val="auto"/>
        </w:rPr>
        <w:t>In re Wireless Facilities, Inc. Derivative Litigation</w:t>
      </w:r>
      <w:r>
        <w:rPr>
          <w:rFonts w:ascii="Arial" w:cs="Arial" w:eastAsia="Arial" w:hAnsi="Arial"/>
          <w:sz w:val="17"/>
          <w:szCs w:val="17"/>
          <w:color w:val="auto"/>
        </w:rPr>
        <w:t>, Lead 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WFI’s stock option granting practices. Basically, plaintiffs allege that WFI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That motion is set to be heard on November 5, 2007. Once the court has decided the issue of personal jurisdiction, WFI, along with any remaining individual defendant found subject to the court’s jurisdiction, may again move to dismiss the complaint as to them.</w:t>
      </w:r>
    </w:p>
    <w:p>
      <w:pPr>
        <w:spacing w:after="0" w:line="85"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In April 2007, another derivative complaint was filed in the United States District Court for the Southern District of California, Hameed v. Tayebi, 07-CV-0680 BTM(RBB) (the “Hameed Action”), against several of WFI’s current and former officers and directors. The allegations in this new derivative complaint mirror the amended allegations in the 2004 federal derivative action. Pursuant to a Court order and agreement between the parties, the defendants need not respond to the complaint in the Hameed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Action until the Court rules on the motion to dismiss for lack of personal jurisdiction currently pending in the 2004 derivative litigation. Once the court in that matter has decided the issue of personal jurisdiction, the parties will meet and confer regarding defendants’ response to the Hameed Action. At this time, we are unable to form a professional judgment that an unfavorable outcome is either probable or remote. Moreover, if an unfavorable outcome should eventually occur, we are not at this time able to estimate the amount or range of possible loss.</w:t>
      </w:r>
    </w:p>
    <w:p>
      <w:pPr>
        <w:spacing w:after="0" w:line="79"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w:t>
      </w:r>
      <w:r>
        <w:rPr>
          <w:rFonts w:ascii="Arial" w:cs="Arial" w:eastAsia="Arial" w:hAnsi="Arial"/>
          <w:sz w:val="16"/>
          <w:szCs w:val="16"/>
          <w:i w:val="1"/>
          <w:iCs w:val="1"/>
          <w:color w:val="auto"/>
        </w:rPr>
        <w:t>In re Wireless Facilities, Inc.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 Litigation, </w:t>
      </w:r>
      <w:r>
        <w:rPr>
          <w:rFonts w:ascii="Arial" w:cs="Arial" w:eastAsia="Arial" w:hAnsi="Arial"/>
          <w:sz w:val="16"/>
          <w:szCs w:val="16"/>
          <w:color w:val="auto"/>
        </w:rPr>
        <w:t>California Superior Court, San Diego County, Lead Case No. GIC 834253. The plaintiffs filed a Consolidated Shareholder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on October 14, 2004. This action has been stayed pending a decision in federal court on a motion to dismiss the federal derivative lawsuits. The parties will appear before the judge in October 2007 to apprise the court of the status of the federal action.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ectPr>
          <w:pgSz w:w="11900" w:h="16838" w:orient="portrait"/>
          <w:cols w:equalWidth="0" w:num="1">
            <w:col w:w="11400"/>
          </w:cols>
          <w:pgMar w:left="240" w:top="125" w:right="259" w:bottom="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2007 Securities Litigation</w:t>
      </w:r>
    </w:p>
    <w:p>
      <w:pPr>
        <w:sectPr>
          <w:pgSz w:w="11900" w:h="16838" w:orient="portrait"/>
          <w:cols w:equalWidth="0" w:num="1">
            <w:col w:w="11400"/>
          </w:cols>
          <w:pgMar w:left="240" w:top="125" w:right="259" w:bottom="0" w:gutter="0" w:footer="0" w:header="0"/>
          <w:type w:val="continuous"/>
        </w:sectPr>
      </w:pPr>
    </w:p>
    <w:bookmarkStart w:id="103" w:name="page104"/>
    <w:bookmarkEnd w:id="103"/>
    <w:p>
      <w:pPr>
        <w:spacing w:after="0" w:line="45"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In March and April 2007, there were three federal class actions filed in the United States District Court for the Southern District of California against WFI and several of its current and former officers and directors. These class action lawsuits followed WFI’s March 12, 2007 public announcement that it is conducting a voluntary internal review of its stock option granting processes. These actions have been consolidated into a single action, In re Wireless Facilities, Inc. Securities Litigation II, Master File No. 07-CV-0482-BTM-NLS. A consolidated class action complaint has not been filed. At this time, we are unable to form a professional judgment that an unfavorable outcome is either probable or remote. Moreover, if an unfavorable outcome should eventually occur, we are not at this time able to estimate the amount or range of possible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$0.3 million for his back wages, vacation pay and certain other benefits. The Company filed an appeal in the matter on July 20, 2006 and is challenging the basis for the award on several theories. The Company has accrued approximately $0.3 million as of September 30, 2006 related to this matter. The Company intends to pursue the appeal of this award.</w:t>
      </w:r>
    </w:p>
    <w:p>
      <w:pPr>
        <w:spacing w:after="0" w:line="70"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On March 28, 2007, three plaintiffs, on behalf of a purported class of similarly situated employees and contractors, filed a lawsuit against the Company in the Superior Court of the State of California, Alameda</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County. The suit alleges various violations of the California Labor Code and seeks payments for allegedly unpaid straight time and overtime, meal period pay and associated penalties. The Company and the plaintiffs have agreed to venue for the suit in San Diego County. Based on our research to date, the Company has not concluded that it has any liability in the case.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70" w:lineRule="exact"/>
        <w:rPr>
          <w:sz w:val="20"/>
          <w:szCs w:val="20"/>
          <w:color w:val="auto"/>
        </w:rPr>
      </w:pPr>
    </w:p>
    <w:p>
      <w:pPr>
        <w:ind w:right="100" w:firstLine="360"/>
        <w:spacing w:after="0" w:line="288" w:lineRule="auto"/>
        <w:rPr>
          <w:sz w:val="20"/>
          <w:szCs w:val="20"/>
          <w:color w:val="auto"/>
        </w:rPr>
      </w:pPr>
      <w:r>
        <w:rPr>
          <w:rFonts w:ascii="Arial" w:cs="Arial" w:eastAsia="Arial" w:hAnsi="Arial"/>
          <w:sz w:val="16"/>
          <w:szCs w:val="16"/>
          <w:color w:val="auto"/>
        </w:rPr>
        <w:t>On May 3, 2007, the Company announced that it has a filed a lawsuit against a former employee, Vencent Donlan, who previously served as its stock option administrator and left the Company in mid-2004, and his spouse. The lawsuit seeks to recover damages resulting from the theft by Donlan of WFI stock options and common stock valued in excess of $6.3 million. The thefts, which appear to have taken place during 2002 and 2003, were discovered through the Company’s review of its past practices related to the granting and pricing of employee stock options with the assistance of its outside counsel and forensic computer consultants. The complaint also alleges that Donlan attempted to cover up the scheme by, among other things, deleting entries from the Company’s records. WFI had promptly reported this discovery to the SEC in March 2007 when the theft was discovered. The SEC commenced an enforcement action against Donlan, and the U.S. Attorney’s Office forwarded a grand jury subpoena to the company seeking records related to Donlan and our historical option granting practices. The SEC filed a federal lawsuit and obtained a temporary restraining order and asset freeze against Donlan and his spouse. The U.S. Attorney’s Office indicted Donlan for the theft and he plead guilty to the federal criminal charges. The Company has cooperated with, and intends to continue to cooperate with both the SEC and the U.S. Attorney’s Office on this matter and otherwise.</w:t>
      </w:r>
    </w:p>
    <w:p>
      <w:pPr>
        <w:spacing w:after="0" w:line="61"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Financial Data (Unaudited)</w:t>
      </w:r>
    </w:p>
    <w:p>
      <w:pPr>
        <w:spacing w:after="0" w:line="121"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The following financial information reflects all normal and recurring adjustments that are, in the opinion of management, necessary for a fair statement of the results of the interim periods. Summarized quarterly data for the years ended December 31, 2005 and 2006, is as follows (in millions, except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First</w:t>
            </w: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Second</w:t>
            </w: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Fourth</w:t>
            </w:r>
          </w:p>
        </w:tc>
        <w:tc>
          <w:tcPr>
            <w:tcW w:w="1800" w:type="dxa"/>
            <w:vAlign w:val="bottom"/>
          </w:tcPr>
          <w:p>
            <w:pPr>
              <w:spacing w:after="0"/>
              <w:rPr>
                <w:sz w:val="14"/>
                <w:szCs w:val="14"/>
                <w:color w:val="auto"/>
              </w:rPr>
            </w:pPr>
          </w:p>
        </w:tc>
      </w:tr>
      <w:tr>
        <w:trPr>
          <w:trHeight w:val="162"/>
        </w:trPr>
        <w:tc>
          <w:tcPr>
            <w:tcW w:w="1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Quarter</w:t>
            </w: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Quarter</w:t>
            </w: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Quarter</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Quarter</w:t>
            </w:r>
          </w:p>
        </w:tc>
        <w:tc>
          <w:tcPr>
            <w:tcW w:w="1800" w:type="dxa"/>
            <w:vAlign w:val="bottom"/>
          </w:tcPr>
          <w:p>
            <w:pPr>
              <w:spacing w:after="0"/>
              <w:rPr>
                <w:sz w:val="14"/>
                <w:szCs w:val="14"/>
                <w:color w:val="auto"/>
              </w:rPr>
            </w:pPr>
          </w:p>
        </w:tc>
      </w:tr>
      <w:tr>
        <w:trPr>
          <w:trHeight w:val="129"/>
        </w:trPr>
        <w:tc>
          <w:tcPr>
            <w:tcW w:w="18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(Restated)</w:t>
            </w:r>
          </w:p>
        </w:tc>
        <w:tc>
          <w:tcPr>
            <w:tcW w:w="180" w:type="dxa"/>
            <w:vAlign w:val="bottom"/>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(Restated)</w:t>
            </w:r>
          </w:p>
        </w:tc>
        <w:tc>
          <w:tcPr>
            <w:tcW w:w="180" w:type="dxa"/>
            <w:vAlign w:val="bottom"/>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(Restated)</w:t>
            </w:r>
          </w:p>
        </w:tc>
        <w:tc>
          <w:tcPr>
            <w:tcW w:w="200" w:type="dxa"/>
            <w:vAlign w:val="bottom"/>
          </w:tcPr>
          <w:p>
            <w:pPr>
              <w:spacing w:after="0"/>
              <w:rPr>
                <w:sz w:val="11"/>
                <w:szCs w:val="11"/>
                <w:color w:val="auto"/>
              </w:rPr>
            </w:pPr>
          </w:p>
        </w:tc>
        <w:tc>
          <w:tcPr>
            <w:tcW w:w="76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w w:val="99"/>
              </w:rPr>
              <w:t>(Restated)</w:t>
            </w: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r>
      <w:tr>
        <w:trPr>
          <w:trHeight w:val="216"/>
        </w:trPr>
        <w:tc>
          <w:tcPr>
            <w:tcW w:w="18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year 2005</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Revenues</w:t>
            </w:r>
          </w:p>
        </w:tc>
        <w:tc>
          <w:tcPr>
            <w:tcW w:w="1220" w:type="dxa"/>
            <w:vAlign w:val="bottom"/>
            <w:gridSpan w:val="2"/>
          </w:tcPr>
          <w:p>
            <w:pPr>
              <w:ind w:left="11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83.5</w:t>
            </w:r>
          </w:p>
        </w:tc>
        <w:tc>
          <w:tcPr>
            <w:tcW w:w="18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86.7</w:t>
            </w:r>
          </w:p>
        </w:tc>
        <w:tc>
          <w:tcPr>
            <w:tcW w:w="20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19.5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20.6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Operating income</w:t>
            </w:r>
          </w:p>
        </w:tc>
        <w:tc>
          <w:tcPr>
            <w:tcW w:w="1220" w:type="dxa"/>
            <w:vAlign w:val="bottom"/>
            <w:gridSpan w:val="2"/>
          </w:tcPr>
          <w:p>
            <w:pPr>
              <w:ind w:left="11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income (loss)</w:t>
            </w:r>
          </w:p>
        </w:tc>
        <w:tc>
          <w:tcPr>
            <w:tcW w:w="1220" w:type="dxa"/>
            <w:vAlign w:val="bottom"/>
            <w:gridSpan w:val="2"/>
          </w:tcPr>
          <w:p>
            <w:pPr>
              <w:ind w:left="11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Basic</w:t>
            </w:r>
          </w:p>
        </w:tc>
        <w:tc>
          <w:tcPr>
            <w:tcW w:w="1220" w:type="dxa"/>
            <w:vAlign w:val="bottom"/>
            <w:gridSpan w:val="2"/>
          </w:tcPr>
          <w:p>
            <w:pPr>
              <w:ind w:left="11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0.05</w:t>
            </w:r>
          </w:p>
        </w:tc>
        <w:tc>
          <w:tcPr>
            <w:tcW w:w="18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0.07</w:t>
            </w:r>
          </w:p>
        </w:tc>
        <w:tc>
          <w:tcPr>
            <w:tcW w:w="20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0.05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0.07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702"/>
        </w:trPr>
        <w:tc>
          <w:tcPr>
            <w:tcW w:w="18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5"/>
        </w:trPr>
        <w:tc>
          <w:tcPr>
            <w:tcW w:w="1800" w:type="dxa"/>
            <w:vAlign w:val="bottom"/>
            <w:tcBorders>
              <w:bottom w:val="single" w:sz="8" w:color="010101"/>
            </w:tcBorders>
          </w:tcPr>
          <w:p>
            <w:pPr>
              <w:spacing w:after="0"/>
              <w:rPr>
                <w:sz w:val="24"/>
                <w:szCs w:val="24"/>
                <w:color w:val="auto"/>
              </w:rPr>
            </w:pPr>
          </w:p>
        </w:tc>
        <w:tc>
          <w:tcPr>
            <w:tcW w:w="324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8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First</w:t>
            </w:r>
          </w:p>
        </w:tc>
        <w:tc>
          <w:tcPr>
            <w:tcW w:w="920" w:type="dxa"/>
            <w:vAlign w:val="bottom"/>
            <w:gridSpan w:val="3"/>
          </w:tcPr>
          <w:p>
            <w:pPr>
              <w:ind w:left="140"/>
              <w:spacing w:after="0"/>
              <w:rPr>
                <w:sz w:val="20"/>
                <w:szCs w:val="20"/>
                <w:color w:val="auto"/>
              </w:rPr>
            </w:pPr>
            <w:r>
              <w:rPr>
                <w:rFonts w:ascii="Arial" w:cs="Arial" w:eastAsia="Arial" w:hAnsi="Arial"/>
                <w:sz w:val="14"/>
                <w:szCs w:val="14"/>
                <w:b w:val="1"/>
                <w:bCs w:val="1"/>
                <w:color w:val="auto"/>
              </w:rPr>
              <w:t>Second</w:t>
            </w:r>
          </w:p>
        </w:tc>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rPr>
              <w:t>Third</w:t>
            </w: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Fourth</w:t>
            </w:r>
          </w:p>
        </w:tc>
      </w:tr>
      <w:tr>
        <w:trPr>
          <w:trHeight w:val="162"/>
        </w:trPr>
        <w:tc>
          <w:tcPr>
            <w:tcW w:w="424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Quarter</w:t>
            </w: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Quarter</w:t>
            </w: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Quarter</w:t>
            </w: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Quarter</w:t>
            </w: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Fiscal year 2006</w:t>
            </w: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76.3</w:t>
            </w:r>
          </w:p>
        </w:tc>
        <w:tc>
          <w:tcPr>
            <w:tcW w:w="18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77.9</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14.5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(31.3)</w:t>
            </w:r>
          </w:p>
        </w:tc>
        <w:tc>
          <w:tcPr>
            <w:tcW w:w="12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r>
    </w:tbl>
    <w:p>
      <w:pPr>
        <w:sectPr>
          <w:pgSz w:w="11900" w:h="16884" w:orient="portrait"/>
          <w:cols w:equalWidth="0" w:num="1">
            <w:col w:w="11460"/>
          </w:cols>
          <w:pgMar w:left="240" w:top="125" w:right="199" w:bottom="0" w:gutter="0" w:footer="0" w:header="0"/>
        </w:sectPr>
      </w:pPr>
    </w:p>
    <w:bookmarkStart w:id="104" w:name="page105"/>
    <w:bookmarkEnd w:id="104"/>
    <w:p>
      <w:pPr>
        <w:spacing w:after="0" w:line="1" w:lineRule="exact"/>
        <w:rPr>
          <w:sz w:val="20"/>
          <w:szCs w:val="20"/>
          <w:color w:val="auto"/>
        </w:rPr>
      </w:pPr>
    </w:p>
    <w:tbl>
      <w:tblPr>
        <w:tblLayout w:type="fixed"/>
        <w:tblInd w:w="180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(0.9)</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 (55.6)</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Basic</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(0.01)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w w:val="97"/>
              </w:rPr>
              <w:t>(0.01)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w w:val="97"/>
              </w:rPr>
              <w:t>(0.01)</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 (0.75)</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(0.01)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(0.01)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(0.01)</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(0.75)</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2005</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As required by Item 302 of Regulation S-K promulgated by the SEC, the following table sets forth selected unaudited consolidated quarterly financial information for our two most recent years. All quarters for 2005 have been restated from previously reported information filed in the Company’s Form 10-Q’s and Form 10-K as a result of the restatement of its financial results discussed in Note 2 “Restatement of Consolidated Financial Statements”. The previously reported consolidated statements of operations for all quarters of 2006 were not impacted by the Equity Award Review. In addition, the quarterly tables presented for all quarters of 2005 and 2006 have been restated in accordance with SFAS No. 144 to reflect the EMEA and Brazilian operations discontinued by the Company in the fourth quarter of 2006.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The following table presents the effect of the financial statement restatement adjustments as well as the Company’s discontinuance of its international operations on the Company’s previously reported consolidated statements of operations for the three months ended March 31, 2005, June 30, 2005, September 30, 2005 and December 31, 2005 (in millions, except per share data):</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CONSOLIDATED STATEMENTS OF OPERATIONS FOR INTERIM PERIODS OF 2005</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8"/>
          </w:tcPr>
          <w:p>
            <w:pPr>
              <w:ind w:left="100"/>
              <w:spacing w:after="0"/>
              <w:rPr>
                <w:sz w:val="20"/>
                <w:szCs w:val="20"/>
                <w:color w:val="auto"/>
              </w:rPr>
            </w:pPr>
            <w:r>
              <w:rPr>
                <w:rFonts w:ascii="Arial" w:cs="Arial" w:eastAsia="Arial" w:hAnsi="Arial"/>
                <w:sz w:val="11"/>
                <w:szCs w:val="11"/>
                <w:b w:val="1"/>
                <w:bCs w:val="1"/>
                <w:color w:val="auto"/>
                <w:w w:val="97"/>
              </w:rPr>
              <w:t>Three Months Ended</w:t>
            </w: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4"/>
          </w:tcPr>
          <w:p>
            <w:pPr>
              <w:ind w:left="40"/>
              <w:spacing w:after="0" w:line="102" w:lineRule="exact"/>
              <w:rPr>
                <w:sz w:val="20"/>
                <w:szCs w:val="20"/>
                <w:color w:val="auto"/>
              </w:rPr>
            </w:pPr>
            <w:r>
              <w:rPr>
                <w:rFonts w:ascii="Arial" w:cs="Arial" w:eastAsia="Arial" w:hAnsi="Arial"/>
                <w:sz w:val="11"/>
                <w:szCs w:val="11"/>
                <w:b w:val="1"/>
                <w:bCs w:val="1"/>
                <w:color w:val="auto"/>
                <w:w w:val="89"/>
              </w:rPr>
              <w:t>March 31, 2005</w:t>
            </w: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4"/>
          </w:tcPr>
          <w:p>
            <w:pPr>
              <w:ind w:left="140"/>
              <w:spacing w:after="0" w:line="102" w:lineRule="exact"/>
              <w:rPr>
                <w:sz w:val="20"/>
                <w:szCs w:val="20"/>
                <w:color w:val="auto"/>
              </w:rPr>
            </w:pPr>
            <w:r>
              <w:rPr>
                <w:rFonts w:ascii="Arial" w:cs="Arial" w:eastAsia="Arial" w:hAnsi="Arial"/>
                <w:sz w:val="11"/>
                <w:szCs w:val="11"/>
                <w:b w:val="1"/>
                <w:bCs w:val="1"/>
                <w:color w:val="auto"/>
                <w:w w:val="86"/>
              </w:rPr>
              <w:t>June 30, 2005</w:t>
            </w: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5"/>
          </w:tcPr>
          <w:p>
            <w:pPr>
              <w:jc w:val="center"/>
              <w:ind w:right="120"/>
              <w:spacing w:after="0" w:line="75" w:lineRule="exact"/>
              <w:rPr>
                <w:sz w:val="20"/>
                <w:szCs w:val="20"/>
                <w:color w:val="auto"/>
              </w:rPr>
            </w:pPr>
            <w:r>
              <w:rPr>
                <w:rFonts w:ascii="Arial" w:cs="Arial" w:eastAsia="Arial" w:hAnsi="Arial"/>
                <w:sz w:val="8"/>
                <w:szCs w:val="8"/>
                <w:b w:val="1"/>
                <w:bCs w:val="1"/>
                <w:color w:val="auto"/>
              </w:rPr>
              <w:t>Adjustment for</w:t>
            </w:r>
          </w:p>
        </w:tc>
        <w:tc>
          <w:tcPr>
            <w:tcW w:w="760" w:type="dxa"/>
            <w:vAlign w:val="bottom"/>
            <w:gridSpan w:val="4"/>
          </w:tcPr>
          <w:p>
            <w:pPr>
              <w:jc w:val="center"/>
              <w:ind w:right="100"/>
              <w:spacing w:after="0" w:line="75" w:lineRule="exact"/>
              <w:rPr>
                <w:sz w:val="20"/>
                <w:szCs w:val="20"/>
                <w:color w:val="auto"/>
              </w:rPr>
            </w:pPr>
            <w:r>
              <w:rPr>
                <w:rFonts w:ascii="Arial" w:cs="Arial" w:eastAsia="Arial" w:hAnsi="Arial"/>
                <w:sz w:val="8"/>
                <w:szCs w:val="8"/>
                <w:b w:val="1"/>
                <w:bCs w:val="1"/>
                <w:color w:val="auto"/>
              </w:rPr>
              <w:t>As Restated</w:t>
            </w:r>
          </w:p>
        </w:tc>
        <w:tc>
          <w:tcPr>
            <w:tcW w:w="860" w:type="dxa"/>
            <w:vAlign w:val="bottom"/>
            <w:gridSpan w:val="5"/>
            <w:vMerge w:val="restart"/>
          </w:tcPr>
          <w:p>
            <w:pPr>
              <w:jc w:val="center"/>
              <w:ind w:right="100"/>
              <w:spacing w:after="0"/>
              <w:rPr>
                <w:sz w:val="20"/>
                <w:szCs w:val="20"/>
                <w:color w:val="auto"/>
              </w:rPr>
            </w:pPr>
            <w:r>
              <w:rPr>
                <w:rFonts w:ascii="Arial" w:cs="Arial" w:eastAsia="Arial" w:hAnsi="Arial"/>
                <w:sz w:val="11"/>
                <w:szCs w:val="11"/>
                <w:b w:val="1"/>
                <w:bCs w:val="1"/>
                <w:color w:val="auto"/>
                <w:w w:val="91"/>
              </w:rPr>
              <w:t>Adjustment for</w:t>
            </w: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4"/>
          </w:tcPr>
          <w:p>
            <w:pPr>
              <w:jc w:val="center"/>
              <w:ind w:right="120"/>
              <w:spacing w:after="0" w:line="75" w:lineRule="exact"/>
              <w:rPr>
                <w:sz w:val="20"/>
                <w:szCs w:val="20"/>
                <w:color w:val="auto"/>
              </w:rPr>
            </w:pPr>
            <w:r>
              <w:rPr>
                <w:rFonts w:ascii="Arial" w:cs="Arial" w:eastAsia="Arial" w:hAnsi="Arial"/>
                <w:sz w:val="8"/>
                <w:szCs w:val="8"/>
                <w:b w:val="1"/>
                <w:bCs w:val="1"/>
                <w:color w:val="auto"/>
              </w:rPr>
              <w:t>Adjustment for</w:t>
            </w:r>
          </w:p>
        </w:tc>
        <w:tc>
          <w:tcPr>
            <w:tcW w:w="780" w:type="dxa"/>
            <w:vAlign w:val="bottom"/>
            <w:gridSpan w:val="4"/>
          </w:tcPr>
          <w:p>
            <w:pPr>
              <w:jc w:val="center"/>
              <w:ind w:right="120"/>
              <w:spacing w:after="0" w:line="75" w:lineRule="exact"/>
              <w:rPr>
                <w:sz w:val="20"/>
                <w:szCs w:val="20"/>
                <w:color w:val="auto"/>
              </w:rPr>
            </w:pPr>
            <w:r>
              <w:rPr>
                <w:rFonts w:ascii="Arial" w:cs="Arial" w:eastAsia="Arial" w:hAnsi="Arial"/>
                <w:sz w:val="8"/>
                <w:szCs w:val="8"/>
                <w:b w:val="1"/>
                <w:bCs w:val="1"/>
                <w:color w:val="auto"/>
              </w:rPr>
              <w:t>As Restated</w:t>
            </w:r>
          </w:p>
        </w:tc>
        <w:tc>
          <w:tcPr>
            <w:tcW w:w="920" w:type="dxa"/>
            <w:vAlign w:val="bottom"/>
            <w:gridSpan w:val="5"/>
            <w:vMerge w:val="restart"/>
          </w:tcPr>
          <w:p>
            <w:pPr>
              <w:jc w:val="center"/>
              <w:ind w:right="120"/>
              <w:spacing w:after="0"/>
              <w:rPr>
                <w:sz w:val="20"/>
                <w:szCs w:val="20"/>
                <w:color w:val="auto"/>
              </w:rPr>
            </w:pPr>
            <w:r>
              <w:rPr>
                <w:rFonts w:ascii="Arial" w:cs="Arial" w:eastAsia="Arial" w:hAnsi="Arial"/>
                <w:sz w:val="11"/>
                <w:szCs w:val="11"/>
                <w:b w:val="1"/>
                <w:bCs w:val="1"/>
                <w:color w:val="auto"/>
                <w:w w:val="91"/>
              </w:rPr>
              <w:t>Adjustment for</w:t>
            </w: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85"/>
              </w:rPr>
              <w:t>As</w:t>
            </w:r>
          </w:p>
        </w:tc>
        <w:tc>
          <w:tcPr>
            <w:tcW w:w="860" w:type="dxa"/>
            <w:vAlign w:val="bottom"/>
            <w:gridSpan w:val="5"/>
          </w:tcPr>
          <w:p>
            <w:pPr>
              <w:jc w:val="center"/>
              <w:ind w:right="120"/>
              <w:spacing w:after="0" w:line="109" w:lineRule="exact"/>
              <w:rPr>
                <w:sz w:val="20"/>
                <w:szCs w:val="20"/>
                <w:color w:val="auto"/>
              </w:rPr>
            </w:pPr>
            <w:r>
              <w:rPr>
                <w:rFonts w:ascii="Arial" w:cs="Arial" w:eastAsia="Arial" w:hAnsi="Arial"/>
                <w:sz w:val="11"/>
                <w:szCs w:val="11"/>
                <w:b w:val="1"/>
                <w:bCs w:val="1"/>
                <w:color w:val="auto"/>
                <w:w w:val="93"/>
              </w:rPr>
              <w:t>International</w:t>
            </w:r>
          </w:p>
        </w:tc>
        <w:tc>
          <w:tcPr>
            <w:tcW w:w="180" w:type="dxa"/>
            <w:vAlign w:val="bottom"/>
          </w:tcPr>
          <w:p>
            <w:pPr>
              <w:spacing w:after="0"/>
              <w:rPr>
                <w:sz w:val="9"/>
                <w:szCs w:val="9"/>
                <w:color w:val="auto"/>
              </w:rPr>
            </w:pPr>
          </w:p>
        </w:tc>
        <w:tc>
          <w:tcPr>
            <w:tcW w:w="580" w:type="dxa"/>
            <w:vAlign w:val="bottom"/>
            <w:gridSpan w:val="3"/>
          </w:tcPr>
          <w:p>
            <w:pPr>
              <w:jc w:val="center"/>
              <w:ind w:right="280"/>
              <w:spacing w:after="0" w:line="109" w:lineRule="exact"/>
              <w:rPr>
                <w:sz w:val="20"/>
                <w:szCs w:val="20"/>
                <w:color w:val="auto"/>
              </w:rPr>
            </w:pPr>
            <w:r>
              <w:rPr>
                <w:rFonts w:ascii="Arial" w:cs="Arial" w:eastAsia="Arial" w:hAnsi="Arial"/>
                <w:sz w:val="11"/>
                <w:szCs w:val="11"/>
                <w:b w:val="1"/>
                <w:bCs w:val="1"/>
                <w:color w:val="auto"/>
                <w:w w:val="95"/>
              </w:rPr>
              <w:t>for</w:t>
            </w:r>
          </w:p>
        </w:tc>
        <w:tc>
          <w:tcPr>
            <w:tcW w:w="86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vMerge w:val="restart"/>
          </w:tcPr>
          <w:p>
            <w:pPr>
              <w:jc w:val="center"/>
              <w:ind w:right="240"/>
              <w:spacing w:after="0"/>
              <w:rPr>
                <w:sz w:val="20"/>
                <w:szCs w:val="20"/>
                <w:color w:val="auto"/>
              </w:rPr>
            </w:pPr>
            <w:r>
              <w:rPr>
                <w:rFonts w:ascii="Arial" w:cs="Arial" w:eastAsia="Arial" w:hAnsi="Arial"/>
                <w:sz w:val="11"/>
                <w:szCs w:val="11"/>
                <w:b w:val="1"/>
                <w:bCs w:val="1"/>
                <w:color w:val="auto"/>
                <w:w w:val="85"/>
              </w:rPr>
              <w:t>As</w:t>
            </w:r>
          </w:p>
        </w:tc>
        <w:tc>
          <w:tcPr>
            <w:tcW w:w="860" w:type="dxa"/>
            <w:vAlign w:val="bottom"/>
            <w:gridSpan w:val="4"/>
          </w:tcPr>
          <w:p>
            <w:pPr>
              <w:jc w:val="center"/>
              <w:ind w:right="120"/>
              <w:spacing w:after="0" w:line="109" w:lineRule="exact"/>
              <w:rPr>
                <w:sz w:val="20"/>
                <w:szCs w:val="20"/>
                <w:color w:val="auto"/>
              </w:rPr>
            </w:pPr>
            <w:r>
              <w:rPr>
                <w:rFonts w:ascii="Arial" w:cs="Arial" w:eastAsia="Arial" w:hAnsi="Arial"/>
                <w:sz w:val="11"/>
                <w:szCs w:val="11"/>
                <w:b w:val="1"/>
                <w:bCs w:val="1"/>
                <w:color w:val="auto"/>
                <w:w w:val="93"/>
              </w:rPr>
              <w:t>International</w:t>
            </w:r>
          </w:p>
        </w:tc>
        <w:tc>
          <w:tcPr>
            <w:tcW w:w="200" w:type="dxa"/>
            <w:vAlign w:val="bottom"/>
          </w:tcPr>
          <w:p>
            <w:pPr>
              <w:spacing w:after="0"/>
              <w:rPr>
                <w:sz w:val="9"/>
                <w:szCs w:val="9"/>
                <w:color w:val="auto"/>
              </w:rPr>
            </w:pPr>
          </w:p>
        </w:tc>
        <w:tc>
          <w:tcPr>
            <w:tcW w:w="580" w:type="dxa"/>
            <w:vAlign w:val="bottom"/>
            <w:gridSpan w:val="3"/>
          </w:tcPr>
          <w:p>
            <w:pPr>
              <w:jc w:val="center"/>
              <w:ind w:right="320"/>
              <w:spacing w:after="0" w:line="109" w:lineRule="exact"/>
              <w:rPr>
                <w:sz w:val="20"/>
                <w:szCs w:val="20"/>
                <w:color w:val="auto"/>
              </w:rPr>
            </w:pPr>
            <w:r>
              <w:rPr>
                <w:rFonts w:ascii="Arial" w:cs="Arial" w:eastAsia="Arial" w:hAnsi="Arial"/>
                <w:sz w:val="11"/>
                <w:szCs w:val="11"/>
                <w:b w:val="1"/>
                <w:bCs w:val="1"/>
                <w:color w:val="auto"/>
                <w:w w:val="95"/>
              </w:rPr>
              <w:t>for</w:t>
            </w:r>
          </w:p>
        </w:tc>
        <w:tc>
          <w:tcPr>
            <w:tcW w:w="92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860" w:type="dxa"/>
            <w:vAlign w:val="bottom"/>
            <w:gridSpan w:val="5"/>
          </w:tcPr>
          <w:p>
            <w:pPr>
              <w:jc w:val="center"/>
              <w:ind w:right="100"/>
              <w:spacing w:after="0" w:line="109" w:lineRule="exact"/>
              <w:rPr>
                <w:sz w:val="20"/>
                <w:szCs w:val="20"/>
                <w:color w:val="auto"/>
              </w:rPr>
            </w:pPr>
            <w:r>
              <w:rPr>
                <w:rFonts w:ascii="Arial" w:cs="Arial" w:eastAsia="Arial" w:hAnsi="Arial"/>
                <w:sz w:val="11"/>
                <w:szCs w:val="11"/>
                <w:b w:val="1"/>
                <w:bCs w:val="1"/>
                <w:color w:val="auto"/>
                <w:w w:val="86"/>
              </w:rPr>
              <w:t>Discontinued</w:t>
            </w:r>
          </w:p>
        </w:tc>
        <w:tc>
          <w:tcPr>
            <w:tcW w:w="760" w:type="dxa"/>
            <w:vAlign w:val="bottom"/>
            <w:gridSpan w:val="4"/>
          </w:tcPr>
          <w:p>
            <w:pPr>
              <w:jc w:val="center"/>
              <w:ind w:right="120"/>
              <w:spacing w:after="0" w:line="109" w:lineRule="exact"/>
              <w:rPr>
                <w:sz w:val="20"/>
                <w:szCs w:val="20"/>
                <w:color w:val="auto"/>
              </w:rPr>
            </w:pPr>
            <w:r>
              <w:rPr>
                <w:rFonts w:ascii="Arial" w:cs="Arial" w:eastAsia="Arial" w:hAnsi="Arial"/>
                <w:sz w:val="11"/>
                <w:szCs w:val="11"/>
                <w:b w:val="1"/>
                <w:bCs w:val="1"/>
                <w:color w:val="auto"/>
                <w:w w:val="86"/>
              </w:rPr>
              <w:t>Discontinued</w:t>
            </w:r>
          </w:p>
        </w:tc>
        <w:tc>
          <w:tcPr>
            <w:tcW w:w="860" w:type="dxa"/>
            <w:vAlign w:val="bottom"/>
            <w:gridSpan w:val="5"/>
          </w:tcPr>
          <w:p>
            <w:pPr>
              <w:jc w:val="center"/>
              <w:ind w:right="100"/>
              <w:spacing w:after="0" w:line="109" w:lineRule="exact"/>
              <w:rPr>
                <w:sz w:val="20"/>
                <w:szCs w:val="20"/>
                <w:color w:val="auto"/>
              </w:rPr>
            </w:pPr>
            <w:r>
              <w:rPr>
                <w:rFonts w:ascii="Arial" w:cs="Arial" w:eastAsia="Arial" w:hAnsi="Arial"/>
                <w:sz w:val="11"/>
                <w:szCs w:val="11"/>
                <w:b w:val="1"/>
                <w:bCs w:val="1"/>
                <w:color w:val="auto"/>
                <w:w w:val="84"/>
              </w:rPr>
              <w:t>Stock Based</w:t>
            </w:r>
          </w:p>
        </w:tc>
        <w:tc>
          <w:tcPr>
            <w:tcW w:w="700" w:type="dxa"/>
            <w:vAlign w:val="bottom"/>
            <w:tcBorders>
              <w:right w:val="single" w:sz="8" w:color="auto"/>
            </w:tcBorders>
            <w:gridSpan w:val="4"/>
            <w:vMerge w:val="restart"/>
          </w:tcPr>
          <w:p>
            <w:pPr>
              <w:ind w:left="20"/>
              <w:spacing w:after="0"/>
              <w:rPr>
                <w:sz w:val="20"/>
                <w:szCs w:val="20"/>
                <w:color w:val="auto"/>
              </w:rPr>
            </w:pPr>
            <w:r>
              <w:rPr>
                <w:rFonts w:ascii="Arial" w:cs="Arial" w:eastAsia="Arial" w:hAnsi="Arial"/>
                <w:sz w:val="11"/>
                <w:szCs w:val="11"/>
                <w:b w:val="1"/>
                <w:bCs w:val="1"/>
                <w:color w:val="auto"/>
              </w:rPr>
              <w:t>As Restated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860" w:type="dxa"/>
            <w:vAlign w:val="bottom"/>
            <w:gridSpan w:val="4"/>
          </w:tcPr>
          <w:p>
            <w:pPr>
              <w:jc w:val="center"/>
              <w:ind w:right="120"/>
              <w:spacing w:after="0" w:line="109" w:lineRule="exact"/>
              <w:rPr>
                <w:sz w:val="20"/>
                <w:szCs w:val="20"/>
                <w:color w:val="auto"/>
              </w:rPr>
            </w:pPr>
            <w:r>
              <w:rPr>
                <w:rFonts w:ascii="Arial" w:cs="Arial" w:eastAsia="Arial" w:hAnsi="Arial"/>
                <w:sz w:val="11"/>
                <w:szCs w:val="11"/>
                <w:b w:val="1"/>
                <w:bCs w:val="1"/>
                <w:color w:val="auto"/>
                <w:w w:val="88"/>
              </w:rPr>
              <w:t>Discontinued</w:t>
            </w:r>
          </w:p>
        </w:tc>
        <w:tc>
          <w:tcPr>
            <w:tcW w:w="780" w:type="dxa"/>
            <w:vAlign w:val="bottom"/>
            <w:gridSpan w:val="4"/>
          </w:tcPr>
          <w:p>
            <w:pPr>
              <w:jc w:val="center"/>
              <w:ind w:right="100"/>
              <w:spacing w:after="0" w:line="109" w:lineRule="exact"/>
              <w:rPr>
                <w:sz w:val="20"/>
                <w:szCs w:val="20"/>
                <w:color w:val="auto"/>
              </w:rPr>
            </w:pPr>
            <w:r>
              <w:rPr>
                <w:rFonts w:ascii="Arial" w:cs="Arial" w:eastAsia="Arial" w:hAnsi="Arial"/>
                <w:sz w:val="11"/>
                <w:szCs w:val="11"/>
                <w:b w:val="1"/>
                <w:bCs w:val="1"/>
                <w:color w:val="auto"/>
                <w:w w:val="86"/>
              </w:rPr>
              <w:t>Discontinued</w:t>
            </w:r>
          </w:p>
        </w:tc>
        <w:tc>
          <w:tcPr>
            <w:tcW w:w="920" w:type="dxa"/>
            <w:vAlign w:val="bottom"/>
            <w:gridSpan w:val="5"/>
          </w:tcPr>
          <w:p>
            <w:pPr>
              <w:jc w:val="center"/>
              <w:ind w:right="120"/>
              <w:spacing w:after="0" w:line="109" w:lineRule="exact"/>
              <w:rPr>
                <w:sz w:val="20"/>
                <w:szCs w:val="20"/>
                <w:color w:val="auto"/>
              </w:rPr>
            </w:pPr>
            <w:r>
              <w:rPr>
                <w:rFonts w:ascii="Arial" w:cs="Arial" w:eastAsia="Arial" w:hAnsi="Arial"/>
                <w:sz w:val="11"/>
                <w:szCs w:val="11"/>
                <w:b w:val="1"/>
                <w:bCs w:val="1"/>
                <w:color w:val="auto"/>
                <w:w w:val="84"/>
              </w:rPr>
              <w:t>Stock Based</w:t>
            </w:r>
          </w:p>
        </w:tc>
        <w:tc>
          <w:tcPr>
            <w:tcW w:w="76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As Restated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1"/>
              </w:rPr>
              <w:t>Reported</w:t>
            </w:r>
          </w:p>
        </w:tc>
        <w:tc>
          <w:tcPr>
            <w:tcW w:w="86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89"/>
              </w:rPr>
              <w:t>Operations</w:t>
            </w:r>
          </w:p>
        </w:tc>
        <w:tc>
          <w:tcPr>
            <w:tcW w:w="7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9"/>
              </w:rPr>
              <w:t>Operations</w:t>
            </w:r>
          </w:p>
        </w:tc>
        <w:tc>
          <w:tcPr>
            <w:tcW w:w="86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1"/>
              </w:rPr>
              <w:t>Expenses</w:t>
            </w:r>
          </w:p>
        </w:tc>
        <w:tc>
          <w:tcPr>
            <w:tcW w:w="700" w:type="dxa"/>
            <w:vAlign w:val="bottom"/>
            <w:tcBorders>
              <w:right w:val="single" w:sz="8" w:color="auto"/>
            </w:tcBorders>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6"/>
              </w:rPr>
              <w:t>Reported</w:t>
            </w:r>
          </w:p>
        </w:tc>
        <w:tc>
          <w:tcPr>
            <w:tcW w:w="8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6"/>
              </w:rPr>
              <w:t>Operations</w:t>
            </w:r>
          </w:p>
        </w:tc>
        <w:tc>
          <w:tcPr>
            <w:tcW w:w="78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9"/>
              </w:rPr>
              <w:t>Operations</w:t>
            </w:r>
          </w:p>
        </w:tc>
        <w:tc>
          <w:tcPr>
            <w:tcW w:w="9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5"/>
              </w:rPr>
              <w:t>Expenses</w:t>
            </w:r>
          </w:p>
        </w:tc>
        <w:tc>
          <w:tcPr>
            <w:tcW w:w="7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Borders>
              <w:top w:val="single" w:sz="8" w:color="CCEEFF"/>
            </w:tcBorders>
            <w:shd w:val="clear" w:color="auto" w:fill="CCEEFF"/>
          </w:tcPr>
          <w:p>
            <w:pPr>
              <w:spacing w:after="0" w:line="102" w:lineRule="exact"/>
              <w:rPr>
                <w:sz w:val="20"/>
                <w:szCs w:val="20"/>
                <w:color w:val="auto"/>
              </w:rPr>
            </w:pPr>
            <w:r>
              <w:rPr>
                <w:rFonts w:ascii="Arial" w:cs="Arial" w:eastAsia="Arial" w:hAnsi="Arial"/>
                <w:sz w:val="11"/>
                <w:szCs w:val="11"/>
                <w:color w:val="auto"/>
              </w:rPr>
              <w:t>Service revenue</w:t>
            </w:r>
          </w:p>
        </w:tc>
        <w:tc>
          <w:tcPr>
            <w:tcW w:w="1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$ 90.7</w:t>
            </w:r>
          </w:p>
        </w:tc>
        <w:tc>
          <w:tcPr>
            <w:tcW w:w="1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1"/>
              </w:rPr>
              <w:t>9.5</w:t>
            </w:r>
          </w:p>
        </w:tc>
        <w:tc>
          <w:tcPr>
            <w:tcW w:w="2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$ 81.2</w:t>
            </w:r>
          </w:p>
        </w:tc>
        <w:tc>
          <w:tcPr>
            <w:tcW w:w="1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420" w:type="dxa"/>
            <w:vAlign w:val="bottom"/>
            <w:tcBorders>
              <w:top w:val="single" w:sz="8" w:color="auto"/>
            </w:tcBorders>
            <w:gridSpan w:val="2"/>
            <w:shd w:val="clear" w:color="auto" w:fill="CCEEFF"/>
          </w:tcPr>
          <w:p>
            <w:pPr>
              <w:jc w:val="right"/>
              <w:ind w:right="240"/>
              <w:spacing w:after="0" w:line="102"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$ 81.2</w:t>
            </w:r>
          </w:p>
        </w:tc>
        <w:tc>
          <w:tcPr>
            <w:tcW w:w="1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$ 95.3</w:t>
            </w:r>
          </w:p>
        </w:tc>
        <w:tc>
          <w:tcPr>
            <w:tcW w:w="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$ 11.8</w:t>
            </w:r>
          </w:p>
        </w:tc>
        <w:tc>
          <w:tcPr>
            <w:tcW w:w="2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$ 83.5</w:t>
            </w:r>
          </w:p>
        </w:tc>
        <w:tc>
          <w:tcPr>
            <w:tcW w:w="2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440" w:type="dxa"/>
            <w:vAlign w:val="bottom"/>
            <w:tcBorders>
              <w:top w:val="single" w:sz="8" w:color="auto"/>
            </w:tcBorders>
            <w:gridSpan w:val="2"/>
            <w:shd w:val="clear" w:color="auto" w:fill="CCEEFF"/>
          </w:tcPr>
          <w:p>
            <w:pPr>
              <w:jc w:val="right"/>
              <w:ind w:right="240"/>
              <w:spacing w:after="0" w:line="102"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$ 83.5</w:t>
            </w:r>
          </w:p>
        </w:tc>
        <w:tc>
          <w:tcPr>
            <w:tcW w:w="1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spacing w:after="0" w:line="109" w:lineRule="exact"/>
              <w:rPr>
                <w:sz w:val="20"/>
                <w:szCs w:val="20"/>
                <w:color w:val="auto"/>
              </w:rPr>
            </w:pPr>
            <w:r>
              <w:rPr>
                <w:rFonts w:ascii="Arial" w:cs="Arial" w:eastAsia="Arial" w:hAnsi="Arial"/>
                <w:sz w:val="11"/>
                <w:szCs w:val="11"/>
                <w:color w:val="auto"/>
              </w:rPr>
              <w:t>Cost of service revenue</w:t>
            </w:r>
          </w:p>
        </w:tc>
        <w:tc>
          <w:tcPr>
            <w:tcW w:w="200" w:type="dxa"/>
            <w:vAlign w:val="bottom"/>
            <w:gridSpan w:val="2"/>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1"/>
                <w:szCs w:val="11"/>
                <w:color w:val="auto"/>
              </w:rPr>
              <w:t>70.0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jc w:val="right"/>
              <w:spacing w:after="0" w:line="109" w:lineRule="exact"/>
              <w:rPr>
                <w:sz w:val="20"/>
                <w:szCs w:val="20"/>
                <w:color w:val="auto"/>
              </w:rPr>
            </w:pPr>
            <w:r>
              <w:rPr>
                <w:rFonts w:ascii="Arial" w:cs="Arial" w:eastAsia="Arial" w:hAnsi="Arial"/>
                <w:sz w:val="11"/>
                <w:szCs w:val="11"/>
                <w:color w:val="auto"/>
                <w:w w:val="91"/>
              </w:rPr>
              <w:t>6.9</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jc w:val="right"/>
              <w:spacing w:after="0" w:line="109" w:lineRule="exact"/>
              <w:rPr>
                <w:sz w:val="20"/>
                <w:szCs w:val="20"/>
                <w:color w:val="auto"/>
              </w:rPr>
            </w:pPr>
            <w:r>
              <w:rPr>
                <w:rFonts w:ascii="Arial" w:cs="Arial" w:eastAsia="Arial" w:hAnsi="Arial"/>
                <w:sz w:val="11"/>
                <w:szCs w:val="11"/>
                <w:color w:val="auto"/>
              </w:rPr>
              <w:t>63.1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jc w:val="right"/>
              <w:spacing w:after="0" w:line="109" w:lineRule="exact"/>
              <w:rPr>
                <w:sz w:val="20"/>
                <w:szCs w:val="20"/>
                <w:color w:val="auto"/>
              </w:rPr>
            </w:pPr>
            <w:r>
              <w:rPr>
                <w:rFonts w:ascii="Arial" w:cs="Arial" w:eastAsia="Arial" w:hAnsi="Arial"/>
                <w:sz w:val="11"/>
                <w:szCs w:val="11"/>
                <w:color w:val="auto"/>
              </w:rPr>
              <w:t>0.1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1"/>
                <w:szCs w:val="11"/>
                <w:color w:val="auto"/>
              </w:rPr>
              <w:t>63.2</w:t>
            </w: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1"/>
                <w:szCs w:val="11"/>
                <w:color w:val="auto"/>
              </w:rPr>
              <w:t>73.4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9" w:lineRule="exact"/>
              <w:rPr>
                <w:sz w:val="20"/>
                <w:szCs w:val="20"/>
                <w:color w:val="auto"/>
              </w:rPr>
            </w:pPr>
            <w:r>
              <w:rPr>
                <w:rFonts w:ascii="Arial" w:cs="Arial" w:eastAsia="Arial" w:hAnsi="Arial"/>
                <w:sz w:val="11"/>
                <w:szCs w:val="11"/>
                <w:color w:val="auto"/>
              </w:rPr>
              <w:t>9.2</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1"/>
                <w:szCs w:val="11"/>
                <w:color w:val="auto"/>
              </w:rPr>
              <w:t>64.2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gridSpan w:val="2"/>
          </w:tcPr>
          <w:p>
            <w:pPr>
              <w:jc w:val="right"/>
              <w:ind w:right="200"/>
              <w:spacing w:after="0" w:line="109" w:lineRule="exact"/>
              <w:rPr>
                <w:sz w:val="20"/>
                <w:szCs w:val="20"/>
                <w:color w:val="auto"/>
              </w:rPr>
            </w:pPr>
            <w:r>
              <w:rPr>
                <w:rFonts w:ascii="Arial" w:cs="Arial" w:eastAsia="Arial" w:hAnsi="Arial"/>
                <w:sz w:val="11"/>
                <w:szCs w:val="11"/>
                <w:color w:val="auto"/>
                <w:w w:val="97"/>
              </w:rPr>
              <w:t>(0.2)</w:t>
            </w:r>
          </w:p>
        </w:tc>
        <w:tc>
          <w:tcPr>
            <w:tcW w:w="12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64.0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vMerge w:val="restart"/>
            <w:shd w:val="clear" w:color="auto" w:fill="CCEEFF"/>
          </w:tcPr>
          <w:p>
            <w:pPr>
              <w:ind w:left="120"/>
              <w:spacing w:after="0" w:line="122" w:lineRule="exact"/>
              <w:rPr>
                <w:sz w:val="20"/>
                <w:szCs w:val="20"/>
                <w:color w:val="auto"/>
              </w:rPr>
            </w:pPr>
            <w:r>
              <w:rPr>
                <w:rFonts w:ascii="Arial" w:cs="Arial" w:eastAsia="Arial" w:hAnsi="Arial"/>
                <w:sz w:val="11"/>
                <w:szCs w:val="11"/>
                <w:color w:val="auto"/>
              </w:rPr>
              <w:t>Gross profit</w:t>
            </w: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20.7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w w:val="91"/>
              </w:rPr>
              <w:t>2.6</w:t>
            </w: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18.1</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80"/>
              <w:spacing w:after="0" w:line="102" w:lineRule="exact"/>
              <w:rPr>
                <w:sz w:val="20"/>
                <w:szCs w:val="20"/>
                <w:color w:val="auto"/>
              </w:rPr>
            </w:pPr>
            <w:r>
              <w:rPr>
                <w:rFonts w:ascii="Arial" w:cs="Arial" w:eastAsia="Arial" w:hAnsi="Arial"/>
                <w:sz w:val="11"/>
                <w:szCs w:val="11"/>
                <w:color w:val="auto"/>
                <w:w w:val="97"/>
              </w:rPr>
              <w:t>(0.1)</w:t>
            </w:r>
          </w:p>
        </w:tc>
        <w:tc>
          <w:tcPr>
            <w:tcW w:w="10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18.0</w:t>
            </w:r>
          </w:p>
        </w:tc>
        <w:tc>
          <w:tcPr>
            <w:tcW w:w="160" w:type="dxa"/>
            <w:vAlign w:val="bottom"/>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21.9</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2.6</w:t>
            </w: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19.3</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0.2</w:t>
            </w: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19.5</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spacing w:after="0" w:line="109" w:lineRule="exact"/>
              <w:rPr>
                <w:sz w:val="20"/>
                <w:szCs w:val="20"/>
                <w:color w:val="auto"/>
              </w:rPr>
            </w:pPr>
            <w:r>
              <w:rPr>
                <w:rFonts w:ascii="Arial" w:cs="Arial" w:eastAsia="Arial" w:hAnsi="Arial"/>
                <w:sz w:val="11"/>
                <w:szCs w:val="11"/>
                <w:color w:val="auto"/>
              </w:rPr>
              <w:t>General and administrative expenses</w:t>
            </w:r>
          </w:p>
        </w:tc>
        <w:tc>
          <w:tcPr>
            <w:tcW w:w="480" w:type="dxa"/>
            <w:vAlign w:val="bottom"/>
            <w:gridSpan w:val="3"/>
          </w:tcPr>
          <w:p>
            <w:pPr>
              <w:jc w:val="right"/>
              <w:spacing w:after="0" w:line="109" w:lineRule="exact"/>
              <w:rPr>
                <w:sz w:val="20"/>
                <w:szCs w:val="20"/>
                <w:color w:val="auto"/>
              </w:rPr>
            </w:pPr>
            <w:r>
              <w:rPr>
                <w:rFonts w:ascii="Arial" w:cs="Arial" w:eastAsia="Arial" w:hAnsi="Arial"/>
                <w:sz w:val="11"/>
                <w:szCs w:val="11"/>
                <w:color w:val="auto"/>
              </w:rPr>
              <w:t>16.4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jc w:val="right"/>
              <w:spacing w:after="0" w:line="109" w:lineRule="exact"/>
              <w:rPr>
                <w:sz w:val="20"/>
                <w:szCs w:val="20"/>
                <w:color w:val="auto"/>
              </w:rPr>
            </w:pPr>
            <w:r>
              <w:rPr>
                <w:rFonts w:ascii="Arial" w:cs="Arial" w:eastAsia="Arial" w:hAnsi="Arial"/>
                <w:sz w:val="11"/>
                <w:szCs w:val="11"/>
                <w:color w:val="auto"/>
                <w:w w:val="91"/>
              </w:rPr>
              <w:t>1.9</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14.5</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jc w:val="right"/>
              <w:spacing w:after="0" w:line="109" w:lineRule="exact"/>
              <w:rPr>
                <w:sz w:val="20"/>
                <w:szCs w:val="20"/>
                <w:color w:val="auto"/>
              </w:rPr>
            </w:pPr>
            <w:r>
              <w:rPr>
                <w:rFonts w:ascii="Arial" w:cs="Arial" w:eastAsia="Arial" w:hAnsi="Arial"/>
                <w:sz w:val="11"/>
                <w:szCs w:val="11"/>
                <w:color w:val="auto"/>
              </w:rPr>
              <w:t>0.1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14.6</w:t>
            </w: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17.6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2.1</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15.5</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gridSpan w:val="2"/>
          </w:tcPr>
          <w:p>
            <w:pPr>
              <w:jc w:val="right"/>
              <w:ind w:right="200"/>
              <w:spacing w:after="0" w:line="109" w:lineRule="exact"/>
              <w:rPr>
                <w:sz w:val="20"/>
                <w:szCs w:val="20"/>
                <w:color w:val="auto"/>
              </w:rPr>
            </w:pPr>
            <w:r>
              <w:rPr>
                <w:rFonts w:ascii="Arial" w:cs="Arial" w:eastAsia="Arial" w:hAnsi="Arial"/>
                <w:sz w:val="11"/>
                <w:szCs w:val="11"/>
                <w:color w:val="auto"/>
                <w:w w:val="97"/>
              </w:rPr>
              <w:t>(0.1)</w:t>
            </w:r>
          </w:p>
        </w:tc>
        <w:tc>
          <w:tcPr>
            <w:tcW w:w="12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15.4</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Contingent acquisition consideration</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60" w:type="dxa"/>
            <w:vAlign w:val="bottom"/>
            <w:tcBorders>
              <w:right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300" w:type="dxa"/>
            <w:vAlign w:val="bottom"/>
            <w:gridSpan w:val="2"/>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ind w:left="120"/>
              <w:spacing w:after="0"/>
              <w:rPr>
                <w:sz w:val="20"/>
                <w:szCs w:val="20"/>
                <w:color w:val="auto"/>
              </w:rPr>
            </w:pPr>
            <w:r>
              <w:rPr>
                <w:rFonts w:ascii="Arial" w:cs="Arial" w:eastAsia="Arial" w:hAnsi="Arial"/>
                <w:sz w:val="11"/>
                <w:szCs w:val="11"/>
                <w:color w:val="auto"/>
              </w:rPr>
              <w:t>Operating income</w:t>
            </w: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1"/>
              </w:rPr>
              <w:t>0.7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3.6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w w:val="97"/>
              </w:rPr>
              <w:t>(0.2)</w:t>
            </w:r>
          </w:p>
        </w:tc>
        <w:tc>
          <w:tcPr>
            <w:tcW w:w="10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3.4</w:t>
            </w:r>
          </w:p>
        </w:tc>
        <w:tc>
          <w:tcPr>
            <w:tcW w:w="1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0.5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3.8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0.3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4.1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Borders>
              <w:top w:val="single" w:sz="8" w:color="CCEEFF"/>
            </w:tcBorders>
            <w:shd w:val="clear" w:color="auto" w:fill="CCEEFF"/>
          </w:tcPr>
          <w:p>
            <w:pPr>
              <w:spacing w:after="0" w:line="102" w:lineRule="exact"/>
              <w:rPr>
                <w:sz w:val="20"/>
                <w:szCs w:val="20"/>
                <w:color w:val="auto"/>
              </w:rPr>
            </w:pPr>
            <w:r>
              <w:rPr>
                <w:rFonts w:ascii="Arial" w:cs="Arial" w:eastAsia="Arial" w:hAnsi="Arial"/>
                <w:sz w:val="11"/>
                <w:szCs w:val="11"/>
                <w:color w:val="auto"/>
              </w:rPr>
              <w:t>Other income (expense):</w:t>
            </w: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ind w:left="120"/>
              <w:spacing w:after="0" w:line="109" w:lineRule="exact"/>
              <w:rPr>
                <w:sz w:val="20"/>
                <w:szCs w:val="20"/>
                <w:color w:val="auto"/>
              </w:rPr>
            </w:pPr>
            <w:r>
              <w:rPr>
                <w:rFonts w:ascii="Arial" w:cs="Arial" w:eastAsia="Arial" w:hAnsi="Arial"/>
                <w:sz w:val="11"/>
                <w:szCs w:val="11"/>
                <w:color w:val="auto"/>
              </w:rPr>
              <w:t>Interest income (expense)</w:t>
            </w:r>
          </w:p>
        </w:tc>
        <w:tc>
          <w:tcPr>
            <w:tcW w:w="480" w:type="dxa"/>
            <w:vAlign w:val="bottom"/>
            <w:gridSpan w:val="3"/>
          </w:tcPr>
          <w:p>
            <w:pPr>
              <w:jc w:val="right"/>
              <w:spacing w:after="0" w:line="109" w:lineRule="exact"/>
              <w:rPr>
                <w:sz w:val="20"/>
                <w:szCs w:val="20"/>
                <w:color w:val="auto"/>
              </w:rPr>
            </w:pPr>
            <w:r>
              <w:rPr>
                <w:rFonts w:ascii="Arial" w:cs="Arial" w:eastAsia="Arial" w:hAnsi="Arial"/>
                <w:sz w:val="11"/>
                <w:szCs w:val="11"/>
                <w:color w:val="auto"/>
              </w:rPr>
              <w:t>0.2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3"/>
          </w:tcPr>
          <w:p>
            <w:pPr>
              <w:jc w:val="right"/>
              <w:ind w:right="360"/>
              <w:spacing w:after="0" w:line="109"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0.2</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3"/>
          </w:tcPr>
          <w:p>
            <w:pPr>
              <w:jc w:val="right"/>
              <w:ind w:right="340"/>
              <w:spacing w:after="0" w:line="109"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0.2</w:t>
            </w: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tcPr>
          <w:p>
            <w:pPr>
              <w:jc w:val="right"/>
              <w:ind w:right="220"/>
              <w:spacing w:after="0" w:line="109"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640" w:type="dxa"/>
            <w:vAlign w:val="bottom"/>
            <w:gridSpan w:val="3"/>
          </w:tcPr>
          <w:p>
            <w:pPr>
              <w:jc w:val="right"/>
              <w:ind w:right="360"/>
              <w:spacing w:after="0" w:line="109"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580" w:type="dxa"/>
            <w:vAlign w:val="bottom"/>
            <w:gridSpan w:val="3"/>
          </w:tcPr>
          <w:p>
            <w:pPr>
              <w:jc w:val="right"/>
              <w:ind w:right="300"/>
              <w:spacing w:after="0" w:line="109"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3"/>
          </w:tcPr>
          <w:p>
            <w:pPr>
              <w:jc w:val="right"/>
              <w:ind w:right="360"/>
              <w:spacing w:after="0" w:line="10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600" w:type="dxa"/>
            <w:vAlign w:val="bottom"/>
            <w:gridSpan w:val="3"/>
          </w:tcPr>
          <w:p>
            <w:pPr>
              <w:jc w:val="right"/>
              <w:ind w:right="300"/>
              <w:spacing w:after="0" w:line="10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Other income (expense)</w:t>
            </w:r>
          </w:p>
        </w:tc>
        <w:tc>
          <w:tcPr>
            <w:tcW w:w="200" w:type="dxa"/>
            <w:vAlign w:val="bottom"/>
            <w:gridSpan w:val="2"/>
            <w:shd w:val="clear" w:color="auto" w:fill="CCEEFF"/>
          </w:tcPr>
          <w:p>
            <w:pPr>
              <w:spacing w:after="0"/>
              <w:rPr>
                <w:sz w:val="9"/>
                <w:szCs w:val="9"/>
                <w:color w:val="auto"/>
              </w:rPr>
            </w:pPr>
          </w:p>
        </w:tc>
        <w:tc>
          <w:tcPr>
            <w:tcW w:w="380" w:type="dxa"/>
            <w:vAlign w:val="bottom"/>
            <w:gridSpan w:val="2"/>
            <w:shd w:val="clear" w:color="auto" w:fill="CCEEFF"/>
          </w:tcPr>
          <w:p>
            <w:pPr>
              <w:jc w:val="right"/>
              <w:ind w:right="60"/>
              <w:spacing w:after="0" w:line="109" w:lineRule="exact"/>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9"/>
                <w:szCs w:val="9"/>
                <w:color w:val="auto"/>
              </w:rPr>
            </w:pPr>
          </w:p>
        </w:tc>
        <w:tc>
          <w:tcPr>
            <w:tcW w:w="760" w:type="dxa"/>
            <w:vAlign w:val="bottom"/>
            <w:gridSpan w:val="4"/>
            <w:shd w:val="clear" w:color="auto" w:fill="CCEEFF"/>
          </w:tcPr>
          <w:p>
            <w:pPr>
              <w:jc w:val="right"/>
              <w:ind w:right="220"/>
              <w:spacing w:after="0" w:line="109" w:lineRule="exact"/>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gridSpan w:val="3"/>
            <w:shd w:val="clear" w:color="auto" w:fill="CCEEFF"/>
          </w:tcPr>
          <w:p>
            <w:pPr>
              <w:jc w:val="right"/>
              <w:ind w:right="300"/>
              <w:spacing w:after="0" w:line="109"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340"/>
              <w:spacing w:after="0" w:line="10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40" w:type="dxa"/>
            <w:vAlign w:val="bottom"/>
            <w:tcBorders>
              <w:right w:val="single" w:sz="8" w:color="auto"/>
            </w:tcBorders>
            <w:gridSpan w:val="3"/>
            <w:shd w:val="clear" w:color="auto" w:fill="CCEEFF"/>
          </w:tcPr>
          <w:p>
            <w:pPr>
              <w:jc w:val="right"/>
              <w:ind w:right="260"/>
              <w:spacing w:after="0" w:line="10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60" w:type="dxa"/>
            <w:vAlign w:val="bottom"/>
            <w:gridSpan w:val="3"/>
            <w:shd w:val="clear" w:color="auto" w:fill="CCEEFF"/>
          </w:tcPr>
          <w:p>
            <w:pPr>
              <w:jc w:val="right"/>
              <w:ind w:right="40"/>
              <w:spacing w:after="0" w:line="109" w:lineRule="exact"/>
              <w:rPr>
                <w:sz w:val="20"/>
                <w:szCs w:val="20"/>
                <w:color w:val="auto"/>
              </w:rPr>
            </w:pPr>
            <w:r>
              <w:rPr>
                <w:rFonts w:ascii="Arial" w:cs="Arial" w:eastAsia="Arial" w:hAnsi="Arial"/>
                <w:sz w:val="11"/>
                <w:szCs w:val="11"/>
                <w:color w:val="auto"/>
              </w:rPr>
              <w:t>(0.3)</w:t>
            </w:r>
          </w:p>
        </w:tc>
        <w:tc>
          <w:tcPr>
            <w:tcW w:w="120" w:type="dxa"/>
            <w:vAlign w:val="bottom"/>
            <w:shd w:val="clear" w:color="auto" w:fill="CCEEFF"/>
          </w:tcPr>
          <w:p>
            <w:pPr>
              <w:spacing w:after="0"/>
              <w:rPr>
                <w:sz w:val="9"/>
                <w:szCs w:val="9"/>
                <w:color w:val="auto"/>
              </w:rPr>
            </w:pPr>
          </w:p>
        </w:tc>
        <w:tc>
          <w:tcPr>
            <w:tcW w:w="760" w:type="dxa"/>
            <w:vAlign w:val="bottom"/>
            <w:gridSpan w:val="3"/>
            <w:shd w:val="clear" w:color="auto" w:fill="CCEEFF"/>
          </w:tcPr>
          <w:p>
            <w:pPr>
              <w:jc w:val="right"/>
              <w:ind w:right="220"/>
              <w:spacing w:after="0" w:line="109" w:lineRule="exact"/>
              <w:rPr>
                <w:sz w:val="20"/>
                <w:szCs w:val="20"/>
                <w:color w:val="auto"/>
              </w:rPr>
            </w:pPr>
            <w:r>
              <w:rPr>
                <w:rFonts w:ascii="Arial" w:cs="Arial" w:eastAsia="Arial" w:hAnsi="Arial"/>
                <w:sz w:val="11"/>
                <w:szCs w:val="11"/>
                <w:color w:val="auto"/>
              </w:rPr>
              <w:t>(0.3)</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gridSpan w:val="3"/>
            <w:shd w:val="clear" w:color="auto" w:fill="CCEEFF"/>
          </w:tcPr>
          <w:p>
            <w:pPr>
              <w:jc w:val="right"/>
              <w:ind w:right="300"/>
              <w:spacing w:after="0" w:line="109"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gridSpan w:val="3"/>
            <w:shd w:val="clear" w:color="auto" w:fill="CCEEFF"/>
          </w:tcPr>
          <w:p>
            <w:pPr>
              <w:jc w:val="right"/>
              <w:ind w:right="360"/>
              <w:spacing w:after="0" w:line="10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600" w:type="dxa"/>
            <w:vAlign w:val="bottom"/>
            <w:gridSpan w:val="3"/>
            <w:shd w:val="clear" w:color="auto" w:fill="CCEEFF"/>
          </w:tcPr>
          <w:p>
            <w:pPr>
              <w:jc w:val="right"/>
              <w:ind w:right="300"/>
              <w:spacing w:after="0" w:line="10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vMerge w:val="restart"/>
          </w:tcPr>
          <w:p>
            <w:pPr>
              <w:ind w:left="120"/>
              <w:spacing w:after="0"/>
              <w:rPr>
                <w:sz w:val="20"/>
                <w:szCs w:val="20"/>
                <w:color w:val="auto"/>
              </w:rPr>
            </w:pPr>
            <w:r>
              <w:rPr>
                <w:rFonts w:ascii="Arial" w:cs="Arial" w:eastAsia="Arial" w:hAnsi="Arial"/>
                <w:sz w:val="11"/>
                <w:szCs w:val="11"/>
                <w:color w:val="auto"/>
              </w:rPr>
              <w:t>Total other income (expense)</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200" w:type="dxa"/>
            <w:vAlign w:val="bottom"/>
            <w:gridSpan w:val="2"/>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0.2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0.2</w:t>
            </w:r>
          </w:p>
        </w:tc>
        <w:tc>
          <w:tcPr>
            <w:tcW w:w="1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2"/>
                <w:szCs w:val="12"/>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Borders>
              <w:top w:val="single" w:sz="8" w:color="CCEEFF"/>
            </w:tcBorders>
            <w:shd w:val="clear" w:color="auto" w:fill="CCEEFF"/>
          </w:tcPr>
          <w:p>
            <w:pPr>
              <w:ind w:left="120"/>
              <w:spacing w:after="0" w:line="102" w:lineRule="exact"/>
              <w:rPr>
                <w:sz w:val="20"/>
                <w:szCs w:val="20"/>
                <w:color w:val="auto"/>
              </w:rPr>
            </w:pPr>
            <w:r>
              <w:rPr>
                <w:rFonts w:ascii="Arial" w:cs="Arial" w:eastAsia="Arial" w:hAnsi="Arial"/>
                <w:sz w:val="11"/>
                <w:szCs w:val="11"/>
                <w:color w:val="auto"/>
              </w:rPr>
              <w:t>Income from continuing operations before income taxes</w:t>
            </w: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4.4</w:t>
            </w: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1"/>
              </w:rPr>
              <w:t>0.6</w:t>
            </w:r>
          </w:p>
        </w:tc>
        <w:tc>
          <w:tcPr>
            <w:tcW w:w="2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3.8</w:t>
            </w:r>
          </w:p>
        </w:tc>
        <w:tc>
          <w:tcPr>
            <w:tcW w:w="1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79"/>
              </w:rPr>
              <w:t>(0.2)</w:t>
            </w:r>
          </w:p>
        </w:tc>
        <w:tc>
          <w:tcPr>
            <w:tcW w:w="2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3.6</w:t>
            </w: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4.0</w:t>
            </w: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0.2</w:t>
            </w: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3.8</w:t>
            </w: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0.3</w:t>
            </w:r>
          </w:p>
        </w:tc>
        <w:tc>
          <w:tcPr>
            <w:tcW w:w="2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4.1</w:t>
            </w:r>
          </w:p>
        </w:tc>
        <w:tc>
          <w:tcPr>
            <w:tcW w:w="1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spacing w:after="0" w:line="109" w:lineRule="exact"/>
              <w:rPr>
                <w:sz w:val="20"/>
                <w:szCs w:val="20"/>
                <w:color w:val="auto"/>
              </w:rPr>
            </w:pPr>
            <w:r>
              <w:rPr>
                <w:rFonts w:ascii="Arial" w:cs="Arial" w:eastAsia="Arial" w:hAnsi="Arial"/>
                <w:sz w:val="11"/>
                <w:szCs w:val="11"/>
                <w:color w:val="auto"/>
              </w:rPr>
              <w:t>Provision (benefit) for income taxes</w:t>
            </w:r>
          </w:p>
        </w:tc>
        <w:tc>
          <w:tcPr>
            <w:tcW w:w="480" w:type="dxa"/>
            <w:vAlign w:val="bottom"/>
            <w:gridSpan w:val="3"/>
          </w:tcPr>
          <w:p>
            <w:pPr>
              <w:jc w:val="right"/>
              <w:spacing w:after="0" w:line="109" w:lineRule="exact"/>
              <w:rPr>
                <w:sz w:val="20"/>
                <w:szCs w:val="20"/>
                <w:color w:val="auto"/>
              </w:rPr>
            </w:pPr>
            <w:r>
              <w:rPr>
                <w:rFonts w:ascii="Arial" w:cs="Arial" w:eastAsia="Arial" w:hAnsi="Arial"/>
                <w:sz w:val="11"/>
                <w:szCs w:val="11"/>
                <w:color w:val="auto"/>
              </w:rPr>
              <w:t>1.7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jc w:val="right"/>
              <w:spacing w:after="0" w:line="109" w:lineRule="exact"/>
              <w:rPr>
                <w:sz w:val="20"/>
                <w:szCs w:val="20"/>
                <w:color w:val="auto"/>
              </w:rPr>
            </w:pPr>
            <w:r>
              <w:rPr>
                <w:rFonts w:ascii="Arial" w:cs="Arial" w:eastAsia="Arial" w:hAnsi="Arial"/>
                <w:sz w:val="11"/>
                <w:szCs w:val="11"/>
                <w:color w:val="auto"/>
                <w:w w:val="91"/>
              </w:rPr>
              <w:t>0.2</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1.5</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3"/>
          </w:tcPr>
          <w:p>
            <w:pPr>
              <w:jc w:val="right"/>
              <w:ind w:right="340"/>
              <w:spacing w:after="0" w:line="109"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1.5</w:t>
            </w: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1.5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0.1</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1.4</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3"/>
          </w:tcPr>
          <w:p>
            <w:pPr>
              <w:jc w:val="right"/>
              <w:ind w:right="360"/>
              <w:spacing w:after="0" w:line="109"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1.4</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Borders>
              <w:top w:val="single" w:sz="8" w:color="CCEEFF"/>
            </w:tcBorders>
            <w:shd w:val="clear" w:color="auto" w:fill="CCEEFF"/>
          </w:tcPr>
          <w:p>
            <w:pPr>
              <w:ind w:left="120"/>
              <w:spacing w:after="0" w:line="102" w:lineRule="exact"/>
              <w:rPr>
                <w:sz w:val="20"/>
                <w:szCs w:val="20"/>
                <w:color w:val="auto"/>
              </w:rPr>
            </w:pPr>
            <w:r>
              <w:rPr>
                <w:rFonts w:ascii="Arial" w:cs="Arial" w:eastAsia="Arial" w:hAnsi="Arial"/>
                <w:sz w:val="11"/>
                <w:szCs w:val="11"/>
                <w:color w:val="auto"/>
              </w:rPr>
              <w:t>Net income (loss) from continuing operations</w:t>
            </w: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$ 2.7</w:t>
            </w: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7"/>
              </w:rPr>
              <w:t>$</w:t>
            </w:r>
          </w:p>
        </w:tc>
        <w:tc>
          <w:tcPr>
            <w:tcW w:w="1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1"/>
              </w:rPr>
              <w:t>0.4</w:t>
            </w:r>
          </w:p>
        </w:tc>
        <w:tc>
          <w:tcPr>
            <w:tcW w:w="2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$ 2.3</w:t>
            </w:r>
          </w:p>
        </w:tc>
        <w:tc>
          <w:tcPr>
            <w:tcW w:w="1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79"/>
              </w:rPr>
              <w:t>(0.2)</w:t>
            </w:r>
          </w:p>
        </w:tc>
        <w:tc>
          <w:tcPr>
            <w:tcW w:w="2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$ 2.1</w:t>
            </w: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7"/>
              </w:rPr>
              <w:t>$ 2.5</w:t>
            </w: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$ 0.1</w:t>
            </w: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$ 2.4</w:t>
            </w: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0.3</w:t>
            </w:r>
          </w:p>
        </w:tc>
        <w:tc>
          <w:tcPr>
            <w:tcW w:w="2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$ 2.7</w:t>
            </w:r>
          </w:p>
        </w:tc>
        <w:tc>
          <w:tcPr>
            <w:tcW w:w="1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Pr>
          <w:p>
            <w:pPr>
              <w:ind w:left="120"/>
              <w:spacing w:after="0" w:line="102" w:lineRule="exact"/>
              <w:rPr>
                <w:sz w:val="20"/>
                <w:szCs w:val="20"/>
                <w:color w:val="auto"/>
              </w:rPr>
            </w:pPr>
            <w:r>
              <w:rPr>
                <w:rFonts w:ascii="Arial" w:cs="Arial" w:eastAsia="Arial" w:hAnsi="Arial"/>
                <w:sz w:val="11"/>
                <w:szCs w:val="11"/>
                <w:color w:val="auto"/>
              </w:rPr>
              <w:t>Income (loss) from discontinued operations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jc w:val="right"/>
              <w:spacing w:after="0" w:line="102" w:lineRule="exact"/>
              <w:rPr>
                <w:sz w:val="20"/>
                <w:szCs w:val="20"/>
                <w:color w:val="auto"/>
              </w:rPr>
            </w:pPr>
            <w:r>
              <w:rPr>
                <w:rFonts w:ascii="Arial" w:cs="Arial" w:eastAsia="Arial" w:hAnsi="Arial"/>
                <w:sz w:val="11"/>
                <w:szCs w:val="11"/>
                <w:color w:val="auto"/>
              </w:rPr>
              <w:t>0.9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jc w:val="right"/>
              <w:spacing w:after="0" w:line="102" w:lineRule="exact"/>
              <w:rPr>
                <w:sz w:val="20"/>
                <w:szCs w:val="20"/>
                <w:color w:val="auto"/>
              </w:rPr>
            </w:pPr>
            <w:r>
              <w:rPr>
                <w:rFonts w:ascii="Arial" w:cs="Arial" w:eastAsia="Arial" w:hAnsi="Arial"/>
                <w:sz w:val="11"/>
                <w:szCs w:val="11"/>
                <w:color w:val="auto"/>
              </w:rPr>
              <w:t>1.3</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jc w:val="right"/>
              <w:spacing w:after="0" w:line="102" w:lineRule="exact"/>
              <w:rPr>
                <w:sz w:val="20"/>
                <w:szCs w:val="20"/>
                <w:color w:val="auto"/>
              </w:rPr>
            </w:pPr>
            <w:r>
              <w:rPr>
                <w:rFonts w:ascii="Arial" w:cs="Arial" w:eastAsia="Arial" w:hAnsi="Arial"/>
                <w:sz w:val="11"/>
                <w:szCs w:val="11"/>
                <w:color w:val="auto"/>
                <w:w w:val="79"/>
              </w:rPr>
              <w:t>(0.0)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jc w:val="right"/>
              <w:spacing w:after="0" w:line="102" w:lineRule="exact"/>
              <w:rPr>
                <w:sz w:val="20"/>
                <w:szCs w:val="20"/>
                <w:color w:val="auto"/>
              </w:rPr>
            </w:pPr>
            <w:r>
              <w:rPr>
                <w:rFonts w:ascii="Arial" w:cs="Arial" w:eastAsia="Arial" w:hAnsi="Arial"/>
                <w:sz w:val="11"/>
                <w:szCs w:val="11"/>
                <w:color w:val="auto"/>
              </w:rPr>
              <w:t>1.3</w:t>
            </w:r>
          </w:p>
        </w:tc>
        <w:tc>
          <w:tcPr>
            <w:tcW w:w="1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jc w:val="right"/>
              <w:spacing w:after="0" w:line="102" w:lineRule="exact"/>
              <w:rPr>
                <w:sz w:val="20"/>
                <w:szCs w:val="20"/>
                <w:color w:val="auto"/>
              </w:rPr>
            </w:pPr>
            <w:r>
              <w:rPr>
                <w:rFonts w:ascii="Arial" w:cs="Arial" w:eastAsia="Arial" w:hAnsi="Arial"/>
                <w:sz w:val="11"/>
                <w:szCs w:val="11"/>
                <w:color w:val="auto"/>
              </w:rPr>
              <w:t>0.8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jc w:val="right"/>
              <w:spacing w:after="0" w:line="102" w:lineRule="exact"/>
              <w:rPr>
                <w:sz w:val="20"/>
                <w:szCs w:val="20"/>
                <w:color w:val="auto"/>
              </w:rPr>
            </w:pPr>
            <w:r>
              <w:rPr>
                <w:rFonts w:ascii="Arial" w:cs="Arial" w:eastAsia="Arial" w:hAnsi="Arial"/>
                <w:sz w:val="11"/>
                <w:szCs w:val="11"/>
                <w:color w:val="auto"/>
              </w:rPr>
              <w:t>0.9</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jc w:val="right"/>
              <w:spacing w:after="0" w:line="102" w:lineRule="exact"/>
              <w:rPr>
                <w:sz w:val="20"/>
                <w:szCs w:val="20"/>
                <w:color w:val="auto"/>
              </w:rPr>
            </w:pPr>
            <w:r>
              <w:rPr>
                <w:rFonts w:ascii="Arial" w:cs="Arial" w:eastAsia="Arial" w:hAnsi="Arial"/>
                <w:sz w:val="11"/>
                <w:szCs w:val="11"/>
                <w:color w:val="auto"/>
                <w:w w:val="88"/>
              </w:rPr>
              <w:t>(0.0)</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11"/>
                <w:szCs w:val="11"/>
                <w:color w:val="auto"/>
              </w:rPr>
              <w:t>0.9</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shd w:val="clear" w:color="auto" w:fill="CCEEFF"/>
          </w:tcPr>
          <w:p>
            <w:pPr>
              <w:ind w:left="240"/>
              <w:spacing w:after="0" w:line="109" w:lineRule="exact"/>
              <w:rPr>
                <w:sz w:val="20"/>
                <w:szCs w:val="20"/>
                <w:color w:val="auto"/>
              </w:rPr>
            </w:pPr>
            <w:r>
              <w:rPr>
                <w:rFonts w:ascii="Arial" w:cs="Arial" w:eastAsia="Arial" w:hAnsi="Arial"/>
                <w:sz w:val="11"/>
                <w:szCs w:val="11"/>
                <w:color w:val="auto"/>
              </w:rPr>
              <w:t>Net income (loss)</w:t>
            </w:r>
          </w:p>
        </w:tc>
        <w:tc>
          <w:tcPr>
            <w:tcW w:w="480" w:type="dxa"/>
            <w:vAlign w:val="bottom"/>
            <w:gridSpan w:val="3"/>
            <w:shd w:val="clear" w:color="auto" w:fill="CCEEFF"/>
          </w:tcPr>
          <w:p>
            <w:pPr>
              <w:jc w:val="right"/>
              <w:spacing w:after="0" w:line="109" w:lineRule="exact"/>
              <w:rPr>
                <w:sz w:val="20"/>
                <w:szCs w:val="20"/>
                <w:color w:val="auto"/>
              </w:rPr>
            </w:pPr>
            <w:r>
              <w:rPr>
                <w:rFonts w:ascii="Arial" w:cs="Arial" w:eastAsia="Arial" w:hAnsi="Arial"/>
                <w:sz w:val="11"/>
                <w:szCs w:val="11"/>
                <w:color w:val="auto"/>
              </w:rPr>
              <w:t>$ 3.6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1"/>
              </w:rPr>
              <w:t>0.4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$ 3.6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1"/>
                <w:szCs w:val="11"/>
                <w:color w:val="auto"/>
                <w:w w:val="97"/>
              </w:rPr>
              <w:t>(0.2)</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$ 3.4</w:t>
            </w:r>
          </w:p>
        </w:tc>
        <w:tc>
          <w:tcPr>
            <w:tcW w:w="1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$ 0.1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$ 3.3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0.3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$ 3.6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80" w:type="dxa"/>
            <w:vAlign w:val="bottom"/>
            <w:tcBorders>
              <w:top w:val="single" w:sz="8" w:color="CCEEFF"/>
            </w:tcBorders>
          </w:tcPr>
          <w:p>
            <w:pPr>
              <w:ind w:left="120"/>
              <w:spacing w:after="0" w:line="121" w:lineRule="exact"/>
              <w:rPr>
                <w:sz w:val="20"/>
                <w:szCs w:val="20"/>
                <w:color w:val="auto"/>
              </w:rPr>
            </w:pPr>
            <w:r>
              <w:rPr>
                <w:rFonts w:ascii="Arial" w:cs="Arial" w:eastAsia="Arial" w:hAnsi="Arial"/>
                <w:sz w:val="11"/>
                <w:szCs w:val="11"/>
                <w:color w:val="auto"/>
              </w:rPr>
              <w:t>Net income (loss) from continuing operations</w:t>
            </w: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CCEEFF"/>
              <w:right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80" w:type="dxa"/>
            <w:vAlign w:val="bottom"/>
            <w:shd w:val="clear" w:color="auto" w:fill="CCEEFF"/>
          </w:tcPr>
          <w:p>
            <w:pPr>
              <w:ind w:left="120"/>
              <w:spacing w:after="0" w:line="113" w:lineRule="exact"/>
              <w:rPr>
                <w:sz w:val="20"/>
                <w:szCs w:val="20"/>
                <w:color w:val="auto"/>
              </w:rPr>
            </w:pPr>
            <w:r>
              <w:rPr>
                <w:rFonts w:ascii="Arial" w:cs="Arial" w:eastAsia="Arial" w:hAnsi="Arial"/>
                <w:sz w:val="11"/>
                <w:szCs w:val="11"/>
                <w:color w:val="auto"/>
              </w:rPr>
              <w:t>Basic</w:t>
            </w:r>
          </w:p>
        </w:tc>
        <w:tc>
          <w:tcPr>
            <w:tcW w:w="480" w:type="dxa"/>
            <w:vAlign w:val="bottom"/>
            <w:gridSpan w:val="3"/>
            <w:shd w:val="clear" w:color="auto" w:fill="CCEEFF"/>
          </w:tcPr>
          <w:p>
            <w:pPr>
              <w:jc w:val="right"/>
              <w:spacing w:after="0" w:line="113" w:lineRule="exact"/>
              <w:rPr>
                <w:sz w:val="20"/>
                <w:szCs w:val="20"/>
                <w:color w:val="auto"/>
              </w:rPr>
            </w:pPr>
            <w:r>
              <w:rPr>
                <w:rFonts w:ascii="Arial" w:cs="Arial" w:eastAsia="Arial" w:hAnsi="Arial"/>
                <w:sz w:val="11"/>
                <w:szCs w:val="11"/>
                <w:color w:val="auto"/>
              </w:rPr>
              <w:t>$ 0.04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$ 0.03</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$ 0.03</w:t>
            </w: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$ 0.03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$ 0.03</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3"/>
            <w:shd w:val="clear" w:color="auto" w:fill="CCEEFF"/>
          </w:tcPr>
          <w:p>
            <w:pPr>
              <w:jc w:val="right"/>
              <w:spacing w:after="0" w:line="113" w:lineRule="exact"/>
              <w:rPr>
                <w:sz w:val="20"/>
                <w:szCs w:val="20"/>
                <w:color w:val="auto"/>
              </w:rPr>
            </w:pPr>
            <w:r>
              <w:rPr>
                <w:rFonts w:ascii="Arial" w:cs="Arial" w:eastAsia="Arial" w:hAnsi="Arial"/>
                <w:sz w:val="11"/>
                <w:szCs w:val="11"/>
                <w:color w:val="auto"/>
              </w:rPr>
              <w:t>$ 0.00</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$ 0.04</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ind w:left="120"/>
              <w:spacing w:after="0" w:line="109" w:lineRule="exact"/>
              <w:rPr>
                <w:sz w:val="20"/>
                <w:szCs w:val="20"/>
                <w:color w:val="auto"/>
              </w:rPr>
            </w:pPr>
            <w:r>
              <w:rPr>
                <w:rFonts w:ascii="Arial" w:cs="Arial" w:eastAsia="Arial" w:hAnsi="Arial"/>
                <w:sz w:val="11"/>
                <w:szCs w:val="11"/>
                <w:color w:val="auto"/>
              </w:rPr>
              <w:t>Diluted</w:t>
            </w:r>
          </w:p>
        </w:tc>
        <w:tc>
          <w:tcPr>
            <w:tcW w:w="480" w:type="dxa"/>
            <w:vAlign w:val="bottom"/>
            <w:gridSpan w:val="3"/>
          </w:tcPr>
          <w:p>
            <w:pPr>
              <w:jc w:val="right"/>
              <w:spacing w:after="0" w:line="109" w:lineRule="exact"/>
              <w:rPr>
                <w:sz w:val="20"/>
                <w:szCs w:val="20"/>
                <w:color w:val="auto"/>
              </w:rPr>
            </w:pPr>
            <w:r>
              <w:rPr>
                <w:rFonts w:ascii="Arial" w:cs="Arial" w:eastAsia="Arial" w:hAnsi="Arial"/>
                <w:sz w:val="11"/>
                <w:szCs w:val="11"/>
                <w:color w:val="auto"/>
              </w:rPr>
              <w:t>$ 0.04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$ 0.03</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$ 0.03</w:t>
            </w: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$ 0.02</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$ 0.03</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tcPr>
          <w:p>
            <w:pPr>
              <w:jc w:val="right"/>
              <w:spacing w:after="0" w:line="109" w:lineRule="exact"/>
              <w:rPr>
                <w:sz w:val="20"/>
                <w:szCs w:val="20"/>
                <w:color w:val="auto"/>
              </w:rPr>
            </w:pPr>
            <w:r>
              <w:rPr>
                <w:rFonts w:ascii="Arial" w:cs="Arial" w:eastAsia="Arial" w:hAnsi="Arial"/>
                <w:sz w:val="11"/>
                <w:szCs w:val="11"/>
                <w:color w:val="auto"/>
              </w:rPr>
              <w:t>$ 0.00</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$ 0.04</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Net income (loss) from discontinued operations</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ind w:left="120"/>
              <w:spacing w:after="0" w:line="109" w:lineRule="exact"/>
              <w:rPr>
                <w:sz w:val="20"/>
                <w:szCs w:val="20"/>
                <w:color w:val="auto"/>
              </w:rPr>
            </w:pPr>
            <w:r>
              <w:rPr>
                <w:rFonts w:ascii="Arial" w:cs="Arial" w:eastAsia="Arial" w:hAnsi="Arial"/>
                <w:sz w:val="11"/>
                <w:szCs w:val="11"/>
                <w:color w:val="auto"/>
              </w:rPr>
              <w:t>Basic</w:t>
            </w:r>
          </w:p>
        </w:tc>
        <w:tc>
          <w:tcPr>
            <w:tcW w:w="480" w:type="dxa"/>
            <w:vAlign w:val="bottom"/>
            <w:gridSpan w:val="3"/>
          </w:tcPr>
          <w:p>
            <w:pPr>
              <w:jc w:val="right"/>
              <w:spacing w:after="0" w:line="109" w:lineRule="exact"/>
              <w:rPr>
                <w:sz w:val="20"/>
                <w:szCs w:val="20"/>
                <w:color w:val="auto"/>
              </w:rPr>
            </w:pPr>
            <w:r>
              <w:rPr>
                <w:rFonts w:ascii="Arial" w:cs="Arial" w:eastAsia="Arial" w:hAnsi="Arial"/>
                <w:sz w:val="11"/>
                <w:szCs w:val="11"/>
                <w:color w:val="auto"/>
              </w:rPr>
              <w:t>$ 0.01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$ 0.02</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$ 0.02</w:t>
            </w: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4"/>
          </w:tcPr>
          <w:p>
            <w:pPr>
              <w:jc w:val="right"/>
              <w:ind w:right="200"/>
              <w:spacing w:after="0" w:line="109" w:lineRule="exact"/>
              <w:rPr>
                <w:sz w:val="20"/>
                <w:szCs w:val="20"/>
                <w:color w:val="auto"/>
              </w:rPr>
            </w:pPr>
            <w:r>
              <w:rPr>
                <w:rFonts w:ascii="Arial" w:cs="Arial" w:eastAsia="Arial" w:hAnsi="Arial"/>
                <w:sz w:val="11"/>
                <w:szCs w:val="11"/>
                <w:color w:val="auto"/>
              </w:rPr>
              <w:t>$ (0.00)</w:t>
            </w:r>
          </w:p>
        </w:tc>
        <w:tc>
          <w:tcPr>
            <w:tcW w:w="12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Diluted</w:t>
            </w:r>
          </w:p>
        </w:tc>
        <w:tc>
          <w:tcPr>
            <w:tcW w:w="480" w:type="dxa"/>
            <w:vAlign w:val="bottom"/>
            <w:gridSpan w:val="3"/>
            <w:shd w:val="clear" w:color="auto" w:fill="CCEEFF"/>
          </w:tcPr>
          <w:p>
            <w:pPr>
              <w:jc w:val="right"/>
              <w:spacing w:after="0" w:line="109" w:lineRule="exact"/>
              <w:rPr>
                <w:sz w:val="20"/>
                <w:szCs w:val="20"/>
                <w:color w:val="auto"/>
              </w:rPr>
            </w:pPr>
            <w:r>
              <w:rPr>
                <w:rFonts w:ascii="Arial" w:cs="Arial" w:eastAsia="Arial" w:hAnsi="Arial"/>
                <w:sz w:val="11"/>
                <w:szCs w:val="11"/>
                <w:color w:val="auto"/>
              </w:rPr>
              <w:t>$ 0.01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$ 0.02</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$ 0.02</w:t>
            </w: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$ 0.01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$ 0.01</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gridSpan w:val="4"/>
            <w:shd w:val="clear" w:color="auto" w:fill="CCEEFF"/>
          </w:tcPr>
          <w:p>
            <w:pPr>
              <w:jc w:val="right"/>
              <w:ind w:right="200"/>
              <w:spacing w:after="0" w:line="109" w:lineRule="exact"/>
              <w:rPr>
                <w:sz w:val="20"/>
                <w:szCs w:val="20"/>
                <w:color w:val="auto"/>
              </w:rPr>
            </w:pPr>
            <w:r>
              <w:rPr>
                <w:rFonts w:ascii="Arial" w:cs="Arial" w:eastAsia="Arial" w:hAnsi="Arial"/>
                <w:sz w:val="11"/>
                <w:szCs w:val="11"/>
                <w:color w:val="auto"/>
              </w:rPr>
              <w:t>$ (0.00)</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$ 0.01</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spacing w:after="0" w:line="109" w:lineRule="exact"/>
              <w:rPr>
                <w:sz w:val="20"/>
                <w:szCs w:val="20"/>
                <w:color w:val="auto"/>
              </w:rPr>
            </w:pPr>
            <w:r>
              <w:rPr>
                <w:rFonts w:ascii="Arial" w:cs="Arial" w:eastAsia="Arial" w:hAnsi="Arial"/>
                <w:sz w:val="11"/>
                <w:szCs w:val="11"/>
                <w:color w:val="auto"/>
              </w:rPr>
              <w:t>Net income (loss), per share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Basic</w:t>
            </w:r>
          </w:p>
        </w:tc>
        <w:tc>
          <w:tcPr>
            <w:tcW w:w="480" w:type="dxa"/>
            <w:vAlign w:val="bottom"/>
            <w:gridSpan w:val="3"/>
            <w:shd w:val="clear" w:color="auto" w:fill="CCEEFF"/>
          </w:tcPr>
          <w:p>
            <w:pPr>
              <w:jc w:val="right"/>
              <w:spacing w:after="0" w:line="109" w:lineRule="exact"/>
              <w:rPr>
                <w:sz w:val="20"/>
                <w:szCs w:val="20"/>
                <w:color w:val="auto"/>
              </w:rPr>
            </w:pPr>
            <w:r>
              <w:rPr>
                <w:rFonts w:ascii="Arial" w:cs="Arial" w:eastAsia="Arial" w:hAnsi="Arial"/>
                <w:sz w:val="11"/>
                <w:szCs w:val="11"/>
                <w:color w:val="auto"/>
              </w:rPr>
              <w:t>$ 0.05</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$ 0.05</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$ 0.05</w:t>
            </w: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$ 0.04</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$ 0.04</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3"/>
            <w:shd w:val="clear" w:color="auto" w:fill="CCEEFF"/>
          </w:tcPr>
          <w:p>
            <w:pPr>
              <w:jc w:val="right"/>
              <w:spacing w:after="0" w:line="109" w:lineRule="exact"/>
              <w:rPr>
                <w:sz w:val="20"/>
                <w:szCs w:val="20"/>
                <w:color w:val="auto"/>
              </w:rPr>
            </w:pPr>
            <w:r>
              <w:rPr>
                <w:rFonts w:ascii="Arial" w:cs="Arial" w:eastAsia="Arial" w:hAnsi="Arial"/>
                <w:sz w:val="11"/>
                <w:szCs w:val="11"/>
                <w:color w:val="auto"/>
              </w:rPr>
              <w:t>$ 0.00</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$ 0.05</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ind w:left="120"/>
              <w:spacing w:after="0" w:line="109" w:lineRule="exact"/>
              <w:rPr>
                <w:sz w:val="20"/>
                <w:szCs w:val="20"/>
                <w:color w:val="auto"/>
              </w:rPr>
            </w:pPr>
            <w:r>
              <w:rPr>
                <w:rFonts w:ascii="Arial" w:cs="Arial" w:eastAsia="Arial" w:hAnsi="Arial"/>
                <w:sz w:val="11"/>
                <w:szCs w:val="11"/>
                <w:color w:val="auto"/>
              </w:rPr>
              <w:t>Diluted</w:t>
            </w:r>
          </w:p>
        </w:tc>
        <w:tc>
          <w:tcPr>
            <w:tcW w:w="480" w:type="dxa"/>
            <w:vAlign w:val="bottom"/>
            <w:gridSpan w:val="3"/>
          </w:tcPr>
          <w:p>
            <w:pPr>
              <w:jc w:val="right"/>
              <w:spacing w:after="0" w:line="109" w:lineRule="exact"/>
              <w:rPr>
                <w:sz w:val="20"/>
                <w:szCs w:val="20"/>
                <w:color w:val="auto"/>
              </w:rPr>
            </w:pPr>
            <w:r>
              <w:rPr>
                <w:rFonts w:ascii="Arial" w:cs="Arial" w:eastAsia="Arial" w:hAnsi="Arial"/>
                <w:sz w:val="11"/>
                <w:szCs w:val="11"/>
                <w:color w:val="auto"/>
              </w:rPr>
              <w:t>$ 0.05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$ 0.05</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$ 0.05</w:t>
            </w: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$ 0.04</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tcPr>
          <w:p>
            <w:pPr>
              <w:jc w:val="right"/>
              <w:spacing w:after="0" w:line="109" w:lineRule="exact"/>
              <w:rPr>
                <w:sz w:val="20"/>
                <w:szCs w:val="20"/>
                <w:color w:val="auto"/>
              </w:rPr>
            </w:pPr>
            <w:r>
              <w:rPr>
                <w:rFonts w:ascii="Arial" w:cs="Arial" w:eastAsia="Arial" w:hAnsi="Arial"/>
                <w:sz w:val="11"/>
                <w:szCs w:val="11"/>
                <w:color w:val="auto"/>
              </w:rPr>
              <w:t>$ 0.00</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$ 0.05</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Weighted average common shares:</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ind w:left="120"/>
              <w:spacing w:after="0" w:line="109" w:lineRule="exact"/>
              <w:rPr>
                <w:sz w:val="20"/>
                <w:szCs w:val="20"/>
                <w:color w:val="auto"/>
              </w:rPr>
            </w:pPr>
            <w:r>
              <w:rPr>
                <w:rFonts w:ascii="Arial" w:cs="Arial" w:eastAsia="Arial" w:hAnsi="Arial"/>
                <w:sz w:val="11"/>
                <w:szCs w:val="11"/>
                <w:color w:val="auto"/>
              </w:rPr>
              <w:t>Basic</w:t>
            </w:r>
          </w:p>
        </w:tc>
        <w:tc>
          <w:tcPr>
            <w:tcW w:w="480" w:type="dxa"/>
            <w:vAlign w:val="bottom"/>
            <w:gridSpan w:val="3"/>
          </w:tcPr>
          <w:p>
            <w:pPr>
              <w:jc w:val="right"/>
              <w:spacing w:after="0" w:line="109" w:lineRule="exact"/>
              <w:rPr>
                <w:sz w:val="20"/>
                <w:szCs w:val="20"/>
                <w:color w:val="auto"/>
              </w:rPr>
            </w:pPr>
            <w:r>
              <w:rPr>
                <w:rFonts w:ascii="Arial" w:cs="Arial" w:eastAsia="Arial" w:hAnsi="Arial"/>
                <w:sz w:val="11"/>
                <w:szCs w:val="11"/>
                <w:color w:val="auto"/>
              </w:rPr>
              <w:t>73.7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73.7</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3"/>
          </w:tcPr>
          <w:p>
            <w:pPr>
              <w:jc w:val="right"/>
              <w:ind w:right="340"/>
              <w:spacing w:after="0" w:line="109"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73.7</w:t>
            </w: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73.9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73.9</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3"/>
          </w:tcPr>
          <w:p>
            <w:pPr>
              <w:jc w:val="right"/>
              <w:ind w:right="360"/>
              <w:spacing w:after="0" w:line="109"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73.9</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Diluted</w:t>
            </w:r>
          </w:p>
        </w:tc>
        <w:tc>
          <w:tcPr>
            <w:tcW w:w="480" w:type="dxa"/>
            <w:vAlign w:val="bottom"/>
            <w:gridSpan w:val="3"/>
            <w:shd w:val="clear" w:color="auto" w:fill="CCEEFF"/>
          </w:tcPr>
          <w:p>
            <w:pPr>
              <w:jc w:val="right"/>
              <w:spacing w:after="0" w:line="109" w:lineRule="exact"/>
              <w:rPr>
                <w:sz w:val="20"/>
                <w:szCs w:val="20"/>
                <w:color w:val="auto"/>
              </w:rPr>
            </w:pPr>
            <w:r>
              <w:rPr>
                <w:rFonts w:ascii="Arial" w:cs="Arial" w:eastAsia="Arial" w:hAnsi="Arial"/>
                <w:sz w:val="11"/>
                <w:szCs w:val="11"/>
                <w:color w:val="auto"/>
              </w:rPr>
              <w:t>75.9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75.9</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1"/>
                <w:szCs w:val="11"/>
                <w:color w:val="auto"/>
                <w:w w:val="97"/>
              </w:rPr>
              <w:t>(0.4)</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75.5</w:t>
            </w: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74.8</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74.8</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1"/>
                <w:szCs w:val="11"/>
                <w:color w:val="auto"/>
                <w:w w:val="97"/>
              </w:rPr>
              <w:t>(0.4)</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74.4</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3600" w:type="dxa"/>
            <w:vAlign w:val="bottom"/>
            <w:gridSpan w:val="2"/>
          </w:tcPr>
          <w:p>
            <w:pPr>
              <w:spacing w:after="0"/>
              <w:rPr>
                <w:sz w:val="20"/>
                <w:szCs w:val="20"/>
                <w:color w:val="auto"/>
              </w:rPr>
            </w:pPr>
            <w:r>
              <w:rPr>
                <w:rFonts w:ascii="Arial" w:cs="Arial" w:eastAsia="Arial" w:hAnsi="Arial"/>
                <w:sz w:val="11"/>
                <w:szCs w:val="11"/>
                <w:color w:val="auto"/>
                <w:w w:val="88"/>
              </w:rPr>
              <w:t>The following table presents details of the total stock-based compensation expense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ind w:left="100"/>
              <w:spacing w:after="0" w:line="109" w:lineRule="exact"/>
              <w:rPr>
                <w:sz w:val="20"/>
                <w:szCs w:val="20"/>
                <w:color w:val="auto"/>
              </w:rPr>
            </w:pPr>
            <w:r>
              <w:rPr>
                <w:rFonts w:ascii="Arial" w:cs="Arial" w:eastAsia="Arial" w:hAnsi="Arial"/>
                <w:sz w:val="11"/>
                <w:szCs w:val="11"/>
                <w:color w:val="auto"/>
                <w:w w:val="93"/>
              </w:rPr>
              <w:t>that is included in each functional line item in the consolidated statements 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80" w:type="dxa"/>
            <w:vAlign w:val="bottom"/>
          </w:tcPr>
          <w:p>
            <w:pPr>
              <w:ind w:left="100"/>
              <w:spacing w:after="0"/>
              <w:rPr>
                <w:sz w:val="20"/>
                <w:szCs w:val="20"/>
                <w:color w:val="auto"/>
              </w:rPr>
            </w:pPr>
            <w:r>
              <w:rPr>
                <w:rFonts w:ascii="Arial" w:cs="Arial" w:eastAsia="Arial" w:hAnsi="Arial"/>
                <w:sz w:val="11"/>
                <w:szCs w:val="11"/>
                <w:color w:val="auto"/>
              </w:rPr>
              <w:t>operations data above: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shd w:val="clear" w:color="auto" w:fill="CCEEFF"/>
          </w:tcPr>
          <w:p>
            <w:pPr>
              <w:spacing w:after="0" w:line="109" w:lineRule="exact"/>
              <w:rPr>
                <w:sz w:val="20"/>
                <w:szCs w:val="20"/>
                <w:color w:val="auto"/>
              </w:rPr>
            </w:pPr>
            <w:r>
              <w:rPr>
                <w:rFonts w:ascii="Arial" w:cs="Arial" w:eastAsia="Arial" w:hAnsi="Arial"/>
                <w:sz w:val="11"/>
                <w:szCs w:val="11"/>
                <w:b w:val="1"/>
                <w:bCs w:val="1"/>
                <w:color w:val="auto"/>
              </w:rPr>
              <w:t>Supplemental Data on Stock-Based Compensation Expense</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spacing w:after="0" w:line="109" w:lineRule="exact"/>
              <w:rPr>
                <w:sz w:val="20"/>
                <w:szCs w:val="20"/>
                <w:color w:val="auto"/>
              </w:rPr>
            </w:pPr>
            <w:r>
              <w:rPr>
                <w:rFonts w:ascii="Arial" w:cs="Arial" w:eastAsia="Arial" w:hAnsi="Arial"/>
                <w:sz w:val="11"/>
                <w:szCs w:val="11"/>
                <w:color w:val="auto"/>
              </w:rPr>
              <w:t>Cost of revenue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tcPr>
          <w:p>
            <w:pPr>
              <w:jc w:val="right"/>
              <w:ind w:right="200"/>
              <w:spacing w:after="0" w:line="109" w:lineRule="exact"/>
              <w:rPr>
                <w:sz w:val="20"/>
                <w:szCs w:val="20"/>
                <w:color w:val="auto"/>
              </w:rPr>
            </w:pPr>
            <w:r>
              <w:rPr>
                <w:rFonts w:ascii="Arial" w:cs="Arial" w:eastAsia="Arial" w:hAnsi="Arial"/>
                <w:sz w:val="11"/>
                <w:szCs w:val="11"/>
                <w:color w:val="auto"/>
              </w:rPr>
              <w:t>$ —</w:t>
            </w:r>
          </w:p>
        </w:tc>
        <w:tc>
          <w:tcPr>
            <w:tcW w:w="34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w:t>
            </w:r>
          </w:p>
        </w:tc>
        <w:tc>
          <w:tcPr>
            <w:tcW w:w="520" w:type="dxa"/>
            <w:vAlign w:val="bottom"/>
            <w:gridSpan w:val="3"/>
          </w:tcPr>
          <w:p>
            <w:pPr>
              <w:jc w:val="right"/>
              <w:ind w:right="360"/>
              <w:spacing w:after="0" w:line="109"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580" w:type="dxa"/>
            <w:vAlign w:val="bottom"/>
            <w:gridSpan w:val="3"/>
          </w:tcPr>
          <w:p>
            <w:pPr>
              <w:jc w:val="right"/>
              <w:ind w:right="300"/>
              <w:spacing w:after="0" w:line="109" w:lineRule="exact"/>
              <w:rPr>
                <w:sz w:val="20"/>
                <w:szCs w:val="20"/>
                <w:color w:val="auto"/>
              </w:rPr>
            </w:pPr>
            <w:r>
              <w:rPr>
                <w:rFonts w:ascii="Arial" w:cs="Arial" w:eastAsia="Arial" w:hAnsi="Arial"/>
                <w:sz w:val="11"/>
                <w:szCs w:val="11"/>
                <w:color w:val="auto"/>
              </w:rPr>
              <w:t>$ —</w:t>
            </w:r>
          </w:p>
        </w:tc>
        <w:tc>
          <w:tcPr>
            <w:tcW w:w="34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tcPr>
          <w:p>
            <w:pPr>
              <w:jc w:val="right"/>
              <w:spacing w:after="0" w:line="109" w:lineRule="exact"/>
              <w:rPr>
                <w:sz w:val="20"/>
                <w:szCs w:val="20"/>
                <w:color w:val="auto"/>
              </w:rPr>
            </w:pPr>
            <w:r>
              <w:rPr>
                <w:rFonts w:ascii="Arial" w:cs="Arial" w:eastAsia="Arial" w:hAnsi="Arial"/>
                <w:sz w:val="11"/>
                <w:szCs w:val="11"/>
                <w:color w:val="auto"/>
              </w:rPr>
              <w:t>0.1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$ 0.1</w:t>
            </w: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tcPr>
          <w:p>
            <w:pPr>
              <w:jc w:val="right"/>
              <w:ind w:right="220"/>
              <w:spacing w:after="0" w:line="109" w:lineRule="exact"/>
              <w:rPr>
                <w:sz w:val="20"/>
                <w:szCs w:val="20"/>
                <w:color w:val="auto"/>
              </w:rPr>
            </w:pPr>
            <w:r>
              <w:rPr>
                <w:rFonts w:ascii="Arial" w:cs="Arial" w:eastAsia="Arial" w:hAnsi="Arial"/>
                <w:sz w:val="11"/>
                <w:szCs w:val="11"/>
                <w:color w:val="auto"/>
              </w:rPr>
              <w:t>$ —</w:t>
            </w:r>
          </w:p>
        </w:tc>
        <w:tc>
          <w:tcPr>
            <w:tcW w:w="220" w:type="dxa"/>
            <w:vAlign w:val="bottom"/>
          </w:tcPr>
          <w:p>
            <w:pPr>
              <w:spacing w:after="0"/>
              <w:rPr>
                <w:sz w:val="9"/>
                <w:szCs w:val="9"/>
                <w:color w:val="auto"/>
              </w:rPr>
            </w:pPr>
          </w:p>
        </w:tc>
        <w:tc>
          <w:tcPr>
            <w:tcW w:w="640" w:type="dxa"/>
            <w:vAlign w:val="bottom"/>
            <w:gridSpan w:val="3"/>
          </w:tcPr>
          <w:p>
            <w:pPr>
              <w:jc w:val="right"/>
              <w:ind w:right="360"/>
              <w:spacing w:after="0" w:line="109" w:lineRule="exact"/>
              <w:rPr>
                <w:sz w:val="20"/>
                <w:szCs w:val="20"/>
                <w:color w:val="auto"/>
              </w:rPr>
            </w:pPr>
            <w:r>
              <w:rPr>
                <w:rFonts w:ascii="Arial" w:cs="Arial" w:eastAsia="Arial" w:hAnsi="Arial"/>
                <w:sz w:val="11"/>
                <w:szCs w:val="11"/>
                <w:color w:val="auto"/>
              </w:rPr>
              <w:t>$ —</w:t>
            </w:r>
          </w:p>
        </w:tc>
        <w:tc>
          <w:tcPr>
            <w:tcW w:w="200" w:type="dxa"/>
            <w:vAlign w:val="bottom"/>
          </w:tcPr>
          <w:p>
            <w:pPr>
              <w:spacing w:after="0"/>
              <w:rPr>
                <w:sz w:val="9"/>
                <w:szCs w:val="9"/>
                <w:color w:val="auto"/>
              </w:rPr>
            </w:pPr>
          </w:p>
        </w:tc>
        <w:tc>
          <w:tcPr>
            <w:tcW w:w="580" w:type="dxa"/>
            <w:vAlign w:val="bottom"/>
            <w:gridSpan w:val="3"/>
          </w:tcPr>
          <w:p>
            <w:pPr>
              <w:jc w:val="right"/>
              <w:ind w:right="300"/>
              <w:spacing w:after="0" w:line="109" w:lineRule="exact"/>
              <w:rPr>
                <w:sz w:val="20"/>
                <w:szCs w:val="20"/>
                <w:color w:val="auto"/>
              </w:rPr>
            </w:pPr>
            <w:r>
              <w:rPr>
                <w:rFonts w:ascii="Arial" w:cs="Arial" w:eastAsia="Arial" w:hAnsi="Arial"/>
                <w:sz w:val="11"/>
                <w:szCs w:val="11"/>
                <w:color w:val="auto"/>
              </w:rPr>
              <w:t>$ —</w:t>
            </w:r>
          </w:p>
        </w:tc>
        <w:tc>
          <w:tcPr>
            <w:tcW w:w="36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09" w:lineRule="exact"/>
              <w:rPr>
                <w:sz w:val="20"/>
                <w:szCs w:val="20"/>
                <w:color w:val="auto"/>
              </w:rPr>
            </w:pPr>
            <w:r>
              <w:rPr>
                <w:rFonts w:ascii="Arial" w:cs="Arial" w:eastAsia="Arial" w:hAnsi="Arial"/>
                <w:sz w:val="11"/>
                <w:szCs w:val="11"/>
                <w:color w:val="auto"/>
              </w:rPr>
              <w:t>0.2</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$ 0.2</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Selling, general and administrative</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0.0</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0.1</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0.1</w:t>
            </w: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0.0</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0.1</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0.1</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0.2</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0.2</w:t>
            </w:r>
          </w:p>
        </w:tc>
        <w:tc>
          <w:tcPr>
            <w:tcW w:w="1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0.3</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0.3</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Discontinued operations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0"/>
              <w:spacing w:after="0" w:line="102" w:lineRule="exact"/>
              <w:rPr>
                <w:sz w:val="20"/>
                <w:szCs w:val="20"/>
                <w:color w:val="auto"/>
              </w:rPr>
            </w:pPr>
            <w:r>
              <w:rPr>
                <w:rFonts w:ascii="Arial" w:cs="Arial" w:eastAsia="Arial" w:hAnsi="Arial"/>
                <w:sz w:val="11"/>
                <w:szCs w:val="11"/>
                <w:color w:val="auto"/>
              </w:rPr>
              <w:t>$ —</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w w:val="97"/>
              </w:rPr>
              <w:t>$</w:t>
            </w:r>
          </w:p>
        </w:tc>
        <w:tc>
          <w:tcPr>
            <w:tcW w:w="1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 —</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w w:val="79"/>
              </w:rPr>
              <w:t>(0.0)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w w:val="81"/>
              </w:rPr>
              <w:t>$ (0.0)</w:t>
            </w:r>
          </w:p>
        </w:tc>
        <w:tc>
          <w:tcPr>
            <w:tcW w:w="1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 —</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 —</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 (0.0)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w w:val="94"/>
              </w:rPr>
              <w:t>$ (0.0)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580" w:type="dxa"/>
            <w:vAlign w:val="bottom"/>
            <w:tcBorders>
              <w:top w:val="single" w:sz="8" w:color="CCEEFF"/>
            </w:tcBorders>
          </w:tcPr>
          <w:p>
            <w:pPr>
              <w:spacing w:after="0" w:line="65" w:lineRule="exact"/>
              <w:rPr>
                <w:sz w:val="20"/>
                <w:szCs w:val="20"/>
                <w:color w:val="auto"/>
              </w:rPr>
            </w:pPr>
            <w:r>
              <w:rPr>
                <w:rFonts w:ascii="Arial" w:cs="Arial" w:eastAsia="Arial" w:hAnsi="Arial"/>
                <w:sz w:val="6"/>
                <w:szCs w:val="6"/>
                <w:color w:val="auto"/>
              </w:rPr>
              <w:t>The following table presents details of the non-income tax payroll related expense</w:t>
            </w:r>
          </w:p>
        </w:tc>
        <w:tc>
          <w:tcPr>
            <w:tcW w:w="10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100" w:type="dxa"/>
            <w:vAlign w:val="bottom"/>
            <w:tcBorders>
              <w:top w:val="single" w:sz="8" w:color="CCEEFF"/>
              <w:right w:val="single" w:sz="8" w:color="auto"/>
            </w:tcBorders>
          </w:tcPr>
          <w:p>
            <w:pPr>
              <w:spacing w:after="0"/>
              <w:rPr>
                <w:sz w:val="5"/>
                <w:szCs w:val="5"/>
                <w:color w:val="auto"/>
              </w:rPr>
            </w:pPr>
          </w:p>
        </w:tc>
        <w:tc>
          <w:tcPr>
            <w:tcW w:w="6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4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00" w:type="dxa"/>
            <w:vAlign w:val="bottom"/>
            <w:tcBorders>
              <w:top w:val="single" w:sz="8" w:color="CCEEFF"/>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0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40" w:type="dxa"/>
            <w:vAlign w:val="bottom"/>
            <w:tcBorders>
              <w:top w:val="single" w:sz="8" w:color="CCEEFF"/>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ind w:left="100"/>
              <w:spacing w:after="0" w:line="109" w:lineRule="exact"/>
              <w:rPr>
                <w:sz w:val="20"/>
                <w:szCs w:val="20"/>
                <w:color w:val="auto"/>
              </w:rPr>
            </w:pPr>
            <w:r>
              <w:rPr>
                <w:rFonts w:ascii="Arial" w:cs="Arial" w:eastAsia="Arial" w:hAnsi="Arial"/>
                <w:sz w:val="11"/>
                <w:szCs w:val="11"/>
                <w:color w:val="auto"/>
              </w:rPr>
              <w:t>(credit) that is included in each functional line item in the consolidated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80" w:type="dxa"/>
            <w:vAlign w:val="bottom"/>
          </w:tcPr>
          <w:p>
            <w:pPr>
              <w:ind w:left="100"/>
              <w:spacing w:after="0"/>
              <w:rPr>
                <w:sz w:val="20"/>
                <w:szCs w:val="20"/>
                <w:color w:val="auto"/>
              </w:rPr>
            </w:pPr>
            <w:r>
              <w:rPr>
                <w:rFonts w:ascii="Arial" w:cs="Arial" w:eastAsia="Arial" w:hAnsi="Arial"/>
                <w:sz w:val="11"/>
                <w:szCs w:val="11"/>
                <w:color w:val="auto"/>
              </w:rPr>
              <w:t>statement of operations: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shd w:val="clear" w:color="auto" w:fill="CCEEFF"/>
          </w:tcPr>
          <w:p>
            <w:pPr>
              <w:spacing w:after="0" w:line="109" w:lineRule="exact"/>
              <w:rPr>
                <w:sz w:val="20"/>
                <w:szCs w:val="20"/>
                <w:color w:val="auto"/>
              </w:rPr>
            </w:pPr>
            <w:r>
              <w:rPr>
                <w:rFonts w:ascii="Arial" w:cs="Arial" w:eastAsia="Arial" w:hAnsi="Arial"/>
                <w:sz w:val="11"/>
                <w:szCs w:val="11"/>
                <w:b w:val="1"/>
                <w:bCs w:val="1"/>
                <w:color w:val="auto"/>
              </w:rPr>
              <w:t>Supplemental Data on Non-Income Tax Payroll Expense</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spacing w:after="0" w:line="109" w:lineRule="exact"/>
              <w:rPr>
                <w:sz w:val="20"/>
                <w:szCs w:val="20"/>
                <w:color w:val="auto"/>
              </w:rPr>
            </w:pPr>
            <w:r>
              <w:rPr>
                <w:rFonts w:ascii="Arial" w:cs="Arial" w:eastAsia="Arial" w:hAnsi="Arial"/>
                <w:sz w:val="11"/>
                <w:szCs w:val="11"/>
                <w:color w:val="auto"/>
              </w:rPr>
              <w:t>Cost of revenue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tcPr>
          <w:p>
            <w:pPr>
              <w:jc w:val="right"/>
              <w:ind w:right="200"/>
              <w:spacing w:after="0" w:line="109" w:lineRule="exact"/>
              <w:rPr>
                <w:sz w:val="20"/>
                <w:szCs w:val="20"/>
                <w:color w:val="auto"/>
              </w:rPr>
            </w:pPr>
            <w:r>
              <w:rPr>
                <w:rFonts w:ascii="Arial" w:cs="Arial" w:eastAsia="Arial" w:hAnsi="Arial"/>
                <w:sz w:val="11"/>
                <w:szCs w:val="11"/>
                <w:color w:val="auto"/>
              </w:rPr>
              <w:t>$ —</w:t>
            </w:r>
          </w:p>
        </w:tc>
        <w:tc>
          <w:tcPr>
            <w:tcW w:w="34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w:t>
            </w:r>
          </w:p>
        </w:tc>
        <w:tc>
          <w:tcPr>
            <w:tcW w:w="520" w:type="dxa"/>
            <w:vAlign w:val="bottom"/>
            <w:gridSpan w:val="3"/>
          </w:tcPr>
          <w:p>
            <w:pPr>
              <w:jc w:val="right"/>
              <w:ind w:right="360"/>
              <w:spacing w:after="0" w:line="109"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580" w:type="dxa"/>
            <w:vAlign w:val="bottom"/>
            <w:gridSpan w:val="3"/>
          </w:tcPr>
          <w:p>
            <w:pPr>
              <w:jc w:val="right"/>
              <w:ind w:right="300"/>
              <w:spacing w:after="0" w:line="109" w:lineRule="exact"/>
              <w:rPr>
                <w:sz w:val="20"/>
                <w:szCs w:val="20"/>
                <w:color w:val="auto"/>
              </w:rPr>
            </w:pPr>
            <w:r>
              <w:rPr>
                <w:rFonts w:ascii="Arial" w:cs="Arial" w:eastAsia="Arial" w:hAnsi="Arial"/>
                <w:sz w:val="11"/>
                <w:szCs w:val="11"/>
                <w:color w:val="auto"/>
              </w:rPr>
              <w:t>$ —</w:t>
            </w:r>
          </w:p>
        </w:tc>
        <w:tc>
          <w:tcPr>
            <w:tcW w:w="34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tcPr>
          <w:p>
            <w:pPr>
              <w:jc w:val="right"/>
              <w:spacing w:after="0" w:line="109" w:lineRule="exact"/>
              <w:rPr>
                <w:sz w:val="20"/>
                <w:szCs w:val="20"/>
                <w:color w:val="auto"/>
              </w:rPr>
            </w:pPr>
            <w:r>
              <w:rPr>
                <w:rFonts w:ascii="Arial" w:cs="Arial" w:eastAsia="Arial" w:hAnsi="Arial"/>
                <w:sz w:val="11"/>
                <w:szCs w:val="11"/>
                <w:color w:val="auto"/>
              </w:rPr>
              <w:t>0.0</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$ 0.0</w:t>
            </w: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tcPr>
          <w:p>
            <w:pPr>
              <w:jc w:val="right"/>
              <w:ind w:right="220"/>
              <w:spacing w:after="0" w:line="109" w:lineRule="exact"/>
              <w:rPr>
                <w:sz w:val="20"/>
                <w:szCs w:val="20"/>
                <w:color w:val="auto"/>
              </w:rPr>
            </w:pPr>
            <w:r>
              <w:rPr>
                <w:rFonts w:ascii="Arial" w:cs="Arial" w:eastAsia="Arial" w:hAnsi="Arial"/>
                <w:sz w:val="11"/>
                <w:szCs w:val="11"/>
                <w:color w:val="auto"/>
              </w:rPr>
              <w:t>$ —</w:t>
            </w:r>
          </w:p>
        </w:tc>
        <w:tc>
          <w:tcPr>
            <w:tcW w:w="220" w:type="dxa"/>
            <w:vAlign w:val="bottom"/>
          </w:tcPr>
          <w:p>
            <w:pPr>
              <w:spacing w:after="0"/>
              <w:rPr>
                <w:sz w:val="9"/>
                <w:szCs w:val="9"/>
                <w:color w:val="auto"/>
              </w:rPr>
            </w:pPr>
          </w:p>
        </w:tc>
        <w:tc>
          <w:tcPr>
            <w:tcW w:w="640" w:type="dxa"/>
            <w:vAlign w:val="bottom"/>
            <w:gridSpan w:val="3"/>
          </w:tcPr>
          <w:p>
            <w:pPr>
              <w:jc w:val="right"/>
              <w:ind w:right="360"/>
              <w:spacing w:after="0" w:line="109" w:lineRule="exact"/>
              <w:rPr>
                <w:sz w:val="20"/>
                <w:szCs w:val="20"/>
                <w:color w:val="auto"/>
              </w:rPr>
            </w:pPr>
            <w:r>
              <w:rPr>
                <w:rFonts w:ascii="Arial" w:cs="Arial" w:eastAsia="Arial" w:hAnsi="Arial"/>
                <w:sz w:val="11"/>
                <w:szCs w:val="11"/>
                <w:color w:val="auto"/>
              </w:rPr>
              <w:t>$ —</w:t>
            </w:r>
          </w:p>
        </w:tc>
        <w:tc>
          <w:tcPr>
            <w:tcW w:w="200" w:type="dxa"/>
            <w:vAlign w:val="bottom"/>
          </w:tcPr>
          <w:p>
            <w:pPr>
              <w:spacing w:after="0"/>
              <w:rPr>
                <w:sz w:val="9"/>
                <w:szCs w:val="9"/>
                <w:color w:val="auto"/>
              </w:rPr>
            </w:pPr>
          </w:p>
        </w:tc>
        <w:tc>
          <w:tcPr>
            <w:tcW w:w="580" w:type="dxa"/>
            <w:vAlign w:val="bottom"/>
            <w:gridSpan w:val="3"/>
          </w:tcPr>
          <w:p>
            <w:pPr>
              <w:jc w:val="right"/>
              <w:ind w:right="300"/>
              <w:spacing w:after="0" w:line="109" w:lineRule="exact"/>
              <w:rPr>
                <w:sz w:val="20"/>
                <w:szCs w:val="20"/>
                <w:color w:val="auto"/>
              </w:rPr>
            </w:pPr>
            <w:r>
              <w:rPr>
                <w:rFonts w:ascii="Arial" w:cs="Arial" w:eastAsia="Arial" w:hAnsi="Arial"/>
                <w:sz w:val="11"/>
                <w:szCs w:val="11"/>
                <w:color w:val="auto"/>
              </w:rPr>
              <w:t>$ —</w:t>
            </w:r>
          </w:p>
        </w:tc>
        <w:tc>
          <w:tcPr>
            <w:tcW w:w="800" w:type="dxa"/>
            <w:vAlign w:val="bottom"/>
            <w:gridSpan w:val="4"/>
          </w:tcPr>
          <w:p>
            <w:pPr>
              <w:jc w:val="right"/>
              <w:ind w:right="200"/>
              <w:spacing w:after="0" w:line="109" w:lineRule="exact"/>
              <w:rPr>
                <w:sz w:val="20"/>
                <w:szCs w:val="20"/>
                <w:color w:val="auto"/>
              </w:rPr>
            </w:pPr>
            <w:r>
              <w:rPr>
                <w:rFonts w:ascii="Arial" w:cs="Arial" w:eastAsia="Arial" w:hAnsi="Arial"/>
                <w:sz w:val="11"/>
                <w:szCs w:val="11"/>
                <w:color w:val="auto"/>
              </w:rPr>
              <w:t>$ (0.4)</w:t>
            </w:r>
          </w:p>
        </w:tc>
        <w:tc>
          <w:tcPr>
            <w:tcW w:w="120" w:type="dxa"/>
            <w:vAlign w:val="bottom"/>
          </w:tcPr>
          <w:p>
            <w:pPr>
              <w:spacing w:after="0"/>
              <w:rPr>
                <w:sz w:val="9"/>
                <w:szCs w:val="9"/>
                <w:color w:val="auto"/>
              </w:rPr>
            </w:pPr>
          </w:p>
        </w:tc>
        <w:tc>
          <w:tcPr>
            <w:tcW w:w="660" w:type="dxa"/>
            <w:vAlign w:val="bottom"/>
            <w:gridSpan w:val="3"/>
          </w:tcPr>
          <w:p>
            <w:pPr>
              <w:jc w:val="right"/>
              <w:ind w:right="140"/>
              <w:spacing w:after="0" w:line="109" w:lineRule="exact"/>
              <w:rPr>
                <w:sz w:val="20"/>
                <w:szCs w:val="20"/>
                <w:color w:val="auto"/>
              </w:rPr>
            </w:pPr>
            <w:r>
              <w:rPr>
                <w:rFonts w:ascii="Arial" w:cs="Arial" w:eastAsia="Arial" w:hAnsi="Arial"/>
                <w:sz w:val="11"/>
                <w:szCs w:val="11"/>
                <w:color w:val="auto"/>
              </w:rPr>
              <w:t>$ (0.4)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Selling, general and administrative</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0.0</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0.0</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0.0</w:t>
            </w: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0.0</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1"/>
                <w:szCs w:val="11"/>
                <w:color w:val="auto"/>
                <w:w w:val="97"/>
              </w:rPr>
              <w:t>(0.2)</w:t>
            </w:r>
          </w:p>
        </w:tc>
        <w:tc>
          <w:tcPr>
            <w:tcW w:w="120" w:type="dxa"/>
            <w:vAlign w:val="bottom"/>
            <w:shd w:val="clear" w:color="auto" w:fill="CCEEFF"/>
          </w:tcPr>
          <w:p>
            <w:pPr>
              <w:spacing w:after="0"/>
              <w:rPr>
                <w:sz w:val="9"/>
                <w:szCs w:val="9"/>
                <w:color w:val="auto"/>
              </w:rPr>
            </w:pPr>
          </w:p>
        </w:tc>
        <w:tc>
          <w:tcPr>
            <w:tcW w:w="660" w:type="dxa"/>
            <w:vAlign w:val="bottom"/>
            <w:gridSpan w:val="3"/>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(0.2)</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3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2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3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260" w:type="dxa"/>
            <w:vAlign w:val="bottom"/>
            <w:tcBorders>
              <w:right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3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3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gridSpan w:val="2"/>
          </w:tcPr>
          <w:p>
            <w:pPr>
              <w:jc w:val="right"/>
              <w:ind w:right="200"/>
              <w:spacing w:after="0" w:line="109" w:lineRule="exact"/>
              <w:rPr>
                <w:sz w:val="20"/>
                <w:szCs w:val="20"/>
                <w:color w:val="auto"/>
              </w:rPr>
            </w:pPr>
            <w:r>
              <w:rPr>
                <w:rFonts w:ascii="Arial" w:cs="Arial" w:eastAsia="Arial" w:hAnsi="Arial"/>
                <w:sz w:val="11"/>
                <w:szCs w:val="11"/>
                <w:color w:val="auto"/>
                <w:w w:val="97"/>
              </w:rPr>
              <w:t>(0.6)</w:t>
            </w:r>
          </w:p>
        </w:tc>
        <w:tc>
          <w:tcPr>
            <w:tcW w:w="120" w:type="dxa"/>
            <w:vAlign w:val="bottom"/>
          </w:tcPr>
          <w:p>
            <w:pPr>
              <w:spacing w:after="0"/>
              <w:rPr>
                <w:sz w:val="9"/>
                <w:szCs w:val="9"/>
                <w:color w:val="auto"/>
              </w:rPr>
            </w:pPr>
          </w:p>
        </w:tc>
        <w:tc>
          <w:tcPr>
            <w:tcW w:w="660" w:type="dxa"/>
            <w:vAlign w:val="bottom"/>
            <w:gridSpan w:val="3"/>
          </w:tcPr>
          <w:p>
            <w:pPr>
              <w:jc w:val="right"/>
              <w:ind w:right="140"/>
              <w:spacing w:after="0" w:line="109" w:lineRule="exact"/>
              <w:rPr>
                <w:sz w:val="20"/>
                <w:szCs w:val="20"/>
                <w:color w:val="auto"/>
              </w:rPr>
            </w:pPr>
            <w:r>
              <w:rPr>
                <w:rFonts w:ascii="Arial" w:cs="Arial" w:eastAsia="Arial" w:hAnsi="Arial"/>
                <w:sz w:val="11"/>
                <w:szCs w:val="11"/>
                <w:color w:val="auto"/>
              </w:rPr>
              <w:t>(0.6)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Discontinued operations</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79"/>
              </w:rPr>
              <w:t>(0.0)</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(0.0)</w:t>
            </w:r>
          </w:p>
        </w:tc>
        <w:tc>
          <w:tcPr>
            <w:tcW w:w="160" w:type="dxa"/>
            <w:vAlign w:val="bottom"/>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0.0</w:t>
            </w: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0.0</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3600" w:type="dxa"/>
            <w:vAlign w:val="bottom"/>
            <w:gridSpan w:val="2"/>
            <w:vMerge w:val="restart"/>
          </w:tcPr>
          <w:p>
            <w:pPr>
              <w:spacing w:after="0"/>
              <w:rPr>
                <w:sz w:val="20"/>
                <w:szCs w:val="20"/>
                <w:color w:val="auto"/>
              </w:rPr>
            </w:pPr>
            <w:r>
              <w:rPr>
                <w:rFonts w:ascii="Arial" w:cs="Arial" w:eastAsia="Arial" w:hAnsi="Arial"/>
                <w:sz w:val="11"/>
                <w:szCs w:val="11"/>
                <w:color w:val="auto"/>
              </w:rPr>
              <w:t>Total</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3"/>
        </w:trPr>
        <w:tc>
          <w:tcPr>
            <w:tcW w:w="3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1"/>
                <w:szCs w:val="11"/>
                <w:color w:val="auto"/>
              </w:rPr>
              <w:t>$ —</w:t>
            </w:r>
          </w:p>
        </w:tc>
        <w:tc>
          <w:tcPr>
            <w:tcW w:w="200" w:type="dxa"/>
            <w:vAlign w:val="bottom"/>
            <w:gridSpan w:val="2"/>
            <w:vMerge w:val="restart"/>
          </w:tcPr>
          <w:p>
            <w:pPr>
              <w:spacing w:after="0"/>
              <w:rPr>
                <w:sz w:val="8"/>
                <w:szCs w:val="8"/>
                <w:color w:val="auto"/>
              </w:rPr>
            </w:pPr>
          </w:p>
        </w:tc>
        <w:tc>
          <w:tcPr>
            <w:tcW w:w="260" w:type="dxa"/>
            <w:vAlign w:val="bottom"/>
            <w:vMerge w:val="restart"/>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 —</w:t>
            </w:r>
          </w:p>
        </w:tc>
        <w:tc>
          <w:tcPr>
            <w:tcW w:w="280" w:type="dxa"/>
            <w:vAlign w:val="bottom"/>
            <w:gridSpan w:val="2"/>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0.0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restart"/>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1"/>
                <w:szCs w:val="11"/>
                <w:color w:val="auto"/>
              </w:rPr>
              <w:t>$ 0.0</w:t>
            </w:r>
          </w:p>
        </w:tc>
        <w:tc>
          <w:tcPr>
            <w:tcW w:w="1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1"/>
                <w:szCs w:val="11"/>
                <w:color w:val="auto"/>
              </w:rPr>
              <w:t>$ —</w:t>
            </w:r>
          </w:p>
        </w:tc>
        <w:tc>
          <w:tcPr>
            <w:tcW w:w="200" w:type="dxa"/>
            <w:vAlign w:val="bottom"/>
            <w:gridSpan w:val="2"/>
            <w:vMerge w:val="restart"/>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 —</w:t>
            </w:r>
          </w:p>
        </w:tc>
        <w:tc>
          <w:tcPr>
            <w:tcW w:w="340" w:type="dxa"/>
            <w:vAlign w:val="bottom"/>
            <w:gridSpan w:val="2"/>
            <w:vMerge w:val="restart"/>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1"/>
                <w:szCs w:val="11"/>
                <w:color w:val="auto"/>
              </w:rPr>
              <w:t>$ —</w:t>
            </w:r>
          </w:p>
        </w:tc>
        <w:tc>
          <w:tcPr>
            <w:tcW w:w="300" w:type="dxa"/>
            <w:vAlign w:val="bottom"/>
            <w:gridSpan w:val="2"/>
            <w:vMerge w:val="restart"/>
          </w:tcPr>
          <w:p>
            <w:pPr>
              <w:spacing w:after="0"/>
              <w:rPr>
                <w:sz w:val="8"/>
                <w:szCs w:val="8"/>
                <w:color w:val="auto"/>
              </w:rPr>
            </w:pPr>
          </w:p>
        </w:tc>
        <w:tc>
          <w:tcPr>
            <w:tcW w:w="240" w:type="dxa"/>
            <w:vAlign w:val="bottom"/>
            <w:vMerge w:val="restart"/>
          </w:tcPr>
          <w:p>
            <w:pPr>
              <w:spacing w:after="0"/>
              <w:rPr>
                <w:sz w:val="8"/>
                <w:szCs w:val="8"/>
                <w:color w:val="auto"/>
              </w:rPr>
            </w:pPr>
          </w:p>
        </w:tc>
        <w:tc>
          <w:tcPr>
            <w:tcW w:w="560" w:type="dxa"/>
            <w:vAlign w:val="bottom"/>
            <w:gridSpan w:val="3"/>
            <w:vMerge w:val="restart"/>
          </w:tcPr>
          <w:p>
            <w:pPr>
              <w:jc w:val="right"/>
              <w:ind w:right="200"/>
              <w:spacing w:after="0"/>
              <w:rPr>
                <w:sz w:val="20"/>
                <w:szCs w:val="20"/>
                <w:color w:val="auto"/>
              </w:rPr>
            </w:pPr>
            <w:r>
              <w:rPr>
                <w:rFonts w:ascii="Arial" w:cs="Arial" w:eastAsia="Arial" w:hAnsi="Arial"/>
                <w:sz w:val="11"/>
                <w:szCs w:val="11"/>
                <w:color w:val="auto"/>
              </w:rPr>
              <w:t>$ (0.6)</w:t>
            </w:r>
          </w:p>
        </w:tc>
        <w:tc>
          <w:tcPr>
            <w:tcW w:w="120" w:type="dxa"/>
            <w:vAlign w:val="bottom"/>
          </w:tcPr>
          <w:p>
            <w:pPr>
              <w:spacing w:after="0"/>
              <w:rPr>
                <w:sz w:val="8"/>
                <w:szCs w:val="8"/>
                <w:color w:val="auto"/>
              </w:rPr>
            </w:pP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 (0.6)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10"/>
          </w:tcPr>
          <w:p>
            <w:pPr>
              <w:ind w:left="100"/>
              <w:spacing w:after="0"/>
              <w:rPr>
                <w:sz w:val="20"/>
                <w:szCs w:val="20"/>
                <w:color w:val="auto"/>
              </w:rPr>
            </w:pPr>
            <w:r>
              <w:rPr>
                <w:rFonts w:ascii="Arial" w:cs="Arial" w:eastAsia="Arial" w:hAnsi="Arial"/>
                <w:sz w:val="11"/>
                <w:szCs w:val="11"/>
                <w:b w:val="1"/>
                <w:bCs w:val="1"/>
                <w:color w:val="auto"/>
              </w:rPr>
              <w:t>Three Months Ended</w:t>
            </w: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8"/>
          </w:tcPr>
          <w:p>
            <w:pPr>
              <w:jc w:val="right"/>
              <w:ind w:right="226"/>
              <w:spacing w:after="0"/>
              <w:rPr>
                <w:sz w:val="20"/>
                <w:szCs w:val="20"/>
                <w:color w:val="auto"/>
              </w:rPr>
            </w:pPr>
            <w:r>
              <w:rPr>
                <w:rFonts w:ascii="Arial" w:cs="Arial" w:eastAsia="Arial" w:hAnsi="Arial"/>
                <w:sz w:val="11"/>
                <w:szCs w:val="11"/>
                <w:b w:val="1"/>
                <w:bCs w:val="1"/>
                <w:color w:val="auto"/>
                <w:w w:val="89"/>
              </w:rPr>
              <w:t>September 30, 2005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9"/>
          </w:tcPr>
          <w:p>
            <w:pPr>
              <w:ind w:left="60"/>
              <w:spacing w:after="0"/>
              <w:rPr>
                <w:sz w:val="20"/>
                <w:szCs w:val="20"/>
                <w:color w:val="auto"/>
              </w:rPr>
            </w:pPr>
            <w:r>
              <w:rPr>
                <w:rFonts w:ascii="Arial" w:cs="Arial" w:eastAsia="Arial" w:hAnsi="Arial"/>
                <w:sz w:val="11"/>
                <w:szCs w:val="11"/>
                <w:b w:val="1"/>
                <w:bCs w:val="1"/>
                <w:color w:val="auto"/>
              </w:rPr>
              <w:t>December 31, 2005</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3"/>
          </w:tcPr>
          <w:p>
            <w:pPr>
              <w:jc w:val="center"/>
              <w:spacing w:after="0" w:line="102" w:lineRule="exact"/>
              <w:rPr>
                <w:sz w:val="20"/>
                <w:szCs w:val="20"/>
                <w:color w:val="auto"/>
              </w:rPr>
            </w:pPr>
            <w:r>
              <w:rPr>
                <w:rFonts w:ascii="Arial" w:cs="Arial" w:eastAsia="Arial" w:hAnsi="Arial"/>
                <w:sz w:val="11"/>
                <w:szCs w:val="11"/>
                <w:b w:val="1"/>
                <w:bCs w:val="1"/>
                <w:color w:val="auto"/>
                <w:w w:val="91"/>
              </w:rPr>
              <w:t>Adjustment for</w:t>
            </w:r>
          </w:p>
        </w:tc>
        <w:tc>
          <w:tcPr>
            <w:tcW w:w="100" w:type="dxa"/>
            <w:vAlign w:val="bottom"/>
          </w:tcPr>
          <w:p>
            <w:pPr>
              <w:spacing w:after="0"/>
              <w:rPr>
                <w:sz w:val="8"/>
                <w:szCs w:val="8"/>
                <w:color w:val="auto"/>
              </w:rPr>
            </w:pPr>
          </w:p>
        </w:tc>
        <w:tc>
          <w:tcPr>
            <w:tcW w:w="800" w:type="dxa"/>
            <w:vAlign w:val="bottom"/>
            <w:gridSpan w:val="5"/>
          </w:tcPr>
          <w:p>
            <w:pPr>
              <w:jc w:val="center"/>
              <w:ind w:right="120"/>
              <w:spacing w:after="0" w:line="102" w:lineRule="exact"/>
              <w:rPr>
                <w:sz w:val="20"/>
                <w:szCs w:val="20"/>
                <w:color w:val="auto"/>
              </w:rPr>
            </w:pPr>
            <w:r>
              <w:rPr>
                <w:rFonts w:ascii="Arial" w:cs="Arial" w:eastAsia="Arial" w:hAnsi="Arial"/>
                <w:sz w:val="11"/>
                <w:szCs w:val="11"/>
                <w:b w:val="1"/>
                <w:bCs w:val="1"/>
                <w:color w:val="auto"/>
                <w:w w:val="88"/>
              </w:rPr>
              <w:t>As Restated</w:t>
            </w:r>
          </w:p>
        </w:tc>
        <w:tc>
          <w:tcPr>
            <w:tcW w:w="840" w:type="dxa"/>
            <w:vAlign w:val="bottom"/>
            <w:gridSpan w:val="5"/>
            <w:vMerge w:val="restart"/>
          </w:tcPr>
          <w:p>
            <w:pPr>
              <w:jc w:val="center"/>
              <w:ind w:right="120"/>
              <w:spacing w:after="0"/>
              <w:rPr>
                <w:sz w:val="20"/>
                <w:szCs w:val="20"/>
                <w:color w:val="auto"/>
              </w:rPr>
            </w:pPr>
            <w:r>
              <w:rPr>
                <w:rFonts w:ascii="Arial" w:cs="Arial" w:eastAsia="Arial" w:hAnsi="Arial"/>
                <w:sz w:val="11"/>
                <w:szCs w:val="11"/>
                <w:b w:val="1"/>
                <w:bCs w:val="1"/>
                <w:color w:val="auto"/>
                <w:w w:val="91"/>
              </w:rPr>
              <w:t>Adjustment for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3"/>
          </w:tcPr>
          <w:p>
            <w:pPr>
              <w:jc w:val="center"/>
              <w:ind w:right="20"/>
              <w:spacing w:after="0" w:line="102" w:lineRule="exact"/>
              <w:rPr>
                <w:sz w:val="20"/>
                <w:szCs w:val="20"/>
                <w:color w:val="auto"/>
              </w:rPr>
            </w:pPr>
            <w:r>
              <w:rPr>
                <w:rFonts w:ascii="Arial" w:cs="Arial" w:eastAsia="Arial" w:hAnsi="Arial"/>
                <w:sz w:val="11"/>
                <w:szCs w:val="11"/>
                <w:b w:val="1"/>
                <w:bCs w:val="1"/>
                <w:color w:val="auto"/>
                <w:w w:val="91"/>
              </w:rPr>
              <w:t>Adjustment for</w:t>
            </w:r>
          </w:p>
        </w:tc>
        <w:tc>
          <w:tcPr>
            <w:tcW w:w="120" w:type="dxa"/>
            <w:vAlign w:val="bottom"/>
          </w:tcPr>
          <w:p>
            <w:pPr>
              <w:spacing w:after="0"/>
              <w:rPr>
                <w:sz w:val="8"/>
                <w:szCs w:val="8"/>
                <w:color w:val="auto"/>
              </w:rPr>
            </w:pPr>
          </w:p>
        </w:tc>
        <w:tc>
          <w:tcPr>
            <w:tcW w:w="780" w:type="dxa"/>
            <w:vAlign w:val="bottom"/>
            <w:gridSpan w:val="4"/>
          </w:tcPr>
          <w:p>
            <w:pPr>
              <w:jc w:val="center"/>
              <w:ind w:right="120"/>
              <w:spacing w:after="0" w:line="102" w:lineRule="exact"/>
              <w:rPr>
                <w:sz w:val="20"/>
                <w:szCs w:val="20"/>
                <w:color w:val="auto"/>
              </w:rPr>
            </w:pPr>
            <w:r>
              <w:rPr>
                <w:rFonts w:ascii="Arial" w:cs="Arial" w:eastAsia="Arial" w:hAnsi="Arial"/>
                <w:sz w:val="11"/>
                <w:szCs w:val="11"/>
                <w:b w:val="1"/>
                <w:bCs w:val="1"/>
                <w:color w:val="auto"/>
                <w:w w:val="84"/>
              </w:rPr>
              <w:t>As Restated</w:t>
            </w:r>
          </w:p>
        </w:tc>
        <w:tc>
          <w:tcPr>
            <w:tcW w:w="86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1"/>
              </w:rPr>
              <w:t>Adjustment for</w:t>
            </w: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85"/>
              </w:rPr>
              <w:t>As</w:t>
            </w:r>
          </w:p>
        </w:tc>
        <w:tc>
          <w:tcPr>
            <w:tcW w:w="760" w:type="dxa"/>
            <w:vAlign w:val="bottom"/>
            <w:gridSpan w:val="3"/>
          </w:tcPr>
          <w:p>
            <w:pPr>
              <w:jc w:val="center"/>
              <w:ind w:right="20"/>
              <w:spacing w:after="0" w:line="109" w:lineRule="exact"/>
              <w:rPr>
                <w:sz w:val="20"/>
                <w:szCs w:val="20"/>
                <w:color w:val="auto"/>
              </w:rPr>
            </w:pPr>
            <w:r>
              <w:rPr>
                <w:rFonts w:ascii="Arial" w:cs="Arial" w:eastAsia="Arial" w:hAnsi="Arial"/>
                <w:sz w:val="11"/>
                <w:szCs w:val="11"/>
                <w:b w:val="1"/>
                <w:bCs w:val="1"/>
                <w:color w:val="auto"/>
                <w:w w:val="93"/>
              </w:rPr>
              <w:t>International</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4"/>
          </w:tcPr>
          <w:p>
            <w:pPr>
              <w:jc w:val="center"/>
              <w:ind w:right="300"/>
              <w:spacing w:after="0" w:line="109" w:lineRule="exact"/>
              <w:rPr>
                <w:sz w:val="20"/>
                <w:szCs w:val="20"/>
                <w:color w:val="auto"/>
              </w:rPr>
            </w:pPr>
            <w:r>
              <w:rPr>
                <w:rFonts w:ascii="Arial" w:cs="Arial" w:eastAsia="Arial" w:hAnsi="Arial"/>
                <w:sz w:val="11"/>
                <w:szCs w:val="11"/>
                <w:b w:val="1"/>
                <w:bCs w:val="1"/>
                <w:color w:val="auto"/>
                <w:w w:val="81"/>
              </w:rPr>
              <w:t>for</w:t>
            </w:r>
          </w:p>
        </w:tc>
        <w:tc>
          <w:tcPr>
            <w:tcW w:w="8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4"/>
            <w:vMerge w:val="restart"/>
          </w:tcPr>
          <w:p>
            <w:pPr>
              <w:jc w:val="center"/>
              <w:ind w:right="220"/>
              <w:spacing w:after="0"/>
              <w:rPr>
                <w:sz w:val="20"/>
                <w:szCs w:val="20"/>
                <w:color w:val="auto"/>
              </w:rPr>
            </w:pPr>
            <w:r>
              <w:rPr>
                <w:rFonts w:ascii="Arial" w:cs="Arial" w:eastAsia="Arial" w:hAnsi="Arial"/>
                <w:sz w:val="11"/>
                <w:szCs w:val="11"/>
                <w:b w:val="1"/>
                <w:bCs w:val="1"/>
                <w:color w:val="auto"/>
                <w:w w:val="85"/>
              </w:rPr>
              <w:t>As</w:t>
            </w:r>
          </w:p>
        </w:tc>
        <w:tc>
          <w:tcPr>
            <w:tcW w:w="740" w:type="dxa"/>
            <w:vAlign w:val="bottom"/>
            <w:gridSpan w:val="3"/>
          </w:tcPr>
          <w:p>
            <w:pPr>
              <w:jc w:val="center"/>
              <w:spacing w:after="0" w:line="109" w:lineRule="exact"/>
              <w:rPr>
                <w:sz w:val="20"/>
                <w:szCs w:val="20"/>
                <w:color w:val="auto"/>
              </w:rPr>
            </w:pPr>
            <w:r>
              <w:rPr>
                <w:rFonts w:ascii="Arial" w:cs="Arial" w:eastAsia="Arial" w:hAnsi="Arial"/>
                <w:sz w:val="11"/>
                <w:szCs w:val="11"/>
                <w:b w:val="1"/>
                <w:bCs w:val="1"/>
                <w:color w:val="auto"/>
                <w:w w:val="93"/>
              </w:rPr>
              <w:t>International</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3"/>
          </w:tcPr>
          <w:p>
            <w:pPr>
              <w:jc w:val="center"/>
              <w:ind w:right="300"/>
              <w:spacing w:after="0" w:line="109" w:lineRule="exact"/>
              <w:rPr>
                <w:sz w:val="20"/>
                <w:szCs w:val="20"/>
                <w:color w:val="auto"/>
              </w:rPr>
            </w:pPr>
            <w:r>
              <w:rPr>
                <w:rFonts w:ascii="Arial" w:cs="Arial" w:eastAsia="Arial" w:hAnsi="Arial"/>
                <w:sz w:val="11"/>
                <w:szCs w:val="11"/>
                <w:b w:val="1"/>
                <w:bCs w:val="1"/>
                <w:color w:val="auto"/>
                <w:w w:val="95"/>
              </w:rPr>
              <w:t>for</w:t>
            </w:r>
          </w:p>
        </w:tc>
        <w:tc>
          <w:tcPr>
            <w:tcW w:w="86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760" w:type="dxa"/>
            <w:vAlign w:val="bottom"/>
            <w:gridSpan w:val="3"/>
          </w:tcPr>
          <w:p>
            <w:pPr>
              <w:jc w:val="center"/>
              <w:spacing w:after="0" w:line="109" w:lineRule="exact"/>
              <w:rPr>
                <w:sz w:val="20"/>
                <w:szCs w:val="20"/>
                <w:color w:val="auto"/>
              </w:rPr>
            </w:pPr>
            <w:r>
              <w:rPr>
                <w:rFonts w:ascii="Arial" w:cs="Arial" w:eastAsia="Arial" w:hAnsi="Arial"/>
                <w:sz w:val="11"/>
                <w:szCs w:val="11"/>
                <w:b w:val="1"/>
                <w:bCs w:val="1"/>
                <w:color w:val="auto"/>
                <w:w w:val="86"/>
              </w:rPr>
              <w:t>Discontinued</w:t>
            </w:r>
          </w:p>
        </w:tc>
        <w:tc>
          <w:tcPr>
            <w:tcW w:w="100" w:type="dxa"/>
            <w:vAlign w:val="bottom"/>
          </w:tcPr>
          <w:p>
            <w:pPr>
              <w:spacing w:after="0"/>
              <w:rPr>
                <w:sz w:val="9"/>
                <w:szCs w:val="9"/>
                <w:color w:val="auto"/>
              </w:rPr>
            </w:pPr>
          </w:p>
        </w:tc>
        <w:tc>
          <w:tcPr>
            <w:tcW w:w="800" w:type="dxa"/>
            <w:vAlign w:val="bottom"/>
            <w:gridSpan w:val="5"/>
          </w:tcPr>
          <w:p>
            <w:pPr>
              <w:jc w:val="center"/>
              <w:ind w:right="120"/>
              <w:spacing w:after="0" w:line="109" w:lineRule="exact"/>
              <w:rPr>
                <w:sz w:val="20"/>
                <w:szCs w:val="20"/>
                <w:color w:val="auto"/>
              </w:rPr>
            </w:pPr>
            <w:r>
              <w:rPr>
                <w:rFonts w:ascii="Arial" w:cs="Arial" w:eastAsia="Arial" w:hAnsi="Arial"/>
                <w:sz w:val="11"/>
                <w:szCs w:val="11"/>
                <w:b w:val="1"/>
                <w:bCs w:val="1"/>
                <w:color w:val="auto"/>
                <w:w w:val="86"/>
              </w:rPr>
              <w:t>Discontinued</w:t>
            </w:r>
          </w:p>
        </w:tc>
        <w:tc>
          <w:tcPr>
            <w:tcW w:w="840" w:type="dxa"/>
            <w:vAlign w:val="bottom"/>
            <w:gridSpan w:val="5"/>
          </w:tcPr>
          <w:p>
            <w:pPr>
              <w:jc w:val="center"/>
              <w:ind w:right="120"/>
              <w:spacing w:after="0" w:line="109" w:lineRule="exact"/>
              <w:rPr>
                <w:sz w:val="20"/>
                <w:szCs w:val="20"/>
                <w:color w:val="auto"/>
              </w:rPr>
            </w:pPr>
            <w:r>
              <w:rPr>
                <w:rFonts w:ascii="Arial" w:cs="Arial" w:eastAsia="Arial" w:hAnsi="Arial"/>
                <w:sz w:val="11"/>
                <w:szCs w:val="11"/>
                <w:b w:val="1"/>
                <w:bCs w:val="1"/>
                <w:color w:val="auto"/>
                <w:w w:val="84"/>
              </w:rPr>
              <w:t>Stock Based</w:t>
            </w:r>
          </w:p>
        </w:tc>
        <w:tc>
          <w:tcPr>
            <w:tcW w:w="580" w:type="dxa"/>
            <w:vAlign w:val="bottom"/>
            <w:gridSpan w:val="4"/>
            <w:vMerge w:val="restart"/>
          </w:tcPr>
          <w:p>
            <w:pPr>
              <w:jc w:val="right"/>
              <w:ind w:right="20"/>
              <w:spacing w:after="0"/>
              <w:rPr>
                <w:sz w:val="20"/>
                <w:szCs w:val="20"/>
                <w:color w:val="auto"/>
              </w:rPr>
            </w:pPr>
            <w:r>
              <w:rPr>
                <w:rFonts w:ascii="Arial" w:cs="Arial" w:eastAsia="Arial" w:hAnsi="Arial"/>
                <w:sz w:val="11"/>
                <w:szCs w:val="11"/>
                <w:b w:val="1"/>
                <w:bCs w:val="1"/>
                <w:color w:val="auto"/>
                <w:w w:val="84"/>
              </w:rPr>
              <w:t>As Restated</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4"/>
            <w:vMerge w:val="continue"/>
          </w:tcPr>
          <w:p>
            <w:pPr>
              <w:spacing w:after="0"/>
              <w:rPr>
                <w:sz w:val="9"/>
                <w:szCs w:val="9"/>
                <w:color w:val="auto"/>
              </w:rPr>
            </w:pPr>
          </w:p>
        </w:tc>
        <w:tc>
          <w:tcPr>
            <w:tcW w:w="740" w:type="dxa"/>
            <w:vAlign w:val="bottom"/>
            <w:gridSpan w:val="3"/>
          </w:tcPr>
          <w:p>
            <w:pPr>
              <w:jc w:val="center"/>
              <w:ind w:right="20"/>
              <w:spacing w:after="0" w:line="109" w:lineRule="exact"/>
              <w:rPr>
                <w:sz w:val="20"/>
                <w:szCs w:val="20"/>
                <w:color w:val="auto"/>
              </w:rPr>
            </w:pPr>
            <w:r>
              <w:rPr>
                <w:rFonts w:ascii="Arial" w:cs="Arial" w:eastAsia="Arial" w:hAnsi="Arial"/>
                <w:sz w:val="11"/>
                <w:szCs w:val="11"/>
                <w:b w:val="1"/>
                <w:bCs w:val="1"/>
                <w:color w:val="auto"/>
                <w:w w:val="86"/>
              </w:rPr>
              <w:t>Discontinued</w:t>
            </w:r>
          </w:p>
        </w:tc>
        <w:tc>
          <w:tcPr>
            <w:tcW w:w="120" w:type="dxa"/>
            <w:vAlign w:val="bottom"/>
          </w:tcPr>
          <w:p>
            <w:pPr>
              <w:spacing w:after="0"/>
              <w:rPr>
                <w:sz w:val="9"/>
                <w:szCs w:val="9"/>
                <w:color w:val="auto"/>
              </w:rPr>
            </w:pPr>
          </w:p>
        </w:tc>
        <w:tc>
          <w:tcPr>
            <w:tcW w:w="780" w:type="dxa"/>
            <w:vAlign w:val="bottom"/>
            <w:gridSpan w:val="4"/>
          </w:tcPr>
          <w:p>
            <w:pPr>
              <w:jc w:val="center"/>
              <w:ind w:right="120"/>
              <w:spacing w:after="0" w:line="109" w:lineRule="exact"/>
              <w:rPr>
                <w:sz w:val="20"/>
                <w:szCs w:val="20"/>
                <w:color w:val="auto"/>
              </w:rPr>
            </w:pPr>
            <w:r>
              <w:rPr>
                <w:rFonts w:ascii="Arial" w:cs="Arial" w:eastAsia="Arial" w:hAnsi="Arial"/>
                <w:sz w:val="11"/>
                <w:szCs w:val="11"/>
                <w:b w:val="1"/>
                <w:bCs w:val="1"/>
                <w:color w:val="auto"/>
                <w:w w:val="88"/>
              </w:rPr>
              <w:t>Discontinued</w:t>
            </w:r>
          </w:p>
        </w:tc>
        <w:tc>
          <w:tcPr>
            <w:tcW w:w="860" w:type="dxa"/>
            <w:vAlign w:val="bottom"/>
            <w:gridSpan w:val="4"/>
          </w:tcPr>
          <w:p>
            <w:pPr>
              <w:jc w:val="center"/>
              <w:ind w:right="140"/>
              <w:spacing w:after="0" w:line="109" w:lineRule="exact"/>
              <w:rPr>
                <w:sz w:val="20"/>
                <w:szCs w:val="20"/>
                <w:color w:val="auto"/>
              </w:rPr>
            </w:pPr>
            <w:r>
              <w:rPr>
                <w:rFonts w:ascii="Arial" w:cs="Arial" w:eastAsia="Arial" w:hAnsi="Arial"/>
                <w:sz w:val="11"/>
                <w:szCs w:val="11"/>
                <w:b w:val="1"/>
                <w:bCs w:val="1"/>
                <w:color w:val="auto"/>
                <w:w w:val="84"/>
              </w:rPr>
              <w:t>Stock Based</w:t>
            </w:r>
          </w:p>
        </w:tc>
        <w:tc>
          <w:tcPr>
            <w:tcW w:w="72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As Restated</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6"/>
              </w:rPr>
              <w:t>Reported</w:t>
            </w:r>
          </w:p>
        </w:tc>
        <w:tc>
          <w:tcPr>
            <w:tcW w:w="7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Operations</w:t>
            </w:r>
          </w:p>
        </w:tc>
        <w:tc>
          <w:tcPr>
            <w:tcW w:w="100" w:type="dxa"/>
            <w:vAlign w:val="bottom"/>
          </w:tcPr>
          <w:p>
            <w:pPr>
              <w:spacing w:after="0"/>
              <w:rPr>
                <w:sz w:val="11"/>
                <w:szCs w:val="11"/>
                <w:color w:val="auto"/>
              </w:rPr>
            </w:pPr>
          </w:p>
        </w:tc>
        <w:tc>
          <w:tcPr>
            <w:tcW w:w="80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9"/>
              </w:rPr>
              <w:t>Operations</w:t>
            </w:r>
          </w:p>
        </w:tc>
        <w:tc>
          <w:tcPr>
            <w:tcW w:w="84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81"/>
              </w:rPr>
              <w:t>Expenses</w:t>
            </w:r>
          </w:p>
        </w:tc>
        <w:tc>
          <w:tcPr>
            <w:tcW w:w="580" w:type="dxa"/>
            <w:vAlign w:val="bottom"/>
            <w:gridSpan w:val="4"/>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91"/>
              </w:rPr>
              <w:t>Reported</w:t>
            </w:r>
          </w:p>
        </w:tc>
        <w:tc>
          <w:tcPr>
            <w:tcW w:w="74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9"/>
              </w:rPr>
              <w:t>Operations</w:t>
            </w:r>
          </w:p>
        </w:tc>
        <w:tc>
          <w:tcPr>
            <w:tcW w:w="120" w:type="dxa"/>
            <w:vAlign w:val="bottom"/>
          </w:tcPr>
          <w:p>
            <w:pPr>
              <w:spacing w:after="0"/>
              <w:rPr>
                <w:sz w:val="11"/>
                <w:szCs w:val="11"/>
                <w:color w:val="auto"/>
              </w:rPr>
            </w:pPr>
          </w:p>
        </w:tc>
        <w:tc>
          <w:tcPr>
            <w:tcW w:w="7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9"/>
              </w:rPr>
              <w:t>Operations</w:t>
            </w:r>
          </w:p>
        </w:tc>
        <w:tc>
          <w:tcPr>
            <w:tcW w:w="8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1"/>
              </w:rPr>
              <w:t>Expenses</w:t>
            </w:r>
          </w:p>
        </w:tc>
        <w:tc>
          <w:tcPr>
            <w:tcW w:w="7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6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Service revenue</w:t>
            </w: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$ 94.5</w:t>
            </w: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$ 7.8</w:t>
            </w:r>
          </w:p>
        </w:tc>
        <w:tc>
          <w:tcPr>
            <w:tcW w:w="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3"/>
              </w:rPr>
              <w:t>86.7</w:t>
            </w:r>
          </w:p>
        </w:tc>
        <w:tc>
          <w:tcPr>
            <w:tcW w:w="1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3"/>
              </w:rPr>
              <w:t>86.7</w:t>
            </w: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3"/>
              </w:rPr>
              <w:t>94.8</w:t>
            </w: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$ 8.5</w:t>
            </w:r>
          </w:p>
        </w:tc>
        <w:tc>
          <w:tcPr>
            <w:tcW w:w="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$ 86.3</w:t>
            </w:r>
          </w:p>
        </w:tc>
        <w:tc>
          <w:tcPr>
            <w:tcW w:w="1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  —</w:t>
            </w: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$ 86.3</w:t>
            </w:r>
          </w:p>
        </w:tc>
        <w:tc>
          <w:tcPr>
            <w:tcW w:w="1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Cost of service revenue</w:t>
            </w:r>
          </w:p>
        </w:tc>
        <w:tc>
          <w:tcPr>
            <w:tcW w:w="200" w:type="dxa"/>
            <w:vAlign w:val="bottom"/>
            <w:tcBorders>
              <w:bottom w:val="single" w:sz="8" w:color="CCEEFF"/>
            </w:tcBorders>
            <w:gridSpan w:val="2"/>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w:t>
            </w: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3"/>
              </w:rPr>
              <w:t>65.9</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3"/>
              </w:rPr>
              <w:t>66.1</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3"/>
              </w:rPr>
              <w:t>73.3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gridSpan w:val="2"/>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66.9</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68.1</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60" w:type="dxa"/>
            <w:vAlign w:val="bottom"/>
            <w:shd w:val="clear" w:color="auto" w:fill="CCEEFF"/>
          </w:tcPr>
          <w:p>
            <w:pPr>
              <w:ind w:left="140"/>
              <w:spacing w:after="0" w:line="116" w:lineRule="exact"/>
              <w:rPr>
                <w:sz w:val="20"/>
                <w:szCs w:val="20"/>
                <w:color w:val="auto"/>
              </w:rPr>
            </w:pPr>
            <w:r>
              <w:rPr>
                <w:rFonts w:ascii="Arial" w:cs="Arial" w:eastAsia="Arial" w:hAnsi="Arial"/>
                <w:sz w:val="11"/>
                <w:szCs w:val="11"/>
                <w:color w:val="auto"/>
              </w:rPr>
              <w:t>Gross profit</w:t>
            </w:r>
          </w:p>
        </w:tc>
        <w:tc>
          <w:tcPr>
            <w:tcW w:w="200" w:type="dxa"/>
            <w:vAlign w:val="bottom"/>
            <w:gridSpan w:val="2"/>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20.8</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7"/>
              </w:rPr>
              <w:t>(0.2)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20.6</w:t>
            </w:r>
          </w:p>
        </w:tc>
        <w:tc>
          <w:tcPr>
            <w:tcW w:w="1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21.5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20"/>
                <w:szCs w:val="20"/>
                <w:color w:val="auto"/>
              </w:rPr>
            </w:pPr>
            <w:r>
              <w:rPr>
                <w:rFonts w:ascii="Arial" w:cs="Arial" w:eastAsia="Arial" w:hAnsi="Arial"/>
                <w:sz w:val="11"/>
                <w:szCs w:val="11"/>
                <w:color w:val="auto"/>
              </w:rPr>
              <w:t>General and administrative expenses</w:t>
            </w: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17.2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2.3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w w:val="83"/>
              </w:rPr>
              <w:t>14.9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0.1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w w:val="83"/>
              </w:rPr>
              <w:t>15.0</w:t>
            </w: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w w:val="83"/>
              </w:rPr>
              <w:t>18.1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2.3</w:t>
            </w:r>
          </w:p>
        </w:tc>
        <w:tc>
          <w:tcPr>
            <w:tcW w:w="240" w:type="dxa"/>
            <w:vAlign w:val="bottom"/>
          </w:tcPr>
          <w:p>
            <w:pPr>
              <w:spacing w:after="0"/>
              <w:rPr>
                <w:sz w:val="11"/>
                <w:szCs w:val="11"/>
                <w:color w:val="auto"/>
              </w:rPr>
            </w:pPr>
          </w:p>
        </w:tc>
        <w:tc>
          <w:tcPr>
            <w:tcW w:w="620" w:type="dxa"/>
            <w:vAlign w:val="bottom"/>
            <w:gridSpan w:val="3"/>
          </w:tcPr>
          <w:p>
            <w:pPr>
              <w:jc w:val="right"/>
              <w:spacing w:after="0"/>
              <w:rPr>
                <w:sz w:val="20"/>
                <w:szCs w:val="20"/>
                <w:color w:val="auto"/>
              </w:rPr>
            </w:pPr>
            <w:r>
              <w:rPr>
                <w:rFonts w:ascii="Arial" w:cs="Arial" w:eastAsia="Arial" w:hAnsi="Arial"/>
                <w:sz w:val="11"/>
                <w:szCs w:val="11"/>
                <w:color w:val="auto"/>
              </w:rPr>
              <w:t>15.8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16.5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rPr>
                <w:sz w:val="20"/>
                <w:szCs w:val="20"/>
                <w:color w:val="auto"/>
              </w:rPr>
            </w:pPr>
            <w:r>
              <w:rPr>
                <w:rFonts w:ascii="Arial" w:cs="Arial" w:eastAsia="Arial" w:hAnsi="Arial"/>
                <w:sz w:val="11"/>
                <w:szCs w:val="11"/>
                <w:color w:val="auto"/>
              </w:rPr>
              <w:t>Contingent acquisition consideration</w:t>
            </w:r>
          </w:p>
        </w:tc>
        <w:tc>
          <w:tcPr>
            <w:tcW w:w="200" w:type="dxa"/>
            <w:vAlign w:val="bottom"/>
            <w:gridSpan w:val="2"/>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7"/>
              </w:rPr>
              <w:t>(2.5)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(2.5)</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Pr>
          <w:p>
            <w:pPr>
              <w:ind w:left="140"/>
              <w:spacing w:after="0"/>
              <w:rPr>
                <w:sz w:val="20"/>
                <w:szCs w:val="20"/>
                <w:color w:val="auto"/>
              </w:rPr>
            </w:pPr>
            <w:r>
              <w:rPr>
                <w:rFonts w:ascii="Arial" w:cs="Arial" w:eastAsia="Arial" w:hAnsi="Arial"/>
                <w:sz w:val="11"/>
                <w:szCs w:val="11"/>
                <w:color w:val="auto"/>
              </w:rPr>
              <w:t>Operating income</w:t>
            </w:r>
          </w:p>
        </w:tc>
        <w:tc>
          <w:tcPr>
            <w:tcW w:w="200" w:type="dxa"/>
            <w:vAlign w:val="bottom"/>
            <w:gridSpan w:val="2"/>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8.4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w w:val="97"/>
              </w:rPr>
              <w:t>(0.3)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1"/>
                <w:szCs w:val="11"/>
                <w:color w:val="auto"/>
              </w:rPr>
              <w:t>(0.2)</w:t>
            </w:r>
          </w:p>
        </w:tc>
        <w:tc>
          <w:tcPr>
            <w:tcW w:w="620" w:type="dxa"/>
            <w:vAlign w:val="bottom"/>
            <w:gridSpan w:val="3"/>
          </w:tcPr>
          <w:p>
            <w:pPr>
              <w:jc w:val="right"/>
              <w:spacing w:after="0"/>
              <w:rPr>
                <w:sz w:val="20"/>
                <w:szCs w:val="20"/>
                <w:color w:val="auto"/>
              </w:rPr>
            </w:pPr>
            <w:r>
              <w:rPr>
                <w:rFonts w:ascii="Arial" w:cs="Arial" w:eastAsia="Arial" w:hAnsi="Arial"/>
                <w:sz w:val="11"/>
                <w:szCs w:val="11"/>
                <w:color w:val="auto"/>
              </w:rPr>
              <w:t>3.2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66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Other income (expense):</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140"/>
              <w:spacing w:after="0"/>
              <w:rPr>
                <w:sz w:val="20"/>
                <w:szCs w:val="20"/>
                <w:color w:val="auto"/>
              </w:rPr>
            </w:pPr>
            <w:r>
              <w:rPr>
                <w:rFonts w:ascii="Arial" w:cs="Arial" w:eastAsia="Arial" w:hAnsi="Arial"/>
                <w:sz w:val="11"/>
                <w:szCs w:val="11"/>
                <w:color w:val="auto"/>
              </w:rPr>
              <w:t>Interest income (expense)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3"/>
          </w:tcPr>
          <w:p>
            <w:pPr>
              <w:jc w:val="right"/>
              <w:ind w:right="3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(0.1)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4"/>
          </w:tcPr>
          <w:p>
            <w:pPr>
              <w:jc w:val="right"/>
              <w:ind w:right="140"/>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(0.1)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income (expense)</w:t>
            </w:r>
          </w:p>
        </w:tc>
        <w:tc>
          <w:tcPr>
            <w:tcW w:w="200" w:type="dxa"/>
            <w:vAlign w:val="bottom"/>
            <w:gridSpan w:val="2"/>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(0.1)</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Pr>
          <w:p>
            <w:pPr>
              <w:ind w:left="140"/>
              <w:spacing w:after="0"/>
              <w:rPr>
                <w:sz w:val="20"/>
                <w:szCs w:val="20"/>
                <w:color w:val="auto"/>
              </w:rPr>
            </w:pPr>
            <w:r>
              <w:rPr>
                <w:rFonts w:ascii="Arial" w:cs="Arial" w:eastAsia="Arial" w:hAnsi="Arial"/>
                <w:sz w:val="11"/>
                <w:szCs w:val="11"/>
                <w:color w:val="auto"/>
              </w:rPr>
              <w:t>Total other income (expense)</w:t>
            </w:r>
          </w:p>
        </w:tc>
        <w:tc>
          <w:tcPr>
            <w:tcW w:w="200" w:type="dxa"/>
            <w:vAlign w:val="bottom"/>
            <w:gridSpan w:val="2"/>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5"/>
                <w:szCs w:val="15"/>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3"/>
          </w:tcPr>
          <w:p>
            <w:pPr>
              <w:jc w:val="right"/>
              <w:ind w:right="3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200"/>
              <w:spacing w:after="0"/>
              <w:rPr>
                <w:sz w:val="20"/>
                <w:szCs w:val="20"/>
                <w:color w:val="auto"/>
              </w:rPr>
            </w:pPr>
            <w:r>
              <w:rPr>
                <w:rFonts w:ascii="Arial" w:cs="Arial" w:eastAsia="Arial" w:hAnsi="Arial"/>
                <w:sz w:val="11"/>
                <w:szCs w:val="11"/>
                <w:color w:val="auto"/>
              </w:rPr>
              <w:t>(0.1)</w:t>
            </w:r>
          </w:p>
        </w:tc>
        <w:tc>
          <w:tcPr>
            <w:tcW w:w="620" w:type="dxa"/>
            <w:vAlign w:val="bottom"/>
            <w:gridSpan w:val="3"/>
          </w:tcPr>
          <w:p>
            <w:pPr>
              <w:jc w:val="right"/>
              <w:spacing w:after="0"/>
              <w:rPr>
                <w:sz w:val="20"/>
                <w:szCs w:val="20"/>
                <w:color w:val="auto"/>
              </w:rPr>
            </w:pPr>
            <w:r>
              <w:rPr>
                <w:rFonts w:ascii="Arial" w:cs="Arial" w:eastAsia="Arial" w:hAnsi="Arial"/>
                <w:sz w:val="11"/>
                <w:szCs w:val="11"/>
                <w:color w:val="auto"/>
              </w:rPr>
              <w:t>0.1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CEEFF"/>
          </w:tcPr>
          <w:p>
            <w:pPr>
              <w:ind w:left="140"/>
              <w:spacing w:after="0"/>
              <w:rPr>
                <w:sz w:val="20"/>
                <w:szCs w:val="20"/>
                <w:color w:val="auto"/>
              </w:rPr>
            </w:pPr>
            <w:r>
              <w:rPr>
                <w:rFonts w:ascii="Arial" w:cs="Arial" w:eastAsia="Arial" w:hAnsi="Arial"/>
                <w:sz w:val="11"/>
                <w:szCs w:val="11"/>
                <w:color w:val="auto"/>
              </w:rPr>
              <w:t>Income from continuing operations before income taxes</w:t>
            </w:r>
          </w:p>
        </w:tc>
        <w:tc>
          <w:tcPr>
            <w:tcW w:w="200" w:type="dxa"/>
            <w:vAlign w:val="bottom"/>
            <w:gridSpan w:val="2"/>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6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7"/>
              </w:rPr>
              <w:t>(0.3)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1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(0.3)</w:t>
            </w:r>
          </w:p>
        </w:tc>
        <w:tc>
          <w:tcPr>
            <w:tcW w:w="12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(1.9)</w:t>
            </w:r>
          </w:p>
        </w:tc>
        <w:tc>
          <w:tcPr>
            <w:tcW w:w="1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20"/>
                <w:szCs w:val="20"/>
                <w:color w:val="auto"/>
              </w:rPr>
            </w:pPr>
            <w:r>
              <w:rPr>
                <w:rFonts w:ascii="Arial" w:cs="Arial" w:eastAsia="Arial" w:hAnsi="Arial"/>
                <w:sz w:val="11"/>
                <w:szCs w:val="11"/>
                <w:color w:val="auto"/>
              </w:rPr>
              <w:t>Provision (benefit) for income taxes</w:t>
            </w: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1"/>
                <w:szCs w:val="11"/>
                <w:color w:val="auto"/>
              </w:rPr>
              <w:t>(0.9)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1.6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0.1</w:t>
            </w:r>
          </w:p>
        </w:tc>
        <w:tc>
          <w:tcPr>
            <w:tcW w:w="240" w:type="dxa"/>
            <w:vAlign w:val="bottom"/>
          </w:tcPr>
          <w:p>
            <w:pPr>
              <w:spacing w:after="0"/>
              <w:rPr>
                <w:sz w:val="11"/>
                <w:szCs w:val="11"/>
                <w:color w:val="auto"/>
              </w:rPr>
            </w:pPr>
          </w:p>
        </w:tc>
        <w:tc>
          <w:tcPr>
            <w:tcW w:w="620" w:type="dxa"/>
            <w:vAlign w:val="bottom"/>
            <w:gridSpan w:val="3"/>
          </w:tcPr>
          <w:p>
            <w:pPr>
              <w:jc w:val="right"/>
              <w:spacing w:after="0"/>
              <w:rPr>
                <w:sz w:val="20"/>
                <w:szCs w:val="20"/>
                <w:color w:val="auto"/>
              </w:rPr>
            </w:pPr>
            <w:r>
              <w:rPr>
                <w:rFonts w:ascii="Arial" w:cs="Arial" w:eastAsia="Arial" w:hAnsi="Arial"/>
                <w:sz w:val="11"/>
                <w:szCs w:val="11"/>
                <w:color w:val="auto"/>
              </w:rPr>
              <w:t>1.4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660" w:type="dxa"/>
            <w:vAlign w:val="bottom"/>
            <w:tcBorders>
              <w:top w:val="single" w:sz="8" w:color="CCEEFF"/>
              <w:bottom w:val="single" w:sz="8" w:color="CCEEFF"/>
            </w:tcBorders>
            <w:shd w:val="clear" w:color="auto" w:fill="CCEEFF"/>
          </w:tcPr>
          <w:p>
            <w:pPr>
              <w:ind w:left="140"/>
              <w:spacing w:after="0" w:line="116" w:lineRule="exact"/>
              <w:rPr>
                <w:sz w:val="20"/>
                <w:szCs w:val="20"/>
                <w:color w:val="auto"/>
              </w:rPr>
            </w:pPr>
            <w:r>
              <w:rPr>
                <w:rFonts w:ascii="Arial" w:cs="Arial" w:eastAsia="Arial" w:hAnsi="Arial"/>
                <w:sz w:val="11"/>
                <w:szCs w:val="11"/>
                <w:color w:val="auto"/>
              </w:rPr>
              <w:t>Net income (loss) from continuing operations</w:t>
            </w:r>
          </w:p>
        </w:tc>
        <w:tc>
          <w:tcPr>
            <w:tcW w:w="20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$ 4.7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1"/>
              </w:rPr>
              <w:t>$ (2.1)</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79"/>
              </w:rPr>
              <w:t>(0.3)</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right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75"/>
              </w:rPr>
              <w:t>$ (0.4)</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1.9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7"/>
              </w:rPr>
              <w:t>$ (1.9)</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(0.0)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140"/>
              <w:spacing w:after="0"/>
              <w:rPr>
                <w:sz w:val="20"/>
                <w:szCs w:val="20"/>
                <w:color w:val="auto"/>
              </w:rPr>
            </w:pPr>
            <w:r>
              <w:rPr>
                <w:rFonts w:ascii="Arial" w:cs="Arial" w:eastAsia="Arial" w:hAnsi="Arial"/>
                <w:sz w:val="11"/>
                <w:szCs w:val="11"/>
                <w:color w:val="auto"/>
              </w:rPr>
              <w:t>Income (loss) from discontinued operations</w:t>
            </w: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w w:val="97"/>
              </w:rPr>
              <w:t>(1.6)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w w:val="97"/>
              </w:rPr>
              <w:t>(0.0)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1"/>
                <w:szCs w:val="11"/>
                <w:color w:val="auto"/>
              </w:rPr>
              <w:t>(1.6)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(9.9)</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4"/>
          </w:tcPr>
          <w:p>
            <w:pPr>
              <w:jc w:val="right"/>
              <w:ind w:right="140"/>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(10.3)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Net income (loss)</w:t>
            </w:r>
          </w:p>
        </w:tc>
        <w:tc>
          <w:tcPr>
            <w:tcW w:w="200" w:type="dxa"/>
            <w:vAlign w:val="bottom"/>
            <w:gridSpan w:val="2"/>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$ 5.2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w w:val="94"/>
              </w:rPr>
              <w:t>$ (2.1)</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7"/>
              </w:rPr>
              <w:t>(0.3)</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1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(8.4)</w:t>
            </w: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 (0.4)</w:t>
            </w: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 (8.4)</w:t>
            </w: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 (1.9)</w:t>
            </w:r>
          </w:p>
        </w:tc>
        <w:tc>
          <w:tcPr>
            <w:tcW w:w="1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 (10.3)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-1757680</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3"/>
        </w:trPr>
        <w:tc>
          <w:tcPr>
            <w:tcW w:w="3660" w:type="dxa"/>
            <w:vAlign w:val="bottom"/>
          </w:tcPr>
          <w:p>
            <w:pPr>
              <w:ind w:left="140"/>
              <w:spacing w:after="0"/>
              <w:rPr>
                <w:sz w:val="20"/>
                <w:szCs w:val="20"/>
                <w:color w:val="auto"/>
              </w:rPr>
            </w:pPr>
            <w:r>
              <w:rPr>
                <w:rFonts w:ascii="Arial" w:cs="Arial" w:eastAsia="Arial" w:hAnsi="Arial"/>
                <w:sz w:val="11"/>
                <w:szCs w:val="11"/>
                <w:color w:val="auto"/>
              </w:rPr>
              <w:t>Net income (loss) from continuing operations</w:t>
            </w: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$ 0.06</w:t>
            </w: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0.09</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0.09</w:t>
            </w:r>
          </w:p>
        </w:tc>
        <w:tc>
          <w:tcPr>
            <w:tcW w:w="2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0.02</w:t>
            </w: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0.03</w:t>
            </w: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w w:val="94"/>
              </w:rPr>
              <w:t>$ (0.00)</w:t>
            </w:r>
          </w:p>
        </w:tc>
        <w:tc>
          <w:tcPr>
            <w:tcW w:w="0" w:type="dxa"/>
            <w:vAlign w:val="bottom"/>
          </w:tcPr>
          <w:p>
            <w:pPr>
              <w:spacing w:after="0"/>
              <w:rPr>
                <w:sz w:val="1"/>
                <w:szCs w:val="1"/>
                <w:color w:val="auto"/>
              </w:rPr>
            </w:pPr>
          </w:p>
        </w:tc>
      </w:tr>
      <w:tr>
        <w:trPr>
          <w:trHeight w:val="135"/>
        </w:trPr>
        <w:tc>
          <w:tcPr>
            <w:tcW w:w="3660" w:type="dxa"/>
            <w:vAlign w:val="bottom"/>
          </w:tcPr>
          <w:p>
            <w:pPr>
              <w:ind w:left="140"/>
              <w:spacing w:after="0"/>
              <w:rPr>
                <w:sz w:val="20"/>
                <w:szCs w:val="20"/>
                <w:color w:val="auto"/>
              </w:rPr>
            </w:pPr>
            <w:r>
              <w:rPr>
                <w:rFonts w:ascii="Arial" w:cs="Arial" w:eastAsia="Arial" w:hAnsi="Arial"/>
                <w:sz w:val="11"/>
                <w:szCs w:val="11"/>
                <w:color w:val="auto"/>
              </w:rPr>
              <w:t>Diluted</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$ 0.06</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jc w:val="right"/>
              <w:spacing w:after="0"/>
              <w:rPr>
                <w:sz w:val="20"/>
                <w:szCs w:val="20"/>
                <w:color w:val="auto"/>
              </w:rPr>
            </w:pPr>
            <w:r>
              <w:rPr>
                <w:rFonts w:ascii="Arial" w:cs="Arial" w:eastAsia="Arial" w:hAnsi="Arial"/>
                <w:sz w:val="11"/>
                <w:szCs w:val="11"/>
                <w:color w:val="auto"/>
                <w:w w:val="83"/>
              </w:rPr>
              <w:t>0.09</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w w:val="83"/>
              </w:rPr>
              <w:t>0.09</w:t>
            </w:r>
          </w:p>
        </w:tc>
        <w:tc>
          <w:tcPr>
            <w:tcW w:w="2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jc w:val="right"/>
              <w:spacing w:after="0"/>
              <w:rPr>
                <w:sz w:val="20"/>
                <w:szCs w:val="20"/>
                <w:color w:val="auto"/>
              </w:rPr>
            </w:pPr>
            <w:r>
              <w:rPr>
                <w:rFonts w:ascii="Arial" w:cs="Arial" w:eastAsia="Arial" w:hAnsi="Arial"/>
                <w:sz w:val="11"/>
                <w:szCs w:val="11"/>
                <w:color w:val="auto"/>
                <w:w w:val="83"/>
              </w:rPr>
              <w:t>0.02</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w w:val="83"/>
              </w:rPr>
              <w:t>0.03</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1"/>
                <w:szCs w:val="11"/>
                <w:color w:val="auto"/>
                <w:w w:val="94"/>
              </w:rPr>
              <w:t>$ (0.00)</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 (loss) from discontinued operations</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140"/>
              <w:spacing w:after="0"/>
              <w:rPr>
                <w:sz w:val="20"/>
                <w:szCs w:val="20"/>
                <w:color w:val="auto"/>
              </w:rPr>
            </w:pPr>
            <w:r>
              <w:rPr>
                <w:rFonts w:ascii="Arial" w:cs="Arial" w:eastAsia="Arial" w:hAnsi="Arial"/>
                <w:sz w:val="11"/>
                <w:szCs w:val="11"/>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$ 0.01</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3"/>
          </w:tcPr>
          <w:p>
            <w:pPr>
              <w:jc w:val="right"/>
              <w:ind w:right="460"/>
              <w:spacing w:after="0"/>
              <w:rPr>
                <w:sz w:val="20"/>
                <w:szCs w:val="20"/>
                <w:color w:val="auto"/>
              </w:rPr>
            </w:pPr>
            <w:r>
              <w:rPr>
                <w:rFonts w:ascii="Arial" w:cs="Arial" w:eastAsia="Arial" w:hAnsi="Arial"/>
                <w:sz w:val="11"/>
                <w:szCs w:val="11"/>
                <w:color w:val="auto"/>
                <w:w w:val="89"/>
              </w:rPr>
              <w:t>$ (0.02)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1"/>
                <w:szCs w:val="11"/>
                <w:color w:val="auto"/>
              </w:rPr>
              <w:t>$ (0.02)</w:t>
            </w:r>
          </w:p>
        </w:tc>
        <w:tc>
          <w:tcPr>
            <w:tcW w:w="140" w:type="dxa"/>
            <w:vAlign w:val="bottom"/>
          </w:tcPr>
          <w:p>
            <w:pPr>
              <w:spacing w:after="0"/>
              <w:rPr>
                <w:sz w:val="11"/>
                <w:szCs w:val="11"/>
                <w:color w:val="auto"/>
              </w:rPr>
            </w:pPr>
          </w:p>
        </w:tc>
        <w:tc>
          <w:tcPr>
            <w:tcW w:w="780" w:type="dxa"/>
            <w:vAlign w:val="bottom"/>
            <w:gridSpan w:val="3"/>
          </w:tcPr>
          <w:p>
            <w:pPr>
              <w:jc w:val="right"/>
              <w:ind w:right="420"/>
              <w:spacing w:after="0"/>
              <w:rPr>
                <w:sz w:val="20"/>
                <w:szCs w:val="20"/>
                <w:color w:val="auto"/>
              </w:rPr>
            </w:pPr>
            <w:r>
              <w:rPr>
                <w:rFonts w:ascii="Arial" w:cs="Arial" w:eastAsia="Arial" w:hAnsi="Arial"/>
                <w:sz w:val="11"/>
                <w:szCs w:val="11"/>
                <w:color w:val="auto"/>
                <w:w w:val="89"/>
              </w:rPr>
              <w:t>$ (0.13)</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3"/>
          </w:tcPr>
          <w:p>
            <w:pPr>
              <w:jc w:val="right"/>
              <w:ind w:right="460"/>
              <w:spacing w:after="0"/>
              <w:rPr>
                <w:sz w:val="20"/>
                <w:szCs w:val="20"/>
                <w:color w:val="auto"/>
              </w:rPr>
            </w:pPr>
            <w:r>
              <w:rPr>
                <w:rFonts w:ascii="Arial" w:cs="Arial" w:eastAsia="Arial" w:hAnsi="Arial"/>
                <w:sz w:val="11"/>
                <w:szCs w:val="11"/>
                <w:color w:val="auto"/>
                <w:w w:val="89"/>
              </w:rPr>
              <w:t>$ (0.13)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1"/>
                <w:szCs w:val="11"/>
                <w:color w:val="auto"/>
                <w:w w:val="94"/>
              </w:rPr>
              <w:t>$ (0.14)</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$ 0.01</w:t>
            </w: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460"/>
              <w:spacing w:after="0"/>
              <w:rPr>
                <w:sz w:val="20"/>
                <w:szCs w:val="20"/>
                <w:color w:val="auto"/>
              </w:rPr>
            </w:pPr>
            <w:r>
              <w:rPr>
                <w:rFonts w:ascii="Arial" w:cs="Arial" w:eastAsia="Arial" w:hAnsi="Arial"/>
                <w:sz w:val="11"/>
                <w:szCs w:val="11"/>
                <w:color w:val="auto"/>
                <w:w w:val="89"/>
              </w:rPr>
              <w:t>$ (0.02)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 (0.02)</w:t>
            </w:r>
          </w:p>
        </w:tc>
        <w:tc>
          <w:tcPr>
            <w:tcW w:w="1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color w:val="auto"/>
                <w:w w:val="89"/>
              </w:rPr>
              <w:t>$ (0.13)</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460"/>
              <w:spacing w:after="0"/>
              <w:rPr>
                <w:sz w:val="20"/>
                <w:szCs w:val="20"/>
                <w:color w:val="auto"/>
              </w:rPr>
            </w:pPr>
            <w:r>
              <w:rPr>
                <w:rFonts w:ascii="Arial" w:cs="Arial" w:eastAsia="Arial" w:hAnsi="Arial"/>
                <w:sz w:val="11"/>
                <w:szCs w:val="11"/>
                <w:color w:val="auto"/>
                <w:w w:val="89"/>
              </w:rPr>
              <w:t>$ (0.13)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w w:val="94"/>
              </w:rPr>
              <w:t>$ (0.14)</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20"/>
                <w:szCs w:val="20"/>
                <w:color w:val="auto"/>
              </w:rPr>
            </w:pPr>
            <w:r>
              <w:rPr>
                <w:rFonts w:ascii="Arial" w:cs="Arial" w:eastAsia="Arial" w:hAnsi="Arial"/>
                <w:sz w:val="11"/>
                <w:szCs w:val="11"/>
                <w:color w:val="auto"/>
              </w:rPr>
              <w:t>Net income (loss), per share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$ 0.07</w:t>
            </w: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0.07</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0.07</w:t>
            </w:r>
          </w:p>
        </w:tc>
        <w:tc>
          <w:tcPr>
            <w:tcW w:w="2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color w:val="auto"/>
                <w:w w:val="89"/>
              </w:rPr>
              <w:t>$ (0.11)</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460"/>
              <w:spacing w:after="0"/>
              <w:rPr>
                <w:sz w:val="20"/>
                <w:szCs w:val="20"/>
                <w:color w:val="auto"/>
              </w:rPr>
            </w:pPr>
            <w:r>
              <w:rPr>
                <w:rFonts w:ascii="Arial" w:cs="Arial" w:eastAsia="Arial" w:hAnsi="Arial"/>
                <w:sz w:val="11"/>
                <w:szCs w:val="11"/>
                <w:color w:val="auto"/>
                <w:w w:val="89"/>
              </w:rPr>
              <w:t>$ (0.11)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w w:val="94"/>
              </w:rPr>
              <w:t>$ (0.14)</w:t>
            </w:r>
          </w:p>
        </w:tc>
        <w:tc>
          <w:tcPr>
            <w:tcW w:w="0" w:type="dxa"/>
            <w:vAlign w:val="bottom"/>
          </w:tcPr>
          <w:p>
            <w:pPr>
              <w:spacing w:after="0"/>
              <w:rPr>
                <w:sz w:val="1"/>
                <w:szCs w:val="1"/>
                <w:color w:val="auto"/>
              </w:rPr>
            </w:pPr>
          </w:p>
        </w:tc>
      </w:tr>
      <w:tr>
        <w:trPr>
          <w:trHeight w:val="135"/>
        </w:trPr>
        <w:tc>
          <w:tcPr>
            <w:tcW w:w="3660" w:type="dxa"/>
            <w:vAlign w:val="bottom"/>
          </w:tcPr>
          <w:p>
            <w:pPr>
              <w:ind w:left="140"/>
              <w:spacing w:after="0"/>
              <w:rPr>
                <w:sz w:val="20"/>
                <w:szCs w:val="20"/>
                <w:color w:val="auto"/>
              </w:rPr>
            </w:pPr>
            <w:r>
              <w:rPr>
                <w:rFonts w:ascii="Arial" w:cs="Arial" w:eastAsia="Arial" w:hAnsi="Arial"/>
                <w:sz w:val="11"/>
                <w:szCs w:val="11"/>
                <w:color w:val="auto"/>
              </w:rPr>
              <w:t>Diluted</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$ 0.07</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jc w:val="right"/>
              <w:spacing w:after="0"/>
              <w:rPr>
                <w:sz w:val="20"/>
                <w:szCs w:val="20"/>
                <w:color w:val="auto"/>
              </w:rPr>
            </w:pPr>
            <w:r>
              <w:rPr>
                <w:rFonts w:ascii="Arial" w:cs="Arial" w:eastAsia="Arial" w:hAnsi="Arial"/>
                <w:sz w:val="11"/>
                <w:szCs w:val="11"/>
                <w:color w:val="auto"/>
                <w:w w:val="83"/>
              </w:rPr>
              <w:t>0.07</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w w:val="83"/>
              </w:rPr>
              <w:t>0.07</w:t>
            </w:r>
          </w:p>
        </w:tc>
        <w:tc>
          <w:tcPr>
            <w:tcW w:w="2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420"/>
              <w:spacing w:after="0"/>
              <w:rPr>
                <w:sz w:val="20"/>
                <w:szCs w:val="20"/>
                <w:color w:val="auto"/>
              </w:rPr>
            </w:pPr>
            <w:r>
              <w:rPr>
                <w:rFonts w:ascii="Arial" w:cs="Arial" w:eastAsia="Arial" w:hAnsi="Arial"/>
                <w:sz w:val="11"/>
                <w:szCs w:val="11"/>
                <w:color w:val="auto"/>
                <w:w w:val="89"/>
              </w:rPr>
              <w:t>$ (0.11)</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3"/>
          </w:tcPr>
          <w:p>
            <w:pPr>
              <w:jc w:val="right"/>
              <w:ind w:right="460"/>
              <w:spacing w:after="0"/>
              <w:rPr>
                <w:sz w:val="20"/>
                <w:szCs w:val="20"/>
                <w:color w:val="auto"/>
              </w:rPr>
            </w:pPr>
            <w:r>
              <w:rPr>
                <w:rFonts w:ascii="Arial" w:cs="Arial" w:eastAsia="Arial" w:hAnsi="Arial"/>
                <w:sz w:val="11"/>
                <w:szCs w:val="11"/>
                <w:color w:val="auto"/>
                <w:w w:val="89"/>
              </w:rPr>
              <w:t>$ (0.11)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1"/>
                <w:szCs w:val="11"/>
                <w:color w:val="auto"/>
                <w:w w:val="94"/>
              </w:rPr>
              <w:t>$ (0.14)</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rPr>
                <w:sz w:val="20"/>
                <w:szCs w:val="20"/>
                <w:color w:val="auto"/>
              </w:rPr>
            </w:pPr>
            <w:r>
              <w:rPr>
                <w:rFonts w:ascii="Arial" w:cs="Arial" w:eastAsia="Arial" w:hAnsi="Arial"/>
                <w:sz w:val="11"/>
                <w:szCs w:val="11"/>
                <w:color w:val="auto"/>
              </w:rPr>
              <w:t>Weighted average common shares:</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140"/>
              <w:spacing w:after="0"/>
              <w:rPr>
                <w:sz w:val="20"/>
                <w:szCs w:val="20"/>
                <w:color w:val="auto"/>
              </w:rPr>
            </w:pPr>
            <w:r>
              <w:rPr>
                <w:rFonts w:ascii="Arial" w:cs="Arial" w:eastAsia="Arial" w:hAnsi="Arial"/>
                <w:sz w:val="11"/>
                <w:szCs w:val="11"/>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74.2</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w w:val="83"/>
              </w:rPr>
              <w:t>74.2</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w w:val="83"/>
              </w:rPr>
              <w:t>74.2</w:t>
            </w:r>
          </w:p>
        </w:tc>
        <w:tc>
          <w:tcPr>
            <w:tcW w:w="2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w w:val="83"/>
              </w:rPr>
              <w:t>74.3</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w w:val="83"/>
              </w:rPr>
              <w:t>74.3</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w w:val="93"/>
              </w:rPr>
              <w:t>74.3</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75.3</w:t>
            </w: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75.3</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w w:val="97"/>
              </w:rPr>
              <w:t>(0.4)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74.9</w:t>
            </w:r>
          </w:p>
        </w:tc>
        <w:tc>
          <w:tcPr>
            <w:tcW w:w="2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75.3</w:t>
            </w: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75.3</w:t>
            </w: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w w:val="97"/>
              </w:rPr>
              <w:t>(0.2)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75.1</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660" w:type="dxa"/>
            <w:vAlign w:val="bottom"/>
          </w:tcPr>
          <w:p>
            <w:pPr>
              <w:spacing w:after="0"/>
              <w:rPr>
                <w:sz w:val="20"/>
                <w:szCs w:val="20"/>
                <w:color w:val="auto"/>
              </w:rPr>
            </w:pPr>
            <w:r>
              <w:rPr>
                <w:rFonts w:ascii="Arial" w:cs="Arial" w:eastAsia="Arial" w:hAnsi="Arial"/>
                <w:sz w:val="11"/>
                <w:szCs w:val="11"/>
                <w:color w:val="auto"/>
                <w:w w:val="89"/>
              </w:rPr>
              <w:t>The following table presents details of the total stock-based compensation expense</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140"/>
              <w:spacing w:after="0"/>
              <w:rPr>
                <w:sz w:val="20"/>
                <w:szCs w:val="20"/>
                <w:color w:val="auto"/>
              </w:rPr>
            </w:pPr>
            <w:r>
              <w:rPr>
                <w:rFonts w:ascii="Arial" w:cs="Arial" w:eastAsia="Arial" w:hAnsi="Arial"/>
                <w:sz w:val="11"/>
                <w:szCs w:val="11"/>
                <w:color w:val="auto"/>
                <w:w w:val="96"/>
              </w:rPr>
              <w:t>that is included in each functional line item in the consolidated statement 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60" w:type="dxa"/>
            <w:vAlign w:val="bottom"/>
          </w:tcPr>
          <w:p>
            <w:pPr>
              <w:ind w:left="140"/>
              <w:spacing w:after="0"/>
              <w:rPr>
                <w:sz w:val="20"/>
                <w:szCs w:val="20"/>
                <w:color w:val="auto"/>
              </w:rPr>
            </w:pPr>
            <w:r>
              <w:rPr>
                <w:rFonts w:ascii="Arial" w:cs="Arial" w:eastAsia="Arial" w:hAnsi="Arial"/>
                <w:sz w:val="11"/>
                <w:szCs w:val="11"/>
                <w:color w:val="auto"/>
              </w:rPr>
              <w:t>operations data above: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Supplemental Data on Stock-Based Compensation Expense</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20"/>
                <w:szCs w:val="20"/>
                <w:color w:val="auto"/>
              </w:rPr>
            </w:pPr>
            <w:r>
              <w:rPr>
                <w:rFonts w:ascii="Arial" w:cs="Arial" w:eastAsia="Arial" w:hAnsi="Arial"/>
                <w:sz w:val="11"/>
                <w:szCs w:val="11"/>
                <w:color w:val="auto"/>
              </w:rPr>
              <w:t>Cost of revenue</w:t>
            </w:r>
          </w:p>
        </w:tc>
        <w:tc>
          <w:tcPr>
            <w:tcW w:w="200" w:type="dxa"/>
            <w:vAlign w:val="bottom"/>
          </w:tcPr>
          <w:p>
            <w:pPr>
              <w:spacing w:after="0"/>
              <w:rPr>
                <w:sz w:val="11"/>
                <w:szCs w:val="11"/>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1"/>
                <w:szCs w:val="11"/>
                <w:color w:val="auto"/>
              </w:rPr>
              <w:t>$ —</w:t>
            </w:r>
          </w:p>
        </w:tc>
        <w:tc>
          <w:tcPr>
            <w:tcW w:w="800" w:type="dxa"/>
            <w:vAlign w:val="bottom"/>
            <w:gridSpan w:val="2"/>
          </w:tcPr>
          <w:p>
            <w:pPr>
              <w:jc w:val="right"/>
              <w:ind w:right="540"/>
              <w:spacing w:after="0"/>
              <w:rPr>
                <w:sz w:val="20"/>
                <w:szCs w:val="20"/>
                <w:color w:val="auto"/>
              </w:rPr>
            </w:pPr>
            <w:r>
              <w:rPr>
                <w:rFonts w:ascii="Arial" w:cs="Arial" w:eastAsia="Arial" w:hAnsi="Arial"/>
                <w:sz w:val="11"/>
                <w:szCs w:val="11"/>
                <w:color w:val="auto"/>
              </w:rPr>
              <w:t>$ —</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0.2</w:t>
            </w:r>
          </w:p>
        </w:tc>
        <w:tc>
          <w:tcPr>
            <w:tcW w:w="4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0.2</w:t>
            </w:r>
          </w:p>
        </w:tc>
        <w:tc>
          <w:tcPr>
            <w:tcW w:w="2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540"/>
              <w:spacing w:after="0"/>
              <w:rPr>
                <w:sz w:val="20"/>
                <w:szCs w:val="20"/>
                <w:color w:val="auto"/>
              </w:rPr>
            </w:pPr>
            <w:r>
              <w:rPr>
                <w:rFonts w:ascii="Arial" w:cs="Arial" w:eastAsia="Arial" w:hAnsi="Arial"/>
                <w:sz w:val="11"/>
                <w:szCs w:val="11"/>
                <w:color w:val="auto"/>
              </w:rPr>
              <w:t>$ —</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5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1.2</w:t>
            </w:r>
          </w:p>
        </w:tc>
        <w:tc>
          <w:tcPr>
            <w:tcW w:w="4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1.2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rPr>
                <w:sz w:val="20"/>
                <w:szCs w:val="20"/>
                <w:color w:val="auto"/>
              </w:rPr>
            </w:pPr>
            <w:r>
              <w:rPr>
                <w:rFonts w:ascii="Arial" w:cs="Arial" w:eastAsia="Arial" w:hAnsi="Arial"/>
                <w:sz w:val="11"/>
                <w:szCs w:val="11"/>
                <w:color w:val="auto"/>
              </w:rPr>
              <w:t>Selling, general and administrative</w:t>
            </w:r>
          </w:p>
        </w:tc>
        <w:tc>
          <w:tcPr>
            <w:tcW w:w="2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5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4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2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3"/>
              </w:rPr>
              <w:t>0.10</w:t>
            </w:r>
          </w:p>
        </w:tc>
        <w:tc>
          <w:tcPr>
            <w:tcW w:w="46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5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4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c>
          <w:tcPr>
            <w:tcW w:w="2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3"/>
              </w:rPr>
              <w:t>0.10</w:t>
            </w:r>
          </w:p>
        </w:tc>
        <w:tc>
          <w:tcPr>
            <w:tcW w:w="460" w:type="dxa"/>
            <w:vAlign w:val="bottom"/>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right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60" w:type="dxa"/>
            <w:vAlign w:val="bottom"/>
            <w:shd w:val="clear" w:color="auto" w:fill="CCEEFF"/>
          </w:tcPr>
          <w:p>
            <w:pPr>
              <w:spacing w:after="0"/>
              <w:rPr>
                <w:sz w:val="20"/>
                <w:szCs w:val="20"/>
                <w:color w:val="auto"/>
              </w:rPr>
            </w:pPr>
            <w:r>
              <w:rPr>
                <w:rFonts w:ascii="Arial" w:cs="Arial" w:eastAsia="Arial" w:hAnsi="Arial"/>
                <w:sz w:val="11"/>
                <w:szCs w:val="11"/>
                <w:color w:val="auto"/>
              </w:rPr>
              <w:t>Discontinued operations</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1"/>
                <w:szCs w:val="11"/>
                <w:color w:val="auto"/>
              </w:rPr>
              <w:t>$ —</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w w:val="97"/>
              </w:rPr>
              <w:t>(0.0)</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60" w:type="dxa"/>
            <w:vAlign w:val="bottom"/>
            <w:tcBorders>
              <w:top w:val="single" w:sz="8" w:color="CCEEFF"/>
            </w:tcBorders>
          </w:tcPr>
          <w:p>
            <w:pPr>
              <w:spacing w:after="0"/>
              <w:rPr>
                <w:sz w:val="20"/>
                <w:szCs w:val="20"/>
                <w:color w:val="auto"/>
              </w:rPr>
            </w:pPr>
            <w:r>
              <w:rPr>
                <w:rFonts w:ascii="Arial" w:cs="Arial" w:eastAsia="Arial" w:hAnsi="Arial"/>
                <w:sz w:val="11"/>
                <w:szCs w:val="11"/>
                <w:color w:val="auto"/>
                <w:w w:val="91"/>
              </w:rPr>
              <w:t>The following table presents details of the non-income tax payroll related expense</w:t>
            </w:r>
          </w:p>
        </w:tc>
        <w:tc>
          <w:tcPr>
            <w:tcW w:w="20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4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CCEEFF"/>
              <w:right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120"/>
              <w:spacing w:after="0"/>
              <w:rPr>
                <w:sz w:val="20"/>
                <w:szCs w:val="20"/>
                <w:color w:val="auto"/>
              </w:rPr>
            </w:pPr>
            <w:r>
              <w:rPr>
                <w:rFonts w:ascii="Arial" w:cs="Arial" w:eastAsia="Arial" w:hAnsi="Arial"/>
                <w:sz w:val="11"/>
                <w:szCs w:val="11"/>
                <w:color w:val="auto"/>
                <w:w w:val="90"/>
              </w:rPr>
              <w:t>(credit) that is included in each functional line item in the consolidated statement</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660" w:type="dxa"/>
            <w:vAlign w:val="bottom"/>
          </w:tcPr>
          <w:p>
            <w:pPr>
              <w:ind w:left="120"/>
              <w:spacing w:after="0"/>
              <w:rPr>
                <w:sz w:val="20"/>
                <w:szCs w:val="20"/>
                <w:color w:val="auto"/>
              </w:rPr>
            </w:pPr>
            <w:r>
              <w:rPr>
                <w:rFonts w:ascii="Arial" w:cs="Arial" w:eastAsia="Arial" w:hAnsi="Arial"/>
                <w:sz w:val="11"/>
                <w:szCs w:val="11"/>
                <w:color w:val="auto"/>
              </w:rPr>
              <w:t>of operations: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CEEFF"/>
          </w:tcPr>
          <w:p>
            <w:pPr>
              <w:spacing w:after="0"/>
              <w:rPr>
                <w:sz w:val="20"/>
                <w:szCs w:val="20"/>
                <w:color w:val="auto"/>
              </w:rPr>
            </w:pPr>
            <w:r>
              <w:rPr>
                <w:rFonts w:ascii="Arial" w:cs="Arial" w:eastAsia="Arial" w:hAnsi="Arial"/>
                <w:sz w:val="11"/>
                <w:szCs w:val="11"/>
                <w:color w:val="auto"/>
              </w:rPr>
              <w:t>Supplemental Data on Non-Income Tax Payroll Expense</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20"/>
                <w:szCs w:val="20"/>
                <w:color w:val="auto"/>
              </w:rPr>
            </w:pPr>
            <w:r>
              <w:rPr>
                <w:rFonts w:ascii="Arial" w:cs="Arial" w:eastAsia="Arial" w:hAnsi="Arial"/>
                <w:sz w:val="11"/>
                <w:szCs w:val="11"/>
                <w:color w:val="auto"/>
              </w:rPr>
              <w:t>Cost of revenue</w:t>
            </w:r>
          </w:p>
        </w:tc>
        <w:tc>
          <w:tcPr>
            <w:tcW w:w="200" w:type="dxa"/>
            <w:vAlign w:val="bottom"/>
          </w:tcPr>
          <w:p>
            <w:pPr>
              <w:spacing w:after="0"/>
              <w:rPr>
                <w:sz w:val="14"/>
                <w:szCs w:val="14"/>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1"/>
                <w:szCs w:val="11"/>
                <w:color w:val="auto"/>
              </w:rPr>
              <w:t>$ —</w:t>
            </w:r>
          </w:p>
        </w:tc>
        <w:tc>
          <w:tcPr>
            <w:tcW w:w="800" w:type="dxa"/>
            <w:vAlign w:val="bottom"/>
            <w:gridSpan w:val="2"/>
          </w:tcPr>
          <w:p>
            <w:pPr>
              <w:jc w:val="right"/>
              <w:ind w:right="540"/>
              <w:spacing w:after="0"/>
              <w:rPr>
                <w:sz w:val="20"/>
                <w:szCs w:val="20"/>
                <w:color w:val="auto"/>
              </w:rPr>
            </w:pPr>
            <w:r>
              <w:rPr>
                <w:rFonts w:ascii="Arial" w:cs="Arial" w:eastAsia="Arial" w:hAnsi="Arial"/>
                <w:sz w:val="11"/>
                <w:szCs w:val="11"/>
                <w:color w:val="auto"/>
              </w:rPr>
              <w:t>$ —</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0.0</w:t>
            </w:r>
          </w:p>
        </w:tc>
        <w:tc>
          <w:tcPr>
            <w:tcW w:w="4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0.0</w:t>
            </w:r>
          </w:p>
        </w:tc>
        <w:tc>
          <w:tcPr>
            <w:tcW w:w="2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540"/>
              <w:spacing w:after="0"/>
              <w:rPr>
                <w:sz w:val="20"/>
                <w:szCs w:val="20"/>
                <w:color w:val="auto"/>
              </w:rPr>
            </w:pPr>
            <w:r>
              <w:rPr>
                <w:rFonts w:ascii="Arial" w:cs="Arial" w:eastAsia="Arial" w:hAnsi="Arial"/>
                <w:sz w:val="11"/>
                <w:szCs w:val="11"/>
                <w:color w:val="auto"/>
              </w:rPr>
              <w:t>$ —</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5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0.0</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20"/>
                <w:szCs w:val="20"/>
                <w:color w:val="auto"/>
              </w:rPr>
            </w:pPr>
            <w:r>
              <w:rPr>
                <w:rFonts w:ascii="Arial" w:cs="Arial" w:eastAsia="Arial" w:hAnsi="Arial"/>
                <w:sz w:val="11"/>
                <w:szCs w:val="11"/>
                <w:color w:val="auto"/>
              </w:rPr>
              <w:t>Selling, general and administrative</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5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4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22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5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4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0.0</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0.0</w:t>
            </w:r>
          </w:p>
        </w:tc>
        <w:tc>
          <w:tcPr>
            <w:tcW w:w="2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0.0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right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660" w:type="dxa"/>
            <w:vAlign w:val="bottom"/>
            <w:shd w:val="clear" w:color="auto" w:fill="CCEEFF"/>
          </w:tcPr>
          <w:p>
            <w:pPr>
              <w:spacing w:after="0"/>
              <w:rPr>
                <w:sz w:val="20"/>
                <w:szCs w:val="20"/>
                <w:color w:val="auto"/>
              </w:rPr>
            </w:pPr>
            <w:r>
              <w:rPr>
                <w:rFonts w:ascii="Arial" w:cs="Arial" w:eastAsia="Arial" w:hAnsi="Arial"/>
                <w:sz w:val="11"/>
                <w:szCs w:val="11"/>
                <w:color w:val="auto"/>
              </w:rPr>
              <w:t>Discontinued operations</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w w:val="97"/>
              </w:rPr>
              <w:t>(0.0)</w:t>
            </w:r>
          </w:p>
        </w:tc>
        <w:tc>
          <w:tcPr>
            <w:tcW w:w="140" w:type="dxa"/>
            <w:vAlign w:val="bottom"/>
            <w:shd w:val="clear" w:color="auto" w:fill="CCEEFF"/>
          </w:tcPr>
          <w:p>
            <w:pPr>
              <w:spacing w:after="0"/>
              <w:rPr>
                <w:sz w:val="13"/>
                <w:szCs w:val="13"/>
                <w:color w:val="auto"/>
              </w:rPr>
            </w:pP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w w:val="97"/>
              </w:rPr>
              <w:t>(0.0)</w:t>
            </w: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1"/>
                <w:szCs w:val="11"/>
                <w:color w:val="auto"/>
              </w:rPr>
              <w:t>Total</w:t>
            </w: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6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1"/>
                <w:szCs w:val="11"/>
                <w:color w:val="auto"/>
              </w:rPr>
              <w:t>$ —</w:t>
            </w:r>
          </w:p>
        </w:tc>
        <w:tc>
          <w:tcPr>
            <w:tcW w:w="800" w:type="dxa"/>
            <w:vAlign w:val="bottom"/>
            <w:gridSpan w:val="2"/>
          </w:tcPr>
          <w:p>
            <w:pPr>
              <w:jc w:val="right"/>
              <w:ind w:right="540"/>
              <w:spacing w:after="0"/>
              <w:rPr>
                <w:sz w:val="20"/>
                <w:szCs w:val="20"/>
                <w:color w:val="auto"/>
              </w:rPr>
            </w:pPr>
            <w:r>
              <w:rPr>
                <w:rFonts w:ascii="Arial" w:cs="Arial" w:eastAsia="Arial" w:hAnsi="Arial"/>
                <w:sz w:val="11"/>
                <w:szCs w:val="11"/>
                <w:color w:val="auto"/>
              </w:rPr>
              <w:t>$ —</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0.0</w:t>
            </w:r>
          </w:p>
        </w:tc>
        <w:tc>
          <w:tcPr>
            <w:tcW w:w="4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0.0</w:t>
            </w:r>
          </w:p>
        </w:tc>
        <w:tc>
          <w:tcPr>
            <w:tcW w:w="2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540"/>
              <w:spacing w:after="0"/>
              <w:rPr>
                <w:sz w:val="20"/>
                <w:szCs w:val="20"/>
                <w:color w:val="auto"/>
              </w:rPr>
            </w:pPr>
            <w:r>
              <w:rPr>
                <w:rFonts w:ascii="Arial" w:cs="Arial" w:eastAsia="Arial" w:hAnsi="Arial"/>
                <w:sz w:val="11"/>
                <w:szCs w:val="11"/>
                <w:color w:val="auto"/>
              </w:rPr>
              <w:t>$ —</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5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0.0</w:t>
            </w:r>
          </w:p>
        </w:tc>
        <w:tc>
          <w:tcPr>
            <w:tcW w:w="4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0.0</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3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The Company’s fourth quarter of 2005 net loss was impacted by a loss from discontinued operations of $10.3 million, which was primarily driven by the cancellation of a number of sites that the Company was building in Latin America locations which impact resulted in a loss of approximately $3.0 million. In addition, an impairment charge of $0.9 million related to the accumulated currency translation losses was recorded in accordance with EITF Issue 01-5 “Application of FASB Statement No. 52 to an Investment Being Evaluated for Impairment that Will Be Disposed Of.” Also, included in loss from discontinued operations was a $3.4 million increase to the valuation allowance related to certain of the discontinued operation’s deferred tax assets.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The following table presents select balance sheet information as of September 30, June 30 and March 31, 2006, respectively, and September 30, June 30, and March 31, 2005, respectively, as restated from previously reported information filed in the Company’s Form 10-Q’s, as a result of the restatement of our financial results discussed in Note 2 “Restatement of Consolidated Financial Statements” (in millions):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CONSOLIDATED BALANCE SHEETS FOR MARCH 31, 2005</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8"/>
              </w:rPr>
              <w:t>Adjustment for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International</w:t>
            </w:r>
          </w:p>
        </w:tc>
        <w:tc>
          <w:tcPr>
            <w:tcW w:w="102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As Restated for</w:t>
            </w:r>
          </w:p>
        </w:tc>
        <w:tc>
          <w:tcPr>
            <w:tcW w:w="104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Adjustment for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Discontinued</w:t>
            </w:r>
          </w:p>
        </w:tc>
        <w:tc>
          <w:tcPr>
            <w:tcW w:w="102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Discontinued</w:t>
            </w:r>
          </w:p>
        </w:tc>
        <w:tc>
          <w:tcPr>
            <w:tcW w:w="104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Stock Based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00" w:type="dxa"/>
            <w:vAlign w:val="bottom"/>
            <w:gridSpan w:val="5"/>
          </w:tcPr>
          <w:p>
            <w:pPr>
              <w:ind w:left="20"/>
              <w:spacing w:after="0"/>
              <w:rPr>
                <w:sz w:val="20"/>
                <w:szCs w:val="20"/>
                <w:color w:val="auto"/>
              </w:rPr>
            </w:pPr>
            <w:r>
              <w:rPr>
                <w:rFonts w:ascii="Arial" w:cs="Arial" w:eastAsia="Arial" w:hAnsi="Arial"/>
                <w:sz w:val="13"/>
                <w:szCs w:val="13"/>
                <w:b w:val="1"/>
                <w:bCs w:val="1"/>
                <w:color w:val="auto"/>
              </w:rPr>
              <w:t>As Reported*</w:t>
            </w:r>
          </w:p>
        </w:tc>
        <w:tc>
          <w:tcPr>
            <w:tcW w:w="10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7"/>
              </w:rPr>
              <w:t>Operations</w:t>
            </w:r>
          </w:p>
        </w:tc>
        <w:tc>
          <w:tcPr>
            <w:tcW w:w="10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7"/>
              </w:rPr>
              <w:t>Operations</w:t>
            </w:r>
          </w:p>
        </w:tc>
        <w:tc>
          <w:tcPr>
            <w:tcW w:w="104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2"/>
              </w:rPr>
              <w:t>Expenses</w:t>
            </w:r>
          </w:p>
        </w:tc>
        <w:tc>
          <w:tcPr>
            <w:tcW w:w="900" w:type="dxa"/>
            <w:vAlign w:val="bottom"/>
            <w:gridSpan w:val="5"/>
          </w:tcPr>
          <w:p>
            <w:pPr>
              <w:ind w:left="60"/>
              <w:spacing w:after="0"/>
              <w:rPr>
                <w:sz w:val="20"/>
                <w:szCs w:val="20"/>
                <w:color w:val="auto"/>
              </w:rPr>
            </w:pPr>
            <w:r>
              <w:rPr>
                <w:rFonts w:ascii="Arial" w:cs="Arial" w:eastAsia="Arial" w:hAnsi="Arial"/>
                <w:sz w:val="13"/>
                <w:szCs w:val="13"/>
                <w:b w:val="1"/>
                <w:bCs w:val="1"/>
                <w:color w:val="auto"/>
              </w:rPr>
              <w:t>As Restated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Borders>
              <w:top w:val="single" w:sz="8" w:color="CCEEFF"/>
            </w:tcBorders>
            <w:shd w:val="clear" w:color="auto" w:fill="CCEEFF"/>
          </w:tcPr>
          <w:p>
            <w:pPr>
              <w:ind w:left="1660"/>
              <w:spacing w:after="0" w:line="141" w:lineRule="exact"/>
              <w:rPr>
                <w:sz w:val="20"/>
                <w:szCs w:val="20"/>
                <w:color w:val="auto"/>
              </w:rPr>
            </w:pPr>
            <w:r>
              <w:rPr>
                <w:rFonts w:ascii="Arial" w:cs="Arial" w:eastAsia="Arial" w:hAnsi="Arial"/>
                <w:sz w:val="13"/>
                <w:szCs w:val="13"/>
                <w:b w:val="1"/>
                <w:bCs w:val="1"/>
                <w:i w:val="1"/>
                <w:iCs w:val="1"/>
                <w:color w:val="auto"/>
              </w:rPr>
              <w:t>Assets</w:t>
            </w:r>
          </w:p>
        </w:tc>
        <w:tc>
          <w:tcPr>
            <w:tcW w:w="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CURRENT ASSETS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Short-term investments</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gridSpan w:val="2"/>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CEEFF"/>
          </w:tcPr>
          <w:p>
            <w:pPr>
              <w:ind w:left="300"/>
              <w:spacing w:after="0" w:line="141" w:lineRule="exact"/>
              <w:rPr>
                <w:sz w:val="20"/>
                <w:szCs w:val="20"/>
                <w:color w:val="auto"/>
              </w:rPr>
            </w:pPr>
            <w:r>
              <w:rPr>
                <w:rFonts w:ascii="Arial" w:cs="Arial" w:eastAsia="Arial" w:hAnsi="Arial"/>
                <w:sz w:val="13"/>
                <w:szCs w:val="13"/>
                <w:color w:val="auto"/>
              </w:rPr>
              <w:t>Subtotal cash and cash equivalents &amp; ST investments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Accounts receivable—net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95.5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w w:val="94"/>
              </w:rPr>
              <w:t>(11.7)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83.8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83.8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Employee loans and advances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0.5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0.4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0.4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current assets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Current assets of discontinued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tcPr>
          <w:p>
            <w:pPr>
              <w:ind w:left="300"/>
              <w:spacing w:after="0"/>
              <w:rPr>
                <w:sz w:val="20"/>
                <w:szCs w:val="20"/>
                <w:color w:val="auto"/>
              </w:rPr>
            </w:pPr>
            <w:r>
              <w:rPr>
                <w:rFonts w:ascii="Arial" w:cs="Arial" w:eastAsia="Arial" w:hAnsi="Arial"/>
                <w:sz w:val="13"/>
                <w:szCs w:val="13"/>
                <w:color w:val="auto"/>
              </w:rPr>
              <w:t>operations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34.6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18.4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tcBorders>
              <w:top w:val="single" w:sz="8" w:color="CCEEFF"/>
            </w:tcBorders>
            <w:shd w:val="clear" w:color="auto" w:fill="CCEEFF"/>
          </w:tcPr>
          <w:p>
            <w:pPr>
              <w:ind w:left="460"/>
              <w:spacing w:after="0" w:line="142" w:lineRule="exact"/>
              <w:rPr>
                <w:sz w:val="20"/>
                <w:szCs w:val="20"/>
                <w:color w:val="auto"/>
              </w:rPr>
            </w:pPr>
            <w:r>
              <w:rPr>
                <w:rFonts w:ascii="Arial" w:cs="Arial" w:eastAsia="Arial" w:hAnsi="Arial"/>
                <w:sz w:val="13"/>
                <w:szCs w:val="13"/>
                <w:color w:val="auto"/>
              </w:rPr>
              <w:t>Total current assets</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175.1</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175.1</w:t>
            </w: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175.1</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10.6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10.6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115.9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115.9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115.9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Other intangibles, net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8.8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8.8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Investments in unconsolidated affiliates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Non current assets of discontinued operations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Borders>
              <w:top w:val="single" w:sz="8" w:color="CCEEFF"/>
              <w:bottom w:val="single" w:sz="8" w:color="CCEEFF"/>
            </w:tcBorders>
            <w:shd w:val="clear" w:color="auto" w:fill="CCEEFF"/>
          </w:tcPr>
          <w:p>
            <w:pPr>
              <w:ind w:left="620"/>
              <w:spacing w:after="0" w:line="141" w:lineRule="exact"/>
              <w:rPr>
                <w:sz w:val="20"/>
                <w:szCs w:val="20"/>
                <w:color w:val="auto"/>
              </w:rPr>
            </w:pPr>
            <w:r>
              <w:rPr>
                <w:rFonts w:ascii="Arial" w:cs="Arial" w:eastAsia="Arial" w:hAnsi="Arial"/>
                <w:sz w:val="13"/>
                <w:szCs w:val="13"/>
                <w:color w:val="auto"/>
              </w:rPr>
              <w:t>Total assets</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335.7</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335.7</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335.7</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tcPr>
          <w:p>
            <w:pPr>
              <w:ind w:left="920"/>
              <w:spacing w:after="0"/>
              <w:rPr>
                <w:sz w:val="20"/>
                <w:szCs w:val="20"/>
                <w:color w:val="auto"/>
              </w:rPr>
            </w:pPr>
            <w:r>
              <w:rPr>
                <w:rFonts w:ascii="Arial" w:cs="Arial" w:eastAsia="Arial" w:hAnsi="Arial"/>
                <w:sz w:val="13"/>
                <w:szCs w:val="13"/>
                <w:b w:val="1"/>
                <w:bCs w:val="1"/>
                <w:i w:val="1"/>
                <w:iCs w:val="1"/>
                <w:color w:val="auto"/>
              </w:rPr>
              <w:t>Liabilities and stockholders’ equity</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19.9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18.2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18.2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payable—related party</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Accrued expenses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17.7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18.9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Contract management payables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Deferred revenue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taxes payable</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Accrual for unused office space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0.8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0.8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0.8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Accrual for contingent consideration related to acquisitions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Capital lease obligation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0.1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0.1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0.1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liabilities of discontinued</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operations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80" w:type="dxa"/>
            <w:vAlign w:val="bottom"/>
          </w:tcPr>
          <w:p>
            <w:pPr>
              <w:ind w:left="300"/>
              <w:spacing w:after="0" w:line="141" w:lineRule="exact"/>
              <w:rPr>
                <w:sz w:val="20"/>
                <w:szCs w:val="20"/>
                <w:color w:val="auto"/>
              </w:rPr>
            </w:pPr>
            <w:r>
              <w:rPr>
                <w:rFonts w:ascii="Arial" w:cs="Arial" w:eastAsia="Arial" w:hAnsi="Arial"/>
                <w:sz w:val="13"/>
                <w:szCs w:val="13"/>
                <w:color w:val="auto"/>
              </w:rPr>
              <w:t>Total current liabilities</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5"/>
              </w:rPr>
              <w:t>107.8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5"/>
              </w:rPr>
              <w:t>107.8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109.0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LONG-TERM LIABILITIES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380" w:type="dxa"/>
            <w:vAlign w:val="bottom"/>
          </w:tcPr>
          <w:p>
            <w:pPr>
              <w:spacing w:after="0"/>
              <w:rPr>
                <w:sz w:val="13"/>
                <w:szCs w:val="13"/>
                <w:color w:val="auto"/>
              </w:rPr>
            </w:pPr>
          </w:p>
        </w:tc>
        <w:tc>
          <w:tcPr>
            <w:tcW w:w="3160" w:type="dxa"/>
            <w:vAlign w:val="bottom"/>
            <w:gridSpan w:val="2"/>
          </w:tcPr>
          <w:p>
            <w:pPr>
              <w:ind w:left="140"/>
              <w:spacing w:after="0"/>
              <w:rPr>
                <w:sz w:val="20"/>
                <w:szCs w:val="20"/>
                <w:color w:val="auto"/>
              </w:rPr>
            </w:pPr>
            <w:r>
              <w:rPr>
                <w:rFonts w:ascii="Arial" w:cs="Arial" w:eastAsia="Arial" w:hAnsi="Arial"/>
                <w:sz w:val="13"/>
                <w:szCs w:val="13"/>
                <w:color w:val="auto"/>
              </w:rPr>
              <w:t>Accrual for unused office space—net of</w:t>
            </w: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380" w:type="dxa"/>
            <w:vAlign w:val="bottom"/>
          </w:tcPr>
          <w:p>
            <w:pPr>
              <w:spacing w:after="0"/>
              <w:rPr>
                <w:sz w:val="14"/>
                <w:szCs w:val="14"/>
                <w:color w:val="auto"/>
              </w:rPr>
            </w:pPr>
          </w:p>
        </w:tc>
        <w:tc>
          <w:tcPr>
            <w:tcW w:w="3160" w:type="dxa"/>
            <w:vAlign w:val="bottom"/>
            <w:gridSpan w:val="2"/>
          </w:tcPr>
          <w:p>
            <w:pPr>
              <w:ind w:left="280"/>
              <w:spacing w:after="0"/>
              <w:rPr>
                <w:sz w:val="20"/>
                <w:szCs w:val="20"/>
                <w:color w:val="auto"/>
              </w:rPr>
            </w:pPr>
            <w:r>
              <w:rPr>
                <w:rFonts w:ascii="Arial" w:cs="Arial" w:eastAsia="Arial" w:hAnsi="Arial"/>
                <w:sz w:val="13"/>
                <w:szCs w:val="13"/>
                <w:color w:val="auto"/>
              </w:rPr>
              <w:t>current portion</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380" w:type="dxa"/>
            <w:vAlign w:val="bottom"/>
          </w:tcPr>
          <w:p>
            <w:pPr>
              <w:spacing w:after="0"/>
              <w:rPr>
                <w:sz w:val="14"/>
                <w:szCs w:val="14"/>
                <w:color w:val="auto"/>
              </w:rPr>
            </w:pPr>
          </w:p>
        </w:tc>
        <w:tc>
          <w:tcPr>
            <w:tcW w:w="3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long-term liabilities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3160" w:type="dxa"/>
            <w:vAlign w:val="bottom"/>
            <w:gridSpan w:val="2"/>
          </w:tcPr>
          <w:p>
            <w:pPr>
              <w:ind w:left="140"/>
              <w:spacing w:after="0"/>
              <w:rPr>
                <w:sz w:val="20"/>
                <w:szCs w:val="20"/>
                <w:color w:val="auto"/>
              </w:rPr>
            </w:pPr>
            <w:r>
              <w:rPr>
                <w:rFonts w:ascii="Arial" w:cs="Arial" w:eastAsia="Arial" w:hAnsi="Arial"/>
                <w:sz w:val="13"/>
                <w:szCs w:val="13"/>
                <w:color w:val="auto"/>
              </w:rPr>
              <w:t>Long term liabilities of discontinued</w:t>
            </w: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380" w:type="dxa"/>
            <w:vAlign w:val="bottom"/>
          </w:tcPr>
          <w:p>
            <w:pPr>
              <w:spacing w:after="0"/>
              <w:rPr>
                <w:sz w:val="14"/>
                <w:szCs w:val="14"/>
                <w:color w:val="auto"/>
              </w:rPr>
            </w:pPr>
          </w:p>
        </w:tc>
        <w:tc>
          <w:tcPr>
            <w:tcW w:w="3160" w:type="dxa"/>
            <w:vAlign w:val="bottom"/>
            <w:gridSpan w:val="2"/>
          </w:tcPr>
          <w:p>
            <w:pPr>
              <w:ind w:left="280"/>
              <w:spacing w:after="0"/>
              <w:rPr>
                <w:sz w:val="20"/>
                <w:szCs w:val="20"/>
                <w:color w:val="auto"/>
              </w:rPr>
            </w:pPr>
            <w:r>
              <w:rPr>
                <w:rFonts w:ascii="Arial" w:cs="Arial" w:eastAsia="Arial" w:hAnsi="Arial"/>
                <w:sz w:val="13"/>
                <w:szCs w:val="13"/>
                <w:color w:val="auto"/>
              </w:rPr>
              <w:t>operations</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3160" w:type="dxa"/>
            <w:vAlign w:val="bottom"/>
            <w:tcBorders>
              <w:top w:val="single" w:sz="8" w:color="CCEEFF"/>
            </w:tcBorders>
            <w:gridSpan w:val="2"/>
            <w:shd w:val="clear" w:color="auto" w:fill="CCEEFF"/>
          </w:tcPr>
          <w:p>
            <w:pPr>
              <w:ind w:left="280"/>
              <w:spacing w:after="0" w:line="142" w:lineRule="exact"/>
              <w:rPr>
                <w:sz w:val="20"/>
                <w:szCs w:val="20"/>
                <w:color w:val="auto"/>
              </w:rPr>
            </w:pPr>
            <w:r>
              <w:rPr>
                <w:rFonts w:ascii="Arial" w:cs="Arial" w:eastAsia="Arial" w:hAnsi="Arial"/>
                <w:sz w:val="13"/>
                <w:szCs w:val="13"/>
                <w:color w:val="auto"/>
              </w:rPr>
              <w:t>Total long-term liabilities</w:t>
            </w:r>
          </w:p>
        </w:tc>
        <w:tc>
          <w:tcPr>
            <w:tcW w:w="8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3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3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2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316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Total liabilities</w:t>
            </w:r>
          </w:p>
        </w:tc>
        <w:tc>
          <w:tcPr>
            <w:tcW w:w="8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111.0</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111.0</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112.2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380" w:type="dxa"/>
            <w:vAlign w:val="bottom"/>
          </w:tcPr>
          <w:p>
            <w:pPr>
              <w:spacing w:after="0"/>
              <w:rPr>
                <w:sz w:val="14"/>
                <w:szCs w:val="14"/>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Common stock</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3160" w:type="dxa"/>
            <w:vAlign w:val="bottom"/>
            <w:gridSpan w:val="2"/>
          </w:tcPr>
          <w:p>
            <w:pPr>
              <w:ind w:left="320"/>
              <w:spacing w:after="0"/>
              <w:rPr>
                <w:sz w:val="20"/>
                <w:szCs w:val="20"/>
                <w:color w:val="auto"/>
              </w:rPr>
            </w:pPr>
            <w:r>
              <w:rPr>
                <w:rFonts w:ascii="Arial" w:cs="Arial" w:eastAsia="Arial" w:hAnsi="Arial"/>
                <w:sz w:val="13"/>
                <w:szCs w:val="13"/>
                <w:color w:val="auto"/>
              </w:rPr>
              <w:t>Additional paid-in capital</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320.5</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320.5</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54.5</w:t>
            </w:r>
          </w:p>
        </w:tc>
        <w:tc>
          <w:tcPr>
            <w:tcW w:w="2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375.0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380" w:type="dxa"/>
            <w:vAlign w:val="bottom"/>
          </w:tcPr>
          <w:p>
            <w:pPr>
              <w:spacing w:after="0"/>
              <w:rPr>
                <w:sz w:val="14"/>
                <w:szCs w:val="14"/>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Deferred compensation</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(2.7)</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3160" w:type="dxa"/>
            <w:vAlign w:val="bottom"/>
            <w:gridSpan w:val="2"/>
          </w:tcPr>
          <w:p>
            <w:pPr>
              <w:ind w:left="320"/>
              <w:spacing w:after="0"/>
              <w:rPr>
                <w:sz w:val="20"/>
                <w:szCs w:val="20"/>
                <w:color w:val="auto"/>
              </w:rPr>
            </w:pPr>
            <w:r>
              <w:rPr>
                <w:rFonts w:ascii="Arial" w:cs="Arial" w:eastAsia="Arial" w:hAnsi="Arial"/>
                <w:sz w:val="13"/>
                <w:szCs w:val="13"/>
                <w:color w:val="auto"/>
              </w:rPr>
              <w:t>Accumulated deficit</w:t>
            </w:r>
          </w:p>
        </w:tc>
        <w:tc>
          <w:tcPr>
            <w:tcW w:w="1540" w:type="dxa"/>
            <w:vAlign w:val="bottom"/>
            <w:gridSpan w:val="3"/>
          </w:tcPr>
          <w:p>
            <w:pPr>
              <w:jc w:val="right"/>
              <w:ind w:right="260"/>
              <w:spacing w:after="0"/>
              <w:rPr>
                <w:sz w:val="20"/>
                <w:szCs w:val="20"/>
                <w:color w:val="auto"/>
              </w:rPr>
            </w:pPr>
            <w:r>
              <w:rPr>
                <w:rFonts w:ascii="Arial" w:cs="Arial" w:eastAsia="Arial" w:hAnsi="Arial"/>
                <w:sz w:val="13"/>
                <w:szCs w:val="13"/>
                <w:color w:val="auto"/>
              </w:rPr>
              <w:t>(91.9)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1360" w:type="dxa"/>
            <w:vAlign w:val="bottom"/>
            <w:gridSpan w:val="3"/>
          </w:tcPr>
          <w:p>
            <w:pPr>
              <w:jc w:val="right"/>
              <w:ind w:right="300"/>
              <w:spacing w:after="0"/>
              <w:rPr>
                <w:sz w:val="20"/>
                <w:szCs w:val="20"/>
                <w:color w:val="auto"/>
              </w:rPr>
            </w:pPr>
            <w:r>
              <w:rPr>
                <w:rFonts w:ascii="Arial" w:cs="Arial" w:eastAsia="Arial" w:hAnsi="Arial"/>
                <w:sz w:val="13"/>
                <w:szCs w:val="13"/>
                <w:color w:val="auto"/>
              </w:rPr>
              <w:t>(91.9)</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w w:val="94"/>
              </w:rPr>
              <w:t>(53.0)</w:t>
            </w:r>
          </w:p>
        </w:tc>
        <w:tc>
          <w:tcPr>
            <w:tcW w:w="1000" w:type="dxa"/>
            <w:vAlign w:val="bottom"/>
            <w:gridSpan w:val="3"/>
          </w:tcPr>
          <w:p>
            <w:pPr>
              <w:jc w:val="right"/>
              <w:ind w:right="220"/>
              <w:spacing w:after="0"/>
              <w:rPr>
                <w:sz w:val="20"/>
                <w:szCs w:val="20"/>
                <w:color w:val="auto"/>
              </w:rPr>
            </w:pPr>
            <w:r>
              <w:rPr>
                <w:rFonts w:ascii="Arial" w:cs="Arial" w:eastAsia="Arial" w:hAnsi="Arial"/>
                <w:sz w:val="13"/>
                <w:szCs w:val="13"/>
                <w:color w:val="auto"/>
              </w:rPr>
              <w:t>(144.9)</w:t>
            </w:r>
          </w:p>
        </w:tc>
        <w:tc>
          <w:tcPr>
            <w:tcW w:w="0" w:type="dxa"/>
            <w:vAlign w:val="bottom"/>
          </w:tcPr>
          <w:p>
            <w:pPr>
              <w:spacing w:after="0"/>
              <w:rPr>
                <w:sz w:val="1"/>
                <w:szCs w:val="1"/>
                <w:color w:val="auto"/>
              </w:rPr>
            </w:pPr>
          </w:p>
        </w:tc>
      </w:tr>
      <w:tr>
        <w:trPr>
          <w:trHeight w:val="163"/>
        </w:trPr>
        <w:tc>
          <w:tcPr>
            <w:tcW w:w="1380" w:type="dxa"/>
            <w:vAlign w:val="bottom"/>
          </w:tcPr>
          <w:p>
            <w:pPr>
              <w:spacing w:after="0"/>
              <w:rPr>
                <w:sz w:val="14"/>
                <w:szCs w:val="14"/>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Accumulated other comprehensive loss</w:t>
            </w:r>
          </w:p>
        </w:tc>
        <w:tc>
          <w:tcPr>
            <w:tcW w:w="8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(4.0)</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160" w:type="dxa"/>
            <w:vAlign w:val="bottom"/>
            <w:gridSpan w:val="2"/>
            <w:vMerge w:val="restart"/>
          </w:tcPr>
          <w:p>
            <w:pPr>
              <w:spacing w:after="0"/>
              <w:rPr>
                <w:sz w:val="20"/>
                <w:szCs w:val="20"/>
                <w:color w:val="auto"/>
              </w:rPr>
            </w:pPr>
            <w:r>
              <w:rPr>
                <w:rFonts w:ascii="Arial" w:cs="Arial" w:eastAsia="Arial" w:hAnsi="Arial"/>
                <w:sz w:val="13"/>
                <w:szCs w:val="13"/>
                <w:color w:val="auto"/>
              </w:rPr>
              <w:t>STOCKHOLDERS’ EQUITY</w:t>
            </w:r>
          </w:p>
        </w:tc>
        <w:tc>
          <w:tcPr>
            <w:tcW w:w="8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80" w:type="dxa"/>
            <w:vAlign w:val="bottom"/>
          </w:tcPr>
          <w:p>
            <w:pPr>
              <w:spacing w:after="0"/>
              <w:rPr>
                <w:sz w:val="13"/>
                <w:szCs w:val="13"/>
                <w:color w:val="auto"/>
              </w:rPr>
            </w:pPr>
          </w:p>
        </w:tc>
        <w:tc>
          <w:tcPr>
            <w:tcW w:w="316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224.7</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620" w:type="dxa"/>
            <w:vAlign w:val="bottom"/>
            <w:vMerge w:val="continue"/>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224.7</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(1.2)</w:t>
            </w:r>
          </w:p>
        </w:tc>
        <w:tc>
          <w:tcPr>
            <w:tcW w:w="260" w:type="dxa"/>
            <w:vAlign w:val="bottom"/>
            <w:vMerge w:val="continue"/>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223.5</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16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Total liabilities and stockholders’</w:t>
            </w:r>
          </w:p>
        </w:tc>
        <w:tc>
          <w:tcPr>
            <w:tcW w:w="8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380" w:type="dxa"/>
            <w:vAlign w:val="bottom"/>
          </w:tcPr>
          <w:p>
            <w:pPr>
              <w:spacing w:after="0"/>
              <w:rPr>
                <w:sz w:val="12"/>
                <w:szCs w:val="12"/>
                <w:color w:val="auto"/>
              </w:rPr>
            </w:pPr>
          </w:p>
        </w:tc>
        <w:tc>
          <w:tcPr>
            <w:tcW w:w="3160" w:type="dxa"/>
            <w:vAlign w:val="bottom"/>
            <w:gridSpan w:val="2"/>
            <w:vMerge w:val="continue"/>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$ 335.7</w:t>
            </w:r>
          </w:p>
        </w:tc>
        <w:tc>
          <w:tcPr>
            <w:tcW w:w="3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$ 335.7</w:t>
            </w:r>
          </w:p>
        </w:tc>
        <w:tc>
          <w:tcPr>
            <w:tcW w:w="34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  335.7</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380" w:type="dxa"/>
            <w:vAlign w:val="bottom"/>
          </w:tcPr>
          <w:p>
            <w:pPr>
              <w:spacing w:after="0"/>
              <w:rPr>
                <w:sz w:val="13"/>
                <w:szCs w:val="13"/>
                <w:color w:val="auto"/>
              </w:rPr>
            </w:pPr>
          </w:p>
        </w:tc>
        <w:tc>
          <w:tcPr>
            <w:tcW w:w="31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equity</w:t>
            </w:r>
          </w:p>
        </w:tc>
        <w:tc>
          <w:tcPr>
            <w:tcW w:w="1240" w:type="dxa"/>
            <w:vAlign w:val="bottom"/>
            <w:gridSpan w:val="2"/>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3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 Certain items in the balance sheet have been reclassified to conform to the current period presentation.</w:t>
      </w: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RECONCILIATION OF CONSOLIDATED BALANCE SHEETS FOR JUNE 30, 2005</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6"/>
              </w:rPr>
              <w:t>Adjustment for</w:t>
            </w:r>
          </w:p>
        </w:tc>
        <w:tc>
          <w:tcPr>
            <w:tcW w:w="116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2"/>
              </w:rPr>
              <w:t>As Restated for</w:t>
            </w:r>
          </w:p>
        </w:tc>
        <w:tc>
          <w:tcPr>
            <w:tcW w:w="11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4"/>
              </w:rPr>
              <w:t>Adjustment for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International</w:t>
            </w:r>
          </w:p>
        </w:tc>
        <w:tc>
          <w:tcPr>
            <w:tcW w:w="1160" w:type="dxa"/>
            <w:vAlign w:val="bottom"/>
            <w:gridSpan w:val="5"/>
            <w:vMerge w:val="continue"/>
          </w:tcPr>
          <w:p>
            <w:pPr>
              <w:spacing w:after="0"/>
              <w:rPr>
                <w:sz w:val="11"/>
                <w:szCs w:val="11"/>
                <w:color w:val="auto"/>
              </w:rPr>
            </w:pPr>
          </w:p>
        </w:tc>
        <w:tc>
          <w:tcPr>
            <w:tcW w:w="118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16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Discontinued</w:t>
            </w:r>
          </w:p>
        </w:tc>
        <w:tc>
          <w:tcPr>
            <w:tcW w:w="116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Discontinued</w:t>
            </w:r>
          </w:p>
        </w:tc>
        <w:tc>
          <w:tcPr>
            <w:tcW w:w="118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Stock Based</w:t>
            </w:r>
          </w:p>
        </w:tc>
        <w:tc>
          <w:tcPr>
            <w:tcW w:w="9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11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Operations</w:t>
            </w:r>
          </w:p>
        </w:tc>
        <w:tc>
          <w:tcPr>
            <w:tcW w:w="11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Operations</w:t>
            </w: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Expenses</w:t>
            </w:r>
          </w:p>
        </w:tc>
        <w:tc>
          <w:tcPr>
            <w:tcW w:w="9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2420" w:type="dxa"/>
            <w:vAlign w:val="bottom"/>
            <w:tcBorders>
              <w:top w:val="single" w:sz="8" w:color="CCEEFF"/>
            </w:tcBorders>
            <w:shd w:val="clear" w:color="auto" w:fill="CCEEFF"/>
          </w:tcPr>
          <w:p>
            <w:pPr>
              <w:jc w:val="center"/>
              <w:ind w:right="908"/>
              <w:spacing w:after="0" w:line="155" w:lineRule="exact"/>
              <w:rPr>
                <w:sz w:val="20"/>
                <w:szCs w:val="20"/>
                <w:color w:val="auto"/>
              </w:rPr>
            </w:pPr>
            <w:r>
              <w:rPr>
                <w:rFonts w:ascii="Arial" w:cs="Arial" w:eastAsia="Arial" w:hAnsi="Arial"/>
                <w:sz w:val="14"/>
                <w:szCs w:val="14"/>
                <w:b w:val="1"/>
                <w:bCs w:val="1"/>
                <w:i w:val="1"/>
                <w:iCs w:val="1"/>
                <w:color w:val="auto"/>
                <w:w w:val="78"/>
              </w:rPr>
              <w:t>Assets</w:t>
            </w: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tcPr>
          <w:p>
            <w:pPr>
              <w:ind w:left="12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Short-term investments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380" w:type="dxa"/>
            <w:vAlign w:val="bottom"/>
          </w:tcPr>
          <w:p>
            <w:pPr>
              <w:spacing w:after="0"/>
              <w:rPr>
                <w:sz w:val="10"/>
                <w:szCs w:val="10"/>
                <w:color w:val="auto"/>
              </w:rPr>
            </w:pPr>
          </w:p>
        </w:tc>
        <w:tc>
          <w:tcPr>
            <w:tcW w:w="3240" w:type="dxa"/>
            <w:vAlign w:val="bottom"/>
            <w:gridSpan w:val="2"/>
          </w:tcPr>
          <w:p>
            <w:pPr>
              <w:ind w:left="280"/>
              <w:spacing w:after="0" w:line="123" w:lineRule="exact"/>
              <w:rPr>
                <w:sz w:val="20"/>
                <w:szCs w:val="20"/>
                <w:color w:val="auto"/>
              </w:rPr>
            </w:pPr>
            <w:r>
              <w:rPr>
                <w:rFonts w:ascii="Arial" w:cs="Arial" w:eastAsia="Arial" w:hAnsi="Arial"/>
                <w:sz w:val="14"/>
                <w:szCs w:val="14"/>
                <w:color w:val="auto"/>
              </w:rPr>
              <w:t>Subtotal cash and cash equivalents &amp; ST</w:t>
            </w: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380" w:type="dxa"/>
            <w:vAlign w:val="bottom"/>
          </w:tcPr>
          <w:p>
            <w:pPr>
              <w:spacing w:after="0"/>
              <w:rPr>
                <w:sz w:val="15"/>
                <w:szCs w:val="15"/>
                <w:color w:val="auto"/>
              </w:rPr>
            </w:pP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16.2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12.7</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12.7</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Accounts receivable—net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8"/>
              </w:rPr>
              <w:t>(12.3)</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tcPr>
          <w:p>
            <w:pPr>
              <w:ind w:left="120"/>
              <w:spacing w:after="0"/>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4.9</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Employee loans and advances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tcPr>
          <w:p>
            <w:pPr>
              <w:ind w:left="12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3.7</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Current assets of discontinued operations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324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166.6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166.6</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166.6</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tcPr>
          <w:p>
            <w:pPr>
              <w:ind w:left="12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116.4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116.4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116.4</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intangibles, net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tcPr>
          <w:p>
            <w:pPr>
              <w:ind w:left="120"/>
              <w:spacing w:after="0"/>
              <w:rPr>
                <w:sz w:val="20"/>
                <w:szCs w:val="20"/>
                <w:color w:val="auto"/>
              </w:rPr>
            </w:pPr>
            <w:r>
              <w:rPr>
                <w:rFonts w:ascii="Arial" w:cs="Arial" w:eastAsia="Arial" w:hAnsi="Arial"/>
                <w:sz w:val="14"/>
                <w:szCs w:val="14"/>
                <w:color w:val="auto"/>
              </w:rPr>
              <w:t>Deferred tax assets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14.9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15.5</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15.5</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Investments in unconsolidated affiliates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tcPr>
          <w:p>
            <w:pPr>
              <w:ind w:left="12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tcPr>
          <w:p>
            <w:pPr>
              <w:spacing w:after="0"/>
              <w:rPr>
                <w:sz w:val="12"/>
                <w:szCs w:val="12"/>
                <w:color w:val="auto"/>
              </w:rPr>
            </w:pPr>
          </w:p>
        </w:tc>
        <w:tc>
          <w:tcPr>
            <w:tcW w:w="324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4"/>
                <w:szCs w:val="14"/>
                <w:color w:val="auto"/>
              </w:rPr>
              <w:t>Non current assets of discontinued</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80" w:type="dxa"/>
            <w:vAlign w:val="bottom"/>
          </w:tcPr>
          <w:p>
            <w:pPr>
              <w:spacing w:after="0"/>
              <w:rPr>
                <w:sz w:val="15"/>
                <w:szCs w:val="15"/>
                <w:color w:val="auto"/>
              </w:rPr>
            </w:pPr>
          </w:p>
        </w:tc>
        <w:tc>
          <w:tcPr>
            <w:tcW w:w="32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operations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240" w:type="dxa"/>
            <w:vAlign w:val="bottom"/>
            <w:tcBorders>
              <w:bottom w:val="single" w:sz="8" w:color="CCEEFF"/>
            </w:tcBorders>
            <w:gridSpan w:val="2"/>
          </w:tcPr>
          <w:p>
            <w:pPr>
              <w:ind w:left="560"/>
              <w:spacing w:after="0" w:line="155" w:lineRule="exact"/>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327.0</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327.0</w:t>
            </w: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327.0</w:t>
            </w: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380" w:type="dxa"/>
            <w:vAlign w:val="bottom"/>
          </w:tcPr>
          <w:p>
            <w:pPr>
              <w:spacing w:after="0"/>
              <w:rPr>
                <w:sz w:val="16"/>
                <w:szCs w:val="16"/>
                <w:color w:val="auto"/>
              </w:rPr>
            </w:pPr>
          </w:p>
        </w:tc>
        <w:tc>
          <w:tcPr>
            <w:tcW w:w="3240" w:type="dxa"/>
            <w:vAlign w:val="bottom"/>
            <w:tcBorders>
              <w:bottom w:val="single" w:sz="8" w:color="CCEEFF"/>
            </w:tcBorders>
            <w:gridSpan w:val="2"/>
            <w:shd w:val="clear" w:color="auto" w:fill="CCEEFF"/>
          </w:tcPr>
          <w:p>
            <w:pPr>
              <w:jc w:val="center"/>
              <w:ind w:right="88"/>
              <w:spacing w:after="0"/>
              <w:rPr>
                <w:sz w:val="20"/>
                <w:szCs w:val="20"/>
                <w:color w:val="auto"/>
              </w:rPr>
            </w:pPr>
            <w:r>
              <w:rPr>
                <w:rFonts w:ascii="Arial" w:cs="Arial" w:eastAsia="Arial" w:hAnsi="Arial"/>
                <w:sz w:val="14"/>
                <w:szCs w:val="14"/>
                <w:b w:val="1"/>
                <w:bCs w:val="1"/>
                <w:i w:val="1"/>
                <w:iCs w:val="1"/>
                <w:color w:val="auto"/>
                <w:w w:val="89"/>
              </w:rPr>
              <w:t>Liabilities and stockholders’ equity</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tcPr>
          <w:p>
            <w:pPr>
              <w:ind w:left="120"/>
              <w:spacing w:after="0"/>
              <w:rPr>
                <w:sz w:val="20"/>
                <w:szCs w:val="20"/>
                <w:color w:val="auto"/>
              </w:rPr>
            </w:pPr>
            <w:r>
              <w:rPr>
                <w:rFonts w:ascii="Arial" w:cs="Arial" w:eastAsia="Arial" w:hAnsi="Arial"/>
                <w:sz w:val="14"/>
                <w:szCs w:val="14"/>
                <w:color w:val="auto"/>
              </w:rPr>
              <w:t>Accounts payable—related party</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Accrued expenses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(4.7)</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tcPr>
          <w:p>
            <w:pPr>
              <w:ind w:left="120"/>
              <w:spacing w:after="0"/>
              <w:rPr>
                <w:sz w:val="20"/>
                <w:szCs w:val="20"/>
                <w:color w:val="auto"/>
              </w:rPr>
            </w:pPr>
            <w:r>
              <w:rPr>
                <w:rFonts w:ascii="Arial" w:cs="Arial" w:eastAsia="Arial" w:hAnsi="Arial"/>
                <w:sz w:val="14"/>
                <w:szCs w:val="14"/>
                <w:color w:val="auto"/>
              </w:rPr>
              <w:t>Contract management payables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5.3</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Deferred revenue</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tcPr>
          <w:p>
            <w:pPr>
              <w:ind w:left="12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Accrual for unused office space</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tcPr>
          <w:p>
            <w:pPr>
              <w:spacing w:after="0"/>
              <w:rPr>
                <w:sz w:val="12"/>
                <w:szCs w:val="12"/>
                <w:color w:val="auto"/>
              </w:rPr>
            </w:pPr>
          </w:p>
        </w:tc>
        <w:tc>
          <w:tcPr>
            <w:tcW w:w="324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Accrual for contingent consideration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80" w:type="dxa"/>
            <w:vAlign w:val="bottom"/>
          </w:tcPr>
          <w:p>
            <w:pPr>
              <w:spacing w:after="0"/>
              <w:rPr>
                <w:sz w:val="15"/>
                <w:szCs w:val="15"/>
                <w:color w:val="auto"/>
              </w:rPr>
            </w:pPr>
          </w:p>
        </w:tc>
        <w:tc>
          <w:tcPr>
            <w:tcW w:w="3240" w:type="dxa"/>
            <w:vAlign w:val="bottom"/>
            <w:gridSpan w:val="2"/>
          </w:tcPr>
          <w:p>
            <w:pPr>
              <w:ind w:left="280"/>
              <w:spacing w:after="0"/>
              <w:rPr>
                <w:sz w:val="20"/>
                <w:szCs w:val="20"/>
                <w:color w:val="auto"/>
              </w:rPr>
            </w:pPr>
            <w:r>
              <w:rPr>
                <w:rFonts w:ascii="Arial" w:cs="Arial" w:eastAsia="Arial" w:hAnsi="Arial"/>
                <w:sz w:val="14"/>
                <w:szCs w:val="14"/>
                <w:color w:val="auto"/>
              </w:rPr>
              <w:t>related to acquisitions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8.9</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Capital lease obligation</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tcPr>
          <w:p>
            <w:pPr>
              <w:spacing w:after="0"/>
              <w:rPr>
                <w:sz w:val="12"/>
                <w:szCs w:val="12"/>
                <w:color w:val="auto"/>
              </w:rPr>
            </w:pPr>
          </w:p>
        </w:tc>
        <w:tc>
          <w:tcPr>
            <w:tcW w:w="324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Current liabilities of discontinued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80" w:type="dxa"/>
            <w:vAlign w:val="bottom"/>
          </w:tcPr>
          <w:p>
            <w:pPr>
              <w:spacing w:after="0"/>
              <w:rPr>
                <w:sz w:val="15"/>
                <w:szCs w:val="15"/>
                <w:color w:val="auto"/>
              </w:rPr>
            </w:pPr>
          </w:p>
        </w:tc>
        <w:tc>
          <w:tcPr>
            <w:tcW w:w="3240" w:type="dxa"/>
            <w:vAlign w:val="bottom"/>
            <w:gridSpan w:val="2"/>
          </w:tcPr>
          <w:p>
            <w:pPr>
              <w:ind w:left="280"/>
              <w:spacing w:after="0"/>
              <w:rPr>
                <w:sz w:val="20"/>
                <w:szCs w:val="20"/>
                <w:color w:val="auto"/>
              </w:rPr>
            </w:pPr>
            <w:r>
              <w:rPr>
                <w:rFonts w:ascii="Arial" w:cs="Arial" w:eastAsia="Arial" w:hAnsi="Arial"/>
                <w:sz w:val="14"/>
                <w:szCs w:val="14"/>
                <w:color w:val="auto"/>
              </w:rPr>
              <w:t>operations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25.2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6.7</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31.9</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31.9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3240" w:type="dxa"/>
            <w:vAlign w:val="bottom"/>
            <w:tcBorders>
              <w:top w:val="single" w:sz="8" w:color="CCEEFF"/>
            </w:tcBorders>
            <w:gridSpan w:val="2"/>
            <w:shd w:val="clear" w:color="auto" w:fill="CCEEFF"/>
          </w:tcPr>
          <w:p>
            <w:pPr>
              <w:ind w:left="420"/>
              <w:spacing w:after="0" w:line="155" w:lineRule="exact"/>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93.9</w:t>
            </w: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93.9</w:t>
            </w:r>
          </w:p>
        </w:tc>
        <w:tc>
          <w:tcPr>
            <w:tcW w:w="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0.6</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94.5</w:t>
            </w:r>
          </w:p>
        </w:tc>
        <w:tc>
          <w:tcPr>
            <w:tcW w:w="1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LONG-TERM LIABILITIES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Capital Lease obligation—net of current portion</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tcPr>
          <w:p>
            <w:pPr>
              <w:spacing w:after="0"/>
              <w:rPr>
                <w:sz w:val="12"/>
                <w:szCs w:val="12"/>
                <w:color w:val="auto"/>
              </w:rPr>
            </w:pPr>
          </w:p>
        </w:tc>
        <w:tc>
          <w:tcPr>
            <w:tcW w:w="324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Accrual for unused office space—net of current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80" w:type="dxa"/>
            <w:vAlign w:val="bottom"/>
          </w:tcPr>
          <w:p>
            <w:pPr>
              <w:spacing w:after="0"/>
              <w:rPr>
                <w:sz w:val="15"/>
                <w:szCs w:val="15"/>
                <w:color w:val="auto"/>
              </w:rPr>
            </w:pPr>
          </w:p>
        </w:tc>
        <w:tc>
          <w:tcPr>
            <w:tcW w:w="3240" w:type="dxa"/>
            <w:vAlign w:val="bottom"/>
            <w:gridSpan w:val="2"/>
          </w:tcPr>
          <w:p>
            <w:pPr>
              <w:ind w:left="280"/>
              <w:spacing w:after="0"/>
              <w:rPr>
                <w:sz w:val="20"/>
                <w:szCs w:val="20"/>
                <w:color w:val="auto"/>
              </w:rPr>
            </w:pPr>
            <w:r>
              <w:rPr>
                <w:rFonts w:ascii="Arial" w:cs="Arial" w:eastAsia="Arial" w:hAnsi="Arial"/>
                <w:sz w:val="14"/>
                <w:szCs w:val="14"/>
                <w:color w:val="auto"/>
              </w:rPr>
              <w:t>portion</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tcPr>
          <w:p>
            <w:pPr>
              <w:ind w:left="120"/>
              <w:spacing w:after="0"/>
              <w:rPr>
                <w:sz w:val="20"/>
                <w:szCs w:val="20"/>
                <w:color w:val="auto"/>
              </w:rPr>
            </w:pPr>
            <w:r>
              <w:rPr>
                <w:rFonts w:ascii="Arial" w:cs="Arial" w:eastAsia="Arial" w:hAnsi="Arial"/>
                <w:sz w:val="14"/>
                <w:szCs w:val="14"/>
                <w:color w:val="auto"/>
              </w:rPr>
              <w:t>Long term liabilities of discontinued operations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3240" w:type="dxa"/>
            <w:vAlign w:val="bottom"/>
            <w:tcBorders>
              <w:top w:val="single" w:sz="8" w:color="CCEEFF"/>
            </w:tcBorders>
            <w:gridSpan w:val="2"/>
            <w:shd w:val="clear" w:color="auto" w:fill="CCEEFF"/>
          </w:tcPr>
          <w:p>
            <w:pPr>
              <w:ind w:left="420"/>
              <w:spacing w:after="0" w:line="155" w:lineRule="exact"/>
              <w:rPr>
                <w:sz w:val="20"/>
                <w:szCs w:val="20"/>
                <w:color w:val="auto"/>
              </w:rPr>
            </w:pPr>
            <w:r>
              <w:rPr>
                <w:rFonts w:ascii="Arial" w:cs="Arial" w:eastAsia="Arial" w:hAnsi="Arial"/>
                <w:sz w:val="14"/>
                <w:szCs w:val="14"/>
                <w:color w:val="auto"/>
              </w:rPr>
              <w:t>Total long-term liabilities</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w:t>
            </w: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w:t>
            </w:r>
          </w:p>
        </w:tc>
        <w:tc>
          <w:tcPr>
            <w:tcW w:w="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w:t>
            </w:r>
          </w:p>
        </w:tc>
        <w:tc>
          <w:tcPr>
            <w:tcW w:w="1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324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97.4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97.4</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0.6</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98.0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Common stock</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tcPr>
          <w:p>
            <w:pPr>
              <w:ind w:left="28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322.0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322.0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54.5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376.5</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compensation</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tcPr>
          <w:p>
            <w:pPr>
              <w:ind w:left="280"/>
              <w:spacing w:after="0"/>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w w:val="98"/>
              </w:rPr>
              <w:t>(52.8)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(141.4)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2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i w:val="1"/>
                <w:iCs w:val="1"/>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240" w:type="dxa"/>
            <w:vAlign w:val="bottom"/>
            <w:gridSpan w:val="2"/>
            <w:vMerge w:val="restart"/>
          </w:tcPr>
          <w:p>
            <w:pPr>
              <w:ind w:left="12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80" w:type="dxa"/>
            <w:vAlign w:val="bottom"/>
          </w:tcPr>
          <w:p>
            <w:pPr>
              <w:spacing w:after="0"/>
              <w:rPr>
                <w:sz w:val="13"/>
                <w:szCs w:val="13"/>
                <w:color w:val="auto"/>
              </w:rPr>
            </w:pPr>
          </w:p>
        </w:tc>
        <w:tc>
          <w:tcPr>
            <w:tcW w:w="32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1"/>
              </w:rPr>
              <w:t>229.6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1"/>
              </w:rPr>
              <w:t>229.6</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(0.6)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229.0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240" w:type="dxa"/>
            <w:vAlign w:val="bottom"/>
            <w:gridSpan w:val="2"/>
            <w:vMerge w:val="restart"/>
            <w:shd w:val="clear" w:color="auto" w:fill="CCEEFF"/>
          </w:tcPr>
          <w:p>
            <w:pPr>
              <w:ind w:left="560"/>
              <w:spacing w:after="0" w:line="143" w:lineRule="exact"/>
              <w:rPr>
                <w:sz w:val="20"/>
                <w:szCs w:val="20"/>
                <w:color w:val="auto"/>
              </w:rPr>
            </w:pPr>
            <w:r>
              <w:rPr>
                <w:rFonts w:ascii="Arial" w:cs="Arial" w:eastAsia="Arial" w:hAnsi="Arial"/>
                <w:sz w:val="14"/>
                <w:szCs w:val="14"/>
                <w:color w:val="auto"/>
              </w:rPr>
              <w:t>Total liabilities and stockholders’</w:t>
            </w: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380" w:type="dxa"/>
            <w:vAlign w:val="bottom"/>
          </w:tcPr>
          <w:p>
            <w:pPr>
              <w:spacing w:after="0"/>
              <w:rPr>
                <w:sz w:val="10"/>
                <w:szCs w:val="10"/>
                <w:color w:val="auto"/>
              </w:rPr>
            </w:pPr>
          </w:p>
        </w:tc>
        <w:tc>
          <w:tcPr>
            <w:tcW w:w="3240" w:type="dxa"/>
            <w:vAlign w:val="bottom"/>
            <w:gridSpan w:val="2"/>
            <w:vMerge w:val="continue"/>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327.0</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vMerge w:val="restart"/>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327.0</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vMerge w:val="restart"/>
            <w:shd w:val="clear" w:color="auto" w:fill="CCEEFF"/>
          </w:tcPr>
          <w:p>
            <w:pPr>
              <w:jc w:val="right"/>
              <w:ind w:right="460"/>
              <w:spacing w:after="0"/>
              <w:rPr>
                <w:sz w:val="20"/>
                <w:szCs w:val="20"/>
                <w:color w:val="auto"/>
              </w:rPr>
            </w:pPr>
            <w:r>
              <w:rPr>
                <w:rFonts w:ascii="Arial" w:cs="Arial" w:eastAsia="Arial" w:hAnsi="Arial"/>
                <w:sz w:val="14"/>
                <w:szCs w:val="14"/>
                <w:i w:val="1"/>
                <w:iCs w:val="1"/>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327.0</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32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equity</w:t>
            </w:r>
          </w:p>
        </w:tc>
        <w:tc>
          <w:tcPr>
            <w:tcW w:w="320" w:type="dxa"/>
            <w:vAlign w:val="bottom"/>
            <w:gridSpan w:val="2"/>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3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60" w:hanging="352"/>
        <w:spacing w:after="0"/>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Certain items in the balance sheet have been reclassified to conform to the current period presentation.</w:t>
      </w:r>
    </w:p>
    <w:p>
      <w:pPr>
        <w:sectPr>
          <w:pgSz w:w="11900" w:h="16838" w:orient="portrait"/>
          <w:cols w:equalWidth="0" w:num="1">
            <w:col w:w="10219"/>
          </w:cols>
          <w:pgMar w:left="240" w:top="152" w:right="1440" w:bottom="755" w:gutter="0" w:footer="0" w:header="0"/>
        </w:sectPr>
      </w:pPr>
    </w:p>
    <w:p>
      <w:pPr>
        <w:spacing w:after="0" w:line="200" w:lineRule="exact"/>
        <w:rPr>
          <w:sz w:val="20"/>
          <w:szCs w:val="20"/>
          <w:color w:val="auto"/>
        </w:rPr>
      </w:pP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52" w:right="1440" w:bottom="755"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RECONCILIATION OF CONSOLIDATED BALANCE SHEETS FOR SEPTEMBER 30, 2005</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Adjustment for</w:t>
            </w:r>
          </w:p>
        </w:tc>
        <w:tc>
          <w:tcPr>
            <w:tcW w:w="118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2"/>
              </w:rPr>
              <w:t>As Restated for</w:t>
            </w:r>
          </w:p>
        </w:tc>
        <w:tc>
          <w:tcPr>
            <w:tcW w:w="116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Adjustment for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7"/>
              </w:rPr>
              <w:t>International</w:t>
            </w:r>
          </w:p>
        </w:tc>
        <w:tc>
          <w:tcPr>
            <w:tcW w:w="1180" w:type="dxa"/>
            <w:vAlign w:val="bottom"/>
            <w:gridSpan w:val="5"/>
            <w:vMerge w:val="continue"/>
          </w:tcPr>
          <w:p>
            <w:pPr>
              <w:spacing w:after="0"/>
              <w:rPr>
                <w:sz w:val="11"/>
                <w:szCs w:val="11"/>
                <w:color w:val="auto"/>
              </w:rPr>
            </w:pPr>
          </w:p>
        </w:tc>
        <w:tc>
          <w:tcPr>
            <w:tcW w:w="116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14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Discontinued</w:t>
            </w:r>
          </w:p>
        </w:tc>
        <w:tc>
          <w:tcPr>
            <w:tcW w:w="1180" w:type="dxa"/>
            <w:vAlign w:val="bottom"/>
            <w:gridSpan w:val="5"/>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Discontinued</w:t>
            </w:r>
          </w:p>
        </w:tc>
        <w:tc>
          <w:tcPr>
            <w:tcW w:w="116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Stock Based</w:t>
            </w:r>
          </w:p>
        </w:tc>
        <w:tc>
          <w:tcPr>
            <w:tcW w:w="9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11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Operations</w:t>
            </w:r>
          </w:p>
        </w:tc>
        <w:tc>
          <w:tcPr>
            <w:tcW w:w="11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Operations</w:t>
            </w:r>
          </w:p>
        </w:tc>
        <w:tc>
          <w:tcPr>
            <w:tcW w:w="11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Expenses</w:t>
            </w:r>
          </w:p>
        </w:tc>
        <w:tc>
          <w:tcPr>
            <w:tcW w:w="9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b w:val="1"/>
                <w:bCs w:val="1"/>
                <w:i w:val="1"/>
                <w:i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ind w:left="160"/>
              <w:spacing w:after="0"/>
              <w:rPr>
                <w:sz w:val="20"/>
                <w:szCs w:val="20"/>
                <w:color w:val="auto"/>
              </w:rPr>
            </w:pPr>
            <w:r>
              <w:rPr>
                <w:rFonts w:ascii="Arial" w:cs="Arial" w:eastAsia="Arial" w:hAnsi="Arial"/>
                <w:sz w:val="14"/>
                <w:szCs w:val="14"/>
                <w:color w:val="auto"/>
              </w:rPr>
              <w:t>Accounts receivable—net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110.8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(12.8)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98.0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98.0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ind w:left="160"/>
              <w:spacing w:after="0"/>
              <w:rPr>
                <w:sz w:val="20"/>
                <w:szCs w:val="20"/>
                <w:color w:val="auto"/>
              </w:rPr>
            </w:pPr>
            <w:r>
              <w:rPr>
                <w:rFonts w:ascii="Arial" w:cs="Arial" w:eastAsia="Arial" w:hAnsi="Arial"/>
                <w:sz w:val="14"/>
                <w:szCs w:val="14"/>
                <w:color w:val="auto"/>
              </w:rPr>
              <w:t>Employee loans and advances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0.3</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current assets</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ind w:left="160"/>
              <w:spacing w:after="0"/>
              <w:rPr>
                <w:sz w:val="20"/>
                <w:szCs w:val="20"/>
                <w:color w:val="auto"/>
              </w:rPr>
            </w:pPr>
            <w:r>
              <w:rPr>
                <w:rFonts w:ascii="Arial" w:cs="Arial" w:eastAsia="Arial" w:hAnsi="Arial"/>
                <w:sz w:val="14"/>
                <w:szCs w:val="14"/>
                <w:color w:val="auto"/>
              </w:rPr>
              <w:t>Current assets of discontinued operations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47.1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15.8</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62.9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20" w:type="dxa"/>
            <w:vAlign w:val="bottom"/>
            <w:tcBorders>
              <w:top w:val="single" w:sz="8" w:color="CCEEFF"/>
            </w:tcBorders>
            <w:gridSpan w:val="2"/>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current assets</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182.9</w:t>
            </w: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182.9</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182.9</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14.1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117.2</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117.2</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7.8</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Investments in unconsolidated affiliates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3220" w:type="dxa"/>
            <w:vAlign w:val="bottom"/>
            <w:gridSpan w:val="2"/>
          </w:tcPr>
          <w:p>
            <w:pPr>
              <w:spacing w:after="0" w:line="143" w:lineRule="exact"/>
              <w:rPr>
                <w:sz w:val="20"/>
                <w:szCs w:val="20"/>
                <w:color w:val="auto"/>
              </w:rPr>
            </w:pPr>
            <w:r>
              <w:rPr>
                <w:rFonts w:ascii="Arial" w:cs="Arial" w:eastAsia="Arial" w:hAnsi="Arial"/>
                <w:sz w:val="14"/>
                <w:szCs w:val="14"/>
                <w:color w:val="auto"/>
              </w:rPr>
              <w:t>Non current assets of discontinued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60" w:type="dxa"/>
            <w:vAlign w:val="bottom"/>
          </w:tcPr>
          <w:p>
            <w:pPr>
              <w:spacing w:after="0"/>
              <w:rPr>
                <w:sz w:val="15"/>
                <w:szCs w:val="15"/>
                <w:color w:val="auto"/>
              </w:rPr>
            </w:pPr>
          </w:p>
        </w:tc>
        <w:tc>
          <w:tcPr>
            <w:tcW w:w="3220" w:type="dxa"/>
            <w:vAlign w:val="bottom"/>
            <w:gridSpan w:val="2"/>
          </w:tcPr>
          <w:p>
            <w:pPr>
              <w:ind w:left="160"/>
              <w:spacing w:after="0"/>
              <w:rPr>
                <w:sz w:val="20"/>
                <w:szCs w:val="20"/>
                <w:color w:val="auto"/>
              </w:rPr>
            </w:pPr>
            <w:r>
              <w:rPr>
                <w:rFonts w:ascii="Arial" w:cs="Arial" w:eastAsia="Arial" w:hAnsi="Arial"/>
                <w:sz w:val="14"/>
                <w:szCs w:val="14"/>
                <w:color w:val="auto"/>
              </w:rPr>
              <w:t>operations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1.6</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6.1</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20" w:type="dxa"/>
            <w:vAlign w:val="bottom"/>
            <w:tcBorders>
              <w:top w:val="single" w:sz="8" w:color="CCEEFF"/>
              <w:bottom w:val="single" w:sz="8" w:color="CCEEFF"/>
            </w:tcBorders>
            <w:gridSpan w:val="2"/>
            <w:shd w:val="clear" w:color="auto" w:fill="CCEEFF"/>
          </w:tcPr>
          <w:p>
            <w:pPr>
              <w:ind w:left="480"/>
              <w:spacing w:after="0" w:line="155" w:lineRule="exact"/>
              <w:rPr>
                <w:sz w:val="20"/>
                <w:szCs w:val="20"/>
                <w:color w:val="auto"/>
              </w:rPr>
            </w:pPr>
            <w:r>
              <w:rPr>
                <w:rFonts w:ascii="Arial" w:cs="Arial" w:eastAsia="Arial" w:hAnsi="Arial"/>
                <w:sz w:val="14"/>
                <w:szCs w:val="14"/>
                <w:color w:val="auto"/>
              </w:rPr>
              <w:t>Total assets</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343.3</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343.3</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343.3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20" w:type="dxa"/>
            <w:vAlign w:val="bottom"/>
            <w:gridSpan w:val="2"/>
            <w:vMerge w:val="restart"/>
          </w:tcPr>
          <w:p>
            <w:pPr>
              <w:ind w:left="500"/>
              <w:spacing w:after="0"/>
              <w:rPr>
                <w:sz w:val="20"/>
                <w:szCs w:val="20"/>
                <w:color w:val="auto"/>
              </w:rPr>
            </w:pPr>
            <w:r>
              <w:rPr>
                <w:rFonts w:ascii="Arial" w:cs="Arial" w:eastAsia="Arial" w:hAnsi="Arial"/>
                <w:sz w:val="14"/>
                <w:szCs w:val="14"/>
                <w:b w:val="1"/>
                <w:bCs w:val="1"/>
                <w:i w:val="1"/>
                <w:iCs w:val="1"/>
                <w:color w:val="auto"/>
              </w:rPr>
              <w:t>Liabilities and stockholders’ equity</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36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tcPr>
          <w:p>
            <w:pPr>
              <w:spacing w:after="0"/>
              <w:rPr>
                <w:sz w:val="17"/>
                <w:szCs w:val="17"/>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ind w:left="160"/>
              <w:spacing w:after="0"/>
              <w:rPr>
                <w:sz w:val="20"/>
                <w:szCs w:val="20"/>
                <w:color w:val="auto"/>
              </w:rPr>
            </w:pPr>
            <w:r>
              <w:rPr>
                <w:rFonts w:ascii="Arial" w:cs="Arial" w:eastAsia="Arial" w:hAnsi="Arial"/>
                <w:sz w:val="14"/>
                <w:szCs w:val="14"/>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18.8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17.2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17.2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Accounts payable—related party</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ind w:left="16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33.6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(5.7)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27.9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28.5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Contract management payables</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ind w:left="16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6.4</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Income taxes payable</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ind w:left="160"/>
              <w:spacing w:after="0"/>
              <w:rPr>
                <w:sz w:val="20"/>
                <w:szCs w:val="20"/>
                <w:color w:val="auto"/>
              </w:rPr>
            </w:pPr>
            <w:r>
              <w:rPr>
                <w:rFonts w:ascii="Arial" w:cs="Arial" w:eastAsia="Arial" w:hAnsi="Arial"/>
                <w:sz w:val="14"/>
                <w:szCs w:val="14"/>
                <w:color w:val="auto"/>
              </w:rPr>
              <w:t>Accrual for unused office space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322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4"/>
                <w:szCs w:val="14"/>
                <w:color w:val="auto"/>
              </w:rPr>
              <w:t>Accrual for contingent consideration related to</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60" w:type="dxa"/>
            <w:vAlign w:val="bottom"/>
          </w:tcPr>
          <w:p>
            <w:pPr>
              <w:spacing w:after="0"/>
              <w:rPr>
                <w:sz w:val="15"/>
                <w:szCs w:val="15"/>
                <w:color w:val="auto"/>
              </w:rPr>
            </w:pPr>
          </w:p>
        </w:tc>
        <w:tc>
          <w:tcPr>
            <w:tcW w:w="32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acquisitions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ind w:left="160"/>
              <w:spacing w:after="0"/>
              <w:rPr>
                <w:sz w:val="20"/>
                <w:szCs w:val="20"/>
                <w:color w:val="auto"/>
              </w:rPr>
            </w:pPr>
            <w:r>
              <w:rPr>
                <w:rFonts w:ascii="Arial" w:cs="Arial" w:eastAsia="Arial" w:hAnsi="Arial"/>
                <w:sz w:val="14"/>
                <w:szCs w:val="14"/>
                <w:color w:val="auto"/>
              </w:rPr>
              <w:t>Capital lease obligation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0.3</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322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4"/>
                <w:szCs w:val="14"/>
                <w:color w:val="auto"/>
              </w:rPr>
              <w:t>Current liabilities of discontinued</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60" w:type="dxa"/>
            <w:vAlign w:val="bottom"/>
          </w:tcPr>
          <w:p>
            <w:pPr>
              <w:spacing w:after="0"/>
              <w:rPr>
                <w:sz w:val="15"/>
                <w:szCs w:val="15"/>
                <w:color w:val="auto"/>
              </w:rPr>
            </w:pPr>
          </w:p>
        </w:tc>
        <w:tc>
          <w:tcPr>
            <w:tcW w:w="32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operations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20" w:type="dxa"/>
            <w:vAlign w:val="bottom"/>
            <w:gridSpan w:val="2"/>
          </w:tcPr>
          <w:p>
            <w:pPr>
              <w:ind w:left="320"/>
              <w:spacing w:after="0" w:line="155" w:lineRule="exact"/>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103.9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103.9</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0.6</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104.5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LONG-TERM LIABILITIES</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ind w:left="160"/>
              <w:spacing w:after="0"/>
              <w:rPr>
                <w:sz w:val="20"/>
                <w:szCs w:val="20"/>
                <w:color w:val="auto"/>
              </w:rPr>
            </w:pPr>
            <w:r>
              <w:rPr>
                <w:rFonts w:ascii="Arial" w:cs="Arial" w:eastAsia="Arial" w:hAnsi="Arial"/>
                <w:sz w:val="14"/>
                <w:szCs w:val="14"/>
                <w:color w:val="auto"/>
              </w:rPr>
              <w:t>Capital Lease obligation—net of current portion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322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4"/>
                <w:szCs w:val="14"/>
                <w:color w:val="auto"/>
              </w:rPr>
              <w:t>Accrual for unused office space—net of current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60" w:type="dxa"/>
            <w:vAlign w:val="bottom"/>
          </w:tcPr>
          <w:p>
            <w:pPr>
              <w:spacing w:after="0"/>
              <w:rPr>
                <w:sz w:val="15"/>
                <w:szCs w:val="15"/>
                <w:color w:val="auto"/>
              </w:rPr>
            </w:pPr>
          </w:p>
        </w:tc>
        <w:tc>
          <w:tcPr>
            <w:tcW w:w="32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portion</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ind w:left="160"/>
              <w:spacing w:after="0"/>
              <w:rPr>
                <w:sz w:val="20"/>
                <w:szCs w:val="20"/>
                <w:color w:val="auto"/>
              </w:rPr>
            </w:pPr>
            <w:r>
              <w:rPr>
                <w:rFonts w:ascii="Arial" w:cs="Arial" w:eastAsia="Arial" w:hAnsi="Arial"/>
                <w:sz w:val="14"/>
                <w:szCs w:val="14"/>
                <w:color w:val="auto"/>
              </w:rPr>
              <w:t>Other long-term liabilities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1.3</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Long term liabilities of discontinued operations</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20" w:type="dxa"/>
            <w:vAlign w:val="bottom"/>
            <w:tcBorders>
              <w:bottom w:val="single" w:sz="8" w:color="CCEEFF"/>
            </w:tcBorders>
            <w:gridSpan w:val="2"/>
          </w:tcPr>
          <w:p>
            <w:pPr>
              <w:ind w:left="320"/>
              <w:spacing w:after="0" w:line="155" w:lineRule="exact"/>
              <w:rPr>
                <w:sz w:val="20"/>
                <w:szCs w:val="20"/>
                <w:color w:val="auto"/>
              </w:rPr>
            </w:pPr>
            <w:r>
              <w:rPr>
                <w:rFonts w:ascii="Arial" w:cs="Arial" w:eastAsia="Arial" w:hAnsi="Arial"/>
                <w:sz w:val="14"/>
                <w:szCs w:val="14"/>
                <w:color w:val="auto"/>
              </w:rPr>
              <w:t>Total long-term liabilities</w:t>
            </w:r>
          </w:p>
        </w:tc>
        <w:tc>
          <w:tcPr>
            <w:tcW w:w="2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w:t>
            </w: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20" w:type="dxa"/>
            <w:vAlign w:val="bottom"/>
            <w:gridSpan w:val="2"/>
            <w:shd w:val="clear" w:color="auto" w:fill="CCEEFF"/>
          </w:tcPr>
          <w:p>
            <w:pPr>
              <w:ind w:left="480"/>
              <w:spacing w:after="0" w:line="155" w:lineRule="exact"/>
              <w:rPr>
                <w:sz w:val="20"/>
                <w:szCs w:val="20"/>
                <w:color w:val="auto"/>
              </w:rPr>
            </w:pPr>
            <w:r>
              <w:rPr>
                <w:rFonts w:ascii="Arial" w:cs="Arial" w:eastAsia="Arial" w:hAnsi="Arial"/>
                <w:sz w:val="14"/>
                <w:szCs w:val="14"/>
                <w:color w:val="auto"/>
              </w:rPr>
              <w:t>Total liabilities</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107.3</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107.3</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0.6</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107.9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MINORITY INTEREST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Common stock</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ind w:left="16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322.8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322.8</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54.5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377.3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Deferred compensation</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220" w:type="dxa"/>
            <w:vAlign w:val="bottom"/>
            <w:gridSpan w:val="2"/>
          </w:tcPr>
          <w:p>
            <w:pPr>
              <w:ind w:left="160"/>
              <w:spacing w:after="0"/>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(83.4)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(83.4)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(53.1)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(136.5)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322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4"/>
                <w:szCs w:val="14"/>
                <w:color w:val="auto"/>
              </w:rPr>
              <w:t>Accumulated other</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60" w:type="dxa"/>
            <w:vAlign w:val="bottom"/>
          </w:tcPr>
          <w:p>
            <w:pPr>
              <w:spacing w:after="0"/>
              <w:rPr>
                <w:sz w:val="15"/>
                <w:szCs w:val="15"/>
                <w:color w:val="auto"/>
              </w:rPr>
            </w:pPr>
          </w:p>
        </w:tc>
        <w:tc>
          <w:tcPr>
            <w:tcW w:w="32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comprehensive loss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20" w:type="dxa"/>
            <w:vAlign w:val="bottom"/>
            <w:tcBorders>
              <w:bottom w:val="single" w:sz="8" w:color="CCEEFF"/>
            </w:tcBorders>
            <w:gridSpan w:val="2"/>
          </w:tcPr>
          <w:p>
            <w:pPr>
              <w:spacing w:after="0" w:line="155" w:lineRule="exact"/>
              <w:rPr>
                <w:sz w:val="20"/>
                <w:szCs w:val="20"/>
                <w:color w:val="auto"/>
              </w:rPr>
            </w:pPr>
            <w:r>
              <w:rPr>
                <w:rFonts w:ascii="Arial" w:cs="Arial" w:eastAsia="Arial" w:hAnsi="Arial"/>
                <w:sz w:val="14"/>
                <w:szCs w:val="14"/>
                <w:color w:val="auto"/>
              </w:rPr>
              <w:t>STOCKHOLDERS’ EQUITY</w:t>
            </w:r>
          </w:p>
        </w:tc>
        <w:tc>
          <w:tcPr>
            <w:tcW w:w="2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236.0</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236.0</w:t>
            </w: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(0.6)</w:t>
            </w: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235.4</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20" w:type="dxa"/>
            <w:vAlign w:val="bottom"/>
            <w:tcBorders>
              <w:bottom w:val="single" w:sz="8" w:color="CCEEFF"/>
            </w:tcBorders>
            <w:gridSpan w:val="2"/>
            <w:shd w:val="clear" w:color="auto" w:fill="CCEEFF"/>
          </w:tcPr>
          <w:p>
            <w:pPr>
              <w:ind w:left="64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343.3</w:t>
            </w:r>
          </w:p>
        </w:tc>
        <w:tc>
          <w:tcPr>
            <w:tcW w:w="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343.3</w:t>
            </w:r>
          </w:p>
        </w:tc>
        <w:tc>
          <w:tcPr>
            <w:tcW w:w="3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343.3</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3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Certain items in the balance sheet have been reclassified to conform to the current period presentation.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line="360" w:lineRule="auto"/>
        <w:rPr>
          <w:sz w:val="20"/>
          <w:szCs w:val="20"/>
          <w:color w:val="auto"/>
        </w:rPr>
      </w:pPr>
      <w:r>
        <w:rPr>
          <w:rFonts w:ascii="Arial" w:cs="Arial" w:eastAsia="Arial" w:hAnsi="Arial"/>
          <w:sz w:val="18"/>
          <w:szCs w:val="18"/>
          <w:b w:val="1"/>
          <w:bCs w:val="1"/>
          <w:color w:val="auto"/>
        </w:rPr>
        <w:t>UNAUDITED PRO FORMA RECONCILIATION OF STOCK-BASED COMPENSATION EXPENSE FOR INTERIM PERIODS OF 2005 (in millions, except per share data)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12"/>
          </w:tcPr>
          <w:p>
            <w:pPr>
              <w:jc w:val="right"/>
              <w:ind w:right="397"/>
              <w:spacing w:after="0"/>
              <w:rPr>
                <w:sz w:val="20"/>
                <w:szCs w:val="20"/>
                <w:color w:val="auto"/>
              </w:rPr>
            </w:pPr>
            <w:r>
              <w:rPr>
                <w:rFonts w:ascii="Arial" w:cs="Arial" w:eastAsia="Arial" w:hAnsi="Arial"/>
                <w:sz w:val="13"/>
                <w:szCs w:val="13"/>
                <w:b w:val="1"/>
                <w:bCs w:val="1"/>
                <w:color w:val="auto"/>
                <w:w w:val="91"/>
              </w:rPr>
              <w:t>Three Months Ended</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5"/>
          </w:tcPr>
          <w:p>
            <w:pPr>
              <w:jc w:val="center"/>
              <w:spacing w:after="0" w:line="115" w:lineRule="exact"/>
              <w:rPr>
                <w:sz w:val="20"/>
                <w:szCs w:val="20"/>
                <w:color w:val="auto"/>
              </w:rPr>
            </w:pPr>
            <w:r>
              <w:rPr>
                <w:rFonts w:ascii="Arial" w:cs="Arial" w:eastAsia="Arial" w:hAnsi="Arial"/>
                <w:sz w:val="13"/>
                <w:szCs w:val="13"/>
                <w:b w:val="1"/>
                <w:bCs w:val="1"/>
                <w:color w:val="auto"/>
                <w:w w:val="90"/>
              </w:rPr>
              <w:t>March 31, 2005</w:t>
            </w: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5"/>
          </w:tcPr>
          <w:p>
            <w:pPr>
              <w:jc w:val="center"/>
              <w:ind w:right="140"/>
              <w:spacing w:after="0" w:line="115" w:lineRule="exact"/>
              <w:rPr>
                <w:sz w:val="20"/>
                <w:szCs w:val="20"/>
                <w:color w:val="auto"/>
              </w:rPr>
            </w:pPr>
            <w:r>
              <w:rPr>
                <w:rFonts w:ascii="Arial" w:cs="Arial" w:eastAsia="Arial" w:hAnsi="Arial"/>
                <w:sz w:val="13"/>
                <w:szCs w:val="13"/>
                <w:b w:val="1"/>
                <w:bCs w:val="1"/>
                <w:color w:val="auto"/>
                <w:w w:val="85"/>
              </w:rPr>
              <w:t>June 30, 2005</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7"/>
          </w:tcPr>
          <w:p>
            <w:pPr>
              <w:jc w:val="center"/>
              <w:spacing w:after="0" w:line="115" w:lineRule="exact"/>
              <w:rPr>
                <w:sz w:val="20"/>
                <w:szCs w:val="20"/>
                <w:color w:val="auto"/>
              </w:rPr>
            </w:pPr>
            <w:r>
              <w:rPr>
                <w:rFonts w:ascii="Arial" w:cs="Arial" w:eastAsia="Arial" w:hAnsi="Arial"/>
                <w:sz w:val="13"/>
                <w:szCs w:val="13"/>
                <w:b w:val="1"/>
                <w:bCs w:val="1"/>
                <w:color w:val="auto"/>
                <w:w w:val="85"/>
              </w:rPr>
              <w:t>September 30, 2005</w:t>
            </w: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6"/>
          </w:tcPr>
          <w:p>
            <w:pPr>
              <w:jc w:val="center"/>
              <w:ind w:right="20"/>
              <w:spacing w:after="0" w:line="115" w:lineRule="exact"/>
              <w:rPr>
                <w:sz w:val="20"/>
                <w:szCs w:val="20"/>
                <w:color w:val="auto"/>
              </w:rPr>
            </w:pPr>
            <w:r>
              <w:rPr>
                <w:rFonts w:ascii="Arial" w:cs="Arial" w:eastAsia="Arial" w:hAnsi="Arial"/>
                <w:sz w:val="13"/>
                <w:szCs w:val="13"/>
                <w:b w:val="1"/>
                <w:bCs w:val="1"/>
                <w:color w:val="auto"/>
                <w:w w:val="87"/>
              </w:rPr>
              <w:t>December 31, 2005</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4"/>
          </w:tcPr>
          <w:p>
            <w:pPr>
              <w:jc w:val="center"/>
              <w:spacing w:after="0" w:line="88" w:lineRule="exact"/>
              <w:rPr>
                <w:sz w:val="20"/>
                <w:szCs w:val="20"/>
                <w:color w:val="auto"/>
              </w:rPr>
            </w:pPr>
            <w:r>
              <w:rPr>
                <w:rFonts w:ascii="Arial" w:cs="Arial" w:eastAsia="Arial" w:hAnsi="Arial"/>
                <w:sz w:val="9"/>
                <w:szCs w:val="9"/>
                <w:b w:val="1"/>
                <w:bCs w:val="1"/>
                <w:color w:val="auto"/>
              </w:rPr>
              <w:t>Adjustment</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5"/>
          </w:tcPr>
          <w:p>
            <w:pPr>
              <w:jc w:val="center"/>
              <w:ind w:right="100"/>
              <w:spacing w:after="0" w:line="88" w:lineRule="exact"/>
              <w:rPr>
                <w:sz w:val="20"/>
                <w:szCs w:val="20"/>
                <w:color w:val="auto"/>
              </w:rPr>
            </w:pPr>
            <w:r>
              <w:rPr>
                <w:rFonts w:ascii="Arial" w:cs="Arial" w:eastAsia="Arial" w:hAnsi="Arial"/>
                <w:sz w:val="9"/>
                <w:szCs w:val="9"/>
                <w:b w:val="1"/>
                <w:bCs w:val="1"/>
                <w:color w:val="auto"/>
              </w:rPr>
              <w:t>Adjustment</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5"/>
          </w:tcPr>
          <w:p>
            <w:pPr>
              <w:jc w:val="center"/>
              <w:ind w:right="120"/>
              <w:spacing w:after="0" w:line="88" w:lineRule="exact"/>
              <w:rPr>
                <w:sz w:val="20"/>
                <w:szCs w:val="20"/>
                <w:color w:val="auto"/>
              </w:rPr>
            </w:pPr>
            <w:r>
              <w:rPr>
                <w:rFonts w:ascii="Arial" w:cs="Arial" w:eastAsia="Arial" w:hAnsi="Arial"/>
                <w:sz w:val="9"/>
                <w:szCs w:val="9"/>
                <w:b w:val="1"/>
                <w:bCs w:val="1"/>
                <w:color w:val="auto"/>
              </w:rPr>
              <w:t>Adjustment</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5"/>
          </w:tcPr>
          <w:p>
            <w:pPr>
              <w:jc w:val="center"/>
              <w:ind w:right="120"/>
              <w:spacing w:after="0" w:line="88" w:lineRule="exact"/>
              <w:rPr>
                <w:sz w:val="20"/>
                <w:szCs w:val="20"/>
                <w:color w:val="auto"/>
              </w:rPr>
            </w:pPr>
            <w:r>
              <w:rPr>
                <w:rFonts w:ascii="Arial" w:cs="Arial" w:eastAsia="Arial" w:hAnsi="Arial"/>
                <w:sz w:val="9"/>
                <w:szCs w:val="9"/>
                <w:b w:val="1"/>
                <w:bCs w:val="1"/>
                <w:color w:val="auto"/>
              </w:rPr>
              <w:t>Adjustment</w:t>
            </w: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for Stock-</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right w:val="single" w:sz="8" w:color="auto"/>
            </w:tcBorders>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83"/>
              </w:rPr>
              <w:t>As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83"/>
              </w:rPr>
              <w:t>As</w:t>
            </w:r>
          </w:p>
        </w:tc>
        <w:tc>
          <w:tcPr>
            <w:tcW w:w="940" w:type="dxa"/>
            <w:vAlign w:val="bottom"/>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for Stock-</w:t>
            </w:r>
          </w:p>
        </w:tc>
        <w:tc>
          <w:tcPr>
            <w:tcW w:w="80" w:type="dxa"/>
            <w:vAlign w:val="bottom"/>
          </w:tcPr>
          <w:p>
            <w:pPr>
              <w:spacing w:after="0"/>
              <w:rPr>
                <w:sz w:val="10"/>
                <w:szCs w:val="10"/>
                <w:color w:val="auto"/>
              </w:rPr>
            </w:pPr>
          </w:p>
        </w:tc>
        <w:tc>
          <w:tcPr>
            <w:tcW w:w="52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As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3"/>
            <w:vMerge w:val="restart"/>
          </w:tcPr>
          <w:p>
            <w:pPr>
              <w:jc w:val="right"/>
              <w:ind w:right="180"/>
              <w:spacing w:after="0"/>
              <w:rPr>
                <w:sz w:val="20"/>
                <w:szCs w:val="20"/>
                <w:color w:val="auto"/>
              </w:rPr>
            </w:pPr>
            <w:r>
              <w:rPr>
                <w:rFonts w:ascii="Arial" w:cs="Arial" w:eastAsia="Arial" w:hAnsi="Arial"/>
                <w:sz w:val="13"/>
                <w:szCs w:val="13"/>
                <w:b w:val="1"/>
                <w:bCs w:val="1"/>
                <w:color w:val="auto"/>
              </w:rPr>
              <w:t>As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for Stock-</w:t>
            </w:r>
          </w:p>
        </w:tc>
        <w:tc>
          <w:tcPr>
            <w:tcW w:w="100" w:type="dxa"/>
            <w:vAlign w:val="bottom"/>
          </w:tcPr>
          <w:p>
            <w:pPr>
              <w:spacing w:after="0"/>
              <w:rPr>
                <w:sz w:val="10"/>
                <w:szCs w:val="10"/>
                <w:color w:val="auto"/>
              </w:rPr>
            </w:pPr>
          </w:p>
        </w:tc>
        <w:tc>
          <w:tcPr>
            <w:tcW w:w="520" w:type="dxa"/>
            <w:vAlign w:val="bottom"/>
            <w:tcBorders>
              <w:right w:val="single" w:sz="8" w:color="auto"/>
            </w:tcBorders>
            <w:gridSpan w:val="4"/>
            <w:vMerge w:val="restart"/>
          </w:tcPr>
          <w:p>
            <w:pPr>
              <w:jc w:val="center"/>
              <w:ind w:right="180"/>
              <w:spacing w:after="0"/>
              <w:rPr>
                <w:sz w:val="20"/>
                <w:szCs w:val="20"/>
                <w:color w:val="auto"/>
              </w:rPr>
            </w:pPr>
            <w:r>
              <w:rPr>
                <w:rFonts w:ascii="Arial" w:cs="Arial" w:eastAsia="Arial" w:hAnsi="Arial"/>
                <w:sz w:val="13"/>
                <w:szCs w:val="13"/>
                <w:b w:val="1"/>
                <w:bCs w:val="1"/>
                <w:color w:val="auto"/>
                <w:w w:val="83"/>
              </w:rPr>
              <w:t>As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3"/>
            <w:vMerge w:val="restart"/>
          </w:tcPr>
          <w:p>
            <w:pPr>
              <w:jc w:val="right"/>
              <w:ind w:right="158"/>
              <w:spacing w:after="0"/>
              <w:rPr>
                <w:sz w:val="20"/>
                <w:szCs w:val="20"/>
                <w:color w:val="auto"/>
              </w:rPr>
            </w:pPr>
            <w:r>
              <w:rPr>
                <w:rFonts w:ascii="Arial" w:cs="Arial" w:eastAsia="Arial" w:hAnsi="Arial"/>
                <w:sz w:val="13"/>
                <w:szCs w:val="13"/>
                <w:b w:val="1"/>
                <w:bCs w:val="1"/>
                <w:color w:val="auto"/>
              </w:rPr>
              <w:t>As</w:t>
            </w:r>
          </w:p>
        </w:tc>
        <w:tc>
          <w:tcPr>
            <w:tcW w:w="120" w:type="dxa"/>
            <w:vAlign w:val="bottom"/>
          </w:tcPr>
          <w:p>
            <w:pPr>
              <w:spacing w:after="0"/>
              <w:rPr>
                <w:sz w:val="10"/>
                <w:szCs w:val="10"/>
                <w:color w:val="auto"/>
              </w:rPr>
            </w:pPr>
          </w:p>
        </w:tc>
        <w:tc>
          <w:tcPr>
            <w:tcW w:w="960" w:type="dxa"/>
            <w:vAlign w:val="bottom"/>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5"/>
              </w:rPr>
              <w:t>for Stock-</w:t>
            </w:r>
          </w:p>
        </w:tc>
        <w:tc>
          <w:tcPr>
            <w:tcW w:w="100" w:type="dxa"/>
            <w:vAlign w:val="bottom"/>
          </w:tcPr>
          <w:p>
            <w:pPr>
              <w:spacing w:after="0"/>
              <w:rPr>
                <w:sz w:val="10"/>
                <w:szCs w:val="10"/>
                <w:color w:val="auto"/>
              </w:rPr>
            </w:pPr>
          </w:p>
        </w:tc>
        <w:tc>
          <w:tcPr>
            <w:tcW w:w="440" w:type="dxa"/>
            <w:vAlign w:val="bottom"/>
            <w:gridSpan w:val="2"/>
            <w:vMerge w:val="restart"/>
          </w:tcPr>
          <w:p>
            <w:pPr>
              <w:jc w:val="right"/>
              <w:ind w:right="158"/>
              <w:spacing w:after="0"/>
              <w:rPr>
                <w:sz w:val="20"/>
                <w:szCs w:val="20"/>
                <w:color w:val="auto"/>
              </w:rPr>
            </w:pPr>
            <w:r>
              <w:rPr>
                <w:rFonts w:ascii="Arial" w:cs="Arial" w:eastAsia="Arial" w:hAnsi="Arial"/>
                <w:sz w:val="13"/>
                <w:szCs w:val="13"/>
                <w:b w:val="1"/>
                <w:bCs w:val="1"/>
                <w:color w:val="auto"/>
              </w:rPr>
              <w:t>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178"/>
              <w:spacing w:after="0" w:line="122" w:lineRule="exact"/>
              <w:rPr>
                <w:sz w:val="20"/>
                <w:szCs w:val="20"/>
                <w:color w:val="auto"/>
              </w:rPr>
            </w:pPr>
            <w:r>
              <w:rPr>
                <w:rFonts w:ascii="Arial" w:cs="Arial" w:eastAsia="Arial" w:hAnsi="Arial"/>
                <w:sz w:val="13"/>
                <w:szCs w:val="13"/>
                <w:b w:val="1"/>
                <w:bCs w:val="1"/>
                <w:color w:val="auto"/>
                <w:w w:val="81"/>
              </w:rPr>
              <w:t>Based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4"/>
          </w:tcPr>
          <w:p>
            <w:pPr>
              <w:jc w:val="center"/>
              <w:ind w:right="260"/>
              <w:spacing w:after="0" w:line="122" w:lineRule="exact"/>
              <w:rPr>
                <w:sz w:val="20"/>
                <w:szCs w:val="20"/>
                <w:color w:val="auto"/>
              </w:rPr>
            </w:pPr>
            <w:r>
              <w:rPr>
                <w:rFonts w:ascii="Arial" w:cs="Arial" w:eastAsia="Arial" w:hAnsi="Arial"/>
                <w:sz w:val="13"/>
                <w:szCs w:val="13"/>
                <w:b w:val="1"/>
                <w:bCs w:val="1"/>
                <w:color w:val="auto"/>
                <w:w w:val="81"/>
              </w:rPr>
              <w:t>Based</w:t>
            </w:r>
          </w:p>
        </w:tc>
        <w:tc>
          <w:tcPr>
            <w:tcW w:w="80" w:type="dxa"/>
            <w:vAlign w:val="bottom"/>
          </w:tcPr>
          <w:p>
            <w:pPr>
              <w:spacing w:after="0"/>
              <w:rPr>
                <w:sz w:val="10"/>
                <w:szCs w:val="10"/>
                <w:color w:val="auto"/>
              </w:rPr>
            </w:pPr>
          </w:p>
        </w:tc>
        <w:tc>
          <w:tcPr>
            <w:tcW w:w="520" w:type="dxa"/>
            <w:vAlign w:val="bottom"/>
            <w:tcBorders>
              <w:right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gridSpan w:val="4"/>
          </w:tcPr>
          <w:p>
            <w:pPr>
              <w:spacing w:after="0" w:line="122" w:lineRule="exact"/>
              <w:rPr>
                <w:sz w:val="20"/>
                <w:szCs w:val="20"/>
                <w:color w:val="auto"/>
              </w:rPr>
            </w:pPr>
            <w:r>
              <w:rPr>
                <w:rFonts w:ascii="Arial" w:cs="Arial" w:eastAsia="Arial" w:hAnsi="Arial"/>
                <w:sz w:val="13"/>
                <w:szCs w:val="13"/>
                <w:b w:val="1"/>
                <w:bCs w:val="1"/>
                <w:color w:val="auto"/>
              </w:rPr>
              <w:t>Based</w:t>
            </w:r>
          </w:p>
        </w:tc>
        <w:tc>
          <w:tcPr>
            <w:tcW w:w="100" w:type="dxa"/>
            <w:vAlign w:val="bottom"/>
          </w:tcPr>
          <w:p>
            <w:pPr>
              <w:spacing w:after="0"/>
              <w:rPr>
                <w:sz w:val="10"/>
                <w:szCs w:val="10"/>
                <w:color w:val="auto"/>
              </w:rPr>
            </w:pPr>
          </w:p>
        </w:tc>
        <w:tc>
          <w:tcPr>
            <w:tcW w:w="520" w:type="dxa"/>
            <w:vAlign w:val="bottom"/>
            <w:tcBorders>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5"/>
          </w:tcPr>
          <w:p>
            <w:pPr>
              <w:ind w:left="260"/>
              <w:spacing w:after="0" w:line="122" w:lineRule="exact"/>
              <w:rPr>
                <w:sz w:val="20"/>
                <w:szCs w:val="20"/>
                <w:color w:val="auto"/>
              </w:rPr>
            </w:pPr>
            <w:r>
              <w:rPr>
                <w:rFonts w:ascii="Arial" w:cs="Arial" w:eastAsia="Arial" w:hAnsi="Arial"/>
                <w:sz w:val="13"/>
                <w:szCs w:val="13"/>
                <w:b w:val="1"/>
                <w:bCs w:val="1"/>
                <w:color w:val="auto"/>
              </w:rPr>
              <w:t>Based</w:t>
            </w:r>
          </w:p>
        </w:tc>
        <w:tc>
          <w:tcPr>
            <w:tcW w:w="10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4"/>
              </w:rPr>
              <w:t>Reported</w:t>
            </w:r>
          </w:p>
        </w:tc>
        <w:tc>
          <w:tcPr>
            <w:tcW w:w="10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Compensation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3"/>
                <w:szCs w:val="13"/>
                <w:b w:val="1"/>
                <w:bCs w:val="1"/>
                <w:color w:val="auto"/>
                <w:w w:val="87"/>
              </w:rPr>
              <w:t>Restated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7"/>
              </w:rPr>
              <w:t>Reported</w:t>
            </w:r>
          </w:p>
        </w:tc>
        <w:tc>
          <w:tcPr>
            <w:tcW w:w="940" w:type="dxa"/>
            <w:vAlign w:val="bottom"/>
            <w:gridSpan w:val="5"/>
          </w:tcPr>
          <w:p>
            <w:pPr>
              <w:jc w:val="center"/>
              <w:ind w:right="120"/>
              <w:spacing w:after="0"/>
              <w:rPr>
                <w:sz w:val="20"/>
                <w:szCs w:val="20"/>
                <w:color w:val="auto"/>
              </w:rPr>
            </w:pPr>
            <w:r>
              <w:rPr>
                <w:rFonts w:ascii="Arial" w:cs="Arial" w:eastAsia="Arial" w:hAnsi="Arial"/>
                <w:sz w:val="13"/>
                <w:szCs w:val="13"/>
                <w:b w:val="1"/>
                <w:bCs w:val="1"/>
                <w:u w:val="single" w:color="auto"/>
                <w:color w:val="auto"/>
                <w:w w:val="86"/>
              </w:rPr>
              <w:t>Compensation</w:t>
            </w:r>
          </w:p>
        </w:tc>
        <w:tc>
          <w:tcPr>
            <w:tcW w:w="60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3"/>
                <w:szCs w:val="13"/>
                <w:b w:val="1"/>
                <w:bCs w:val="1"/>
                <w:u w:val="single" w:color="auto"/>
                <w:color w:val="auto"/>
                <w:w w:val="87"/>
              </w:rPr>
              <w:t>Restated</w:t>
            </w:r>
          </w:p>
        </w:tc>
        <w:tc>
          <w:tcPr>
            <w:tcW w:w="60" w:type="dxa"/>
            <w:vAlign w:val="bottom"/>
          </w:tcPr>
          <w:p>
            <w:pPr>
              <w:spacing w:after="0"/>
              <w:rPr>
                <w:sz w:val="14"/>
                <w:szCs w:val="14"/>
                <w:color w:val="auto"/>
              </w:rPr>
            </w:pPr>
          </w:p>
        </w:tc>
        <w:tc>
          <w:tcPr>
            <w:tcW w:w="520" w:type="dxa"/>
            <w:vAlign w:val="bottom"/>
            <w:gridSpan w:val="4"/>
          </w:tcPr>
          <w:p>
            <w:pPr>
              <w:jc w:val="right"/>
              <w:spacing w:after="0"/>
              <w:rPr>
                <w:sz w:val="20"/>
                <w:szCs w:val="20"/>
                <w:color w:val="auto"/>
              </w:rPr>
            </w:pPr>
            <w:r>
              <w:rPr>
                <w:rFonts w:ascii="Arial" w:cs="Arial" w:eastAsia="Arial" w:hAnsi="Arial"/>
                <w:sz w:val="13"/>
                <w:szCs w:val="13"/>
                <w:b w:val="1"/>
                <w:bCs w:val="1"/>
                <w:u w:val="single" w:color="auto"/>
                <w:color w:val="auto"/>
                <w:w w:val="87"/>
              </w:rPr>
              <w:t>Reported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5"/>
          </w:tcPr>
          <w:p>
            <w:pPr>
              <w:jc w:val="center"/>
              <w:ind w:right="120"/>
              <w:spacing w:after="0"/>
              <w:rPr>
                <w:sz w:val="20"/>
                <w:szCs w:val="20"/>
                <w:color w:val="auto"/>
              </w:rPr>
            </w:pPr>
            <w:r>
              <w:rPr>
                <w:rFonts w:ascii="Arial" w:cs="Arial" w:eastAsia="Arial" w:hAnsi="Arial"/>
                <w:sz w:val="13"/>
                <w:szCs w:val="13"/>
                <w:b w:val="1"/>
                <w:bCs w:val="1"/>
                <w:u w:val="single" w:color="auto"/>
                <w:color w:val="auto"/>
                <w:w w:val="86"/>
              </w:rPr>
              <w:t>Compensation</w:t>
            </w:r>
          </w:p>
        </w:tc>
        <w:tc>
          <w:tcPr>
            <w:tcW w:w="6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u w:val="single" w:color="auto"/>
                <w:color w:val="auto"/>
                <w:w w:val="87"/>
              </w:rPr>
              <w:t>Restated</w:t>
            </w:r>
          </w:p>
        </w:tc>
        <w:tc>
          <w:tcPr>
            <w:tcW w:w="40" w:type="dxa"/>
            <w:vAlign w:val="bottom"/>
          </w:tcPr>
          <w:p>
            <w:pPr>
              <w:spacing w:after="0"/>
              <w:rPr>
                <w:sz w:val="14"/>
                <w:szCs w:val="14"/>
                <w:color w:val="auto"/>
              </w:rPr>
            </w:pPr>
          </w:p>
        </w:tc>
        <w:tc>
          <w:tcPr>
            <w:tcW w:w="540" w:type="dxa"/>
            <w:vAlign w:val="bottom"/>
            <w:gridSpan w:val="4"/>
          </w:tcPr>
          <w:p>
            <w:pPr>
              <w:jc w:val="right"/>
              <w:spacing w:after="0"/>
              <w:rPr>
                <w:sz w:val="20"/>
                <w:szCs w:val="20"/>
                <w:color w:val="auto"/>
              </w:rPr>
            </w:pPr>
            <w:r>
              <w:rPr>
                <w:rFonts w:ascii="Arial" w:cs="Arial" w:eastAsia="Arial" w:hAnsi="Arial"/>
                <w:sz w:val="13"/>
                <w:szCs w:val="13"/>
                <w:b w:val="1"/>
                <w:bCs w:val="1"/>
                <w:u w:val="single" w:color="auto"/>
                <w:color w:val="auto"/>
                <w:w w:val="87"/>
              </w:rPr>
              <w:t>Reported</w:t>
            </w:r>
          </w:p>
        </w:tc>
        <w:tc>
          <w:tcPr>
            <w:tcW w:w="120" w:type="dxa"/>
            <w:vAlign w:val="bottom"/>
          </w:tcPr>
          <w:p>
            <w:pPr>
              <w:spacing w:after="0"/>
              <w:rPr>
                <w:sz w:val="14"/>
                <w:szCs w:val="14"/>
                <w:color w:val="auto"/>
              </w:rPr>
            </w:pPr>
          </w:p>
        </w:tc>
        <w:tc>
          <w:tcPr>
            <w:tcW w:w="960" w:type="dxa"/>
            <w:vAlign w:val="bottom"/>
            <w:gridSpan w:val="5"/>
          </w:tcPr>
          <w:p>
            <w:pPr>
              <w:jc w:val="center"/>
              <w:ind w:right="120"/>
              <w:spacing w:after="0"/>
              <w:rPr>
                <w:sz w:val="20"/>
                <w:szCs w:val="20"/>
                <w:color w:val="auto"/>
              </w:rPr>
            </w:pPr>
            <w:r>
              <w:rPr>
                <w:rFonts w:ascii="Arial" w:cs="Arial" w:eastAsia="Arial" w:hAnsi="Arial"/>
                <w:sz w:val="13"/>
                <w:szCs w:val="13"/>
                <w:b w:val="1"/>
                <w:bCs w:val="1"/>
                <w:u w:val="single" w:color="auto"/>
                <w:color w:val="auto"/>
                <w:w w:val="84"/>
              </w:rPr>
              <w:t>Compensation</w:t>
            </w:r>
          </w:p>
        </w:tc>
        <w:tc>
          <w:tcPr>
            <w:tcW w:w="540" w:type="dxa"/>
            <w:vAlign w:val="bottom"/>
            <w:gridSpan w:val="3"/>
          </w:tcPr>
          <w:p>
            <w:pPr>
              <w:jc w:val="right"/>
              <w:spacing w:after="0"/>
              <w:rPr>
                <w:sz w:val="20"/>
                <w:szCs w:val="20"/>
                <w:color w:val="auto"/>
              </w:rPr>
            </w:pPr>
            <w:r>
              <w:rPr>
                <w:rFonts w:ascii="Arial" w:cs="Arial" w:eastAsia="Arial" w:hAnsi="Arial"/>
                <w:sz w:val="13"/>
                <w:szCs w:val="13"/>
                <w:b w:val="1"/>
                <w:bCs w:val="1"/>
                <w:u w:val="single" w:color="auto"/>
                <w:color w:val="auto"/>
                <w:w w:val="87"/>
              </w:rPr>
              <w:t>Restated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420" w:type="dxa"/>
            <w:vAlign w:val="bottom"/>
            <w:tcBorders>
              <w:top w:val="single" w:sz="8" w:color="CCEEFF"/>
            </w:tcBorders>
            <w:shd w:val="clear" w:color="auto" w:fill="CCEEFF"/>
          </w:tcPr>
          <w:p>
            <w:pPr>
              <w:spacing w:after="0" w:line="122" w:lineRule="exact"/>
              <w:rPr>
                <w:sz w:val="20"/>
                <w:szCs w:val="20"/>
                <w:color w:val="auto"/>
              </w:rPr>
            </w:pPr>
            <w:r>
              <w:rPr>
                <w:rFonts w:ascii="Arial" w:cs="Arial" w:eastAsia="Arial" w:hAnsi="Arial"/>
                <w:sz w:val="13"/>
                <w:szCs w:val="13"/>
                <w:color w:val="auto"/>
              </w:rPr>
              <w:t>Net income (loss)</w:t>
            </w:r>
          </w:p>
        </w:tc>
        <w:tc>
          <w:tcPr>
            <w:tcW w:w="580" w:type="dxa"/>
            <w:vAlign w:val="bottom"/>
            <w:tcBorders>
              <w:top w:val="single" w:sz="8" w:color="auto"/>
            </w:tcBorders>
            <w:gridSpan w:val="3"/>
            <w:shd w:val="clear" w:color="auto" w:fill="CCEEFF"/>
          </w:tcPr>
          <w:p>
            <w:pPr>
              <w:jc w:val="right"/>
              <w:ind w:right="580"/>
              <w:spacing w:after="0"/>
              <w:rPr>
                <w:sz w:val="20"/>
                <w:szCs w:val="20"/>
                <w:color w:val="auto"/>
              </w:rPr>
            </w:pPr>
            <w:r>
              <w:rPr>
                <w:rFonts w:ascii="Arial" w:cs="Arial" w:eastAsia="Arial" w:hAnsi="Arial"/>
                <w:sz w:val="13"/>
                <w:szCs w:val="13"/>
                <w:color w:val="auto"/>
              </w:rPr>
              <w:t>$ 3.6</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gridSpan w:val="2"/>
            <w:shd w:val="clear" w:color="auto" w:fill="CCEEFF"/>
          </w:tcPr>
          <w:p>
            <w:pPr>
              <w:ind w:left="140"/>
              <w:spacing w:after="0" w:line="122"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gridSpan w:val="2"/>
            <w:shd w:val="clear" w:color="auto" w:fill="CCEEFF"/>
          </w:tcPr>
          <w:p>
            <w:pPr>
              <w:jc w:val="right"/>
              <w:ind w:right="278"/>
              <w:spacing w:after="0" w:line="122" w:lineRule="exact"/>
              <w:rPr>
                <w:sz w:val="20"/>
                <w:szCs w:val="20"/>
                <w:color w:val="auto"/>
              </w:rPr>
            </w:pPr>
            <w:r>
              <w:rPr>
                <w:rFonts w:ascii="Arial" w:cs="Arial" w:eastAsia="Arial" w:hAnsi="Arial"/>
                <w:sz w:val="13"/>
                <w:szCs w:val="13"/>
                <w:color w:val="auto"/>
              </w:rPr>
              <w:t>(0.2)</w:t>
            </w:r>
          </w:p>
        </w:tc>
        <w:tc>
          <w:tcPr>
            <w:tcW w:w="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right w:val="single" w:sz="8" w:color="auto"/>
            </w:tcBorders>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$ 3.4</w:t>
            </w: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gridSpan w:val="3"/>
            <w:shd w:val="clear" w:color="auto" w:fill="CCEEFF"/>
          </w:tcPr>
          <w:p>
            <w:pPr>
              <w:jc w:val="right"/>
              <w:ind w:right="560"/>
              <w:spacing w:after="0"/>
              <w:rPr>
                <w:sz w:val="20"/>
                <w:szCs w:val="20"/>
                <w:color w:val="auto"/>
              </w:rPr>
            </w:pPr>
            <w:r>
              <w:rPr>
                <w:rFonts w:ascii="Arial" w:cs="Arial" w:eastAsia="Arial" w:hAnsi="Arial"/>
                <w:sz w:val="13"/>
                <w:szCs w:val="13"/>
                <w:color w:val="auto"/>
              </w:rPr>
              <w:t>$ 3.3</w:t>
            </w: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gridSpan w:val="2"/>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gridSpan w:val="2"/>
            <w:shd w:val="clear" w:color="auto" w:fill="CCEEFF"/>
          </w:tcPr>
          <w:p>
            <w:pPr>
              <w:jc w:val="right"/>
              <w:ind w:right="240"/>
              <w:spacing w:after="0" w:line="122" w:lineRule="exact"/>
              <w:rPr>
                <w:sz w:val="20"/>
                <w:szCs w:val="20"/>
                <w:color w:val="auto"/>
              </w:rPr>
            </w:pPr>
            <w:r>
              <w:rPr>
                <w:rFonts w:ascii="Arial" w:cs="Arial" w:eastAsia="Arial" w:hAnsi="Arial"/>
                <w:sz w:val="13"/>
                <w:szCs w:val="13"/>
                <w:color w:val="auto"/>
              </w:rPr>
              <w:t>0.3</w:t>
            </w: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right w:val="single" w:sz="8" w:color="auto"/>
            </w:tcBorders>
            <w:gridSpan w:val="3"/>
            <w:shd w:val="clear" w:color="auto" w:fill="CCEEFF"/>
          </w:tcPr>
          <w:p>
            <w:pPr>
              <w:jc w:val="right"/>
              <w:ind w:right="600"/>
              <w:spacing w:after="0"/>
              <w:rPr>
                <w:sz w:val="20"/>
                <w:szCs w:val="20"/>
                <w:color w:val="auto"/>
              </w:rPr>
            </w:pPr>
            <w:r>
              <w:rPr>
                <w:rFonts w:ascii="Arial" w:cs="Arial" w:eastAsia="Arial" w:hAnsi="Arial"/>
                <w:sz w:val="13"/>
                <w:szCs w:val="13"/>
                <w:color w:val="auto"/>
              </w:rPr>
              <w:t>$  3.6</w:t>
            </w: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gridSpan w:val="3"/>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5.2</w:t>
            </w: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gridSpan w:val="2"/>
            <w:shd w:val="clear" w:color="auto" w:fill="CCEEFF"/>
          </w:tcPr>
          <w:p>
            <w:pPr>
              <w:jc w:val="right"/>
              <w:ind w:right="178"/>
              <w:spacing w:after="0" w:line="122" w:lineRule="exact"/>
              <w:rPr>
                <w:sz w:val="20"/>
                <w:szCs w:val="20"/>
                <w:color w:val="auto"/>
              </w:rPr>
            </w:pPr>
            <w:r>
              <w:rPr>
                <w:rFonts w:ascii="Arial" w:cs="Arial" w:eastAsia="Arial" w:hAnsi="Arial"/>
                <w:sz w:val="13"/>
                <w:szCs w:val="13"/>
                <w:color w:val="auto"/>
                <w:w w:val="97"/>
              </w:rPr>
              <w:t>(0.3)</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gridSpan w:val="2"/>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4.9</w:t>
            </w:r>
          </w:p>
        </w:tc>
        <w:tc>
          <w:tcPr>
            <w:tcW w:w="8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gridSpan w:val="2"/>
            <w:shd w:val="clear" w:color="auto" w:fill="CCEEFF"/>
          </w:tcPr>
          <w:p>
            <w:pPr>
              <w:jc w:val="right"/>
              <w:ind w:right="169"/>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3"/>
                <w:szCs w:val="13"/>
                <w:color w:val="auto"/>
                <w:w w:val="97"/>
              </w:rPr>
              <w:t>(8.4)</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gridSpan w:val="2"/>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gridSpan w:val="2"/>
            <w:shd w:val="clear" w:color="auto" w:fill="CCEEFF"/>
          </w:tcPr>
          <w:p>
            <w:pPr>
              <w:jc w:val="right"/>
              <w:ind w:right="178"/>
              <w:spacing w:after="0" w:line="122" w:lineRule="exact"/>
              <w:rPr>
                <w:sz w:val="20"/>
                <w:szCs w:val="20"/>
                <w:color w:val="auto"/>
              </w:rPr>
            </w:pPr>
            <w:r>
              <w:rPr>
                <w:rFonts w:ascii="Arial" w:cs="Arial" w:eastAsia="Arial" w:hAnsi="Arial"/>
                <w:sz w:val="13"/>
                <w:szCs w:val="13"/>
                <w:color w:val="auto"/>
                <w:w w:val="97"/>
              </w:rPr>
              <w:t>(1.9)</w:t>
            </w: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gridSpan w:val="3"/>
            <w:shd w:val="clear" w:color="auto" w:fill="CCEEFF"/>
          </w:tcPr>
          <w:p>
            <w:pPr>
              <w:jc w:val="right"/>
              <w:ind w:right="498"/>
              <w:spacing w:after="0"/>
              <w:rPr>
                <w:sz w:val="20"/>
                <w:szCs w:val="20"/>
                <w:color w:val="auto"/>
              </w:rPr>
            </w:pPr>
            <w:r>
              <w:rPr>
                <w:rFonts w:ascii="Arial" w:cs="Arial" w:eastAsia="Arial" w:hAnsi="Arial"/>
                <w:sz w:val="13"/>
                <w:szCs w:val="13"/>
                <w:color w:val="auto"/>
              </w:rPr>
              <w:t>$ (10.3)</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540" w:type="dxa"/>
            <w:vAlign w:val="bottom"/>
            <w:tcBorders>
              <w:right w:val="single" w:sz="8" w:color="auto"/>
            </w:tcBorders>
            <w:gridSpan w:val="13"/>
          </w:tcPr>
          <w:p>
            <w:pPr>
              <w:spacing w:after="0" w:line="121" w:lineRule="exact"/>
              <w:rPr>
                <w:sz w:val="20"/>
                <w:szCs w:val="20"/>
                <w:color w:val="auto"/>
              </w:rPr>
            </w:pPr>
            <w:r>
              <w:rPr>
                <w:rFonts w:ascii="Arial" w:cs="Arial" w:eastAsia="Arial" w:hAnsi="Arial"/>
                <w:sz w:val="13"/>
                <w:szCs w:val="13"/>
                <w:color w:val="auto"/>
              </w:rPr>
              <w:t>Add: Stock-based compensation expense</w:t>
            </w:r>
          </w:p>
        </w:tc>
        <w:tc>
          <w:tcPr>
            <w:tcW w:w="2340" w:type="dxa"/>
            <w:vAlign w:val="bottom"/>
            <w:tcBorders>
              <w:right w:val="single" w:sz="8" w:color="auto"/>
            </w:tcBorders>
            <w:gridSpan w:val="15"/>
          </w:tcPr>
          <w:p>
            <w:pPr>
              <w:spacing w:after="0"/>
              <w:rPr>
                <w:sz w:val="10"/>
                <w:szCs w:val="10"/>
                <w:color w:val="auto"/>
              </w:rPr>
            </w:pPr>
          </w:p>
        </w:tc>
        <w:tc>
          <w:tcPr>
            <w:tcW w:w="2280" w:type="dxa"/>
            <w:vAlign w:val="bottom"/>
            <w:tcBorders>
              <w:right w:val="single" w:sz="8" w:color="auto"/>
            </w:tcBorders>
            <w:gridSpan w:val="17"/>
          </w:tcPr>
          <w:p>
            <w:pPr>
              <w:spacing w:after="0"/>
              <w:rPr>
                <w:sz w:val="10"/>
                <w:szCs w:val="10"/>
                <w:color w:val="auto"/>
              </w:rPr>
            </w:pPr>
          </w:p>
        </w:tc>
        <w:tc>
          <w:tcPr>
            <w:tcW w:w="226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20"/>
              <w:spacing w:after="0"/>
              <w:rPr>
                <w:sz w:val="20"/>
                <w:szCs w:val="20"/>
                <w:color w:val="auto"/>
              </w:rPr>
            </w:pPr>
            <w:r>
              <w:rPr>
                <w:rFonts w:ascii="Arial" w:cs="Arial" w:eastAsia="Arial" w:hAnsi="Arial"/>
                <w:sz w:val="13"/>
                <w:szCs w:val="13"/>
                <w:color w:val="auto"/>
              </w:rPr>
              <w:t>included in net income (loss)</w:t>
            </w:r>
          </w:p>
        </w:tc>
        <w:tc>
          <w:tcPr>
            <w:tcW w:w="4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0.2</w:t>
            </w:r>
          </w:p>
        </w:tc>
        <w:tc>
          <w:tcPr>
            <w:tcW w:w="360" w:type="dxa"/>
            <w:vAlign w:val="bottom"/>
          </w:tcPr>
          <w:p>
            <w:pPr>
              <w:spacing w:after="0"/>
              <w:rPr>
                <w:sz w:val="12"/>
                <w:szCs w:val="12"/>
                <w:color w:val="auto"/>
              </w:rPr>
            </w:pPr>
          </w:p>
        </w:tc>
        <w:tc>
          <w:tcPr>
            <w:tcW w:w="420" w:type="dxa"/>
            <w:vAlign w:val="bottom"/>
            <w:gridSpan w:val="3"/>
          </w:tcPr>
          <w:p>
            <w:pPr>
              <w:jc w:val="right"/>
              <w:spacing w:after="0"/>
              <w:rPr>
                <w:sz w:val="20"/>
                <w:szCs w:val="20"/>
                <w:color w:val="auto"/>
              </w:rPr>
            </w:pPr>
            <w:r>
              <w:rPr>
                <w:rFonts w:ascii="Arial" w:cs="Arial" w:eastAsia="Arial" w:hAnsi="Arial"/>
                <w:sz w:val="13"/>
                <w:szCs w:val="13"/>
                <w:color w:val="auto"/>
              </w:rPr>
              <w:t>0.2</w:t>
            </w:r>
          </w:p>
        </w:tc>
        <w:tc>
          <w:tcPr>
            <w:tcW w:w="1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0.3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0.3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0.3</w:t>
            </w:r>
          </w:p>
        </w:tc>
        <w:tc>
          <w:tcPr>
            <w:tcW w:w="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0.1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40" w:type="dxa"/>
            <w:vAlign w:val="bottom"/>
            <w:tcBorders>
              <w:right w:val="single" w:sz="8" w:color="auto"/>
            </w:tcBorders>
            <w:gridSpan w:val="13"/>
            <w:shd w:val="clear" w:color="auto" w:fill="CCEEFF"/>
          </w:tcPr>
          <w:p>
            <w:pPr>
              <w:spacing w:after="0" w:line="121" w:lineRule="exact"/>
              <w:rPr>
                <w:sz w:val="20"/>
                <w:szCs w:val="20"/>
                <w:color w:val="auto"/>
              </w:rPr>
            </w:pPr>
            <w:r>
              <w:rPr>
                <w:rFonts w:ascii="Arial" w:cs="Arial" w:eastAsia="Arial" w:hAnsi="Arial"/>
                <w:sz w:val="13"/>
                <w:szCs w:val="13"/>
                <w:color w:val="auto"/>
              </w:rPr>
              <w:t>Deduct: Stock-based compensation</w:t>
            </w:r>
          </w:p>
        </w:tc>
        <w:tc>
          <w:tcPr>
            <w:tcW w:w="100" w:type="dxa"/>
            <w:vAlign w:val="bottom"/>
            <w:tcBorders>
              <w:right w:val="single" w:sz="8" w:color="CCEEFF"/>
            </w:tcBorders>
            <w:gridSpan w:val="2"/>
            <w:shd w:val="clear" w:color="auto" w:fill="CCEEFF"/>
          </w:tcPr>
          <w:p>
            <w:pPr>
              <w:spacing w:after="0"/>
              <w:rPr>
                <w:sz w:val="10"/>
                <w:szCs w:val="10"/>
                <w:color w:val="auto"/>
              </w:rPr>
            </w:pPr>
          </w:p>
        </w:tc>
        <w:tc>
          <w:tcPr>
            <w:tcW w:w="2240" w:type="dxa"/>
            <w:vAlign w:val="bottom"/>
            <w:tcBorders>
              <w:right w:val="single" w:sz="8" w:color="auto"/>
            </w:tcBorders>
            <w:gridSpan w:val="13"/>
            <w:shd w:val="clear" w:color="auto" w:fill="CCEEFF"/>
          </w:tcPr>
          <w:p>
            <w:pPr>
              <w:spacing w:after="0"/>
              <w:rPr>
                <w:sz w:val="10"/>
                <w:szCs w:val="10"/>
                <w:color w:val="auto"/>
              </w:rPr>
            </w:pPr>
          </w:p>
        </w:tc>
        <w:tc>
          <w:tcPr>
            <w:tcW w:w="2280" w:type="dxa"/>
            <w:vAlign w:val="bottom"/>
            <w:tcBorders>
              <w:right w:val="single" w:sz="8" w:color="auto"/>
            </w:tcBorders>
            <w:gridSpan w:val="17"/>
            <w:shd w:val="clear" w:color="auto" w:fill="CCEEFF"/>
          </w:tcPr>
          <w:p>
            <w:pPr>
              <w:spacing w:after="0"/>
              <w:rPr>
                <w:sz w:val="10"/>
                <w:szCs w:val="10"/>
                <w:color w:val="auto"/>
              </w:rPr>
            </w:pPr>
          </w:p>
        </w:tc>
        <w:tc>
          <w:tcPr>
            <w:tcW w:w="2260" w:type="dxa"/>
            <w:vAlign w:val="bottom"/>
            <w:gridSpan w:val="1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540" w:type="dxa"/>
            <w:vAlign w:val="bottom"/>
            <w:tcBorders>
              <w:right w:val="single" w:sz="8" w:color="auto"/>
            </w:tcBorders>
            <w:gridSpan w:val="13"/>
            <w:shd w:val="clear" w:color="auto" w:fill="CCEEFF"/>
          </w:tcPr>
          <w:p>
            <w:pPr>
              <w:ind w:left="120"/>
              <w:spacing w:after="0" w:line="135" w:lineRule="exact"/>
              <w:rPr>
                <w:sz w:val="20"/>
                <w:szCs w:val="20"/>
                <w:color w:val="auto"/>
              </w:rPr>
            </w:pPr>
            <w:r>
              <w:rPr>
                <w:rFonts w:ascii="Arial" w:cs="Arial" w:eastAsia="Arial" w:hAnsi="Arial"/>
                <w:sz w:val="13"/>
                <w:szCs w:val="13"/>
                <w:color w:val="auto"/>
                <w:w w:val="97"/>
              </w:rPr>
              <w:t>expense determined under the fair value</w:t>
            </w:r>
          </w:p>
        </w:tc>
        <w:tc>
          <w:tcPr>
            <w:tcW w:w="100" w:type="dxa"/>
            <w:vAlign w:val="bottom"/>
            <w:tcBorders>
              <w:right w:val="single" w:sz="8" w:color="CCEEFF"/>
            </w:tcBorders>
            <w:gridSpan w:val="2"/>
            <w:shd w:val="clear" w:color="auto" w:fill="CCEEFF"/>
          </w:tcPr>
          <w:p>
            <w:pPr>
              <w:spacing w:after="0"/>
              <w:rPr>
                <w:sz w:val="11"/>
                <w:szCs w:val="11"/>
                <w:color w:val="auto"/>
              </w:rPr>
            </w:pPr>
          </w:p>
        </w:tc>
        <w:tc>
          <w:tcPr>
            <w:tcW w:w="2240" w:type="dxa"/>
            <w:vAlign w:val="bottom"/>
            <w:tcBorders>
              <w:right w:val="single" w:sz="8" w:color="auto"/>
            </w:tcBorders>
            <w:gridSpan w:val="13"/>
            <w:shd w:val="clear" w:color="auto" w:fill="CCEEFF"/>
          </w:tcPr>
          <w:p>
            <w:pPr>
              <w:spacing w:after="0"/>
              <w:rPr>
                <w:sz w:val="11"/>
                <w:szCs w:val="11"/>
                <w:color w:val="auto"/>
              </w:rPr>
            </w:pPr>
          </w:p>
        </w:tc>
        <w:tc>
          <w:tcPr>
            <w:tcW w:w="2280" w:type="dxa"/>
            <w:vAlign w:val="bottom"/>
            <w:tcBorders>
              <w:right w:val="single" w:sz="8" w:color="auto"/>
            </w:tcBorders>
            <w:gridSpan w:val="17"/>
            <w:shd w:val="clear" w:color="auto" w:fill="CCEEFF"/>
          </w:tcPr>
          <w:p>
            <w:pPr>
              <w:spacing w:after="0"/>
              <w:rPr>
                <w:sz w:val="11"/>
                <w:szCs w:val="11"/>
                <w:color w:val="auto"/>
              </w:rPr>
            </w:pPr>
          </w:p>
        </w:tc>
        <w:tc>
          <w:tcPr>
            <w:tcW w:w="2260" w:type="dxa"/>
            <w:vAlign w:val="bottom"/>
            <w:gridSpan w:val="15"/>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method</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36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(3.2)</w:t>
            </w: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(6.6)</w:t>
            </w:r>
          </w:p>
        </w:tc>
        <w:tc>
          <w:tcPr>
            <w:tcW w:w="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8"/>
              </w:rPr>
              <w:t>(29.2)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Net loss—pro forma</w:t>
            </w:r>
          </w:p>
        </w:tc>
        <w:tc>
          <w:tcPr>
            <w:tcW w:w="3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$ 0.1</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gridSpan w:val="2"/>
          </w:tcPr>
          <w:p>
            <w:pPr>
              <w:spacing w:after="0"/>
              <w:rPr>
                <w:sz w:val="11"/>
                <w:szCs w:val="11"/>
                <w:color w:val="auto"/>
              </w:rPr>
            </w:pPr>
          </w:p>
        </w:tc>
        <w:tc>
          <w:tcPr>
            <w:tcW w:w="120" w:type="dxa"/>
            <w:vAlign w:val="bottom"/>
            <w:tcBorders>
              <w:top w:val="single" w:sz="8" w:color="auto"/>
              <w:bottom w:val="single" w:sz="8" w:color="auto"/>
            </w:tcBorders>
          </w:tcPr>
          <w:p>
            <w:pPr>
              <w:ind w:left="40"/>
              <w:spacing w:after="0" w:line="129" w:lineRule="exact"/>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0.3</w:t>
            </w:r>
          </w:p>
        </w:tc>
        <w:tc>
          <w:tcPr>
            <w:tcW w:w="3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$ 0.4</w:t>
            </w:r>
          </w:p>
        </w:tc>
        <w:tc>
          <w:tcPr>
            <w:tcW w:w="180" w:type="dxa"/>
            <w:vAlign w:val="bottom"/>
            <w:tcBorders>
              <w:bottom w:val="single" w:sz="8" w:color="CCEEFF"/>
              <w:right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$ 0.5</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(1.8)</w:t>
            </w: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 (1.3)</w:t>
            </w:r>
          </w:p>
        </w:tc>
        <w:tc>
          <w:tcPr>
            <w:tcW w:w="14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(2.1)</w:t>
            </w:r>
          </w:p>
        </w:tc>
        <w:tc>
          <w:tcPr>
            <w:tcW w:w="6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gridSpan w:val="3"/>
          </w:tcPr>
          <w:p>
            <w:pPr>
              <w:spacing w:after="0"/>
              <w:rPr>
                <w:sz w:val="11"/>
                <w:szCs w:val="11"/>
                <w:color w:val="auto"/>
              </w:rPr>
            </w:pPr>
          </w:p>
        </w:tc>
        <w:tc>
          <w:tcPr>
            <w:tcW w:w="3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  0.7</w:t>
            </w: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(1.4)</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right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0"/>
              </w:rPr>
              <w:t>(37.5</w:t>
            </w:r>
          </w:p>
        </w:tc>
        <w:tc>
          <w:tcPr>
            <w:tcW w:w="4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380" w:type="dxa"/>
            <w:vAlign w:val="bottom"/>
            <w:tcBorders>
              <w:bottom w:val="single" w:sz="8" w:color="CCEEFF"/>
            </w:tcBorders>
            <w:gridSpan w:val="2"/>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(3.7)</w:t>
            </w: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3"/>
              </w:rPr>
              <w:t>$ (41.2</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income (loss) per share (basic)</w:t>
            </w:r>
          </w:p>
        </w:tc>
        <w:tc>
          <w:tcPr>
            <w:tcW w:w="32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$ 0.05</w:t>
            </w:r>
          </w:p>
        </w:tc>
        <w:tc>
          <w:tcPr>
            <w:tcW w:w="2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spacing w:after="0"/>
              <w:rPr>
                <w:sz w:val="11"/>
                <w:szCs w:val="11"/>
                <w:color w:val="auto"/>
              </w:rPr>
            </w:pPr>
          </w:p>
        </w:tc>
        <w:tc>
          <w:tcPr>
            <w:tcW w:w="38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3"/>
              </w:rPr>
              <w:t>$ (0.00</w:t>
            </w:r>
          </w:p>
        </w:tc>
        <w:tc>
          <w:tcPr>
            <w:tcW w:w="360" w:type="dxa"/>
            <w:vAlign w:val="bottom"/>
            <w:shd w:val="clear" w:color="auto" w:fill="CCEEFF"/>
          </w:tcPr>
          <w:p>
            <w:pPr>
              <w:jc w:val="right"/>
              <w:ind w:right="27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34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$ 0.05</w:t>
            </w:r>
          </w:p>
        </w:tc>
        <w:tc>
          <w:tcPr>
            <w:tcW w:w="1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$ 0.04</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$ 0.00</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$ 0.05</w:t>
            </w: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0.07</w:t>
            </w:r>
          </w:p>
        </w:tc>
        <w:tc>
          <w:tcPr>
            <w:tcW w:w="60" w:type="dxa"/>
            <w:vAlign w:val="bottom"/>
            <w:shd w:val="clear" w:color="auto" w:fill="CCEEFF"/>
          </w:tcPr>
          <w:p>
            <w:pPr>
              <w:spacing w:after="0"/>
              <w:rPr>
                <w:sz w:val="11"/>
                <w:szCs w:val="11"/>
                <w:color w:val="auto"/>
              </w:rPr>
            </w:pPr>
          </w:p>
        </w:tc>
        <w:tc>
          <w:tcPr>
            <w:tcW w:w="380" w:type="dxa"/>
            <w:vAlign w:val="bottom"/>
            <w:gridSpan w:val="3"/>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0"/>
              </w:rPr>
              <w:t>(0.00</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0.07</w:t>
            </w:r>
          </w:p>
        </w:tc>
        <w:tc>
          <w:tcPr>
            <w:tcW w:w="6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6"/>
              </w:rPr>
              <w:t>(0.11)</w:t>
            </w:r>
          </w:p>
        </w:tc>
        <w:tc>
          <w:tcPr>
            <w:tcW w:w="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0"/>
              </w:rPr>
              <w:t>(0.03</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3"/>
              </w:rPr>
              <w:t>$ (0.14</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Net income (loss) per share (diluted)</w:t>
            </w:r>
          </w:p>
        </w:tc>
        <w:tc>
          <w:tcPr>
            <w:tcW w:w="3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82"/>
              </w:rPr>
              <w:t>$ 0.05</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gridSpan w:val="2"/>
          </w:tcPr>
          <w:p>
            <w:pPr>
              <w:spacing w:after="0"/>
              <w:rPr>
                <w:sz w:val="11"/>
                <w:szCs w:val="11"/>
                <w:color w:val="auto"/>
              </w:rPr>
            </w:pPr>
          </w:p>
        </w:tc>
        <w:tc>
          <w:tcPr>
            <w:tcW w:w="38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83"/>
              </w:rPr>
              <w:t>$ (0.00</w:t>
            </w:r>
          </w:p>
        </w:tc>
        <w:tc>
          <w:tcPr>
            <w:tcW w:w="360" w:type="dxa"/>
            <w:vAlign w:val="bottom"/>
            <w:tcBorders>
              <w:bottom w:val="single" w:sz="8" w:color="CCEEFF"/>
            </w:tcBorders>
          </w:tcPr>
          <w:p>
            <w:pPr>
              <w:jc w:val="right"/>
              <w:ind w:right="27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82"/>
              </w:rPr>
              <w:t>$ 0.05</w:t>
            </w:r>
          </w:p>
        </w:tc>
        <w:tc>
          <w:tcPr>
            <w:tcW w:w="180" w:type="dxa"/>
            <w:vAlign w:val="bottom"/>
            <w:tcBorders>
              <w:bottom w:val="single" w:sz="8" w:color="CCEEFF"/>
              <w:right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$ 0.04</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$ 0.00</w:t>
            </w: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$ 0.05</w:t>
            </w:r>
          </w:p>
        </w:tc>
        <w:tc>
          <w:tcPr>
            <w:tcW w:w="14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0.07</w:t>
            </w:r>
          </w:p>
        </w:tc>
        <w:tc>
          <w:tcPr>
            <w:tcW w:w="6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gridSpan w:val="3"/>
          </w:tcPr>
          <w:p>
            <w:pPr>
              <w:spacing w:after="0"/>
              <w:rPr>
                <w:sz w:val="11"/>
                <w:szCs w:val="11"/>
                <w:color w:val="auto"/>
              </w:rPr>
            </w:pPr>
          </w:p>
        </w:tc>
        <w:tc>
          <w:tcPr>
            <w:tcW w:w="10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0"/>
              </w:rPr>
              <w:t>(0.00</w:t>
            </w:r>
          </w:p>
        </w:tc>
        <w:tc>
          <w:tcPr>
            <w:tcW w:w="220" w:type="dxa"/>
            <w:vAlign w:val="bottom"/>
            <w:tcBorders>
              <w:bottom w:val="single" w:sz="8" w:color="CCEEFF"/>
            </w:tcBorders>
          </w:tcPr>
          <w:p>
            <w:pPr>
              <w:jc w:val="right"/>
              <w:ind w:right="138"/>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0.07</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right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76"/>
              </w:rPr>
              <w:t>(0.11)</w:t>
            </w:r>
          </w:p>
        </w:tc>
        <w:tc>
          <w:tcPr>
            <w:tcW w:w="4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gridSpan w:val="2"/>
          </w:tcPr>
          <w:p>
            <w:pPr>
              <w:spacing w:after="0"/>
              <w:rPr>
                <w:sz w:val="11"/>
                <w:szCs w:val="11"/>
                <w:color w:val="auto"/>
              </w:rPr>
            </w:pPr>
          </w:p>
        </w:tc>
        <w:tc>
          <w:tcPr>
            <w:tcW w:w="10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0"/>
              </w:rPr>
              <w:t>(0.03</w:t>
            </w:r>
          </w:p>
        </w:tc>
        <w:tc>
          <w:tcPr>
            <w:tcW w:w="220" w:type="dxa"/>
            <w:vAlign w:val="bottom"/>
            <w:tcBorders>
              <w:bottom w:val="single" w:sz="8" w:color="CCEEFF"/>
            </w:tcBorders>
          </w:tcPr>
          <w:p>
            <w:pPr>
              <w:jc w:val="right"/>
              <w:ind w:right="138"/>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3"/>
              </w:rPr>
              <w:t>$ (0.14</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540" w:type="dxa"/>
            <w:vAlign w:val="bottom"/>
            <w:tcBorders>
              <w:right w:val="single" w:sz="8" w:color="auto"/>
            </w:tcBorders>
            <w:gridSpan w:val="13"/>
            <w:shd w:val="clear" w:color="auto" w:fill="CCEEFF"/>
          </w:tcPr>
          <w:p>
            <w:pPr>
              <w:spacing w:after="0" w:line="101" w:lineRule="exact"/>
              <w:rPr>
                <w:sz w:val="20"/>
                <w:szCs w:val="20"/>
                <w:color w:val="auto"/>
              </w:rPr>
            </w:pPr>
            <w:r>
              <w:rPr>
                <w:rFonts w:ascii="Arial" w:cs="Arial" w:eastAsia="Arial" w:hAnsi="Arial"/>
                <w:sz w:val="11"/>
                <w:szCs w:val="11"/>
                <w:color w:val="auto"/>
              </w:rPr>
              <w:t>Net income (loss) per share (basic)—</w:t>
            </w:r>
          </w:p>
        </w:tc>
        <w:tc>
          <w:tcPr>
            <w:tcW w:w="100" w:type="dxa"/>
            <w:vAlign w:val="bottom"/>
            <w:tcBorders>
              <w:right w:val="single" w:sz="8" w:color="CCEEFF"/>
            </w:tcBorders>
            <w:gridSpan w:val="2"/>
            <w:shd w:val="clear" w:color="auto" w:fill="CCEEFF"/>
          </w:tcPr>
          <w:p>
            <w:pPr>
              <w:spacing w:after="0"/>
              <w:rPr>
                <w:sz w:val="8"/>
                <w:szCs w:val="8"/>
                <w:color w:val="auto"/>
              </w:rPr>
            </w:pPr>
          </w:p>
        </w:tc>
        <w:tc>
          <w:tcPr>
            <w:tcW w:w="2240" w:type="dxa"/>
            <w:vAlign w:val="bottom"/>
            <w:tcBorders>
              <w:right w:val="single" w:sz="8" w:color="auto"/>
            </w:tcBorders>
            <w:gridSpan w:val="13"/>
            <w:shd w:val="clear" w:color="auto" w:fill="CCEEFF"/>
          </w:tcPr>
          <w:p>
            <w:pPr>
              <w:spacing w:after="0"/>
              <w:rPr>
                <w:sz w:val="8"/>
                <w:szCs w:val="8"/>
                <w:color w:val="auto"/>
              </w:rPr>
            </w:pPr>
          </w:p>
        </w:tc>
        <w:tc>
          <w:tcPr>
            <w:tcW w:w="2280" w:type="dxa"/>
            <w:vAlign w:val="bottom"/>
            <w:tcBorders>
              <w:right w:val="single" w:sz="8" w:color="auto"/>
            </w:tcBorders>
            <w:gridSpan w:val="17"/>
            <w:shd w:val="clear" w:color="auto" w:fill="CCEEFF"/>
          </w:tcPr>
          <w:p>
            <w:pPr>
              <w:spacing w:after="0"/>
              <w:rPr>
                <w:sz w:val="8"/>
                <w:szCs w:val="8"/>
                <w:color w:val="auto"/>
              </w:rPr>
            </w:pPr>
          </w:p>
        </w:tc>
        <w:tc>
          <w:tcPr>
            <w:tcW w:w="2260" w:type="dxa"/>
            <w:vAlign w:val="bottom"/>
            <w:gridSpan w:val="15"/>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 forma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$ 0.00</w:t>
            </w:r>
          </w:p>
        </w:tc>
        <w:tc>
          <w:tcPr>
            <w:tcW w:w="2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0.01</w:t>
            </w:r>
          </w:p>
        </w:tc>
        <w:tc>
          <w:tcPr>
            <w:tcW w:w="3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$ 0.01</w:t>
            </w:r>
          </w:p>
        </w:tc>
        <w:tc>
          <w:tcPr>
            <w:tcW w:w="18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8"/>
              </w:rPr>
              <w:t>$ 0.01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 (0.02)</w:t>
            </w:r>
          </w:p>
        </w:tc>
        <w:tc>
          <w:tcPr>
            <w:tcW w:w="10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(0.02)</w:t>
            </w:r>
          </w:p>
        </w:tc>
        <w:tc>
          <w:tcPr>
            <w:tcW w:w="6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 (0.03)</w:t>
            </w:r>
          </w:p>
        </w:tc>
        <w:tc>
          <w:tcPr>
            <w:tcW w:w="480" w:type="dxa"/>
            <w:vAlign w:val="bottom"/>
            <w:gridSpan w:val="4"/>
            <w:shd w:val="clear" w:color="auto" w:fill="CCEEFF"/>
          </w:tcPr>
          <w:p>
            <w:pPr>
              <w:ind w:left="400"/>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w w:val="88"/>
              </w:rPr>
              <w:t>(0.01)</w:t>
            </w:r>
          </w:p>
        </w:tc>
        <w:tc>
          <w:tcPr>
            <w:tcW w:w="10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 (0.02)</w:t>
            </w:r>
          </w:p>
        </w:tc>
        <w:tc>
          <w:tcPr>
            <w:tcW w:w="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8"/>
              </w:rPr>
              <w:t>(0.50)</w:t>
            </w:r>
          </w:p>
        </w:tc>
        <w:tc>
          <w:tcPr>
            <w:tcW w:w="480" w:type="dxa"/>
            <w:vAlign w:val="bottom"/>
            <w:gridSpan w:val="3"/>
            <w:shd w:val="clear" w:color="auto" w:fill="CCEEFF"/>
          </w:tcPr>
          <w:p>
            <w:pPr>
              <w:ind w:left="400"/>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w w:val="88"/>
              </w:rPr>
              <w:t>(0.05)</w:t>
            </w: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(0.55)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Arial" w:cs="Arial" w:eastAsia="Arial" w:hAnsi="Arial"/>
                <w:sz w:val="11"/>
                <w:szCs w:val="11"/>
                <w:color w:val="auto"/>
              </w:rPr>
              <w:t>Net income (loss) per share (diluted)—pro</w:t>
            </w:r>
          </w:p>
        </w:tc>
        <w:tc>
          <w:tcPr>
            <w:tcW w:w="320" w:type="dxa"/>
            <w:vAlign w:val="bottom"/>
            <w:tcBorders>
              <w:top w:val="single" w:sz="8" w:color="auto"/>
            </w:tcBorders>
            <w:gridSpan w:val="2"/>
          </w:tcPr>
          <w:p>
            <w:pPr>
              <w:spacing w:after="0"/>
              <w:rPr>
                <w:sz w:val="8"/>
                <w:szCs w:val="8"/>
                <w:color w:val="auto"/>
              </w:rPr>
            </w:pPr>
          </w:p>
        </w:tc>
        <w:tc>
          <w:tcPr>
            <w:tcW w:w="460" w:type="dxa"/>
            <w:vAlign w:val="bottom"/>
            <w:gridSpan w:val="3"/>
          </w:tcPr>
          <w:p>
            <w:pPr>
              <w:spacing w:after="0"/>
              <w:rPr>
                <w:sz w:val="8"/>
                <w:szCs w:val="8"/>
                <w:color w:val="auto"/>
              </w:rPr>
            </w:pPr>
          </w:p>
        </w:tc>
        <w:tc>
          <w:tcPr>
            <w:tcW w:w="380" w:type="dxa"/>
            <w:vAlign w:val="bottom"/>
            <w:tcBorders>
              <w:top w:val="single" w:sz="8" w:color="auto"/>
            </w:tcBorders>
            <w:gridSpan w:val="2"/>
          </w:tcPr>
          <w:p>
            <w:pPr>
              <w:spacing w:after="0"/>
              <w:rPr>
                <w:sz w:val="8"/>
                <w:szCs w:val="8"/>
                <w:color w:val="auto"/>
              </w:rPr>
            </w:pPr>
          </w:p>
        </w:tc>
        <w:tc>
          <w:tcPr>
            <w:tcW w:w="440" w:type="dxa"/>
            <w:vAlign w:val="bottom"/>
            <w:gridSpan w:val="2"/>
          </w:tcPr>
          <w:p>
            <w:pPr>
              <w:spacing w:after="0"/>
              <w:rPr>
                <w:sz w:val="8"/>
                <w:szCs w:val="8"/>
                <w:color w:val="auto"/>
              </w:rPr>
            </w:pPr>
          </w:p>
        </w:tc>
        <w:tc>
          <w:tcPr>
            <w:tcW w:w="340" w:type="dxa"/>
            <w:vAlign w:val="bottom"/>
            <w:tcBorders>
              <w:top w:val="single" w:sz="8" w:color="auto"/>
            </w:tcBorders>
            <w:gridSpan w:val="2"/>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60" w:type="dxa"/>
            <w:vAlign w:val="bottom"/>
            <w:gridSpan w:val="4"/>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60" w:type="dxa"/>
            <w:vAlign w:val="bottom"/>
            <w:gridSpan w:val="3"/>
          </w:tcPr>
          <w:p>
            <w:pPr>
              <w:spacing w:after="0"/>
              <w:rPr>
                <w:sz w:val="8"/>
                <w:szCs w:val="8"/>
                <w:color w:val="auto"/>
              </w:rPr>
            </w:pPr>
          </w:p>
        </w:tc>
        <w:tc>
          <w:tcPr>
            <w:tcW w:w="460" w:type="dxa"/>
            <w:vAlign w:val="bottom"/>
            <w:tcBorders>
              <w:top w:val="single" w:sz="8" w:color="auto"/>
            </w:tcBorders>
            <w:gridSpan w:val="2"/>
          </w:tcPr>
          <w:p>
            <w:pPr>
              <w:spacing w:after="0"/>
              <w:rPr>
                <w:sz w:val="8"/>
                <w:szCs w:val="8"/>
                <w:color w:val="auto"/>
              </w:rPr>
            </w:pPr>
          </w:p>
        </w:tc>
        <w:tc>
          <w:tcPr>
            <w:tcW w:w="400" w:type="dxa"/>
            <w:vAlign w:val="bottom"/>
            <w:gridSpan w:val="3"/>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60" w:type="dxa"/>
            <w:vAlign w:val="bottom"/>
            <w:gridSpan w:val="2"/>
          </w:tcPr>
          <w:p>
            <w:pPr>
              <w:spacing w:after="0"/>
              <w:rPr>
                <w:sz w:val="8"/>
                <w:szCs w:val="8"/>
                <w:color w:val="auto"/>
              </w:rPr>
            </w:pPr>
          </w:p>
        </w:tc>
        <w:tc>
          <w:tcPr>
            <w:tcW w:w="360" w:type="dxa"/>
            <w:vAlign w:val="bottom"/>
            <w:tcBorders>
              <w:top w:val="single" w:sz="8" w:color="auto"/>
            </w:tcBorders>
            <w:gridSpan w:val="2"/>
          </w:tcPr>
          <w:p>
            <w:pPr>
              <w:spacing w:after="0"/>
              <w:rPr>
                <w:sz w:val="8"/>
                <w:szCs w:val="8"/>
                <w:color w:val="auto"/>
              </w:rPr>
            </w:pPr>
          </w:p>
        </w:tc>
        <w:tc>
          <w:tcPr>
            <w:tcW w:w="440" w:type="dxa"/>
            <w:vAlign w:val="bottom"/>
            <w:gridSpan w:val="4"/>
          </w:tcPr>
          <w:p>
            <w:pPr>
              <w:spacing w:after="0"/>
              <w:rPr>
                <w:sz w:val="8"/>
                <w:szCs w:val="8"/>
                <w:color w:val="auto"/>
              </w:rPr>
            </w:pPr>
          </w:p>
        </w:tc>
        <w:tc>
          <w:tcPr>
            <w:tcW w:w="380" w:type="dxa"/>
            <w:vAlign w:val="bottom"/>
            <w:tcBorders>
              <w:top w:val="single" w:sz="8" w:color="auto"/>
            </w:tcBorders>
            <w:gridSpan w:val="2"/>
          </w:tcPr>
          <w:p>
            <w:pPr>
              <w:spacing w:after="0"/>
              <w:rPr>
                <w:sz w:val="8"/>
                <w:szCs w:val="8"/>
                <w:color w:val="auto"/>
              </w:rPr>
            </w:pPr>
          </w:p>
        </w:tc>
        <w:tc>
          <w:tcPr>
            <w:tcW w:w="420" w:type="dxa"/>
            <w:vAlign w:val="bottom"/>
            <w:gridSpan w:val="3"/>
          </w:tcPr>
          <w:p>
            <w:pPr>
              <w:spacing w:after="0"/>
              <w:rPr>
                <w:sz w:val="8"/>
                <w:szCs w:val="8"/>
                <w:color w:val="auto"/>
              </w:rPr>
            </w:pPr>
          </w:p>
        </w:tc>
        <w:tc>
          <w:tcPr>
            <w:tcW w:w="380" w:type="dxa"/>
            <w:vAlign w:val="bottom"/>
            <w:tcBorders>
              <w:top w:val="single" w:sz="8" w:color="auto"/>
            </w:tcBorders>
            <w:gridSpan w:val="2"/>
          </w:tcPr>
          <w:p>
            <w:pPr>
              <w:spacing w:after="0"/>
              <w:rPr>
                <w:sz w:val="8"/>
                <w:szCs w:val="8"/>
                <w:color w:val="auto"/>
              </w:rPr>
            </w:pPr>
          </w:p>
        </w:tc>
        <w:tc>
          <w:tcPr>
            <w:tcW w:w="140" w:type="dxa"/>
            <w:vAlign w:val="bottom"/>
            <w:tcBorders>
              <w:right w:val="single" w:sz="8" w:color="auto"/>
            </w:tcBorders>
            <w:gridSpan w:val="2"/>
          </w:tcPr>
          <w:p>
            <w:pPr>
              <w:spacing w:after="0"/>
              <w:rPr>
                <w:sz w:val="8"/>
                <w:szCs w:val="8"/>
                <w:color w:val="auto"/>
              </w:rPr>
            </w:pPr>
          </w:p>
        </w:tc>
        <w:tc>
          <w:tcPr>
            <w:tcW w:w="160" w:type="dxa"/>
            <w:vAlign w:val="bottom"/>
            <w:gridSpan w:val="2"/>
          </w:tcPr>
          <w:p>
            <w:pPr>
              <w:spacing w:after="0"/>
              <w:rPr>
                <w:sz w:val="8"/>
                <w:szCs w:val="8"/>
                <w:color w:val="auto"/>
              </w:rPr>
            </w:pPr>
          </w:p>
        </w:tc>
        <w:tc>
          <w:tcPr>
            <w:tcW w:w="380" w:type="dxa"/>
            <w:vAlign w:val="bottom"/>
            <w:tcBorders>
              <w:top w:val="single" w:sz="8" w:color="auto"/>
            </w:tcBorders>
            <w:gridSpan w:val="2"/>
          </w:tcPr>
          <w:p>
            <w:pPr>
              <w:spacing w:after="0"/>
              <w:rPr>
                <w:sz w:val="8"/>
                <w:szCs w:val="8"/>
                <w:color w:val="auto"/>
              </w:rPr>
            </w:pPr>
          </w:p>
        </w:tc>
        <w:tc>
          <w:tcPr>
            <w:tcW w:w="420" w:type="dxa"/>
            <w:vAlign w:val="bottom"/>
            <w:gridSpan w:val="3"/>
          </w:tcPr>
          <w:p>
            <w:pPr>
              <w:spacing w:after="0"/>
              <w:rPr>
                <w:sz w:val="8"/>
                <w:szCs w:val="8"/>
                <w:color w:val="auto"/>
              </w:rPr>
            </w:pPr>
          </w:p>
        </w:tc>
        <w:tc>
          <w:tcPr>
            <w:tcW w:w="380" w:type="dxa"/>
            <w:vAlign w:val="bottom"/>
            <w:tcBorders>
              <w:top w:val="single" w:sz="8" w:color="auto"/>
            </w:tcBorders>
            <w:gridSpan w:val="2"/>
          </w:tcPr>
          <w:p>
            <w:pPr>
              <w:spacing w:after="0"/>
              <w:rPr>
                <w:sz w:val="8"/>
                <w:szCs w:val="8"/>
                <w:color w:val="auto"/>
              </w:rPr>
            </w:pPr>
          </w:p>
        </w:tc>
        <w:tc>
          <w:tcPr>
            <w:tcW w:w="420" w:type="dxa"/>
            <w:vAlign w:val="bottom"/>
            <w:gridSpan w:val="3"/>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20"/>
              <w:spacing w:after="0"/>
              <w:rPr>
                <w:sz w:val="20"/>
                <w:szCs w:val="20"/>
                <w:color w:val="auto"/>
              </w:rPr>
            </w:pPr>
            <w:r>
              <w:rPr>
                <w:rFonts w:ascii="Arial" w:cs="Arial" w:eastAsia="Arial" w:hAnsi="Arial"/>
                <w:sz w:val="13"/>
                <w:szCs w:val="13"/>
                <w:color w:val="auto"/>
              </w:rPr>
              <w:t>forma</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w w:val="82"/>
              </w:rPr>
              <w:t>$ 0.00</w:t>
            </w:r>
          </w:p>
        </w:tc>
        <w:tc>
          <w:tcPr>
            <w:tcW w:w="260" w:type="dxa"/>
            <w:vAlign w:val="bottom"/>
          </w:tcPr>
          <w:p>
            <w:pPr>
              <w:spacing w:after="0"/>
              <w:rPr>
                <w:sz w:val="12"/>
                <w:szCs w:val="12"/>
                <w:color w:val="auto"/>
              </w:rPr>
            </w:pPr>
          </w:p>
        </w:tc>
        <w:tc>
          <w:tcPr>
            <w:tcW w:w="320" w:type="dxa"/>
            <w:vAlign w:val="bottom"/>
            <w:gridSpan w:val="3"/>
          </w:tcPr>
          <w:p>
            <w:pPr>
              <w:ind w:left="240"/>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86"/>
              </w:rPr>
              <w:t>0.01</w:t>
            </w:r>
          </w:p>
        </w:tc>
        <w:tc>
          <w:tcPr>
            <w:tcW w:w="360" w:type="dxa"/>
            <w:vAlign w:val="bottom"/>
          </w:tcPr>
          <w:p>
            <w:pPr>
              <w:spacing w:after="0"/>
              <w:rPr>
                <w:sz w:val="12"/>
                <w:szCs w:val="12"/>
                <w:color w:val="auto"/>
              </w:rPr>
            </w:pPr>
          </w:p>
        </w:tc>
        <w:tc>
          <w:tcPr>
            <w:tcW w:w="420" w:type="dxa"/>
            <w:vAlign w:val="bottom"/>
            <w:gridSpan w:val="3"/>
          </w:tcPr>
          <w:p>
            <w:pPr>
              <w:jc w:val="right"/>
              <w:spacing w:after="0"/>
              <w:rPr>
                <w:sz w:val="20"/>
                <w:szCs w:val="20"/>
                <w:color w:val="auto"/>
              </w:rPr>
            </w:pPr>
            <w:r>
              <w:rPr>
                <w:rFonts w:ascii="Arial" w:cs="Arial" w:eastAsia="Arial" w:hAnsi="Arial"/>
                <w:sz w:val="13"/>
                <w:szCs w:val="13"/>
                <w:color w:val="auto"/>
              </w:rPr>
              <w:t>$ 0.01</w:t>
            </w:r>
          </w:p>
        </w:tc>
        <w:tc>
          <w:tcPr>
            <w:tcW w:w="1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w w:val="88"/>
              </w:rPr>
              <w:t>$ 0.01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3"/>
                <w:szCs w:val="13"/>
                <w:color w:val="auto"/>
              </w:rPr>
              <w:t>$ (0.025)</w:t>
            </w:r>
          </w:p>
        </w:tc>
        <w:tc>
          <w:tcPr>
            <w:tcW w:w="100" w:type="dxa"/>
            <w:vAlign w:val="bottom"/>
          </w:tcPr>
          <w:p>
            <w:pPr>
              <w:spacing w:after="0"/>
              <w:rPr>
                <w:sz w:val="12"/>
                <w:szCs w:val="12"/>
                <w:color w:val="auto"/>
              </w:rPr>
            </w:pPr>
          </w:p>
        </w:tc>
        <w:tc>
          <w:tcPr>
            <w:tcW w:w="60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3"/>
                <w:szCs w:val="13"/>
                <w:color w:val="auto"/>
              </w:rPr>
              <w:t>$ (0.02)</w:t>
            </w:r>
          </w:p>
        </w:tc>
        <w:tc>
          <w:tcPr>
            <w:tcW w:w="60" w:type="dxa"/>
            <w:vAlign w:val="bottom"/>
          </w:tcPr>
          <w:p>
            <w:pPr>
              <w:spacing w:after="0"/>
              <w:rPr>
                <w:sz w:val="12"/>
                <w:szCs w:val="12"/>
                <w:color w:val="auto"/>
              </w:rPr>
            </w:pPr>
          </w:p>
        </w:tc>
        <w:tc>
          <w:tcPr>
            <w:tcW w:w="520" w:type="dxa"/>
            <w:vAlign w:val="bottom"/>
            <w:gridSpan w:val="4"/>
          </w:tcPr>
          <w:p>
            <w:pPr>
              <w:jc w:val="right"/>
              <w:spacing w:after="0"/>
              <w:rPr>
                <w:sz w:val="20"/>
                <w:szCs w:val="20"/>
                <w:color w:val="auto"/>
              </w:rPr>
            </w:pPr>
            <w:r>
              <w:rPr>
                <w:rFonts w:ascii="Arial" w:cs="Arial" w:eastAsia="Arial" w:hAnsi="Arial"/>
                <w:sz w:val="13"/>
                <w:szCs w:val="13"/>
                <w:color w:val="auto"/>
              </w:rPr>
              <w:t>$ (0.03)</w:t>
            </w:r>
          </w:p>
        </w:tc>
        <w:tc>
          <w:tcPr>
            <w:tcW w:w="480" w:type="dxa"/>
            <w:vAlign w:val="bottom"/>
            <w:gridSpan w:val="4"/>
          </w:tcPr>
          <w:p>
            <w:pPr>
              <w:ind w:left="400"/>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138"/>
              <w:spacing w:after="0"/>
              <w:rPr>
                <w:sz w:val="20"/>
                <w:szCs w:val="20"/>
                <w:color w:val="auto"/>
              </w:rPr>
            </w:pPr>
            <w:r>
              <w:rPr>
                <w:rFonts w:ascii="Arial" w:cs="Arial" w:eastAsia="Arial" w:hAnsi="Arial"/>
                <w:sz w:val="13"/>
                <w:szCs w:val="13"/>
                <w:color w:val="auto"/>
                <w:w w:val="88"/>
              </w:rPr>
              <w:t>(0.01)</w:t>
            </w:r>
          </w:p>
        </w:tc>
        <w:tc>
          <w:tcPr>
            <w:tcW w:w="100" w:type="dxa"/>
            <w:vAlign w:val="bottom"/>
          </w:tcPr>
          <w:p>
            <w:pPr>
              <w:spacing w:after="0"/>
              <w:rPr>
                <w:sz w:val="12"/>
                <w:szCs w:val="12"/>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3"/>
                <w:szCs w:val="13"/>
                <w:color w:val="auto"/>
              </w:rPr>
              <w:t>$ (0.02)</w:t>
            </w:r>
          </w:p>
        </w:tc>
        <w:tc>
          <w:tcPr>
            <w:tcW w:w="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w w:val="88"/>
              </w:rPr>
              <w:t>(0.50)</w:t>
            </w:r>
          </w:p>
        </w:tc>
        <w:tc>
          <w:tcPr>
            <w:tcW w:w="480" w:type="dxa"/>
            <w:vAlign w:val="bottom"/>
            <w:gridSpan w:val="3"/>
          </w:tcPr>
          <w:p>
            <w:pPr>
              <w:ind w:left="400"/>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138"/>
              <w:spacing w:after="0"/>
              <w:rPr>
                <w:sz w:val="20"/>
                <w:szCs w:val="20"/>
                <w:color w:val="auto"/>
              </w:rPr>
            </w:pPr>
            <w:r>
              <w:rPr>
                <w:rFonts w:ascii="Arial" w:cs="Arial" w:eastAsia="Arial" w:hAnsi="Arial"/>
                <w:sz w:val="13"/>
                <w:szCs w:val="13"/>
                <w:color w:val="auto"/>
                <w:w w:val="88"/>
              </w:rPr>
              <w:t>(0.05)</w:t>
            </w:r>
          </w:p>
        </w:tc>
        <w:tc>
          <w:tcPr>
            <w:tcW w:w="100" w:type="dxa"/>
            <w:vAlign w:val="bottom"/>
          </w:tcPr>
          <w:p>
            <w:pPr>
              <w:spacing w:after="0"/>
              <w:rPr>
                <w:sz w:val="12"/>
                <w:szCs w:val="12"/>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 (0.55)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Weighted average shares:</w:t>
            </w:r>
          </w:p>
        </w:tc>
        <w:tc>
          <w:tcPr>
            <w:tcW w:w="320" w:type="dxa"/>
            <w:vAlign w:val="bottom"/>
            <w:tcBorders>
              <w:top w:val="single" w:sz="8" w:color="auto"/>
            </w:tcBorders>
            <w:gridSpan w:val="2"/>
            <w:shd w:val="clear" w:color="auto" w:fill="CCEEFF"/>
          </w:tcPr>
          <w:p>
            <w:pPr>
              <w:spacing w:after="0"/>
              <w:rPr>
                <w:sz w:val="19"/>
                <w:szCs w:val="19"/>
                <w:color w:val="auto"/>
              </w:rPr>
            </w:pPr>
          </w:p>
        </w:tc>
        <w:tc>
          <w:tcPr>
            <w:tcW w:w="460" w:type="dxa"/>
            <w:vAlign w:val="bottom"/>
            <w:tcBorders>
              <w:top w:val="single" w:sz="8" w:color="CCEEFF"/>
            </w:tcBorders>
            <w:gridSpan w:val="3"/>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spacing w:after="0"/>
              <w:rPr>
                <w:sz w:val="19"/>
                <w:szCs w:val="19"/>
                <w:color w:val="auto"/>
              </w:rPr>
            </w:pPr>
          </w:p>
        </w:tc>
        <w:tc>
          <w:tcPr>
            <w:tcW w:w="440" w:type="dxa"/>
            <w:vAlign w:val="bottom"/>
            <w:tcBorders>
              <w:top w:val="single" w:sz="8" w:color="CCEEFF"/>
            </w:tcBorders>
            <w:gridSpan w:val="2"/>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spacing w:after="0"/>
              <w:rPr>
                <w:sz w:val="19"/>
                <w:szCs w:val="19"/>
                <w:color w:val="auto"/>
              </w:rPr>
            </w:pPr>
          </w:p>
        </w:tc>
        <w:tc>
          <w:tcPr>
            <w:tcW w:w="18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gridSpan w:val="2"/>
            <w:shd w:val="clear" w:color="auto" w:fill="CCEEFF"/>
          </w:tcPr>
          <w:p>
            <w:pPr>
              <w:spacing w:after="0"/>
              <w:rPr>
                <w:sz w:val="19"/>
                <w:szCs w:val="19"/>
                <w:color w:val="auto"/>
              </w:rPr>
            </w:pPr>
          </w:p>
        </w:tc>
        <w:tc>
          <w:tcPr>
            <w:tcW w:w="60" w:type="dxa"/>
            <w:vAlign w:val="bottom"/>
            <w:tcBorders>
              <w:top w:val="single" w:sz="8" w:color="CCEEFF"/>
            </w:tcBorders>
            <w:gridSpan w:val="2"/>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CCEEFF"/>
            </w:tcBorders>
            <w:gridSpan w:val="3"/>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spacing w:after="0"/>
              <w:rPr>
                <w:sz w:val="19"/>
                <w:szCs w:val="19"/>
                <w:color w:val="auto"/>
              </w:rPr>
            </w:pPr>
          </w:p>
        </w:tc>
        <w:tc>
          <w:tcPr>
            <w:tcW w:w="400" w:type="dxa"/>
            <w:vAlign w:val="bottom"/>
            <w:tcBorders>
              <w:top w:val="single" w:sz="8" w:color="CCEEFF"/>
            </w:tcBorders>
            <w:gridSpan w:val="3"/>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160" w:type="dxa"/>
            <w:vAlign w:val="bottom"/>
            <w:tcBorders>
              <w:top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spacing w:after="0"/>
              <w:rPr>
                <w:sz w:val="19"/>
                <w:szCs w:val="19"/>
                <w:color w:val="auto"/>
              </w:rPr>
            </w:pPr>
          </w:p>
        </w:tc>
        <w:tc>
          <w:tcPr>
            <w:tcW w:w="440" w:type="dxa"/>
            <w:vAlign w:val="bottom"/>
            <w:tcBorders>
              <w:top w:val="single" w:sz="8" w:color="CCEEFF"/>
            </w:tcBorders>
            <w:gridSpan w:val="4"/>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spacing w:after="0"/>
              <w:rPr>
                <w:sz w:val="19"/>
                <w:szCs w:val="19"/>
                <w:color w:val="auto"/>
              </w:rPr>
            </w:pPr>
          </w:p>
        </w:tc>
        <w:tc>
          <w:tcPr>
            <w:tcW w:w="420" w:type="dxa"/>
            <w:vAlign w:val="bottom"/>
            <w:tcBorders>
              <w:top w:val="single" w:sz="8" w:color="CCEEFF"/>
            </w:tcBorders>
            <w:gridSpan w:val="3"/>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spacing w:after="0"/>
              <w:rPr>
                <w:sz w:val="19"/>
                <w:szCs w:val="19"/>
                <w:color w:val="auto"/>
              </w:rPr>
            </w:pPr>
          </w:p>
        </w:tc>
        <w:tc>
          <w:tcPr>
            <w:tcW w:w="140" w:type="dxa"/>
            <w:vAlign w:val="bottom"/>
            <w:tcBorders>
              <w:top w:val="single" w:sz="8" w:color="CCEEFF"/>
              <w:right w:val="single" w:sz="8" w:color="auto"/>
            </w:tcBorders>
            <w:gridSpan w:val="2"/>
            <w:shd w:val="clear" w:color="auto" w:fill="CCEEFF"/>
          </w:tcPr>
          <w:p>
            <w:pPr>
              <w:spacing w:after="0"/>
              <w:rPr>
                <w:sz w:val="19"/>
                <w:szCs w:val="19"/>
                <w:color w:val="auto"/>
              </w:rPr>
            </w:pPr>
          </w:p>
        </w:tc>
        <w:tc>
          <w:tcPr>
            <w:tcW w:w="160" w:type="dxa"/>
            <w:vAlign w:val="bottom"/>
            <w:tcBorders>
              <w:top w:val="single" w:sz="8" w:color="CCEEFF"/>
            </w:tcBorders>
            <w:gridSpan w:val="2"/>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spacing w:after="0"/>
              <w:rPr>
                <w:sz w:val="19"/>
                <w:szCs w:val="19"/>
                <w:color w:val="auto"/>
              </w:rPr>
            </w:pPr>
          </w:p>
        </w:tc>
        <w:tc>
          <w:tcPr>
            <w:tcW w:w="420" w:type="dxa"/>
            <w:vAlign w:val="bottom"/>
            <w:tcBorders>
              <w:top w:val="single" w:sz="8" w:color="CCEEFF"/>
            </w:tcBorders>
            <w:gridSpan w:val="3"/>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spacing w:after="0"/>
              <w:rPr>
                <w:sz w:val="19"/>
                <w:szCs w:val="19"/>
                <w:color w:val="auto"/>
              </w:rPr>
            </w:pPr>
          </w:p>
        </w:tc>
        <w:tc>
          <w:tcPr>
            <w:tcW w:w="420" w:type="dxa"/>
            <w:vAlign w:val="bottom"/>
            <w:tcBorders>
              <w:top w:val="single" w:sz="8" w:color="CCEEFF"/>
            </w:tcBorders>
            <w:gridSpan w:val="3"/>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Arial" w:cs="Arial" w:eastAsia="Arial" w:hAnsi="Arial"/>
                <w:sz w:val="13"/>
                <w:szCs w:val="13"/>
                <w:color w:val="auto"/>
              </w:rPr>
              <w:t>Basic—as reported</w:t>
            </w:r>
          </w:p>
        </w:tc>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73.7</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w w:val="86"/>
              </w:rPr>
              <w:t>73.7</w:t>
            </w:r>
          </w:p>
        </w:tc>
        <w:tc>
          <w:tcPr>
            <w:tcW w:w="360" w:type="dxa"/>
            <w:vAlign w:val="bottom"/>
          </w:tcPr>
          <w:p>
            <w:pPr>
              <w:spacing w:after="0"/>
              <w:rPr>
                <w:sz w:val="11"/>
                <w:szCs w:val="11"/>
                <w:color w:val="auto"/>
              </w:rPr>
            </w:pPr>
          </w:p>
        </w:tc>
        <w:tc>
          <w:tcPr>
            <w:tcW w:w="4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73.7</w:t>
            </w:r>
          </w:p>
        </w:tc>
        <w:tc>
          <w:tcPr>
            <w:tcW w:w="1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w w:val="86"/>
              </w:rPr>
              <w:t>73.9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73.9</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w w:val="86"/>
              </w:rPr>
              <w:t>74.2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94"/>
              </w:rPr>
              <w:t>74.2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w w:val="86"/>
              </w:rPr>
              <w:t>74.2</w:t>
            </w:r>
          </w:p>
        </w:tc>
        <w:tc>
          <w:tcPr>
            <w:tcW w:w="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94"/>
              </w:rPr>
              <w:t>74.3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94"/>
              </w:rPr>
              <w:t>74.3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Diluted—as reported</w:t>
            </w: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75.9</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75.5</w:t>
            </w:r>
          </w:p>
        </w:tc>
        <w:tc>
          <w:tcPr>
            <w:tcW w:w="360" w:type="dxa"/>
            <w:vAlign w:val="bottom"/>
            <w:shd w:val="clear" w:color="auto" w:fill="CCEEFF"/>
          </w:tcPr>
          <w:p>
            <w:pPr>
              <w:spacing w:after="0"/>
              <w:rPr>
                <w:sz w:val="11"/>
                <w:szCs w:val="11"/>
                <w:color w:val="auto"/>
              </w:rPr>
            </w:pPr>
          </w:p>
        </w:tc>
        <w:tc>
          <w:tcPr>
            <w:tcW w:w="4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75.5</w:t>
            </w:r>
          </w:p>
        </w:tc>
        <w:tc>
          <w:tcPr>
            <w:tcW w:w="1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74.8</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74.4</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74.4</w:t>
            </w: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75.3</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74.9</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74.9</w:t>
            </w:r>
          </w:p>
        </w:tc>
        <w:tc>
          <w:tcPr>
            <w:tcW w:w="6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75.1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75.1</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Arial" w:cs="Arial" w:eastAsia="Arial" w:hAnsi="Arial"/>
                <w:sz w:val="13"/>
                <w:szCs w:val="13"/>
                <w:color w:val="auto"/>
              </w:rPr>
              <w:t>Basic—pro forma</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73.7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86"/>
              </w:rPr>
              <w:t>73.7</w:t>
            </w:r>
          </w:p>
        </w:tc>
        <w:tc>
          <w:tcPr>
            <w:tcW w:w="36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3"/>
                <w:szCs w:val="13"/>
                <w:color w:val="auto"/>
              </w:rPr>
              <w:t>73.7</w:t>
            </w:r>
          </w:p>
        </w:tc>
        <w:tc>
          <w:tcPr>
            <w:tcW w:w="1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73.9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86"/>
              </w:rPr>
              <w:t>73.9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73.9</w:t>
            </w: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6"/>
              </w:rPr>
              <w:t>74.2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4"/>
              </w:rPr>
              <w:t>74.2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86"/>
              </w:rPr>
              <w:t>74.2</w:t>
            </w:r>
          </w:p>
        </w:tc>
        <w:tc>
          <w:tcPr>
            <w:tcW w:w="6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4"/>
              </w:rPr>
              <w:t>74.3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4"/>
              </w:rPr>
              <w:t>74.3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74.3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Diluted—pro forma</w:t>
            </w: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75.9</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75.5</w:t>
            </w:r>
          </w:p>
        </w:tc>
        <w:tc>
          <w:tcPr>
            <w:tcW w:w="360" w:type="dxa"/>
            <w:vAlign w:val="bottom"/>
            <w:shd w:val="clear" w:color="auto" w:fill="CCEEFF"/>
          </w:tcPr>
          <w:p>
            <w:pPr>
              <w:spacing w:after="0"/>
              <w:rPr>
                <w:sz w:val="11"/>
                <w:szCs w:val="11"/>
                <w:color w:val="auto"/>
              </w:rPr>
            </w:pPr>
          </w:p>
        </w:tc>
        <w:tc>
          <w:tcPr>
            <w:tcW w:w="4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75.5</w:t>
            </w:r>
          </w:p>
        </w:tc>
        <w:tc>
          <w:tcPr>
            <w:tcW w:w="1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74.8</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74.4</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74.4</w:t>
            </w: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75.3</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74.9</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74.9</w:t>
            </w:r>
          </w:p>
        </w:tc>
        <w:tc>
          <w:tcPr>
            <w:tcW w:w="6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75.1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75.1</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62" w:right="239" w:bottom="117" w:gutter="0" w:footer="0" w:header="0"/>
        </w:sectPr>
      </w:pPr>
    </w:p>
    <w:bookmarkStart w:id="108" w:name="page109"/>
    <w:bookmarkEnd w:id="108"/>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CONSOLIDATED BALANCE SHEETS FOR MARCH 31, 2006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8"/>
              </w:rPr>
              <w:t>Adjustment for</w:t>
            </w:r>
          </w:p>
        </w:tc>
        <w:tc>
          <w:tcPr>
            <w:tcW w:w="1040" w:type="dxa"/>
            <w:vAlign w:val="bottom"/>
            <w:gridSpan w:val="5"/>
            <w:vMerge w:val="restart"/>
          </w:tcPr>
          <w:p>
            <w:pPr>
              <w:jc w:val="center"/>
              <w:ind w:right="140"/>
              <w:spacing w:after="0"/>
              <w:rPr>
                <w:sz w:val="20"/>
                <w:szCs w:val="20"/>
                <w:color w:val="auto"/>
              </w:rPr>
            </w:pPr>
            <w:r>
              <w:rPr>
                <w:rFonts w:ascii="Arial" w:cs="Arial" w:eastAsia="Arial" w:hAnsi="Arial"/>
                <w:sz w:val="13"/>
                <w:szCs w:val="13"/>
                <w:b w:val="1"/>
                <w:bCs w:val="1"/>
                <w:color w:val="auto"/>
                <w:w w:val="85"/>
              </w:rPr>
              <w:t>As Restated for</w:t>
            </w:r>
          </w:p>
        </w:tc>
        <w:tc>
          <w:tcPr>
            <w:tcW w:w="1040" w:type="dxa"/>
            <w:vAlign w:val="bottom"/>
            <w:gridSpan w:val="5"/>
            <w:vMerge w:val="restart"/>
          </w:tcPr>
          <w:p>
            <w:pPr>
              <w:jc w:val="center"/>
              <w:ind w:right="160"/>
              <w:spacing w:after="0"/>
              <w:rPr>
                <w:sz w:val="20"/>
                <w:szCs w:val="20"/>
                <w:color w:val="auto"/>
              </w:rPr>
            </w:pPr>
            <w:r>
              <w:rPr>
                <w:rFonts w:ascii="Arial" w:cs="Arial" w:eastAsia="Arial" w:hAnsi="Arial"/>
                <w:sz w:val="13"/>
                <w:szCs w:val="13"/>
                <w:b w:val="1"/>
                <w:bCs w:val="1"/>
                <w:color w:val="auto"/>
                <w:w w:val="90"/>
              </w:rPr>
              <w:t>Adjustment for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5"/>
          </w:tcPr>
          <w:p>
            <w:pPr>
              <w:jc w:val="center"/>
              <w:ind w:right="140"/>
              <w:spacing w:after="0" w:line="122" w:lineRule="exact"/>
              <w:rPr>
                <w:sz w:val="20"/>
                <w:szCs w:val="20"/>
                <w:color w:val="auto"/>
              </w:rPr>
            </w:pPr>
            <w:r>
              <w:rPr>
                <w:rFonts w:ascii="Arial" w:cs="Arial" w:eastAsia="Arial" w:hAnsi="Arial"/>
                <w:sz w:val="13"/>
                <w:szCs w:val="13"/>
                <w:b w:val="1"/>
                <w:bCs w:val="1"/>
                <w:color w:val="auto"/>
                <w:w w:val="92"/>
              </w:rPr>
              <w:t>International</w:t>
            </w:r>
          </w:p>
        </w:tc>
        <w:tc>
          <w:tcPr>
            <w:tcW w:w="1040" w:type="dxa"/>
            <w:vAlign w:val="bottom"/>
            <w:gridSpan w:val="5"/>
            <w:vMerge w:val="continue"/>
          </w:tcPr>
          <w:p>
            <w:pPr>
              <w:spacing w:after="0"/>
              <w:rPr>
                <w:sz w:val="10"/>
                <w:szCs w:val="10"/>
                <w:color w:val="auto"/>
              </w:rPr>
            </w:pPr>
          </w:p>
        </w:tc>
        <w:tc>
          <w:tcPr>
            <w:tcW w:w="104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80" w:type="dxa"/>
            <w:vAlign w:val="bottom"/>
          </w:tcPr>
          <w:p>
            <w:pPr>
              <w:spacing w:after="0"/>
              <w:rPr>
                <w:sz w:val="10"/>
                <w:szCs w:val="10"/>
                <w:color w:val="auto"/>
              </w:rPr>
            </w:pPr>
          </w:p>
        </w:tc>
        <w:tc>
          <w:tcPr>
            <w:tcW w:w="82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As Reported</w:t>
            </w:r>
          </w:p>
        </w:tc>
        <w:tc>
          <w:tcPr>
            <w:tcW w:w="980" w:type="dxa"/>
            <w:vAlign w:val="bottom"/>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Discontinued</w:t>
            </w:r>
          </w:p>
        </w:tc>
        <w:tc>
          <w:tcPr>
            <w:tcW w:w="1040" w:type="dxa"/>
            <w:vAlign w:val="bottom"/>
            <w:gridSpan w:val="5"/>
          </w:tcPr>
          <w:p>
            <w:pPr>
              <w:jc w:val="center"/>
              <w:ind w:right="140"/>
              <w:spacing w:after="0" w:line="122" w:lineRule="exact"/>
              <w:rPr>
                <w:sz w:val="20"/>
                <w:szCs w:val="20"/>
                <w:color w:val="auto"/>
              </w:rPr>
            </w:pPr>
            <w:r>
              <w:rPr>
                <w:rFonts w:ascii="Arial" w:cs="Arial" w:eastAsia="Arial" w:hAnsi="Arial"/>
                <w:sz w:val="13"/>
                <w:szCs w:val="13"/>
                <w:b w:val="1"/>
                <w:bCs w:val="1"/>
                <w:color w:val="auto"/>
                <w:w w:val="84"/>
              </w:rPr>
              <w:t>Discontinued</w:t>
            </w:r>
          </w:p>
        </w:tc>
        <w:tc>
          <w:tcPr>
            <w:tcW w:w="1040" w:type="dxa"/>
            <w:vAlign w:val="bottom"/>
            <w:gridSpan w:val="5"/>
          </w:tcPr>
          <w:p>
            <w:pPr>
              <w:jc w:val="center"/>
              <w:ind w:right="140"/>
              <w:spacing w:after="0" w:line="122" w:lineRule="exact"/>
              <w:rPr>
                <w:sz w:val="20"/>
                <w:szCs w:val="20"/>
                <w:color w:val="auto"/>
              </w:rPr>
            </w:pPr>
            <w:r>
              <w:rPr>
                <w:rFonts w:ascii="Arial" w:cs="Arial" w:eastAsia="Arial" w:hAnsi="Arial"/>
                <w:sz w:val="13"/>
                <w:szCs w:val="13"/>
                <w:b w:val="1"/>
                <w:bCs w:val="1"/>
                <w:color w:val="auto"/>
                <w:w w:val="84"/>
              </w:rPr>
              <w:t>Stock Based</w:t>
            </w:r>
          </w:p>
        </w:tc>
        <w:tc>
          <w:tcPr>
            <w:tcW w:w="88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As Restated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9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7"/>
              </w:rPr>
              <w:t>Operations</w:t>
            </w:r>
          </w:p>
        </w:tc>
        <w:tc>
          <w:tcPr>
            <w:tcW w:w="10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7"/>
              </w:rPr>
              <w:t>Operations</w:t>
            </w:r>
          </w:p>
        </w:tc>
        <w:tc>
          <w:tcPr>
            <w:tcW w:w="104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2"/>
              </w:rPr>
              <w:t>Expenses</w:t>
            </w:r>
          </w:p>
        </w:tc>
        <w:tc>
          <w:tcPr>
            <w:tcW w:w="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880" w:type="dxa"/>
            <w:vAlign w:val="bottom"/>
            <w:tcBorders>
              <w:top w:val="single" w:sz="8" w:color="CCEEFF"/>
            </w:tcBorders>
            <w:shd w:val="clear" w:color="auto" w:fill="CCEEFF"/>
          </w:tcPr>
          <w:p>
            <w:pPr>
              <w:ind w:left="1700"/>
              <w:spacing w:after="0" w:line="115" w:lineRule="exact"/>
              <w:rPr>
                <w:sz w:val="20"/>
                <w:szCs w:val="20"/>
                <w:color w:val="auto"/>
              </w:rPr>
            </w:pPr>
            <w:r>
              <w:rPr>
                <w:rFonts w:ascii="Arial" w:cs="Arial" w:eastAsia="Arial" w:hAnsi="Arial"/>
                <w:sz w:val="13"/>
                <w:szCs w:val="13"/>
                <w:b w:val="1"/>
                <w:bCs w:val="1"/>
                <w:color w:val="auto"/>
              </w:rPr>
              <w:t>Assets</w:t>
            </w:r>
          </w:p>
        </w:tc>
        <w:tc>
          <w:tcPr>
            <w:tcW w:w="1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line="135" w:lineRule="exact"/>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7"/>
              </w:rPr>
              <w:t>(2.9)</w:t>
            </w:r>
          </w:p>
        </w:tc>
        <w:tc>
          <w:tcPr>
            <w:tcW w:w="1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Short-term investments</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gridSpan w:val="2"/>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gridSpan w:val="2"/>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Subtotal cash and cash equivalents &amp; ST investments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3"/>
                <w:szCs w:val="13"/>
                <w:color w:val="auto"/>
                <w:w w:val="97"/>
              </w:rPr>
              <w:t>(2.9)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7.1</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Accounts receivable—net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107.0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7"/>
              </w:rPr>
              <w:t>(8.7)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98.3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98.3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Note Receivable</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Prepaid expenses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7"/>
              </w:rPr>
              <w:t>(0.2)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Employee loans and advances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7"/>
              </w:rPr>
              <w:t>(0.1)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Income taxes receivable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0.4</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0.4</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0.4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current assets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7"/>
              </w:rPr>
              <w:t>(1.6)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Current assets of discontinued operations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0.7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w w:val="86"/>
              </w:rPr>
              <w:t>14.0</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14.7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14.7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80" w:type="dxa"/>
            <w:vAlign w:val="bottom"/>
            <w:tcBorders>
              <w:top w:val="single" w:sz="8" w:color="CCEEFF"/>
            </w:tcBorders>
            <w:shd w:val="clear" w:color="auto" w:fill="CCEEFF"/>
          </w:tcPr>
          <w:p>
            <w:pPr>
              <w:ind w:left="380"/>
              <w:spacing w:after="0" w:line="129" w:lineRule="exact"/>
              <w:rPr>
                <w:sz w:val="20"/>
                <w:szCs w:val="20"/>
                <w:color w:val="auto"/>
              </w:rPr>
            </w:pPr>
            <w:r>
              <w:rPr>
                <w:rFonts w:ascii="Arial" w:cs="Arial" w:eastAsia="Arial" w:hAnsi="Arial"/>
                <w:sz w:val="13"/>
                <w:szCs w:val="13"/>
                <w:color w:val="auto"/>
              </w:rPr>
              <w:t>Total current assets</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144.6</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0.9</w:t>
            </w: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145.5</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145.5</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line="135" w:lineRule="exact"/>
              <w:rPr>
                <w:sz w:val="20"/>
                <w:szCs w:val="20"/>
                <w:color w:val="auto"/>
              </w:rPr>
            </w:pPr>
            <w:r>
              <w:rPr>
                <w:rFonts w:ascii="Arial" w:cs="Arial" w:eastAsia="Arial" w:hAnsi="Arial"/>
                <w:sz w:val="13"/>
                <w:szCs w:val="13"/>
                <w:color w:val="auto"/>
              </w:rPr>
              <w:t>Property and equipment, net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14.8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7"/>
              </w:rPr>
              <w:t>(1.6)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13.2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13.2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119.9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119.9</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line="135" w:lineRule="exact"/>
              <w:rPr>
                <w:sz w:val="20"/>
                <w:szCs w:val="20"/>
                <w:color w:val="auto"/>
              </w:rPr>
            </w:pPr>
            <w:r>
              <w:rPr>
                <w:rFonts w:ascii="Arial" w:cs="Arial" w:eastAsia="Arial" w:hAnsi="Arial"/>
                <w:sz w:val="13"/>
                <w:szCs w:val="13"/>
                <w:color w:val="auto"/>
              </w:rPr>
              <w:t>Other intangibles, net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7.0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7.0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7.0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Deferred tax assets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line="135" w:lineRule="exact"/>
              <w:rPr>
                <w:sz w:val="20"/>
                <w:szCs w:val="20"/>
                <w:color w:val="auto"/>
              </w:rPr>
            </w:pPr>
            <w:r>
              <w:rPr>
                <w:rFonts w:ascii="Arial" w:cs="Arial" w:eastAsia="Arial" w:hAnsi="Arial"/>
                <w:sz w:val="13"/>
                <w:szCs w:val="13"/>
                <w:color w:val="auto"/>
              </w:rPr>
              <w:t>Investments in unconsolidated affiliates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0.9</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line="135" w:lineRule="exact"/>
              <w:rPr>
                <w:sz w:val="20"/>
                <w:szCs w:val="20"/>
                <w:color w:val="auto"/>
              </w:rPr>
            </w:pPr>
            <w:r>
              <w:rPr>
                <w:rFonts w:ascii="Arial" w:cs="Arial" w:eastAsia="Arial" w:hAnsi="Arial"/>
                <w:sz w:val="13"/>
                <w:szCs w:val="13"/>
                <w:color w:val="auto"/>
              </w:rPr>
              <w:t>Non current assets of discontinued operations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80" w:type="dxa"/>
            <w:vAlign w:val="bottom"/>
            <w:tcBorders>
              <w:top w:val="single" w:sz="8" w:color="CCEEFF"/>
              <w:bottom w:val="single" w:sz="8" w:color="CCEEFF"/>
            </w:tcBorders>
            <w:shd w:val="clear" w:color="auto" w:fill="CCEEFF"/>
          </w:tcPr>
          <w:p>
            <w:pPr>
              <w:ind w:left="380"/>
              <w:spacing w:after="0" w:line="129" w:lineRule="exact"/>
              <w:rPr>
                <w:sz w:val="20"/>
                <w:szCs w:val="20"/>
                <w:color w:val="auto"/>
              </w:rPr>
            </w:pPr>
            <w:r>
              <w:rPr>
                <w:rFonts w:ascii="Arial" w:cs="Arial" w:eastAsia="Arial" w:hAnsi="Arial"/>
                <w:sz w:val="13"/>
                <w:szCs w:val="13"/>
                <w:color w:val="auto"/>
              </w:rPr>
              <w:t>Total assets</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302.5</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303.6</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303.6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920"/>
              <w:spacing w:after="0"/>
              <w:rPr>
                <w:sz w:val="20"/>
                <w:szCs w:val="20"/>
                <w:color w:val="auto"/>
              </w:rPr>
            </w:pPr>
            <w:r>
              <w:rPr>
                <w:rFonts w:ascii="Arial" w:cs="Arial" w:eastAsia="Arial" w:hAnsi="Arial"/>
                <w:sz w:val="13"/>
                <w:szCs w:val="13"/>
                <w:b w:val="1"/>
                <w:bCs w:val="1"/>
                <w:color w:val="auto"/>
              </w:rPr>
              <w:t>Liabilities and stockholders’ equity</w:t>
            </w: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CURRENT LIABILITIES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Accounts payable</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19.2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7"/>
              </w:rPr>
              <w:t>(1.2)</w:t>
            </w:r>
          </w:p>
        </w:tc>
        <w:tc>
          <w:tcPr>
            <w:tcW w:w="100" w:type="dxa"/>
            <w:vAlign w:val="bottom"/>
          </w:tcPr>
          <w:p>
            <w:pPr>
              <w:spacing w:after="0"/>
              <w:rPr>
                <w:sz w:val="11"/>
                <w:szCs w:val="11"/>
                <w:color w:val="auto"/>
              </w:rPr>
            </w:pPr>
          </w:p>
        </w:tc>
        <w:tc>
          <w:tcPr>
            <w:tcW w:w="3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18.0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18.0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Accounts payable—related party</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0.8</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Accrued expenses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29.7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7"/>
              </w:rPr>
              <w:t>(4.2)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25.5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0.6</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26.1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Contract management payables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Deferred revenue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7"/>
              </w:rPr>
              <w:t>(0.1)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3.9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Income taxes payable</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7"/>
              </w:rPr>
              <w:t>(1.8)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Line of credit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7.0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7.0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7.0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Tax contingencies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Deferred tax liabilities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0.4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7"/>
              </w:rPr>
              <w:t>(0.4)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Accrual for unused office space</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Accrual for contingent consideration related to acquisitions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Capital lease obligations and other short-term debt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Current liabilities of discontinued operations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8.8</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10.0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10.0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80" w:type="dxa"/>
            <w:vAlign w:val="bottom"/>
            <w:tcBorders>
              <w:top w:val="single" w:sz="8" w:color="CCEEFF"/>
            </w:tcBorders>
            <w:shd w:val="clear" w:color="auto" w:fill="CCEEFF"/>
          </w:tcPr>
          <w:p>
            <w:pPr>
              <w:ind w:left="380"/>
              <w:spacing w:after="0" w:line="129" w:lineRule="exact"/>
              <w:rPr>
                <w:sz w:val="20"/>
                <w:szCs w:val="20"/>
                <w:color w:val="auto"/>
              </w:rPr>
            </w:pPr>
            <w:r>
              <w:rPr>
                <w:rFonts w:ascii="Arial" w:cs="Arial" w:eastAsia="Arial" w:hAnsi="Arial"/>
                <w:sz w:val="13"/>
                <w:szCs w:val="13"/>
                <w:color w:val="auto"/>
              </w:rPr>
              <w:t>Total current liabilities</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67.6</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68.7</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0.6</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69.3</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line="135" w:lineRule="exact"/>
              <w:rPr>
                <w:sz w:val="20"/>
                <w:szCs w:val="20"/>
                <w:color w:val="auto"/>
              </w:rPr>
            </w:pPr>
            <w:r>
              <w:rPr>
                <w:rFonts w:ascii="Arial" w:cs="Arial" w:eastAsia="Arial" w:hAnsi="Arial"/>
                <w:sz w:val="13"/>
                <w:szCs w:val="13"/>
                <w:color w:val="auto"/>
              </w:rPr>
              <w:t>LONG-TERM LIABILITIES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Capital Lease obligations and debt—net of current portion</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Accrual for unused office space—net of current portion</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long-term liabilities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Long term liabilities of discontinued operations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80" w:type="dxa"/>
            <w:vAlign w:val="bottom"/>
            <w:tcBorders>
              <w:top w:val="single" w:sz="8" w:color="CCEEFF"/>
            </w:tcBorders>
            <w:shd w:val="clear" w:color="auto" w:fill="CCEEFF"/>
          </w:tcPr>
          <w:p>
            <w:pPr>
              <w:ind w:left="380"/>
              <w:spacing w:after="0" w:line="129" w:lineRule="exact"/>
              <w:rPr>
                <w:sz w:val="20"/>
                <w:szCs w:val="20"/>
                <w:color w:val="auto"/>
              </w:rPr>
            </w:pPr>
            <w:r>
              <w:rPr>
                <w:rFonts w:ascii="Arial" w:cs="Arial" w:eastAsia="Arial" w:hAnsi="Arial"/>
                <w:sz w:val="13"/>
                <w:szCs w:val="13"/>
                <w:color w:val="auto"/>
              </w:rPr>
              <w:t>Total long-term liabilities</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80" w:type="dxa"/>
            <w:vAlign w:val="bottom"/>
          </w:tcPr>
          <w:p>
            <w:pPr>
              <w:ind w:left="500"/>
              <w:spacing w:after="0" w:line="129" w:lineRule="exact"/>
              <w:rPr>
                <w:sz w:val="20"/>
                <w:szCs w:val="20"/>
                <w:color w:val="auto"/>
              </w:rPr>
            </w:pPr>
            <w:r>
              <w:rPr>
                <w:rFonts w:ascii="Arial" w:cs="Arial" w:eastAsia="Arial" w:hAnsi="Arial"/>
                <w:sz w:val="13"/>
                <w:szCs w:val="13"/>
                <w:color w:val="auto"/>
              </w:rPr>
              <w:t>Total liabilities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3"/>
                <w:szCs w:val="13"/>
                <w:color w:val="auto"/>
              </w:rPr>
              <w:t>70.5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29" w:lineRule="exact"/>
              <w:rPr>
                <w:sz w:val="20"/>
                <w:szCs w:val="20"/>
                <w:color w:val="auto"/>
              </w:rPr>
            </w:pPr>
            <w:r>
              <w:rPr>
                <w:rFonts w:ascii="Arial" w:cs="Arial" w:eastAsia="Arial" w:hAnsi="Arial"/>
                <w:sz w:val="13"/>
                <w:szCs w:val="13"/>
                <w:color w:val="auto"/>
              </w:rPr>
              <w:t>1.1</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3"/>
                <w:szCs w:val="13"/>
                <w:color w:val="auto"/>
              </w:rPr>
              <w:t>71.6</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3"/>
                <w:szCs w:val="13"/>
                <w:color w:val="auto"/>
              </w:rPr>
              <w:t>0.6</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72.2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Common stock</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Additional paid-in capital</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326.3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326.3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54.3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380.6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Deferred compensation</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120"/>
              <w:spacing w:after="0" w:line="135" w:lineRule="exact"/>
              <w:rPr>
                <w:sz w:val="20"/>
                <w:szCs w:val="20"/>
                <w:color w:val="auto"/>
              </w:rPr>
            </w:pPr>
            <w:r>
              <w:rPr>
                <w:rFonts w:ascii="Arial" w:cs="Arial" w:eastAsia="Arial" w:hAnsi="Arial"/>
                <w:sz w:val="13"/>
                <w:szCs w:val="13"/>
                <w:color w:val="auto"/>
              </w:rPr>
              <w:t>Accumulated deficit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9"/>
              </w:rPr>
              <w:t>(92.5)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9"/>
              </w:rPr>
              <w:t>(92.5)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35"/>
              <w:spacing w:after="0" w:line="135" w:lineRule="exact"/>
              <w:rPr>
                <w:sz w:val="20"/>
                <w:szCs w:val="20"/>
                <w:color w:val="auto"/>
              </w:rPr>
            </w:pPr>
            <w:r>
              <w:rPr>
                <w:rFonts w:ascii="Arial" w:cs="Arial" w:eastAsia="Arial" w:hAnsi="Arial"/>
                <w:sz w:val="13"/>
                <w:szCs w:val="13"/>
                <w:color w:val="auto"/>
                <w:w w:val="94"/>
              </w:rPr>
              <w:t>(54.9)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7"/>
              </w:rPr>
              <w:t>(147.4)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Accumulated other comprehensive income (loss)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3"/>
                <w:szCs w:val="13"/>
                <w:color w:val="auto"/>
              </w:rPr>
              <w:t>STOCKHOLDERS’ EQUITY</w:t>
            </w: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85"/>
              </w:rPr>
              <w:t>232.0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85"/>
              </w:rPr>
              <w:t>232.0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35"/>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231.4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bottom w:val="single" w:sz="8" w:color="CCEEFF"/>
            </w:tcBorders>
            <w:shd w:val="clear" w:color="auto" w:fill="CCEEFF"/>
          </w:tcPr>
          <w:p>
            <w:pPr>
              <w:ind w:left="380"/>
              <w:spacing w:after="0" w:line="141" w:lineRule="exact"/>
              <w:rPr>
                <w:sz w:val="20"/>
                <w:szCs w:val="20"/>
                <w:color w:val="auto"/>
              </w:rPr>
            </w:pPr>
            <w:r>
              <w:rPr>
                <w:rFonts w:ascii="Arial" w:cs="Arial" w:eastAsia="Arial" w:hAnsi="Arial"/>
                <w:sz w:val="13"/>
                <w:szCs w:val="13"/>
                <w:color w:val="auto"/>
              </w:rPr>
              <w:t>Total liabilities and stockholders’ equity</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5"/>
              </w:rPr>
              <w:t>302.5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1.1</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5"/>
              </w:rPr>
              <w:t>303.6</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(0.0</w:t>
            </w:r>
          </w:p>
        </w:tc>
        <w:tc>
          <w:tcPr>
            <w:tcW w:w="260" w:type="dxa"/>
            <w:vAlign w:val="bottom"/>
            <w:tcBorders>
              <w:top w:val="single" w:sz="8" w:color="CCEEFF"/>
              <w:bottom w:val="single" w:sz="8" w:color="CCEEFF"/>
            </w:tcBorders>
            <w:shd w:val="clear" w:color="auto" w:fill="CCEEFF"/>
          </w:tcPr>
          <w:p>
            <w:pPr>
              <w:jc w:val="right"/>
              <w:ind w:right="235"/>
              <w:spacing w:after="0"/>
              <w:rPr>
                <w:sz w:val="20"/>
                <w:szCs w:val="20"/>
                <w:color w:val="auto"/>
              </w:rPr>
            </w:pPr>
            <w:r>
              <w:rPr>
                <w:rFonts w:ascii="Arial" w:cs="Arial" w:eastAsia="Arial" w:hAnsi="Arial"/>
                <w:sz w:val="1"/>
                <w:szCs w:val="1"/>
                <w:color w:val="auto"/>
                <w:w w:val="4294967281"/>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303.6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CONSOLIDATED BALANCE SHEETS FOR JUNE 30, 2006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54"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8"/>
              </w:rPr>
              <w:t>Adjustment for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International</w:t>
            </w:r>
          </w:p>
        </w:tc>
        <w:tc>
          <w:tcPr>
            <w:tcW w:w="104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As Restated for</w:t>
            </w:r>
          </w:p>
        </w:tc>
        <w:tc>
          <w:tcPr>
            <w:tcW w:w="104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Adjustment for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Discontinued</w:t>
            </w:r>
          </w:p>
        </w:tc>
        <w:tc>
          <w:tcPr>
            <w:tcW w:w="104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Discontinued</w:t>
            </w:r>
          </w:p>
        </w:tc>
        <w:tc>
          <w:tcPr>
            <w:tcW w:w="104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Stock Based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820" w:type="dxa"/>
            <w:vAlign w:val="bottom"/>
            <w:gridSpan w:val="5"/>
          </w:tcPr>
          <w:p>
            <w:pPr>
              <w:spacing w:after="0"/>
              <w:rPr>
                <w:sz w:val="20"/>
                <w:szCs w:val="20"/>
                <w:color w:val="auto"/>
              </w:rPr>
            </w:pPr>
            <w:r>
              <w:rPr>
                <w:rFonts w:ascii="Arial" w:cs="Arial" w:eastAsia="Arial" w:hAnsi="Arial"/>
                <w:sz w:val="13"/>
                <w:szCs w:val="13"/>
                <w:b w:val="1"/>
                <w:bCs w:val="1"/>
                <w:color w:val="auto"/>
              </w:rPr>
              <w:t>As Reported</w:t>
            </w:r>
          </w:p>
        </w:tc>
        <w:tc>
          <w:tcPr>
            <w:tcW w:w="9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7"/>
              </w:rPr>
              <w:t>Operations</w:t>
            </w:r>
          </w:p>
        </w:tc>
        <w:tc>
          <w:tcPr>
            <w:tcW w:w="10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7"/>
              </w:rPr>
              <w:t>Operations</w:t>
            </w:r>
          </w:p>
        </w:tc>
        <w:tc>
          <w:tcPr>
            <w:tcW w:w="104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2"/>
              </w:rPr>
              <w:t>Expenses</w:t>
            </w:r>
          </w:p>
        </w:tc>
        <w:tc>
          <w:tcPr>
            <w:tcW w:w="900" w:type="dxa"/>
            <w:vAlign w:val="bottom"/>
            <w:gridSpan w:val="5"/>
          </w:tcPr>
          <w:p>
            <w:pPr>
              <w:ind w:left="60"/>
              <w:spacing w:after="0"/>
              <w:rPr>
                <w:sz w:val="20"/>
                <w:szCs w:val="20"/>
                <w:color w:val="auto"/>
              </w:rPr>
            </w:pPr>
            <w:r>
              <w:rPr>
                <w:rFonts w:ascii="Arial" w:cs="Arial" w:eastAsia="Arial" w:hAnsi="Arial"/>
                <w:sz w:val="13"/>
                <w:szCs w:val="13"/>
                <w:b w:val="1"/>
                <w:bCs w:val="1"/>
                <w:color w:val="auto"/>
              </w:rPr>
              <w:t>As Restated</w:t>
            </w:r>
          </w:p>
        </w:tc>
        <w:tc>
          <w:tcPr>
            <w:tcW w:w="0" w:type="dxa"/>
            <w:vAlign w:val="bottom"/>
          </w:tcPr>
          <w:p>
            <w:pPr>
              <w:spacing w:after="0"/>
              <w:rPr>
                <w:sz w:val="1"/>
                <w:szCs w:val="1"/>
                <w:color w:val="auto"/>
              </w:rPr>
            </w:pPr>
          </w:p>
        </w:tc>
      </w:tr>
      <w:tr>
        <w:trPr>
          <w:trHeight w:val="115"/>
        </w:trPr>
        <w:tc>
          <w:tcPr>
            <w:tcW w:w="3900" w:type="dxa"/>
            <w:vAlign w:val="bottom"/>
            <w:tcBorders>
              <w:top w:val="single" w:sz="8" w:color="CCEEFF"/>
            </w:tcBorders>
            <w:shd w:val="clear" w:color="auto" w:fill="CCEEFF"/>
          </w:tcPr>
          <w:p>
            <w:pPr>
              <w:ind w:left="1720"/>
              <w:spacing w:after="0" w:line="115" w:lineRule="exact"/>
              <w:rPr>
                <w:sz w:val="20"/>
                <w:szCs w:val="20"/>
                <w:color w:val="auto"/>
              </w:rPr>
            </w:pPr>
            <w:r>
              <w:rPr>
                <w:rFonts w:ascii="Arial" w:cs="Arial" w:eastAsia="Arial" w:hAnsi="Arial"/>
                <w:sz w:val="13"/>
                <w:szCs w:val="13"/>
                <w:b w:val="1"/>
                <w:bCs w:val="1"/>
                <w:color w:val="auto"/>
              </w:rPr>
              <w:t>Assets</w:t>
            </w:r>
          </w:p>
        </w:tc>
        <w:tc>
          <w:tcPr>
            <w:tcW w:w="1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7"/>
              </w:rPr>
              <w:t>(2.3)</w:t>
            </w:r>
          </w:p>
        </w:tc>
        <w:tc>
          <w:tcPr>
            <w:tcW w:w="1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54"/>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Accounts receivable—net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104.4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7"/>
              </w:rPr>
              <w:t>(8.7)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95.7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95.7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Note receivable</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14.6</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Income taxes receivable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0.3</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0.3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0.3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Prepaid expenses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7"/>
              </w:rPr>
              <w:t>(0.4)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Employee loans and advances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0.3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7"/>
              </w:rPr>
              <w:t>(0.1)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current assets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7"/>
              </w:rPr>
              <w:t>(1.9)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Current assets of discontinued operations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0.7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w w:val="86"/>
              </w:rPr>
              <w:t>14.0</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14.7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14.7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00" w:type="dxa"/>
            <w:vAlign w:val="bottom"/>
            <w:tcBorders>
              <w:top w:val="single" w:sz="8" w:color="CCEEFF"/>
            </w:tcBorders>
            <w:shd w:val="clear" w:color="auto" w:fill="CCEEFF"/>
          </w:tcPr>
          <w:p>
            <w:pPr>
              <w:ind w:left="380"/>
              <w:spacing w:after="0" w:line="129" w:lineRule="exact"/>
              <w:rPr>
                <w:sz w:val="20"/>
                <w:szCs w:val="20"/>
                <w:color w:val="auto"/>
              </w:rPr>
            </w:pPr>
            <w:r>
              <w:rPr>
                <w:rFonts w:ascii="Arial" w:cs="Arial" w:eastAsia="Arial" w:hAnsi="Arial"/>
                <w:sz w:val="13"/>
                <w:szCs w:val="13"/>
                <w:color w:val="auto"/>
              </w:rPr>
              <w:t>Total current assets</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141.2</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0.9</w:t>
            </w: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142.1</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142.1</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color w:val="auto"/>
              </w:rPr>
              <w:t>Property and equipment, net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15.5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7"/>
              </w:rPr>
              <w:t>(1.5)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14.0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14.0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119.9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119.9</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119.9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color w:val="auto"/>
              </w:rPr>
              <w:t>Other intangibles, net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6.5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6.5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6.5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Deferred tax assets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0.6</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color w:val="auto"/>
              </w:rPr>
              <w:t>Investments in unconsolidated affiliates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color w:val="auto"/>
              </w:rPr>
              <w:t>Non current assets of discontinued operations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00" w:type="dxa"/>
            <w:vAlign w:val="bottom"/>
            <w:tcBorders>
              <w:top w:val="single" w:sz="8" w:color="CCEEFF"/>
              <w:bottom w:val="single" w:sz="8" w:color="CCEEFF"/>
            </w:tcBorders>
            <w:shd w:val="clear" w:color="auto" w:fill="CCEEFF"/>
          </w:tcPr>
          <w:p>
            <w:pPr>
              <w:ind w:left="380"/>
              <w:spacing w:after="0" w:line="129" w:lineRule="exact"/>
              <w:rPr>
                <w:sz w:val="20"/>
                <w:szCs w:val="20"/>
                <w:color w:val="auto"/>
              </w:rPr>
            </w:pPr>
            <w:r>
              <w:rPr>
                <w:rFonts w:ascii="Arial" w:cs="Arial" w:eastAsia="Arial" w:hAnsi="Arial"/>
                <w:sz w:val="13"/>
                <w:szCs w:val="13"/>
                <w:color w:val="auto"/>
              </w:rPr>
              <w:t>Total assets</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299.1</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w:t>
            </w: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300.6</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300.6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ind w:left="940"/>
              <w:spacing w:after="0"/>
              <w:rPr>
                <w:sz w:val="20"/>
                <w:szCs w:val="20"/>
                <w:color w:val="auto"/>
              </w:rPr>
            </w:pPr>
            <w:r>
              <w:rPr>
                <w:rFonts w:ascii="Arial" w:cs="Arial" w:eastAsia="Arial" w:hAnsi="Arial"/>
                <w:sz w:val="13"/>
                <w:szCs w:val="13"/>
                <w:b w:val="1"/>
                <w:bCs w:val="1"/>
                <w:color w:val="auto"/>
              </w:rPr>
              <w:t>Liabilities and stockholders’ equity</w:t>
            </w: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CURRENT LIABILITIES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Accounts payable</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19.7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7"/>
              </w:rPr>
              <w:t>(1.3)</w:t>
            </w:r>
          </w:p>
        </w:tc>
        <w:tc>
          <w:tcPr>
            <w:tcW w:w="100" w:type="dxa"/>
            <w:vAlign w:val="bottom"/>
          </w:tcPr>
          <w:p>
            <w:pPr>
              <w:spacing w:after="0"/>
              <w:rPr>
                <w:sz w:val="11"/>
                <w:szCs w:val="11"/>
                <w:color w:val="auto"/>
              </w:rPr>
            </w:pPr>
          </w:p>
        </w:tc>
        <w:tc>
          <w:tcPr>
            <w:tcW w:w="3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18.4</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54"/>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18.4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Accounts payable—related party</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Accrued expenses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25.6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7"/>
              </w:rPr>
              <w:t>(4.1)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21.5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0.6</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22.1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Contract management payables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Deferred revenue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7"/>
              </w:rPr>
              <w:t>(0.6)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3.6</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3.6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Income taxes payable</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7"/>
              </w:rPr>
              <w:t>(2.1)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900" w:type="dxa"/>
            <w:vAlign w:val="bottom"/>
          </w:tcPr>
          <w:p>
            <w:pPr>
              <w:ind w:left="120"/>
              <w:spacing w:after="0"/>
              <w:rPr>
                <w:sz w:val="20"/>
                <w:szCs w:val="20"/>
                <w:color w:val="auto"/>
              </w:rPr>
            </w:pPr>
            <w:r>
              <w:rPr>
                <w:rFonts w:ascii="Arial" w:cs="Arial" w:eastAsia="Arial" w:hAnsi="Arial"/>
                <w:sz w:val="13"/>
                <w:szCs w:val="13"/>
                <w:color w:val="auto"/>
              </w:rPr>
              <w:t>Line of credit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8.0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8.0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82" w:orient="portrait"/>
          <w:cols w:equalWidth="0" w:num="1">
            <w:col w:w="9019"/>
          </w:cols>
          <w:pgMar w:left="1440" w:top="125" w:right="1440" w:bottom="0" w:gutter="0" w:footer="0" w:header="0"/>
        </w:sectPr>
      </w:pPr>
    </w:p>
    <w:bookmarkStart w:id="109" w:name="page110"/>
    <w:bookmarkEnd w:id="109"/>
    <w:p>
      <w:pPr>
        <w:spacing w:after="0" w:line="9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Tax contingencies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tcBorders>
              <w:right w:val="single" w:sz="8" w:color="CCEEFF"/>
            </w:tcBorders>
            <w:gridSpan w:val="2"/>
            <w:shd w:val="clear" w:color="auto" w:fill="CCEEFF"/>
          </w:tcPr>
          <w:p>
            <w:pPr>
              <w:jc w:val="right"/>
              <w:ind w:right="518"/>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120"/>
              <w:spacing w:after="0" w:line="135" w:lineRule="exact"/>
              <w:rPr>
                <w:sz w:val="20"/>
                <w:szCs w:val="20"/>
                <w:color w:val="auto"/>
              </w:rPr>
            </w:pPr>
            <w:r>
              <w:rPr>
                <w:rFonts w:ascii="Arial" w:cs="Arial" w:eastAsia="Arial" w:hAnsi="Arial"/>
                <w:sz w:val="13"/>
                <w:szCs w:val="13"/>
                <w:color w:val="auto"/>
              </w:rPr>
              <w:t>Accrual for unused office space</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0.4</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2"/>
          </w:tcPr>
          <w:p>
            <w:pPr>
              <w:jc w:val="right"/>
              <w:ind w:right="518"/>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0.4</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Accrual for contingent consideration related to acquisitions</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tcBorders>
              <w:right w:val="single" w:sz="8" w:color="CCEEFF"/>
            </w:tcBorders>
            <w:gridSpan w:val="2"/>
            <w:shd w:val="clear" w:color="auto" w:fill="CCEEFF"/>
          </w:tcPr>
          <w:p>
            <w:pPr>
              <w:jc w:val="right"/>
              <w:ind w:right="518"/>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120"/>
              <w:spacing w:after="0" w:line="135" w:lineRule="exact"/>
              <w:rPr>
                <w:sz w:val="20"/>
                <w:szCs w:val="20"/>
                <w:color w:val="auto"/>
              </w:rPr>
            </w:pPr>
            <w:r>
              <w:rPr>
                <w:rFonts w:ascii="Arial" w:cs="Arial" w:eastAsia="Arial" w:hAnsi="Arial"/>
                <w:sz w:val="13"/>
                <w:szCs w:val="13"/>
                <w:color w:val="auto"/>
              </w:rPr>
              <w:t>Capital lease obligations and other short-term debt</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0.3</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0.3</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2"/>
          </w:tcPr>
          <w:p>
            <w:pPr>
              <w:jc w:val="right"/>
              <w:ind w:right="518"/>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0.3</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Current liabilities of discontinued operations</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0.9</w:t>
            </w:r>
          </w:p>
        </w:tc>
        <w:tc>
          <w:tcPr>
            <w:tcW w:w="3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9.6</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10.5</w:t>
            </w: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tcBorders>
              <w:right w:val="single" w:sz="8" w:color="CCEEFF"/>
            </w:tcBorders>
            <w:gridSpan w:val="2"/>
            <w:shd w:val="clear" w:color="auto" w:fill="CCEEFF"/>
          </w:tcPr>
          <w:p>
            <w:pPr>
              <w:jc w:val="right"/>
              <w:ind w:right="518"/>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80" w:type="dxa"/>
            <w:vAlign w:val="bottom"/>
          </w:tcPr>
          <w:p>
            <w:pPr>
              <w:ind w:left="380"/>
              <w:spacing w:after="0" w:line="129" w:lineRule="exact"/>
              <w:rPr>
                <w:sz w:val="20"/>
                <w:szCs w:val="20"/>
                <w:color w:val="auto"/>
              </w:rPr>
            </w:pPr>
            <w:r>
              <w:rPr>
                <w:rFonts w:ascii="Arial" w:cs="Arial" w:eastAsia="Arial" w:hAnsi="Arial"/>
                <w:sz w:val="13"/>
                <w:szCs w:val="13"/>
                <w:color w:val="auto"/>
              </w:rPr>
              <w:t>Total current liabilities</w:t>
            </w:r>
          </w:p>
        </w:tc>
        <w:tc>
          <w:tcPr>
            <w:tcW w:w="480" w:type="dxa"/>
            <w:vAlign w:val="bottom"/>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64.0</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w:t>
            </w:r>
          </w:p>
        </w:tc>
        <w:tc>
          <w:tcPr>
            <w:tcW w:w="640" w:type="dxa"/>
            <w:vAlign w:val="bottom"/>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65.5</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0.6</w:t>
            </w:r>
          </w:p>
        </w:tc>
        <w:tc>
          <w:tcPr>
            <w:tcW w:w="54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66.1</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LONG-TERM LIABILITIES</w:t>
            </w: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120"/>
              <w:spacing w:after="0" w:line="135" w:lineRule="exact"/>
              <w:rPr>
                <w:sz w:val="20"/>
                <w:szCs w:val="20"/>
                <w:color w:val="auto"/>
              </w:rPr>
            </w:pPr>
            <w:r>
              <w:rPr>
                <w:rFonts w:ascii="Arial" w:cs="Arial" w:eastAsia="Arial" w:hAnsi="Arial"/>
                <w:sz w:val="13"/>
                <w:szCs w:val="13"/>
                <w:color w:val="auto"/>
              </w:rPr>
              <w:t>Capital Lease obligations and debt—net of current portion</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0.3</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0.3</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2"/>
          </w:tcPr>
          <w:p>
            <w:pPr>
              <w:jc w:val="right"/>
              <w:ind w:right="518"/>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0.3</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Accrual for unused office space—net of current portion</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tcBorders>
              <w:right w:val="single" w:sz="8" w:color="CCEEFF"/>
            </w:tcBorders>
            <w:gridSpan w:val="2"/>
            <w:shd w:val="clear" w:color="auto" w:fill="CCEEFF"/>
          </w:tcPr>
          <w:p>
            <w:pPr>
              <w:jc w:val="right"/>
              <w:ind w:right="518"/>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120"/>
              <w:spacing w:after="0" w:line="135" w:lineRule="exact"/>
              <w:rPr>
                <w:sz w:val="20"/>
                <w:szCs w:val="20"/>
                <w:color w:val="auto"/>
              </w:rPr>
            </w:pPr>
            <w:r>
              <w:rPr>
                <w:rFonts w:ascii="Arial" w:cs="Arial" w:eastAsia="Arial" w:hAnsi="Arial"/>
                <w:sz w:val="13"/>
                <w:szCs w:val="13"/>
                <w:color w:val="auto"/>
              </w:rPr>
              <w:t>Other long-term liabilities</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2"/>
          </w:tcPr>
          <w:p>
            <w:pPr>
              <w:jc w:val="right"/>
              <w:ind w:right="518"/>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Long term liabilities of discontinued operations</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tcBorders>
              <w:right w:val="single" w:sz="8" w:color="CCEEFF"/>
            </w:tcBorders>
            <w:gridSpan w:val="2"/>
            <w:shd w:val="clear" w:color="auto" w:fill="CCEEFF"/>
          </w:tcPr>
          <w:p>
            <w:pPr>
              <w:jc w:val="right"/>
              <w:ind w:right="518"/>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80" w:type="dxa"/>
            <w:vAlign w:val="bottom"/>
            <w:tcBorders>
              <w:bottom w:val="single" w:sz="8" w:color="CCEEFF"/>
            </w:tcBorders>
          </w:tcPr>
          <w:p>
            <w:pPr>
              <w:ind w:left="380"/>
              <w:spacing w:after="0" w:line="129" w:lineRule="exact"/>
              <w:rPr>
                <w:sz w:val="20"/>
                <w:szCs w:val="20"/>
                <w:color w:val="auto"/>
              </w:rPr>
            </w:pPr>
            <w:r>
              <w:rPr>
                <w:rFonts w:ascii="Arial" w:cs="Arial" w:eastAsia="Arial" w:hAnsi="Arial"/>
                <w:sz w:val="13"/>
                <w:szCs w:val="13"/>
                <w:color w:val="auto"/>
              </w:rPr>
              <w:t>Total long-term liabilities</w:t>
            </w:r>
          </w:p>
        </w:tc>
        <w:tc>
          <w:tcPr>
            <w:tcW w:w="48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w:t>
            </w:r>
          </w:p>
        </w:tc>
        <w:tc>
          <w:tcPr>
            <w:tcW w:w="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w:t>
            </w:r>
          </w:p>
        </w:tc>
        <w:tc>
          <w:tcPr>
            <w:tcW w:w="34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w:t>
            </w:r>
          </w:p>
        </w:tc>
        <w:tc>
          <w:tcPr>
            <w:tcW w:w="2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80" w:type="dxa"/>
            <w:vAlign w:val="bottom"/>
            <w:shd w:val="clear" w:color="auto" w:fill="CCEEFF"/>
          </w:tcPr>
          <w:p>
            <w:pPr>
              <w:ind w:left="500"/>
              <w:spacing w:after="0" w:line="129" w:lineRule="exact"/>
              <w:rPr>
                <w:sz w:val="20"/>
                <w:szCs w:val="20"/>
                <w:color w:val="auto"/>
              </w:rPr>
            </w:pPr>
            <w:r>
              <w:rPr>
                <w:rFonts w:ascii="Arial" w:cs="Arial" w:eastAsia="Arial" w:hAnsi="Arial"/>
                <w:sz w:val="13"/>
                <w:szCs w:val="13"/>
                <w:color w:val="auto"/>
              </w:rPr>
              <w:t>Total liabilities</w:t>
            </w: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66.8</w:t>
            </w: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w:t>
            </w: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68.3</w:t>
            </w: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0.6</w:t>
            </w:r>
          </w:p>
        </w:tc>
        <w:tc>
          <w:tcPr>
            <w:tcW w:w="54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68.9</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120"/>
              <w:spacing w:after="0" w:line="135" w:lineRule="exact"/>
              <w:rPr>
                <w:sz w:val="20"/>
                <w:szCs w:val="20"/>
                <w:color w:val="auto"/>
              </w:rPr>
            </w:pPr>
            <w:r>
              <w:rPr>
                <w:rFonts w:ascii="Arial" w:cs="Arial" w:eastAsia="Arial" w:hAnsi="Arial"/>
                <w:sz w:val="13"/>
                <w:szCs w:val="13"/>
                <w:color w:val="auto"/>
              </w:rPr>
              <w:t>Common stock</w:t>
            </w:r>
          </w:p>
        </w:tc>
        <w:tc>
          <w:tcPr>
            <w:tcW w:w="480" w:type="dxa"/>
            <w:vAlign w:val="bottom"/>
          </w:tcPr>
          <w:p>
            <w:pPr>
              <w:spacing w:after="0"/>
              <w:rPr>
                <w:sz w:val="11"/>
                <w:szCs w:val="11"/>
                <w:color w:val="auto"/>
              </w:rPr>
            </w:pPr>
          </w:p>
        </w:tc>
        <w:tc>
          <w:tcPr>
            <w:tcW w:w="6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spacing w:after="0"/>
              <w:rPr>
                <w:sz w:val="11"/>
                <w:szCs w:val="11"/>
                <w:color w:val="auto"/>
              </w:rPr>
            </w:pPr>
          </w:p>
        </w:tc>
        <w:tc>
          <w:tcPr>
            <w:tcW w:w="7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920" w:type="dxa"/>
            <w:vAlign w:val="bottom"/>
            <w:gridSpan w:val="2"/>
          </w:tcPr>
          <w:p>
            <w:pPr>
              <w:jc w:val="right"/>
              <w:ind w:right="518"/>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Additional paid-in capital</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327.1</w:t>
            </w: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327.1</w:t>
            </w:r>
          </w:p>
        </w:tc>
        <w:tc>
          <w:tcPr>
            <w:tcW w:w="3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54.3</w:t>
            </w:r>
          </w:p>
        </w:tc>
        <w:tc>
          <w:tcPr>
            <w:tcW w:w="54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381.4</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120"/>
              <w:spacing w:after="0" w:line="135" w:lineRule="exact"/>
              <w:rPr>
                <w:sz w:val="20"/>
                <w:szCs w:val="20"/>
                <w:color w:val="auto"/>
              </w:rPr>
            </w:pPr>
            <w:r>
              <w:rPr>
                <w:rFonts w:ascii="Arial" w:cs="Arial" w:eastAsia="Arial" w:hAnsi="Arial"/>
                <w:sz w:val="13"/>
                <w:szCs w:val="13"/>
                <w:color w:val="auto"/>
              </w:rPr>
              <w:t>Deferred compensation</w:t>
            </w:r>
          </w:p>
        </w:tc>
        <w:tc>
          <w:tcPr>
            <w:tcW w:w="480" w:type="dxa"/>
            <w:vAlign w:val="bottom"/>
          </w:tcPr>
          <w:p>
            <w:pPr>
              <w:spacing w:after="0"/>
              <w:rPr>
                <w:sz w:val="11"/>
                <w:szCs w:val="11"/>
                <w:color w:val="auto"/>
              </w:rPr>
            </w:pPr>
          </w:p>
        </w:tc>
        <w:tc>
          <w:tcPr>
            <w:tcW w:w="6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spacing w:after="0"/>
              <w:rPr>
                <w:sz w:val="11"/>
                <w:szCs w:val="11"/>
                <w:color w:val="auto"/>
              </w:rPr>
            </w:pPr>
          </w:p>
        </w:tc>
        <w:tc>
          <w:tcPr>
            <w:tcW w:w="7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0.0</w:t>
            </w:r>
          </w:p>
        </w:tc>
        <w:tc>
          <w:tcPr>
            <w:tcW w:w="5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0.0</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Accumulated deficit</w:t>
            </w:r>
          </w:p>
        </w:tc>
        <w:tc>
          <w:tcPr>
            <w:tcW w:w="11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(93.1)</w:t>
            </w: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(93.1)</w:t>
            </w:r>
          </w:p>
        </w:tc>
        <w:tc>
          <w:tcPr>
            <w:tcW w:w="1240" w:type="dxa"/>
            <w:vAlign w:val="bottom"/>
            <w:tcBorders>
              <w:right w:val="single" w:sz="8" w:color="CCEEFF"/>
            </w:tcBorders>
            <w:gridSpan w:val="3"/>
            <w:shd w:val="clear" w:color="auto" w:fill="CCEEFF"/>
          </w:tcPr>
          <w:p>
            <w:pPr>
              <w:jc w:val="right"/>
              <w:ind w:right="458"/>
              <w:spacing w:after="0" w:line="135" w:lineRule="exact"/>
              <w:rPr>
                <w:sz w:val="20"/>
                <w:szCs w:val="20"/>
                <w:color w:val="auto"/>
              </w:rPr>
            </w:pPr>
            <w:r>
              <w:rPr>
                <w:rFonts w:ascii="Arial" w:cs="Arial" w:eastAsia="Arial" w:hAnsi="Arial"/>
                <w:sz w:val="13"/>
                <w:szCs w:val="13"/>
                <w:color w:val="auto"/>
              </w:rPr>
              <w:t>(54.9)</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(148.0)</w:t>
            </w:r>
          </w:p>
        </w:tc>
        <w:tc>
          <w:tcPr>
            <w:tcW w:w="0" w:type="dxa"/>
            <w:vAlign w:val="bottom"/>
          </w:tcPr>
          <w:p>
            <w:pPr>
              <w:spacing w:after="0"/>
              <w:rPr>
                <w:sz w:val="1"/>
                <w:szCs w:val="1"/>
                <w:color w:val="auto"/>
              </w:rPr>
            </w:pPr>
          </w:p>
        </w:tc>
      </w:tr>
      <w:tr>
        <w:trPr>
          <w:trHeight w:val="135"/>
        </w:trPr>
        <w:tc>
          <w:tcPr>
            <w:tcW w:w="3580" w:type="dxa"/>
            <w:vAlign w:val="bottom"/>
          </w:tcPr>
          <w:p>
            <w:pPr>
              <w:ind w:left="120"/>
              <w:spacing w:after="0" w:line="135" w:lineRule="exact"/>
              <w:rPr>
                <w:sz w:val="20"/>
                <w:szCs w:val="20"/>
                <w:color w:val="auto"/>
              </w:rPr>
            </w:pPr>
            <w:r>
              <w:rPr>
                <w:rFonts w:ascii="Arial" w:cs="Arial" w:eastAsia="Arial" w:hAnsi="Arial"/>
                <w:sz w:val="13"/>
                <w:szCs w:val="13"/>
                <w:color w:val="auto"/>
              </w:rPr>
              <w:t>Accumulated other comprehensive loss</w:t>
            </w:r>
          </w:p>
        </w:tc>
        <w:tc>
          <w:tcPr>
            <w:tcW w:w="480" w:type="dxa"/>
            <w:vAlign w:val="bottom"/>
          </w:tcPr>
          <w:p>
            <w:pPr>
              <w:spacing w:after="0"/>
              <w:rPr>
                <w:sz w:val="11"/>
                <w:szCs w:val="11"/>
                <w:color w:val="auto"/>
              </w:rPr>
            </w:pPr>
          </w:p>
        </w:tc>
        <w:tc>
          <w:tcPr>
            <w:tcW w:w="6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(1.7)</w:t>
            </w:r>
          </w:p>
        </w:tc>
        <w:tc>
          <w:tcPr>
            <w:tcW w:w="2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(1.7)</w:t>
            </w:r>
          </w:p>
        </w:tc>
        <w:tc>
          <w:tcPr>
            <w:tcW w:w="320" w:type="dxa"/>
            <w:vAlign w:val="bottom"/>
          </w:tcPr>
          <w:p>
            <w:pPr>
              <w:spacing w:after="0"/>
              <w:rPr>
                <w:sz w:val="11"/>
                <w:szCs w:val="11"/>
                <w:color w:val="auto"/>
              </w:rPr>
            </w:pPr>
          </w:p>
        </w:tc>
        <w:tc>
          <w:tcPr>
            <w:tcW w:w="920" w:type="dxa"/>
            <w:vAlign w:val="bottom"/>
            <w:gridSpan w:val="2"/>
          </w:tcPr>
          <w:p>
            <w:pPr>
              <w:jc w:val="right"/>
              <w:ind w:right="518"/>
              <w:spacing w:after="0" w:line="135" w:lineRule="exact"/>
              <w:rPr>
                <w:sz w:val="20"/>
                <w:szCs w:val="20"/>
                <w:color w:val="auto"/>
              </w:rPr>
            </w:pPr>
            <w:r>
              <w:rPr>
                <w:rFonts w:ascii="Arial" w:cs="Arial" w:eastAsia="Arial" w:hAnsi="Arial"/>
                <w:sz w:val="13"/>
                <w:szCs w:val="13"/>
                <w:i w:val="1"/>
                <w:iCs w:val="1"/>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4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232.3</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232.3</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458"/>
              <w:spacing w:after="0"/>
              <w:rPr>
                <w:sz w:val="20"/>
                <w:szCs w:val="20"/>
                <w:color w:val="auto"/>
              </w:rPr>
            </w:pPr>
            <w:r>
              <w:rPr>
                <w:rFonts w:ascii="Arial" w:cs="Arial" w:eastAsia="Arial" w:hAnsi="Arial"/>
                <w:sz w:val="13"/>
                <w:szCs w:val="13"/>
                <w:color w:val="auto"/>
              </w:rPr>
              <w:t>(0.6)</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231.7</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580" w:type="dxa"/>
            <w:vAlign w:val="bottom"/>
          </w:tcPr>
          <w:p>
            <w:pPr>
              <w:ind w:left="380"/>
              <w:spacing w:after="0" w:line="141" w:lineRule="exact"/>
              <w:rPr>
                <w:sz w:val="20"/>
                <w:szCs w:val="20"/>
                <w:color w:val="auto"/>
              </w:rPr>
            </w:pPr>
            <w:r>
              <w:rPr>
                <w:rFonts w:ascii="Arial" w:cs="Arial" w:eastAsia="Arial" w:hAnsi="Arial"/>
                <w:sz w:val="13"/>
                <w:szCs w:val="13"/>
                <w:color w:val="auto"/>
              </w:rPr>
              <w:t>Total liabilities and stockholders’ equity</w:t>
            </w:r>
          </w:p>
        </w:tc>
        <w:tc>
          <w:tcPr>
            <w:tcW w:w="4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78"/>
              </w:rPr>
              <w:t>$ 299.1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2"/>
              </w:rPr>
              <w:t>$  1.5</w:t>
            </w:r>
          </w:p>
        </w:tc>
        <w:tc>
          <w:tcPr>
            <w:tcW w:w="6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$ 300.6</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2"/>
              </w:rPr>
              <w:t>$  (0.0</w:t>
            </w:r>
          </w:p>
        </w:tc>
        <w:tc>
          <w:tcPr>
            <w:tcW w:w="540" w:type="dxa"/>
            <w:vAlign w:val="bottom"/>
          </w:tcPr>
          <w:p>
            <w:pPr>
              <w:jc w:val="right"/>
              <w:ind w:right="458"/>
              <w:spacing w:after="0"/>
              <w:rPr>
                <w:sz w:val="20"/>
                <w:szCs w:val="20"/>
                <w:color w:val="auto"/>
              </w:rPr>
            </w:pPr>
            <w:r>
              <w:rPr>
                <w:rFonts w:ascii="Arial" w:cs="Arial" w:eastAsia="Arial" w:hAnsi="Arial"/>
                <w:sz w:val="8"/>
                <w:szCs w:val="8"/>
                <w:color w:val="auto"/>
                <w:w w:val="73"/>
              </w:rPr>
              <w:t>)</w:t>
            </w:r>
          </w:p>
        </w:tc>
        <w:tc>
          <w:tcPr>
            <w:tcW w:w="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3"/>
              </w:rPr>
              <w:t>$  300.6</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CONSOLIDATED BALANCE SHEETS FOR SEPTEMBER 30, 2006</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0"/>
              </w:rPr>
              <w:t>Adjustment for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International</w:t>
            </w:r>
          </w:p>
        </w:tc>
        <w:tc>
          <w:tcPr>
            <w:tcW w:w="102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As Restated for</w:t>
            </w:r>
          </w:p>
        </w:tc>
        <w:tc>
          <w:tcPr>
            <w:tcW w:w="104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Adjustment for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Discontinued</w:t>
            </w:r>
          </w:p>
        </w:tc>
        <w:tc>
          <w:tcPr>
            <w:tcW w:w="102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Discontinued</w:t>
            </w:r>
          </w:p>
        </w:tc>
        <w:tc>
          <w:tcPr>
            <w:tcW w:w="104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Stock Based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900" w:type="dxa"/>
            <w:vAlign w:val="bottom"/>
          </w:tcPr>
          <w:p>
            <w:pPr>
              <w:spacing w:after="0"/>
              <w:rPr>
                <w:sz w:val="13"/>
                <w:szCs w:val="13"/>
                <w:color w:val="auto"/>
              </w:rPr>
            </w:pPr>
          </w:p>
        </w:tc>
        <w:tc>
          <w:tcPr>
            <w:tcW w:w="820" w:type="dxa"/>
            <w:vAlign w:val="bottom"/>
            <w:gridSpan w:val="5"/>
          </w:tcPr>
          <w:p>
            <w:pPr>
              <w:spacing w:after="0"/>
              <w:rPr>
                <w:sz w:val="20"/>
                <w:szCs w:val="20"/>
                <w:color w:val="auto"/>
              </w:rPr>
            </w:pPr>
            <w:r>
              <w:rPr>
                <w:rFonts w:ascii="Arial" w:cs="Arial" w:eastAsia="Arial" w:hAnsi="Arial"/>
                <w:sz w:val="13"/>
                <w:szCs w:val="13"/>
                <w:b w:val="1"/>
                <w:bCs w:val="1"/>
                <w:color w:val="auto"/>
              </w:rPr>
              <w:t>As Reported</w:t>
            </w:r>
          </w:p>
        </w:tc>
        <w:tc>
          <w:tcPr>
            <w:tcW w:w="100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7"/>
              </w:rPr>
              <w:t>Operations</w:t>
            </w:r>
          </w:p>
        </w:tc>
        <w:tc>
          <w:tcPr>
            <w:tcW w:w="10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7"/>
              </w:rPr>
              <w:t>Operations</w:t>
            </w:r>
          </w:p>
        </w:tc>
        <w:tc>
          <w:tcPr>
            <w:tcW w:w="104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2"/>
              </w:rPr>
              <w:t>Expenses</w:t>
            </w:r>
          </w:p>
        </w:tc>
        <w:tc>
          <w:tcPr>
            <w:tcW w:w="900" w:type="dxa"/>
            <w:vAlign w:val="bottom"/>
            <w:gridSpan w:val="6"/>
          </w:tcPr>
          <w:p>
            <w:pPr>
              <w:ind w:left="60"/>
              <w:spacing w:after="0"/>
              <w:rPr>
                <w:sz w:val="20"/>
                <w:szCs w:val="20"/>
                <w:color w:val="auto"/>
              </w:rPr>
            </w:pPr>
            <w:r>
              <w:rPr>
                <w:rFonts w:ascii="Arial" w:cs="Arial" w:eastAsia="Arial" w:hAnsi="Arial"/>
                <w:sz w:val="13"/>
                <w:szCs w:val="13"/>
                <w:b w:val="1"/>
                <w:bCs w:val="1"/>
                <w:color w:val="auto"/>
              </w:rPr>
              <w:t>As Restated</w:t>
            </w:r>
          </w:p>
        </w:tc>
      </w:tr>
      <w:tr>
        <w:trPr>
          <w:trHeight w:val="115"/>
        </w:trPr>
        <w:tc>
          <w:tcPr>
            <w:tcW w:w="3900" w:type="dxa"/>
            <w:vAlign w:val="bottom"/>
            <w:tcBorders>
              <w:top w:val="single" w:sz="8" w:color="CCEEFF"/>
            </w:tcBorders>
            <w:shd w:val="clear" w:color="auto" w:fill="CCEEFF"/>
          </w:tcPr>
          <w:p>
            <w:pPr>
              <w:ind w:left="1720"/>
              <w:spacing w:after="0" w:line="115" w:lineRule="exact"/>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color w:val="auto"/>
              </w:rPr>
              <w:t>CURRENT ASSETS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3"/>
            <w:shd w:val="clear" w:color="auto" w:fill="CCEEFF"/>
          </w:tcPr>
          <w:p>
            <w:pPr>
              <w:jc w:val="right"/>
              <w:ind w:right="14"/>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Accounts receivable—net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w w:val="85"/>
              </w:rPr>
              <w:t>107.8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92"/>
              </w:rPr>
              <w:t>101.1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101.1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Note receivable</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Employee loans and advances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Other current assets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7.8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5.9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5.9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Current assets of discontinued operations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29"/>
        </w:trPr>
        <w:tc>
          <w:tcPr>
            <w:tcW w:w="3900" w:type="dxa"/>
            <w:vAlign w:val="bottom"/>
          </w:tcPr>
          <w:p>
            <w:pPr>
              <w:ind w:left="380"/>
              <w:spacing w:after="0" w:line="129" w:lineRule="exact"/>
              <w:rPr>
                <w:sz w:val="20"/>
                <w:szCs w:val="20"/>
                <w:color w:val="auto"/>
              </w:rPr>
            </w:pPr>
            <w:r>
              <w:rPr>
                <w:rFonts w:ascii="Arial" w:cs="Arial" w:eastAsia="Arial" w:hAnsi="Arial"/>
                <w:sz w:val="13"/>
                <w:szCs w:val="13"/>
                <w:color w:val="auto"/>
              </w:rPr>
              <w:t>Total current assets</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142.0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0.7</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142.7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142.7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and equipment, net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14.6</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color w:val="auto"/>
              </w:rPr>
              <w:t>Goodwill</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w w:val="79"/>
              </w:rPr>
              <w:t>119.9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92"/>
              </w:rPr>
              <w:t>119.9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119.9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intangibles, net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color w:val="auto"/>
              </w:rPr>
              <w:t>Deferred tax assets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12.9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0.6</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13.5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13.5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Investments in unconsolidated affiliates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color w:val="auto"/>
              </w:rPr>
              <w:t>Other assets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0.8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0.8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 current assets of discontinued operations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9"/>
        </w:trPr>
        <w:tc>
          <w:tcPr>
            <w:tcW w:w="3900" w:type="dxa"/>
            <w:vAlign w:val="bottom"/>
            <w:tcBorders>
              <w:bottom w:val="single" w:sz="8" w:color="CCEEFF"/>
            </w:tcBorders>
          </w:tcPr>
          <w:p>
            <w:pPr>
              <w:ind w:left="380"/>
              <w:spacing w:after="0" w:line="129" w:lineRule="exact"/>
              <w:rPr>
                <w:sz w:val="20"/>
                <w:szCs w:val="20"/>
                <w:color w:val="auto"/>
              </w:rPr>
            </w:pPr>
            <w:r>
              <w:rPr>
                <w:rFonts w:ascii="Arial" w:cs="Arial" w:eastAsia="Arial" w:hAnsi="Arial"/>
                <w:sz w:val="13"/>
                <w:szCs w:val="13"/>
                <w:color w:val="auto"/>
              </w:rPr>
              <w:t>Total assets</w:t>
            </w:r>
          </w:p>
        </w:tc>
        <w:tc>
          <w:tcPr>
            <w:tcW w:w="1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299.9</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301.2</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gridSpan w:val="2"/>
          </w:tcPr>
          <w:p>
            <w:pPr>
              <w:spacing w:after="0"/>
              <w:rPr>
                <w:sz w:val="14"/>
                <w:szCs w:val="14"/>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301.2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56"/>
        </w:trPr>
        <w:tc>
          <w:tcPr>
            <w:tcW w:w="3900" w:type="dxa"/>
            <w:vAlign w:val="bottom"/>
            <w:shd w:val="clear" w:color="auto" w:fill="CCEEFF"/>
          </w:tcPr>
          <w:p>
            <w:pPr>
              <w:ind w:left="940"/>
              <w:spacing w:after="0"/>
              <w:rPr>
                <w:sz w:val="20"/>
                <w:szCs w:val="20"/>
                <w:color w:val="auto"/>
              </w:rPr>
            </w:pPr>
            <w:r>
              <w:rPr>
                <w:rFonts w:ascii="Arial" w:cs="Arial" w:eastAsia="Arial" w:hAnsi="Arial"/>
                <w:sz w:val="13"/>
                <w:szCs w:val="13"/>
                <w:b w:val="1"/>
                <w:bCs w:val="1"/>
                <w:color w:val="auto"/>
              </w:rPr>
              <w:t>Liabilities and stockholders’ equity</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color w:val="auto"/>
              </w:rPr>
              <w:t>CURRENT LIABILITIES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Accounts payable</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3"/>
            <w:shd w:val="clear" w:color="auto" w:fill="CCEEFF"/>
          </w:tcPr>
          <w:p>
            <w:pPr>
              <w:jc w:val="right"/>
              <w:ind w:right="14"/>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Accounts payable—related party</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w:t>
            </w: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Accrued expenses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24.5</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0.6</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Contract management payables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w:t>
            </w: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Deferred revenue</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Income taxes payable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Line of credit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Tax contingencies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Accrual for unused office space</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Accrual for contingent consideration related to acquisitions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Capital lease obligations and other short-term debt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Current liabilities of discontinued operations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10.1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10.6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10.6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9"/>
        </w:trPr>
        <w:tc>
          <w:tcPr>
            <w:tcW w:w="3900" w:type="dxa"/>
            <w:vAlign w:val="bottom"/>
            <w:tcBorders>
              <w:top w:val="single" w:sz="8" w:color="CCEEFF"/>
            </w:tcBorders>
            <w:shd w:val="clear" w:color="auto" w:fill="CCEEFF"/>
          </w:tcPr>
          <w:p>
            <w:pPr>
              <w:ind w:left="380"/>
              <w:spacing w:after="0" w:line="129" w:lineRule="exact"/>
              <w:rPr>
                <w:sz w:val="20"/>
                <w:szCs w:val="20"/>
                <w:color w:val="auto"/>
              </w:rPr>
            </w:pPr>
            <w:r>
              <w:rPr>
                <w:rFonts w:ascii="Arial" w:cs="Arial" w:eastAsia="Arial" w:hAnsi="Arial"/>
                <w:sz w:val="13"/>
                <w:szCs w:val="13"/>
                <w:color w:val="auto"/>
              </w:rPr>
              <w:t>Total current liabilities</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65.0</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66.3</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0.6</w:t>
            </w: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66.9</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color w:val="auto"/>
              </w:rPr>
              <w:t>LONG-TERM LIABILITIES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Capital Lease obligations and debt—net of current portion</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Accrual for unused office space—net of current portion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long-term liabilities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Long term liabilities of discontinued operations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9"/>
        </w:trPr>
        <w:tc>
          <w:tcPr>
            <w:tcW w:w="3900" w:type="dxa"/>
            <w:vAlign w:val="bottom"/>
            <w:tcBorders>
              <w:top w:val="single" w:sz="8" w:color="CCEEFF"/>
            </w:tcBorders>
            <w:shd w:val="clear" w:color="auto" w:fill="CCEEFF"/>
          </w:tcPr>
          <w:p>
            <w:pPr>
              <w:ind w:left="380"/>
              <w:spacing w:after="0" w:line="129" w:lineRule="exact"/>
              <w:rPr>
                <w:sz w:val="20"/>
                <w:szCs w:val="20"/>
                <w:color w:val="auto"/>
              </w:rPr>
            </w:pPr>
            <w:r>
              <w:rPr>
                <w:rFonts w:ascii="Arial" w:cs="Arial" w:eastAsia="Arial" w:hAnsi="Arial"/>
                <w:sz w:val="13"/>
                <w:szCs w:val="13"/>
                <w:color w:val="auto"/>
              </w:rPr>
              <w:t>Total long-term liabilities</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29"/>
        </w:trPr>
        <w:tc>
          <w:tcPr>
            <w:tcW w:w="3900" w:type="dxa"/>
            <w:vAlign w:val="bottom"/>
          </w:tcPr>
          <w:p>
            <w:pPr>
              <w:ind w:left="500"/>
              <w:spacing w:after="0" w:line="129" w:lineRule="exact"/>
              <w:rPr>
                <w:sz w:val="20"/>
                <w:szCs w:val="20"/>
                <w:color w:val="auto"/>
              </w:rPr>
            </w:pPr>
            <w:r>
              <w:rPr>
                <w:rFonts w:ascii="Arial" w:cs="Arial" w:eastAsia="Arial" w:hAnsi="Arial"/>
                <w:sz w:val="13"/>
                <w:szCs w:val="13"/>
                <w:color w:val="auto"/>
              </w:rPr>
              <w:t>Total liabilities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Arial" w:cs="Arial" w:eastAsia="Arial" w:hAnsi="Arial"/>
                <w:sz w:val="13"/>
                <w:szCs w:val="13"/>
                <w:color w:val="auto"/>
              </w:rPr>
              <w:t>67.6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line="129" w:lineRule="exact"/>
              <w:rPr>
                <w:sz w:val="20"/>
                <w:szCs w:val="20"/>
                <w:color w:val="auto"/>
              </w:rPr>
            </w:pPr>
            <w:r>
              <w:rPr>
                <w:rFonts w:ascii="Arial" w:cs="Arial" w:eastAsia="Arial" w:hAnsi="Arial"/>
                <w:sz w:val="13"/>
                <w:szCs w:val="13"/>
                <w:color w:val="auto"/>
              </w:rPr>
              <w:t>1.3</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3"/>
                <w:szCs w:val="13"/>
                <w:color w:val="auto"/>
              </w:rPr>
              <w:t>68.9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29" w:lineRule="exact"/>
              <w:rPr>
                <w:sz w:val="20"/>
                <w:szCs w:val="20"/>
                <w:color w:val="auto"/>
              </w:rPr>
            </w:pPr>
            <w:r>
              <w:rPr>
                <w:rFonts w:ascii="Arial" w:cs="Arial" w:eastAsia="Arial" w:hAnsi="Arial"/>
                <w:sz w:val="13"/>
                <w:szCs w:val="13"/>
                <w:color w:val="auto"/>
              </w:rPr>
              <w:t>0.6</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69.5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MINORITY INTEREST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w:t>
            </w: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Additional paid-in capital</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327.8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327.8</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54.3</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382.1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Deferred compensation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0.0</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Accumulated deficit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4"/>
              </w:rPr>
              <w:t>(94.0)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(94.0)</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w w:val="88"/>
              </w:rPr>
              <w:t>(54.9)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7"/>
              </w:rPr>
              <w:t>(148.9)</w:t>
            </w:r>
          </w:p>
        </w:tc>
        <w:tc>
          <w:tcPr>
            <w:tcW w:w="120" w:type="dxa"/>
            <w:vAlign w:val="bottom"/>
            <w:shd w:val="clear" w:color="auto" w:fill="CCEEFF"/>
          </w:tcPr>
          <w:p>
            <w:pPr>
              <w:spacing w:after="0"/>
              <w:rPr>
                <w:sz w:val="11"/>
                <w:szCs w:val="11"/>
                <w:color w:val="auto"/>
              </w:rPr>
            </w:pPr>
          </w:p>
        </w:tc>
      </w:tr>
      <w:tr>
        <w:trPr>
          <w:trHeight w:val="135"/>
        </w:trPr>
        <w:tc>
          <w:tcPr>
            <w:tcW w:w="3900" w:type="dxa"/>
            <w:vAlign w:val="bottom"/>
          </w:tcPr>
          <w:p>
            <w:pPr>
              <w:ind w:left="120"/>
              <w:spacing w:after="0" w:line="135" w:lineRule="exact"/>
              <w:rPr>
                <w:sz w:val="20"/>
                <w:szCs w:val="20"/>
                <w:color w:val="auto"/>
              </w:rPr>
            </w:pPr>
            <w:r>
              <w:rPr>
                <w:rFonts w:ascii="Arial" w:cs="Arial" w:eastAsia="Arial" w:hAnsi="Arial"/>
                <w:sz w:val="13"/>
                <w:szCs w:val="13"/>
                <w:color w:val="auto"/>
              </w:rPr>
              <w:t>Accumulated other comprehensive loss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r>
      <w:tr>
        <w:trPr>
          <w:trHeight w:val="129"/>
        </w:trPr>
        <w:tc>
          <w:tcPr>
            <w:tcW w:w="39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STOCKHOLDERS’ EQUITY</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232.3</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232.3</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(0.6)</w:t>
            </w: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231.7</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2"/>
        </w:trPr>
        <w:tc>
          <w:tcPr>
            <w:tcW w:w="3900" w:type="dxa"/>
            <w:vAlign w:val="bottom"/>
          </w:tcPr>
          <w:p>
            <w:pPr>
              <w:ind w:left="380"/>
              <w:spacing w:after="0" w:line="141" w:lineRule="exact"/>
              <w:rPr>
                <w:sz w:val="20"/>
                <w:szCs w:val="20"/>
                <w:color w:val="auto"/>
              </w:rPr>
            </w:pPr>
            <w:r>
              <w:rPr>
                <w:rFonts w:ascii="Arial" w:cs="Arial" w:eastAsia="Arial" w:hAnsi="Arial"/>
                <w:sz w:val="13"/>
                <w:szCs w:val="13"/>
                <w:color w:val="auto"/>
              </w:rPr>
              <w:t>Total liabilities and stockholders’ equity</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143" w:lineRule="exact"/>
              <w:rPr>
                <w:sz w:val="20"/>
                <w:szCs w:val="20"/>
                <w:color w:val="auto"/>
              </w:rPr>
            </w:pPr>
            <w:r>
              <w:rPr>
                <w:rFonts w:ascii="Arial" w:cs="Arial" w:eastAsia="Arial" w:hAnsi="Arial"/>
                <w:sz w:val="13"/>
                <w:szCs w:val="13"/>
                <w:color w:val="auto"/>
                <w:w w:val="85"/>
              </w:rPr>
              <w:t>299.9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line="143" w:lineRule="exact"/>
              <w:rPr>
                <w:sz w:val="20"/>
                <w:szCs w:val="20"/>
                <w:color w:val="auto"/>
              </w:rPr>
            </w:pPr>
            <w:r>
              <w:rPr>
                <w:rFonts w:ascii="Arial" w:cs="Arial" w:eastAsia="Arial" w:hAnsi="Arial"/>
                <w:sz w:val="13"/>
                <w:szCs w:val="13"/>
                <w:color w:val="auto"/>
              </w:rPr>
              <w:t>1.3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43" w:lineRule="exact"/>
              <w:rPr>
                <w:sz w:val="20"/>
                <w:szCs w:val="20"/>
                <w:color w:val="auto"/>
              </w:rPr>
            </w:pPr>
            <w:r>
              <w:rPr>
                <w:rFonts w:ascii="Arial" w:cs="Arial" w:eastAsia="Arial" w:hAnsi="Arial"/>
                <w:sz w:val="13"/>
                <w:szCs w:val="13"/>
                <w:color w:val="auto"/>
                <w:w w:val="92"/>
              </w:rPr>
              <w:t>301.2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line="143" w:lineRule="exact"/>
              <w:rPr>
                <w:sz w:val="20"/>
                <w:szCs w:val="20"/>
                <w:color w:val="auto"/>
              </w:rPr>
            </w:pPr>
            <w:r>
              <w:rPr>
                <w:rFonts w:ascii="Arial" w:cs="Arial" w:eastAsia="Arial" w:hAnsi="Arial"/>
                <w:sz w:val="13"/>
                <w:szCs w:val="13"/>
                <w:color w:val="auto"/>
              </w:rPr>
              <w:t>(0.0</w:t>
            </w:r>
          </w:p>
        </w:tc>
        <w:tc>
          <w:tcPr>
            <w:tcW w:w="280" w:type="dxa"/>
            <w:vAlign w:val="bottom"/>
          </w:tcPr>
          <w:p>
            <w:pPr>
              <w:jc w:val="right"/>
              <w:ind w:right="198"/>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line="143" w:lineRule="exact"/>
              <w:rPr>
                <w:sz w:val="20"/>
                <w:szCs w:val="20"/>
                <w:color w:val="auto"/>
              </w:rPr>
            </w:pPr>
            <w:r>
              <w:rPr>
                <w:rFonts w:ascii="Arial" w:cs="Arial" w:eastAsia="Arial" w:hAnsi="Arial"/>
                <w:sz w:val="13"/>
                <w:szCs w:val="13"/>
                <w:color w:val="auto"/>
              </w:rPr>
              <w:t>301.2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2006</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Company’s revenues in the fourth quarter were higher than the first three quarters because of the MRC acquisition, which occurred early in the fourth quarter. The Company’s fourth quarter losses were significantly greater than the first three quarters due to the impairment of goodwill of $18.3 million in our ENS business, an accelerated vesting of stock options which resulted in a total charge of $9.5 million, a write—of off assets related to discontinued operations of $5.2 million and restructuring and other asset impairment charges of $3.5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Former Stock Option Administrator</w:t>
      </w:r>
    </w:p>
    <w:p>
      <w:pPr>
        <w:spacing w:after="0" w:line="121"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On May 3, 2007, the Company announced that it has a filed a lawsuit against a former employee, Vencent Donlan, who previously served as its stock option administrator and left the Company in mid-2004, and his spouse. The lawsuit seeks to recover damages resulting from the theft by Donlan of WFI</w:t>
      </w:r>
    </w:p>
    <w:p>
      <w:pPr>
        <w:sectPr>
          <w:pgSz w:w="11900" w:h="16935" w:orient="portrait"/>
          <w:cols w:equalWidth="0" w:num="1">
            <w:col w:w="11340"/>
          </w:cols>
          <w:pgMar w:left="240" w:top="125" w:right="319" w:bottom="0" w:gutter="0" w:footer="0" w:header="0"/>
        </w:sectPr>
      </w:pPr>
    </w:p>
    <w:bookmarkStart w:id="110" w:name="page111"/>
    <w:bookmarkEnd w:id="110"/>
    <w:p>
      <w:pPr>
        <w:ind w:right="40"/>
        <w:spacing w:after="0" w:line="290" w:lineRule="auto"/>
        <w:rPr>
          <w:sz w:val="20"/>
          <w:szCs w:val="20"/>
          <w:color w:val="auto"/>
        </w:rPr>
      </w:pPr>
      <w:r>
        <w:rPr>
          <w:rFonts w:ascii="Arial" w:cs="Arial" w:eastAsia="Arial" w:hAnsi="Arial"/>
          <w:sz w:val="16"/>
          <w:szCs w:val="16"/>
          <w:color w:val="auto"/>
        </w:rPr>
        <w:t>stock options and common stock valued in excess of $6.3 million. The thefts, which appear to have taken place during 2002 and 2003, were discovered through the Company’s review of its past practices related to the granting and pricing of employee stock options with the assistance of its outside counsel and forensic computer consultants. The complaint also alleges that Donlan attempted to cover up the scheme by, among other things, deleting entries from the Company’s records. WFI had promptly reported this discovery to the SEC in March 2007 when the theift was discovered. The SEC commenced an enforcement action against Donlan, and the U.S. Attorney’s Office forwarded a grand jury subpoena to the company seeking records related to Donlan and our historical option granting practices. The SEC filed a federal lawsuit and obtained a temporary restraining order and asset freeze against Donlan and his spouse. The U.S. Attorney’s Office indicted Donlan for the theft and he plead guilty to the federal criminal charges. The Company has cooperated with, and intends to continue to cooperate with both the SEC and the U.S. Attorney’s Office on this matter and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Amendments with KeyBank</w:t>
      </w:r>
    </w:p>
    <w:p>
      <w:pPr>
        <w:spacing w:after="0" w:line="121"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As of March 30, 2007 the Company was in technical default of the covenants within its credit agreement with Key Bank as the Company had not yet filed its 10 K and 2006 audited financials. On April 6, 2007 the Company entered into an amendment to the credit agreement whereby Key Bank waived this technical default and provided an extension through April 30, 2007 for filing its 10 K and 2006 audited financial statements. On June 1, 2007, the Company entered into a second amendment to the credit agreement whereby Key Bank extended the original waiver for filing its 10 K and 2006 audited financial statements and the quarterly unaudited financial statements for the fiscal quarters ended March 31, 2007 and June 30, 2007 through September 30, 2007 and reduced the total Facility from $85 million to $50 million to reflect the net pay downs of the revolving line of credit reflecting the divestiture of its EMEA business in March 2007 and the divesture of its domestic Engineering business. In addition, the second amendment provides for the further reduction of the Company’s credit facility to $35 million effective upon receipt of principal payments under the note received from the buyer of the domestic engineering business, which occurred on July 3,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Sale of EMEA/Brazil</w:t>
      </w:r>
    </w:p>
    <w:p>
      <w:pPr>
        <w:spacing w:after="0" w:line="121"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On March 9, 2007, the Company announced that it had signed a definitive agreement with LCC International to sell WFI’s entire Europe, Middle East and Africa (EMEA) business in a cash for stock transaction valued at $4 million. The sale of EMEA generated a gain of $3.3 million which was recorded in the first quarter of 2007.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On April 20, 2007, the Company entered into an Equity Purchase Agreement to sell all of the issued and outstanding equity interests of its wholly owned subsidiary WFI de Brasil Techologia em Telecomunicaciones LTDA, a company limited by shares formed under the laws of the Brazil (“</w:t>
      </w:r>
      <w:r>
        <w:rPr>
          <w:rFonts w:ascii="Arial" w:cs="Arial" w:eastAsia="Arial" w:hAnsi="Arial"/>
          <w:sz w:val="18"/>
          <w:szCs w:val="18"/>
          <w:i w:val="1"/>
          <w:iCs w:val="1"/>
          <w:color w:val="auto"/>
        </w:rPr>
        <w:t>WFI Brazil</w:t>
      </w:r>
      <w:r>
        <w:rPr>
          <w:rFonts w:ascii="Arial" w:cs="Arial" w:eastAsia="Arial" w:hAnsi="Arial"/>
          <w:sz w:val="18"/>
          <w:szCs w:val="18"/>
          <w:color w:val="auto"/>
        </w:rPr>
        <w:t>”), to Strategic Project Services, LLC, a Louisiana limited liability company (“</w:t>
      </w:r>
      <w:r>
        <w:rPr>
          <w:rFonts w:ascii="Arial" w:cs="Arial" w:eastAsia="Arial" w:hAnsi="Arial"/>
          <w:sz w:val="18"/>
          <w:szCs w:val="18"/>
          <w:i w:val="1"/>
          <w:iCs w:val="1"/>
          <w:color w:val="auto"/>
        </w:rPr>
        <w:t>SPS</w:t>
      </w:r>
      <w:r>
        <w:rPr>
          <w:rFonts w:ascii="Arial" w:cs="Arial" w:eastAsia="Arial" w:hAnsi="Arial"/>
          <w:sz w:val="18"/>
          <w:szCs w:val="18"/>
          <w:color w:val="auto"/>
        </w:rPr>
        <w:t>”). Pursuant to the Purchase Agreement, WFI received the following consideration:</w:t>
      </w:r>
    </w:p>
    <w:p>
      <w:pPr>
        <w:spacing w:after="0" w:line="79" w:lineRule="exact"/>
        <w:rPr>
          <w:sz w:val="20"/>
          <w:szCs w:val="20"/>
          <w:color w:val="auto"/>
        </w:rPr>
      </w:pPr>
    </w:p>
    <w:p>
      <w:pPr>
        <w:ind w:left="500" w:hanging="132"/>
        <w:spacing w:after="0"/>
        <w:tabs>
          <w:tab w:leader="none" w:pos="5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SPS assumed substantially all outstanding liabilities of WFI Brazil;</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Nominal cash consideration on signing of the Purchase Agreement;</w:t>
      </w:r>
    </w:p>
    <w:p>
      <w:pPr>
        <w:spacing w:after="0" w:line="117" w:lineRule="exact"/>
        <w:rPr>
          <w:rFonts w:ascii="Arial" w:cs="Arial" w:eastAsia="Arial" w:hAnsi="Arial"/>
          <w:sz w:val="18"/>
          <w:szCs w:val="18"/>
          <w:color w:val="auto"/>
        </w:rPr>
      </w:pPr>
    </w:p>
    <w:p>
      <w:pPr>
        <w:ind w:left="540" w:right="340" w:hanging="172"/>
        <w:spacing w:after="0" w:line="264" w:lineRule="auto"/>
        <w:tabs>
          <w:tab w:leader="none" w:pos="5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Following the sale of WFI Brazil to SPS, WFI is entitled to receive 25% of the Net Receivables of WFI Brazil until such time as the gross account receivables set forth in the financials of WFI Brazil at Closing are fully paid (the “</w:t>
      </w:r>
      <w:r>
        <w:rPr>
          <w:rFonts w:ascii="Arial" w:cs="Arial" w:eastAsia="Arial" w:hAnsi="Arial"/>
          <w:sz w:val="18"/>
          <w:szCs w:val="18"/>
          <w:i w:val="1"/>
          <w:iCs w:val="1"/>
          <w:color w:val="auto"/>
        </w:rPr>
        <w:t>Earn Out</w:t>
      </w:r>
      <w:r>
        <w:rPr>
          <w:rFonts w:ascii="Arial" w:cs="Arial" w:eastAsia="Arial" w:hAnsi="Arial"/>
          <w:sz w:val="18"/>
          <w:szCs w:val="18"/>
          <w:color w:val="auto"/>
        </w:rPr>
        <w:t>”). SPS shall pay the Earn Out portion of the Net Receivables to WFI within 15 days of SPS’ collection of such amount; and</w:t>
      </w:r>
    </w:p>
    <w:p>
      <w:pPr>
        <w:spacing w:after="0" w:line="73" w:lineRule="exact"/>
        <w:rPr>
          <w:rFonts w:ascii="Arial" w:cs="Arial" w:eastAsia="Arial" w:hAnsi="Arial"/>
          <w:sz w:val="18"/>
          <w:szCs w:val="18"/>
          <w:color w:val="auto"/>
        </w:rPr>
      </w:pPr>
    </w:p>
    <w:p>
      <w:pPr>
        <w:ind w:left="540" w:right="20" w:hanging="172"/>
        <w:spacing w:after="0" w:line="264" w:lineRule="auto"/>
        <w:tabs>
          <w:tab w:leader="none" w:pos="5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the Working Capital left in WFI Brazil at Closing is less than $1,200,000; then SPS shall be entitled to apply such payments due WFI from an Earn Out amounts to the Working Capital account, until it equals $1,200,000. Thereafter, such Earn Out amounts shall be paid to WFI into such accounts or to such entities as directed in writing by WFI.</w:t>
      </w:r>
    </w:p>
    <w:p>
      <w:pPr>
        <w:spacing w:after="0" w:line="177" w:lineRule="exact"/>
        <w:rPr>
          <w:rFonts w:ascii="Arial" w:cs="Arial" w:eastAsia="Arial" w:hAnsi="Arial"/>
          <w:sz w:val="18"/>
          <w:szCs w:val="18"/>
          <w:color w:val="auto"/>
        </w:rPr>
      </w:pPr>
    </w:p>
    <w:p>
      <w:pPr>
        <w:ind w:left="200" w:hanging="192"/>
        <w:spacing w:after="0"/>
        <w:tabs>
          <w:tab w:leader="none" w:pos="2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Sale of Domestic Engineering Business</w:t>
      </w:r>
    </w:p>
    <w:p>
      <w:pPr>
        <w:spacing w:after="0" w:line="12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On May 29, 2007, the Company entered into an Asset Purchase Agreement (the “</w:t>
      </w:r>
      <w:r>
        <w:rPr>
          <w:rFonts w:ascii="Arial" w:cs="Arial" w:eastAsia="Arial" w:hAnsi="Arial"/>
          <w:sz w:val="18"/>
          <w:szCs w:val="18"/>
          <w:i w:val="1"/>
          <w:iCs w:val="1"/>
          <w:color w:val="auto"/>
        </w:rPr>
        <w:t>Acquisition Agreement</w:t>
      </w:r>
      <w:r>
        <w:rPr>
          <w:rFonts w:ascii="Arial" w:cs="Arial" w:eastAsia="Arial" w:hAnsi="Arial"/>
          <w:sz w:val="18"/>
          <w:szCs w:val="18"/>
          <w:color w:val="auto"/>
        </w:rPr>
        <w:t>”) with LCC International, Inc. (“</w:t>
      </w:r>
      <w:r>
        <w:rPr>
          <w:rFonts w:ascii="Arial" w:cs="Arial" w:eastAsia="Arial" w:hAnsi="Arial"/>
          <w:sz w:val="18"/>
          <w:szCs w:val="18"/>
          <w:i w:val="1"/>
          <w:iCs w:val="1"/>
          <w:color w:val="auto"/>
        </w:rPr>
        <w:t>LCC</w:t>
      </w:r>
      <w:r>
        <w:rPr>
          <w:rFonts w:ascii="Arial" w:cs="Arial" w:eastAsia="Arial" w:hAnsi="Arial"/>
          <w:sz w:val="18"/>
          <w:szCs w:val="18"/>
          <w:color w:val="auto"/>
        </w:rPr>
        <w:t>”) pursuant to which the Company agreed to sell to LCC all of the assets used in the conduct of the operation of the Company’s Wireless Network Services business segment that provides engineering services to the non—government wireless communications industry in the United States on the terms set forth in the Acquisition Agreement , subject to the satisfaction of certain closing conditions. The Board of Directors of each of the Company and LCC approved the Acquisition and the Acquisition Agreement.</w:t>
      </w:r>
    </w:p>
    <w:p>
      <w:pPr>
        <w:spacing w:after="0" w:line="80"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The aggregate consideration to be paid by LCC in connection with the Acquisition is $46,000,000, subject to certain adjustments. Pursuant to the terms of the Acquisition Agreement, LCC delivered a subordinated promissory note for the principal amount of $21.6 million (the “</w:t>
      </w:r>
      <w:r>
        <w:rPr>
          <w:rFonts w:ascii="Arial" w:cs="Arial" w:eastAsia="Arial" w:hAnsi="Arial"/>
          <w:sz w:val="16"/>
          <w:szCs w:val="16"/>
          <w:i w:val="1"/>
          <w:iCs w:val="1"/>
          <w:color w:val="auto"/>
        </w:rPr>
        <w:t>Subordinated Promissory</w:t>
      </w:r>
      <w:r>
        <w:rPr>
          <w:rFonts w:ascii="Arial" w:cs="Arial" w:eastAsia="Arial" w:hAnsi="Arial"/>
          <w:sz w:val="16"/>
          <w:szCs w:val="16"/>
          <w:color w:val="auto"/>
        </w:rPr>
        <w:t xml:space="preserve"> </w:t>
      </w:r>
      <w:r>
        <w:rPr>
          <w:rFonts w:ascii="Arial" w:cs="Arial" w:eastAsia="Arial" w:hAnsi="Arial"/>
          <w:sz w:val="16"/>
          <w:szCs w:val="16"/>
          <w:i w:val="1"/>
          <w:iCs w:val="1"/>
          <w:color w:val="auto"/>
        </w:rPr>
        <w:t>Note</w:t>
      </w:r>
      <w:r>
        <w:rPr>
          <w:rFonts w:ascii="Arial" w:cs="Arial" w:eastAsia="Arial" w:hAnsi="Arial"/>
          <w:sz w:val="16"/>
          <w:szCs w:val="16"/>
          <w:color w:val="auto"/>
        </w:rPr>
        <w:t>”), subject to working capital adjustments, and paid $17 million in cash and at the closing, and the Company has retained an estimated $7 million in net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receivable of the Business, subject to working capital adjustments. The transaction was completed on June 4, 2007.</w:t>
      </w:r>
    </w:p>
    <w:p>
      <w:pPr>
        <w:spacing w:after="0" w:line="46"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On July 5, 2007, the Company announced that it had sold the $21.6 million subordinated promissory note in a transaction arranged by KeyBanc Capital Markets (“KeyBanc”). The Company received approximately $19.6 million in net cash proceeds, reflecting a discount from par value of less than five percent and aggregate transaction fees of approximately $1 million, which includes a $0.75 million fee to KeyBanc, an affiliate of the Company’s lender. The note was acquired by a fund affiliated with Silver Point Capital, L.P. (“Silver Point’). Certain post closing adjustments that, under the terms of the sale of the U.S. Wireless Engineering business. The Company is not providing any guaranty for LCC’s payment obligations Certain post closing adjustments that, under the terms of the sale of the U.S. Wireless Engineering business ere expected to be made to the principal amount of the Note, may instead be made by payments between WFI and LCC International, or between Silver Point and WFI, as applicable.</w:t>
      </w:r>
    </w:p>
    <w:p>
      <w:pPr>
        <w:spacing w:after="0" w:line="7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On August 10, 2007, in accordance with the terms of the Agreement, the Company provided the closing balance sheet working capital calculation, which indicated a $2.6 million working capital adjustment was is due to WFI as an increase to the balance of the Subordinated Promissory Note. LCC has until September 10, 2007 to review the calculation and notify the Company of any dispute.</w:t>
      </w:r>
    </w:p>
    <w:p>
      <w:pPr>
        <w:sectPr>
          <w:pgSz w:w="11900" w:h="16838" w:orient="portrait"/>
          <w:cols w:equalWidth="0" w:num="1">
            <w:col w:w="11400"/>
          </w:cols>
          <w:pgMar w:left="240" w:top="125" w:right="259" w:bottom="755"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755" w:gutter="0" w:footer="0" w:header="0"/>
          <w:type w:val="continuous"/>
        </w:sectPr>
      </w:pPr>
    </w:p>
    <w:bookmarkStart w:id="111" w:name="page112"/>
    <w:bookmarkEnd w:id="111"/>
    <w:p>
      <w:pPr>
        <w:spacing w:after="0" w:line="62"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As a result of the divestitures of the U.S. Wireless Engineering and U.S. Wireless Deployment businesses, the Company expects to record a loss of approximately $8 to $10 million in the second and third quarters of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Sale of Deployment Business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July 9, 2007, the Company entered into a definitive agreement with an affiliate of Platinum Equity to sell WFI’s Wireless Deployment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Platinum is a Los Angeles based private equity firm whose portfolio includes service and distribution businesses in a number of market sectors.</w:t>
      </w:r>
    </w:p>
    <w:p>
      <w:pPr>
        <w:spacing w:after="0" w:line="103"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The total consideration for the acquisition is $24 million including $18 million in cash at closing, subject to typical post closing working capital adjustments, and an aggregate $6 million in a three—year earn—out arrangement through 2010. The deal includes a Transition Services Agreement for the transition of certain services for a period of six months. The assets sold to Platinum Equity include all of WFI’s Wireless Deployment business, and the Wireless Facilities name. The transaction closed on July 24, 2007.</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CONDENSED CONSOLIDATED FINANCIAL STATEMENTS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following unaudited pro forma condensed consolidated balance sheet as of December 31, 2006 and statement of operations for each of the years ended December 31, 2006, 2005 and 2004 give effect to the Company’s completion of the discontinuance of all and sale of substantially all of its engineering business and the sale of its domestic deployment business as described above. For purposes of the unaudited pro forma condensed consolidated balance sheet, we assume that these transactions and the application of the net proceeds occurred as of December 31, 2006. For the unaudited pro forma condensed consolidated statement of operations for the aforementioned periods, we assume that the discontinuance and sales of the businesses occurred on January 1, 2004.</w:t>
      </w:r>
    </w:p>
    <w:p>
      <w:pPr>
        <w:spacing w:after="0" w:line="85"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derived the unaudited pro forma condensed consolidated financial statements from the historical financial statements of the Company. The pro forma adjustments are based upon currently available information and certain assumptions that we believe are reasonable as of the date of this filing. However, actual adjustments may differ materially from the information presented. The unaudited pro forma financial information is for informational purposes only and does not purport to present what our results would actually have been had these transactions actually occurred on the dates presented or to project our results of operations or financial position for any future period. Assumptions underlying the pro forma adjustments are described in the accompanying notes, which should be read in conjunction with the unaudited pro forma condensed consolidated financial statements. In addition, the following information should be read in conjunction with the Company’s consolidated financial statements and the accompanying notes and related “Management’s Discussion and Analysis of Financial Condition and Results of Operations” section included in this 10—K filing.</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December 31, 2006</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millions)</w:t>
      </w:r>
    </w:p>
    <w:p>
      <w:pPr>
        <w:spacing w:after="0" w:line="200" w:lineRule="exact"/>
        <w:rPr>
          <w:sz w:val="20"/>
          <w:szCs w:val="20"/>
          <w:color w:val="auto"/>
        </w:rPr>
      </w:pPr>
    </w:p>
    <w:p>
      <w:pPr>
        <w:spacing w:after="0" w:line="250" w:lineRule="exact"/>
        <w:rPr>
          <w:sz w:val="20"/>
          <w:szCs w:val="20"/>
          <w:color w:val="auto"/>
        </w:rPr>
      </w:pPr>
    </w:p>
    <w:tbl>
      <w:tblPr>
        <w:tblLayout w:type="fixed"/>
        <w:tblInd w:w="148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97"/>
              </w:rPr>
              <w:t>Pro Forma Adjustments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580" w:type="dxa"/>
            <w:vAlign w:val="bottom"/>
          </w:tcPr>
          <w:p>
            <w:pPr>
              <w:spacing w:after="0"/>
              <w:rPr>
                <w:sz w:val="8"/>
                <w:szCs w:val="8"/>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Historical</w:t>
            </w: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3"/>
          </w:tcPr>
          <w:p>
            <w:pPr>
              <w:spacing w:after="0" w:line="102" w:lineRule="exact"/>
              <w:rPr>
                <w:sz w:val="20"/>
                <w:szCs w:val="20"/>
                <w:color w:val="auto"/>
              </w:rPr>
            </w:pPr>
            <w:r>
              <w:rPr>
                <w:rFonts w:ascii="Arial" w:cs="Arial" w:eastAsia="Arial" w:hAnsi="Arial"/>
                <w:sz w:val="11"/>
                <w:szCs w:val="11"/>
                <w:b w:val="1"/>
                <w:bCs w:val="1"/>
                <w:color w:val="auto"/>
              </w:rPr>
              <w:t>Wireless</w:t>
            </w: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2"/>
          </w:tcPr>
          <w:p>
            <w:pPr>
              <w:jc w:val="right"/>
              <w:ind w:right="160"/>
              <w:spacing w:after="0" w:line="102" w:lineRule="exact"/>
              <w:rPr>
                <w:sz w:val="20"/>
                <w:szCs w:val="20"/>
                <w:color w:val="auto"/>
              </w:rPr>
            </w:pPr>
            <w:r>
              <w:rPr>
                <w:rFonts w:ascii="Arial" w:cs="Arial" w:eastAsia="Arial" w:hAnsi="Arial"/>
                <w:sz w:val="11"/>
                <w:szCs w:val="11"/>
                <w:b w:val="1"/>
                <w:bCs w:val="1"/>
                <w:color w:val="auto"/>
              </w:rPr>
              <w:t>Wireless</w:t>
            </w:r>
          </w:p>
        </w:tc>
        <w:tc>
          <w:tcPr>
            <w:tcW w:w="240" w:type="dxa"/>
            <w:vAlign w:val="bottom"/>
          </w:tcPr>
          <w:p>
            <w:pPr>
              <w:spacing w:after="0"/>
              <w:rPr>
                <w:sz w:val="8"/>
                <w:szCs w:val="8"/>
                <w:color w:val="auto"/>
              </w:rPr>
            </w:pPr>
          </w:p>
        </w:tc>
        <w:tc>
          <w:tcPr>
            <w:tcW w:w="8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1100" w:type="dxa"/>
            <w:vAlign w:val="bottom"/>
            <w:gridSpan w:val="5"/>
          </w:tcPr>
          <w:p>
            <w:pPr>
              <w:ind w:left="60"/>
              <w:spacing w:after="0"/>
              <w:rPr>
                <w:sz w:val="20"/>
                <w:szCs w:val="20"/>
                <w:color w:val="auto"/>
              </w:rPr>
            </w:pPr>
            <w:r>
              <w:rPr>
                <w:rFonts w:ascii="Arial" w:cs="Arial" w:eastAsia="Arial" w:hAnsi="Arial"/>
                <w:sz w:val="14"/>
                <w:szCs w:val="14"/>
                <w:b w:val="1"/>
                <w:bCs w:val="1"/>
                <w:color w:val="auto"/>
              </w:rPr>
              <w:t>Engineering</w:t>
            </w:r>
          </w:p>
        </w:tc>
        <w:tc>
          <w:tcPr>
            <w:tcW w:w="4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Deployment</w:t>
            </w:r>
          </w:p>
        </w:tc>
        <w:tc>
          <w:tcPr>
            <w:tcW w:w="8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(B)</w:t>
            </w: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42.1(C)</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16.2(D)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(41.9)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Income taxes receivable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(27.8)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5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intangibles,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(17.9)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Deferred tax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Non current assets of discontinued operations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(41.1</w:t>
            </w:r>
          </w:p>
        </w:tc>
        <w:tc>
          <w:tcPr>
            <w:tcW w:w="300" w:type="dxa"/>
            <w:vAlign w:val="bottom"/>
            <w:tcBorders>
              <w:top w:val="single" w:sz="8" w:color="CCEEFF"/>
              <w:bottom w:val="single" w:sz="8" w:color="CCEEFF"/>
            </w:tcBorders>
            <w:shd w:val="clear" w:color="auto" w:fill="CCEEFF"/>
          </w:tcPr>
          <w:p>
            <w:pPr>
              <w:jc w:val="right"/>
              <w:ind w:right="220"/>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301.8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Line of credit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Billings in excess of costs on completed contracts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9.2(E)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Tax contingencies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 obligations and other short-term debt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liabilities of discontinued operations</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580" w:type="dxa"/>
            <w:vAlign w:val="bottom"/>
          </w:tcPr>
          <w:p>
            <w:pPr>
              <w:spacing w:after="0"/>
              <w:rPr>
                <w:sz w:val="20"/>
                <w:szCs w:val="20"/>
                <w:color w:val="auto"/>
              </w:rPr>
            </w:pPr>
            <w:r>
              <w:rPr>
                <w:rFonts w:ascii="Arial" w:cs="Arial" w:eastAsia="Arial" w:hAnsi="Arial"/>
                <w:sz w:val="18"/>
                <w:szCs w:val="18"/>
                <w:color w:val="auto"/>
              </w:rPr>
              <w:t>Capital lease obligations and debt, net of current portion</w:t>
            </w: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 term liabilities of discontinued operations</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88"/>
              </w:rPr>
              <w:t>146.7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w w:val="97"/>
              </w:rPr>
              <w:t>(23.0)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88"/>
              </w:rPr>
              <w:t>125.8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380"/>
          </w:cols>
          <w:pgMar w:left="240" w:top="125" w:right="279" w:bottom="0" w:gutter="0" w:footer="0" w:header="0"/>
        </w:sectPr>
      </w:pPr>
    </w:p>
    <w:bookmarkStart w:id="112" w:name="page113"/>
    <w:bookmarkEnd w:id="112"/>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Stockholders’ Equity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(18.1)</w:t>
            </w:r>
          </w:p>
        </w:tc>
        <w:tc>
          <w:tcPr>
            <w:tcW w:w="560" w:type="dxa"/>
            <w:vAlign w:val="bottom"/>
          </w:tcPr>
          <w:p>
            <w:pPr>
              <w:jc w:val="right"/>
              <w:spacing w:after="0"/>
              <w:rPr>
                <w:sz w:val="20"/>
                <w:szCs w:val="20"/>
                <w:color w:val="auto"/>
              </w:rPr>
            </w:pPr>
            <w:r>
              <w:rPr>
                <w:rFonts w:ascii="Arial" w:cs="Arial" w:eastAsia="Arial" w:hAnsi="Arial"/>
                <w:sz w:val="18"/>
                <w:szCs w:val="18"/>
                <w:color w:val="auto"/>
              </w:rPr>
              <w:t>186.5</w:t>
            </w:r>
          </w:p>
        </w:tc>
        <w:tc>
          <w:tcPr>
            <w:tcW w:w="160" w:type="dxa"/>
            <w:vAlign w:val="bottom"/>
          </w:tcPr>
          <w:p>
            <w:pPr>
              <w:spacing w:after="0"/>
              <w:rPr>
                <w:sz w:val="20"/>
                <w:szCs w:val="20"/>
                <w:color w:val="auto"/>
              </w:rPr>
            </w:pPr>
          </w:p>
        </w:tc>
      </w:tr>
      <w:tr>
        <w:trPr>
          <w:trHeight w:val="223"/>
        </w:trPr>
        <w:tc>
          <w:tcPr>
            <w:tcW w:w="4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$ 335.9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7.0</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(41.1</w:t>
            </w:r>
          </w:p>
        </w:tc>
        <w:tc>
          <w:tcPr>
            <w:tcW w:w="620" w:type="dxa"/>
            <w:vAlign w:val="bottom"/>
            <w:tcBorders>
              <w:top w:val="single" w:sz="8" w:color="CCEEFF"/>
              <w:bottom w:val="single" w:sz="8" w:color="CCEEFF"/>
            </w:tcBorders>
            <w:shd w:val="clear" w:color="auto" w:fill="CCEEFF"/>
          </w:tcPr>
          <w:p>
            <w:pPr>
              <w:jc w:val="right"/>
              <w:ind w:right="540"/>
              <w:spacing w:after="0"/>
              <w:rPr>
                <w:sz w:val="20"/>
                <w:szCs w:val="20"/>
                <w:color w:val="auto"/>
              </w:rPr>
            </w:pPr>
            <w:r>
              <w:rPr>
                <w:rFonts w:ascii="Arial" w:cs="Arial" w:eastAsia="Arial" w:hAnsi="Arial"/>
                <w:sz w:val="8"/>
                <w:szCs w:val="8"/>
                <w:color w:val="auto"/>
                <w:w w:val="7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301.8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 to Unaudited Pro Forma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 except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7"/>
          </w:tcPr>
          <w:p>
            <w:pPr>
              <w:ind w:left="160"/>
              <w:spacing w:after="0"/>
              <w:rPr>
                <w:sz w:val="20"/>
                <w:szCs w:val="20"/>
                <w:color w:val="auto"/>
              </w:rPr>
            </w:pPr>
            <w:r>
              <w:rPr>
                <w:rFonts w:ascii="Arial" w:cs="Arial" w:eastAsia="Arial" w:hAnsi="Arial"/>
                <w:sz w:val="14"/>
                <w:szCs w:val="14"/>
                <w:b w:val="1"/>
                <w:bCs w:val="1"/>
                <w:color w:val="auto"/>
              </w:rPr>
              <w:t>Pro Forma Adjustments</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680" w:type="dxa"/>
            <w:vAlign w:val="bottom"/>
          </w:tcPr>
          <w:p>
            <w:pPr>
              <w:spacing w:after="0"/>
              <w:rPr>
                <w:sz w:val="8"/>
                <w:szCs w:val="8"/>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1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3"/>
          </w:tcPr>
          <w:p>
            <w:pPr>
              <w:jc w:val="center"/>
              <w:ind w:right="400"/>
              <w:spacing w:after="0" w:line="102" w:lineRule="exact"/>
              <w:rPr>
                <w:sz w:val="20"/>
                <w:szCs w:val="20"/>
                <w:color w:val="auto"/>
              </w:rPr>
            </w:pPr>
            <w:r>
              <w:rPr>
                <w:rFonts w:ascii="Arial" w:cs="Arial" w:eastAsia="Arial" w:hAnsi="Arial"/>
                <w:sz w:val="11"/>
                <w:szCs w:val="11"/>
                <w:b w:val="1"/>
                <w:bCs w:val="1"/>
                <w:color w:val="auto"/>
              </w:rPr>
              <w:t>Wireless</w:t>
            </w: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rPr>
              <w:t>Wireless</w:t>
            </w:r>
          </w:p>
        </w:tc>
        <w:tc>
          <w:tcPr>
            <w:tcW w:w="160" w:type="dxa"/>
            <w:vAlign w:val="bottom"/>
          </w:tcPr>
          <w:p>
            <w:pPr>
              <w:spacing w:after="0"/>
              <w:rPr>
                <w:sz w:val="8"/>
                <w:szCs w:val="8"/>
                <w:color w:val="auto"/>
              </w:rPr>
            </w:pPr>
          </w:p>
        </w:tc>
        <w:tc>
          <w:tcPr>
            <w:tcW w:w="80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1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Engineering</w:t>
            </w: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Deployment</w:t>
            </w: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$ 327.8</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(68.0)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(106.6)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$ 153.2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Cost of Revenues</w:t>
            </w:r>
          </w:p>
        </w:tc>
        <w:tc>
          <w:tcPr>
            <w:tcW w:w="540" w:type="dxa"/>
            <w:vAlign w:val="bottom"/>
          </w:tcPr>
          <w:p>
            <w:pPr>
              <w:jc w:val="right"/>
              <w:spacing w:after="0"/>
              <w:rPr>
                <w:sz w:val="20"/>
                <w:szCs w:val="20"/>
                <w:color w:val="auto"/>
              </w:rPr>
            </w:pPr>
            <w:r>
              <w:rPr>
                <w:rFonts w:ascii="Arial" w:cs="Arial" w:eastAsia="Arial" w:hAnsi="Arial"/>
                <w:sz w:val="18"/>
                <w:szCs w:val="18"/>
                <w:color w:val="auto"/>
              </w:rPr>
              <w:t>274.3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(54.4)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(95.6)</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right w:val="single" w:sz="8" w:color="CCEEFF"/>
            </w:tcBorders>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tcBorders>
              <w:right w:val="single" w:sz="8" w:color="CCEEFF"/>
            </w:tcBorders>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(13.6)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and restructuring charges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(0.6)(G)</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(0.1)(F)</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continuing operations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(46.7</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80" w:type="dxa"/>
            <w:vAlign w:val="bottom"/>
            <w:tcBorders>
              <w:bottom w:val="single" w:sz="8" w:color="CCEEFF"/>
            </w:tcBorders>
          </w:tcPr>
          <w:p>
            <w:pPr>
              <w:jc w:val="right"/>
              <w:ind w:right="300"/>
              <w:spacing w:after="0"/>
              <w:rPr>
                <w:sz w:val="20"/>
                <w:szCs w:val="20"/>
                <w:color w:val="auto"/>
              </w:rPr>
            </w:pPr>
            <w:r>
              <w:rPr>
                <w:rFonts w:ascii="Arial" w:cs="Arial" w:eastAsia="Arial" w:hAnsi="Arial"/>
                <w:sz w:val="8"/>
                <w:szCs w:val="8"/>
                <w:color w:val="auto"/>
                <w:w w:val="73"/>
              </w:rPr>
              <w:t>)</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(46.2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Basic and diluted loss per share from continuing operations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(0.64)</w:t>
            </w:r>
          </w:p>
        </w:tc>
        <w:tc>
          <w:tcPr>
            <w:tcW w:w="2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(0.63)</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 to Unaudited Pro Forma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2005</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 except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6"/>
          </w:tcPr>
          <w:p>
            <w:pPr>
              <w:ind w:left="260"/>
              <w:spacing w:after="0"/>
              <w:rPr>
                <w:sz w:val="20"/>
                <w:szCs w:val="20"/>
                <w:color w:val="auto"/>
              </w:rPr>
            </w:pPr>
            <w:r>
              <w:rPr>
                <w:rFonts w:ascii="Arial" w:cs="Arial" w:eastAsia="Arial" w:hAnsi="Arial"/>
                <w:sz w:val="14"/>
                <w:szCs w:val="14"/>
                <w:b w:val="1"/>
                <w:bCs w:val="1"/>
                <w:color w:val="auto"/>
              </w:rPr>
              <w:t>Pro Forma Adjustments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top w:val="single" w:sz="8" w:color="auto"/>
            </w:tcBorders>
            <w:gridSpan w:val="3"/>
          </w:tcPr>
          <w:p>
            <w:pPr>
              <w:jc w:val="center"/>
              <w:ind w:right="280"/>
              <w:spacing w:after="0" w:line="102" w:lineRule="exact"/>
              <w:rPr>
                <w:sz w:val="20"/>
                <w:szCs w:val="20"/>
                <w:color w:val="auto"/>
              </w:rPr>
            </w:pPr>
            <w:r>
              <w:rPr>
                <w:rFonts w:ascii="Arial" w:cs="Arial" w:eastAsia="Arial" w:hAnsi="Arial"/>
                <w:sz w:val="11"/>
                <w:szCs w:val="11"/>
                <w:b w:val="1"/>
                <w:bCs w:val="1"/>
                <w:color w:val="auto"/>
              </w:rPr>
              <w:t>Wireless</w:t>
            </w:r>
          </w:p>
        </w:tc>
        <w:tc>
          <w:tcPr>
            <w:tcW w:w="960" w:type="dxa"/>
            <w:vAlign w:val="bottom"/>
            <w:tcBorders>
              <w:top w:val="single" w:sz="8" w:color="auto"/>
            </w:tcBorders>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Wireless</w:t>
            </w:r>
          </w:p>
        </w:tc>
        <w:tc>
          <w:tcPr>
            <w:tcW w:w="160" w:type="dxa"/>
            <w:vAlign w:val="bottom"/>
          </w:tcPr>
          <w:p>
            <w:pPr>
              <w:spacing w:after="0"/>
              <w:rPr>
                <w:sz w:val="8"/>
                <w:szCs w:val="8"/>
                <w:color w:val="auto"/>
              </w:rPr>
            </w:pPr>
          </w:p>
        </w:tc>
        <w:tc>
          <w:tcPr>
            <w:tcW w:w="8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7"/>
              </w:rPr>
              <w:t>Restated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Engineering</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Deployment</w:t>
            </w:r>
          </w:p>
        </w:tc>
        <w:tc>
          <w:tcPr>
            <w:tcW w:w="8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337.7</w:t>
            </w:r>
          </w:p>
        </w:tc>
        <w:tc>
          <w:tcPr>
            <w:tcW w:w="12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(76.1)</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 (109.5)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261.4</w:t>
            </w:r>
          </w:p>
        </w:tc>
        <w:tc>
          <w:tcPr>
            <w:tcW w:w="280" w:type="dxa"/>
            <w:vAlign w:val="bottom"/>
            <w:gridSpan w:val="2"/>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115.5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right w:val="single" w:sz="8" w:color="CCEEFF"/>
            </w:tcBorders>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8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6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59.4</w:t>
            </w: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right w:val="single" w:sz="8" w:color="CCEEFF"/>
            </w:tcBorders>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60" w:type="dxa"/>
            <w:vAlign w:val="bottom"/>
            <w:tcBorders>
              <w:top w:val="single" w:sz="8" w:color="CCEEFF"/>
              <w:right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Income from continuing operations before income</w:t>
            </w: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taxes</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200" w:type="dxa"/>
            <w:vAlign w:val="bottom"/>
            <w:tcBorders>
              <w:right w:val="single" w:sz="8" w:color="CCEEFF"/>
            </w:tcBorders>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(2.3)(G)</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(3.7)(F)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Basic income per share from continuing operations</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80" w:type="dxa"/>
            <w:vAlign w:val="bottom"/>
            <w:gridSpan w:val="2"/>
            <w:vMerge w:val="continue"/>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income per share from continuing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 to Unaudited Pro Forma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0" w:lineRule="exact"/>
        <w:rPr>
          <w:sz w:val="20"/>
          <w:szCs w:val="20"/>
          <w:color w:val="auto"/>
        </w:rPr>
      </w:pPr>
    </w:p>
    <w:p>
      <w:pPr>
        <w:sectPr>
          <w:pgSz w:w="11900" w:h="16838" w:orient="portrait"/>
          <w:cols w:equalWidth="0" w:num="1">
            <w:col w:w="9019"/>
          </w:cols>
          <w:pgMar w:left="1440" w:top="125" w:right="1440" w:bottom="0" w:gutter="0" w:footer="0" w:header="0"/>
        </w:sectPr>
      </w:pPr>
    </w:p>
    <w:bookmarkStart w:id="113" w:name="page114"/>
    <w:bookmarkEnd w:id="113"/>
    <w:p>
      <w:pPr>
        <w:jc w:val="center"/>
        <w:ind w:right="40"/>
        <w:spacing w:after="0"/>
        <w:rPr>
          <w:sz w:val="20"/>
          <w:szCs w:val="20"/>
          <w:color w:val="auto"/>
        </w:rPr>
      </w:pPr>
      <w:r>
        <w:rPr>
          <w:rFonts w:ascii="Arial" w:cs="Arial" w:eastAsia="Arial" w:hAnsi="Arial"/>
          <w:sz w:val="18"/>
          <w:szCs w:val="18"/>
          <w:b w:val="1"/>
          <w:bCs w:val="1"/>
          <w:color w:val="auto"/>
        </w:rPr>
        <w:t>FOR THE YEAR ENDED DECEMBER 31, 2004</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in millions except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w:t>
            </w:r>
          </w:p>
        </w:tc>
        <w:tc>
          <w:tcPr>
            <w:tcW w:w="2260" w:type="dxa"/>
            <w:vAlign w:val="bottom"/>
            <w:gridSpan w:val="6"/>
          </w:tcPr>
          <w:p>
            <w:pPr>
              <w:ind w:left="280"/>
              <w:spacing w:after="0"/>
              <w:rPr>
                <w:sz w:val="20"/>
                <w:szCs w:val="20"/>
                <w:color w:val="auto"/>
              </w:rPr>
            </w:pPr>
            <w:r>
              <w:rPr>
                <w:rFonts w:ascii="Arial" w:cs="Arial" w:eastAsia="Arial" w:hAnsi="Arial"/>
                <w:sz w:val="14"/>
                <w:szCs w:val="14"/>
                <w:b w:val="1"/>
                <w:bCs w:val="1"/>
                <w:color w:val="auto"/>
              </w:rPr>
              <w:t>Pro Forma Adjustments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140" w:type="dxa"/>
            <w:vAlign w:val="bottom"/>
            <w:tcBorders>
              <w:top w:val="single" w:sz="8" w:color="auto"/>
            </w:tcBorders>
            <w:gridSpan w:val="3"/>
          </w:tcPr>
          <w:p>
            <w:pPr>
              <w:jc w:val="center"/>
              <w:ind w:right="280"/>
              <w:spacing w:after="0" w:line="102" w:lineRule="exact"/>
              <w:rPr>
                <w:sz w:val="20"/>
                <w:szCs w:val="20"/>
                <w:color w:val="auto"/>
              </w:rPr>
            </w:pPr>
            <w:r>
              <w:rPr>
                <w:rFonts w:ascii="Arial" w:cs="Arial" w:eastAsia="Arial" w:hAnsi="Arial"/>
                <w:sz w:val="11"/>
                <w:szCs w:val="11"/>
                <w:b w:val="1"/>
                <w:bCs w:val="1"/>
                <w:color w:val="auto"/>
              </w:rPr>
              <w:t>Wireless</w:t>
            </w:r>
          </w:p>
        </w:tc>
        <w:tc>
          <w:tcPr>
            <w:tcW w:w="960" w:type="dxa"/>
            <w:vAlign w:val="bottom"/>
            <w:tcBorders>
              <w:top w:val="single" w:sz="8" w:color="auto"/>
            </w:tcBorders>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Wireless</w:t>
            </w:r>
          </w:p>
        </w:tc>
        <w:tc>
          <w:tcPr>
            <w:tcW w:w="160" w:type="dxa"/>
            <w:vAlign w:val="bottom"/>
          </w:tcPr>
          <w:p>
            <w:pPr>
              <w:spacing w:after="0"/>
              <w:rPr>
                <w:sz w:val="8"/>
                <w:szCs w:val="8"/>
                <w:color w:val="auto"/>
              </w:rPr>
            </w:pPr>
          </w:p>
        </w:tc>
        <w:tc>
          <w:tcPr>
            <w:tcW w:w="8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Restated</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Engineering</w:t>
            </w: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Deployment</w:t>
            </w:r>
          </w:p>
        </w:tc>
        <w:tc>
          <w:tcPr>
            <w:tcW w:w="8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296.2</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 (79.0)</w:t>
            </w:r>
          </w:p>
        </w:tc>
        <w:tc>
          <w:tcPr>
            <w:tcW w:w="22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 (100.3)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226.8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(50.8)</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(28.2)</w:t>
            </w:r>
          </w:p>
        </w:tc>
        <w:tc>
          <w:tcPr>
            <w:tcW w:w="22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acquisition consideration and restatement fees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80" w:type="dxa"/>
            <w:vAlign w:val="bottom"/>
          </w:tcPr>
          <w:p>
            <w:pPr>
              <w:spacing w:after="0" w:line="201" w:lineRule="exact"/>
              <w:rPr>
                <w:sz w:val="20"/>
                <w:szCs w:val="20"/>
                <w:color w:val="auto"/>
              </w:rPr>
            </w:pPr>
            <w:r>
              <w:rPr>
                <w:rFonts w:ascii="Arial" w:cs="Arial" w:eastAsia="Arial" w:hAnsi="Arial"/>
                <w:sz w:val="18"/>
                <w:szCs w:val="18"/>
                <w:color w:val="auto"/>
              </w:rPr>
              <w:t>Impairment of investment in unconsolidated affiliate and</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other expenses, net</w:t>
            </w:r>
          </w:p>
        </w:tc>
        <w:tc>
          <w:tcPr>
            <w:tcW w:w="10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8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Income (loss) from continuing operations before income</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80"/>
              <w:spacing w:after="0"/>
              <w:rPr>
                <w:sz w:val="20"/>
                <w:szCs w:val="20"/>
                <w:color w:val="auto"/>
              </w:rPr>
            </w:pPr>
            <w:r>
              <w:rPr>
                <w:rFonts w:ascii="Arial" w:cs="Arial" w:eastAsia="Arial" w:hAnsi="Arial"/>
                <w:sz w:val="18"/>
                <w:szCs w:val="18"/>
                <w:b w:val="1"/>
                <w:bCs w:val="1"/>
                <w:color w:val="auto"/>
              </w:rPr>
              <w:t>taxes</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20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(7.6)(G)</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(0.2)(F)</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Basic income (loss) per share from continuing operations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80" w:type="dxa"/>
            <w:vAlign w:val="bottom"/>
            <w:tcBorders>
              <w:right w:val="single" w:sz="8" w:color="CCEEFF"/>
            </w:tcBorders>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w w:val="99"/>
              </w:rPr>
              <w:t>Diluted income (loss) per share from continuing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 to Unaudited Pro Forma Condensed Consolidated Financial Statements.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980" w:type="dxa"/>
            <w:vAlign w:val="bottom"/>
          </w:tcPr>
          <w:p>
            <w:pPr>
              <w:jc w:val="right"/>
              <w:ind w:right="1230"/>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75"/>
        </w:trPr>
        <w:tc>
          <w:tcPr>
            <w:tcW w:w="188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298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900" w:type="dxa"/>
            <w:vAlign w:val="bottom"/>
            <w:tcBorders>
              <w:bottom w:val="single" w:sz="8" w:color="010101"/>
            </w:tcBorders>
          </w:tcPr>
          <w:p>
            <w:pPr>
              <w:spacing w:after="0"/>
              <w:rPr>
                <w:sz w:val="24"/>
                <w:szCs w:val="24"/>
                <w:color w:val="auto"/>
              </w:rPr>
            </w:pPr>
          </w:p>
        </w:tc>
      </w:tr>
      <w:tr>
        <w:trPr>
          <w:trHeight w:val="564"/>
        </w:trPr>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Note 1. Pro Forma Adjustments and Assumptions</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24"/>
        </w:trPr>
        <w:tc>
          <w:tcPr>
            <w:tcW w:w="5180" w:type="dxa"/>
            <w:vAlign w:val="bottom"/>
            <w:gridSpan w:val="3"/>
          </w:tcPr>
          <w:p>
            <w:pPr>
              <w:ind w:left="360"/>
              <w:spacing w:after="0"/>
              <w:rPr>
                <w:sz w:val="20"/>
                <w:szCs w:val="20"/>
                <w:color w:val="auto"/>
              </w:rPr>
            </w:pPr>
            <w:r>
              <w:rPr>
                <w:rFonts w:ascii="Arial" w:cs="Arial" w:eastAsia="Arial" w:hAnsi="Arial"/>
                <w:sz w:val="18"/>
                <w:szCs w:val="18"/>
                <w:color w:val="auto"/>
              </w:rPr>
              <w:t>Pro Forma Balance Sheet and Statements of Operations</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51"/>
        </w:trPr>
        <w:tc>
          <w:tcPr>
            <w:tcW w:w="5180" w:type="dxa"/>
            <w:vAlign w:val="bottom"/>
            <w:gridSpan w:val="3"/>
          </w:tcPr>
          <w:p>
            <w:pPr>
              <w:ind w:left="1860"/>
              <w:spacing w:after="0"/>
              <w:rPr>
                <w:sz w:val="20"/>
                <w:szCs w:val="20"/>
                <w:color w:val="auto"/>
              </w:rPr>
            </w:pPr>
            <w:r>
              <w:rPr>
                <w:rFonts w:ascii="Arial" w:cs="Arial" w:eastAsia="Arial" w:hAnsi="Arial"/>
                <w:sz w:val="14"/>
                <w:szCs w:val="14"/>
                <w:b w:val="1"/>
                <w:bCs w:val="1"/>
                <w:color w:val="auto"/>
              </w:rPr>
              <w:t>Calculation of gain/(loss) on sale (in millions):</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6"/>
          </w:tcPr>
          <w:p>
            <w:pPr>
              <w:ind w:left="40"/>
              <w:spacing w:after="0"/>
              <w:rPr>
                <w:sz w:val="20"/>
                <w:szCs w:val="20"/>
                <w:color w:val="auto"/>
              </w:rPr>
            </w:pPr>
            <w:r>
              <w:rPr>
                <w:rFonts w:ascii="Arial" w:cs="Arial" w:eastAsia="Arial" w:hAnsi="Arial"/>
                <w:sz w:val="14"/>
                <w:szCs w:val="14"/>
                <w:b w:val="1"/>
                <w:bCs w:val="1"/>
                <w:color w:val="auto"/>
              </w:rPr>
              <w:t>Engineering</w:t>
            </w:r>
          </w:p>
        </w:tc>
        <w:tc>
          <w:tcPr>
            <w:tcW w:w="2960" w:type="dxa"/>
            <w:vAlign w:val="bottom"/>
            <w:gridSpan w:val="6"/>
          </w:tcPr>
          <w:p>
            <w:pPr>
              <w:jc w:val="right"/>
              <w:ind w:right="2200"/>
              <w:spacing w:after="0"/>
              <w:rPr>
                <w:sz w:val="20"/>
                <w:szCs w:val="20"/>
                <w:color w:val="auto"/>
              </w:rPr>
            </w:pPr>
            <w:r>
              <w:rPr>
                <w:rFonts w:ascii="Arial" w:cs="Arial" w:eastAsia="Arial" w:hAnsi="Arial"/>
                <w:sz w:val="14"/>
                <w:szCs w:val="14"/>
                <w:b w:val="1"/>
                <w:bCs w:val="1"/>
                <w:color w:val="auto"/>
                <w:w w:val="92"/>
              </w:rPr>
              <w:t>Deployment</w:t>
            </w:r>
          </w:p>
        </w:tc>
      </w:tr>
      <w:tr>
        <w:trPr>
          <w:trHeight w:val="210"/>
        </w:trPr>
        <w:tc>
          <w:tcPr>
            <w:tcW w:w="1880" w:type="dxa"/>
            <w:vAlign w:val="bottom"/>
          </w:tcPr>
          <w:p>
            <w:pPr>
              <w:spacing w:after="0"/>
              <w:rPr>
                <w:sz w:val="18"/>
                <w:szCs w:val="18"/>
                <w:color w:val="auto"/>
              </w:rPr>
            </w:pPr>
          </w:p>
        </w:tc>
        <w:tc>
          <w:tcPr>
            <w:tcW w:w="3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46.0</w:t>
            </w: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Less: Direct transaction costs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Discount on note receivable</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Proceeds net of direct transaction costs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42.1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assets/(liabilities) sold</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Gain/(Loss) on sale before income taxes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14.7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(18.1)</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Income tax (provision)/benefit</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w w:val="98"/>
              </w:rPr>
              <w:t>(7.2)(E)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—(F)</w:t>
            </w:r>
          </w:p>
        </w:tc>
        <w:tc>
          <w:tcPr>
            <w:tcW w:w="1900" w:type="dxa"/>
            <w:vAlign w:val="bottom"/>
          </w:tcPr>
          <w:p>
            <w:pPr>
              <w:spacing w:after="0"/>
              <w:rPr>
                <w:sz w:val="18"/>
                <w:szCs w:val="18"/>
                <w:color w:val="auto"/>
              </w:rPr>
            </w:pPr>
          </w:p>
        </w:tc>
      </w:tr>
      <w:tr>
        <w:trPr>
          <w:trHeight w:val="223"/>
        </w:trPr>
        <w:tc>
          <w:tcPr>
            <w:tcW w:w="188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Net gain/(loss) on sale</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89"/>
        </w:trPr>
        <w:tc>
          <w:tcPr>
            <w:tcW w:w="18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9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9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-2042160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-2042160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4"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Adjustment to eliminate the balances related to the engineering business from Wireless Facilities, Inc.’s historical consolidated financial statements.</w:t>
      </w:r>
    </w:p>
    <w:p>
      <w:pPr>
        <w:spacing w:after="0" w:line="128" w:lineRule="exact"/>
        <w:rPr>
          <w:rFonts w:ascii="Arial" w:cs="Arial" w:eastAsia="Arial" w:hAnsi="Arial"/>
          <w:sz w:val="17"/>
          <w:szCs w:val="17"/>
          <w:color w:val="auto"/>
        </w:rPr>
      </w:pPr>
    </w:p>
    <w:p>
      <w:pPr>
        <w:ind w:left="360" w:right="600" w:hanging="352"/>
        <w:spacing w:after="0" w:line="277" w:lineRule="auto"/>
        <w:tabs>
          <w:tab w:leader="none" w:pos="3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Adjustment to eliminate the balances related to the domestic deployment business from Wireless Facilities, Inc.’s historical consolidated financial statements.</w:t>
      </w:r>
    </w:p>
    <w:p>
      <w:pPr>
        <w:spacing w:after="0" w:line="62" w:lineRule="exact"/>
        <w:rPr>
          <w:rFonts w:ascii="Arial" w:cs="Arial" w:eastAsia="Arial" w:hAnsi="Arial"/>
          <w:sz w:val="18"/>
          <w:szCs w:val="18"/>
          <w:color w:val="auto"/>
        </w:rPr>
      </w:pPr>
    </w:p>
    <w:p>
      <w:pPr>
        <w:ind w:left="360" w:right="40" w:hanging="352"/>
        <w:spacing w:after="0" w:line="277" w:lineRule="auto"/>
        <w:tabs>
          <w:tab w:leader="none" w:pos="3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Adjustment to record the cash proceeds received from LCC, the sale of the LCC note to Silver Point and the collection of the net retained working capital less transaction costs as of December 31, 2006.</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Adjustment to record the cash proceeds received from Platinum Equity less transaction costs as of December 31, 2006.</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Calculated tax effect of gain from the sale of the engineering business based upon the domestic tax rate of 39.1% (35% federal rate plus 4.1% state rate).</w:t>
      </w:r>
    </w:p>
    <w:p>
      <w:pPr>
        <w:spacing w:after="0" w:line="140" w:lineRule="exact"/>
        <w:rPr>
          <w:rFonts w:ascii="Arial" w:cs="Arial" w:eastAsia="Arial" w:hAnsi="Arial"/>
          <w:sz w:val="16"/>
          <w:szCs w:val="16"/>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tax benefit was applied to the loss due to the presence of a valuation allowance as of December 31, 2006.</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taxes for the engineering and deployment businesses are calculated at the United States and state combined tax rate of 39% for 2004 through 2006.</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62" w:right="1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180" w:firstLine="648"/>
        <w:spacing w:after="0" w:line="313" w:lineRule="auto"/>
        <w:rPr>
          <w:sz w:val="20"/>
          <w:szCs w:val="20"/>
          <w:color w:val="auto"/>
        </w:rPr>
      </w:pPr>
      <w:r>
        <w:rPr>
          <w:rFonts w:ascii="Arial" w:cs="Arial" w:eastAsia="Arial" w:hAnsi="Arial"/>
          <w:sz w:val="17"/>
          <w:szCs w:val="17"/>
          <w:color w:val="auto"/>
        </w:rPr>
        <w:t>This Agreement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dated as of March 9, 2007, is by and between </w:t>
      </w:r>
      <w:r>
        <w:rPr>
          <w:rFonts w:ascii="Arial" w:cs="Arial" w:eastAsia="Arial" w:hAnsi="Arial"/>
          <w:sz w:val="17"/>
          <w:szCs w:val="17"/>
          <w:b w:val="1"/>
          <w:bCs w:val="1"/>
          <w:color w:val="auto"/>
        </w:rPr>
        <w:t>LCC Wireless Engineering Services Limited</w:t>
      </w:r>
      <w:r>
        <w:rPr>
          <w:rFonts w:ascii="Arial" w:cs="Arial" w:eastAsia="Arial" w:hAnsi="Arial"/>
          <w:sz w:val="17"/>
          <w:szCs w:val="17"/>
          <w:color w:val="auto"/>
        </w:rPr>
        <w:t>, a company limited by shares formed under the laws of the United Kingdom (</w:t>
      </w:r>
      <w:r>
        <w:rPr>
          <w:rFonts w:ascii="Arial" w:cs="Arial" w:eastAsia="Arial" w:hAnsi="Arial"/>
          <w:sz w:val="17"/>
          <w:szCs w:val="17"/>
          <w:b w:val="1"/>
          <w:bCs w:val="1"/>
          <w:color w:val="auto"/>
        </w:rPr>
        <w:t>“Buyer”</w:t>
      </w:r>
      <w:r>
        <w:rPr>
          <w:rFonts w:ascii="Arial" w:cs="Arial" w:eastAsia="Arial" w:hAnsi="Arial"/>
          <w:sz w:val="17"/>
          <w:szCs w:val="17"/>
          <w:color w:val="auto"/>
        </w:rPr>
        <w:t xml:space="preserve">) and </w:t>
      </w:r>
      <w:r>
        <w:rPr>
          <w:rFonts w:ascii="Arial" w:cs="Arial" w:eastAsia="Arial" w:hAnsi="Arial"/>
          <w:sz w:val="17"/>
          <w:szCs w:val="17"/>
          <w:b w:val="1"/>
          <w:bCs w:val="1"/>
          <w:color w:val="auto"/>
        </w:rPr>
        <w:t>Wireless Facilities,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“Seller”</w:t>
      </w:r>
      <w:r>
        <w:rPr>
          <w:rFonts w:ascii="Arial" w:cs="Arial" w:eastAsia="Arial" w:hAnsi="Arial"/>
          <w:sz w:val="17"/>
          <w:szCs w:val="17"/>
          <w:color w:val="auto"/>
        </w:rPr>
        <w: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WHEREAS, Seller owns directly or indirectly, all of the issued and outstanding equity interests (the “</w:t>
      </w:r>
      <w:r>
        <w:rPr>
          <w:rFonts w:ascii="Arial" w:cs="Arial" w:eastAsia="Arial" w:hAnsi="Arial"/>
          <w:sz w:val="18"/>
          <w:szCs w:val="18"/>
          <w:b w:val="1"/>
          <w:bCs w:val="1"/>
          <w:color w:val="auto"/>
        </w:rPr>
        <w:t>Equity Interests</w:t>
      </w:r>
      <w:r>
        <w:rPr>
          <w:rFonts w:ascii="Arial" w:cs="Arial" w:eastAsia="Arial" w:hAnsi="Arial"/>
          <w:sz w:val="18"/>
          <w:szCs w:val="18"/>
          <w:color w:val="auto"/>
        </w:rPr>
        <w:t>”) of (i) Wireless Facilities International, Ltd., a company limited by shares formed under the laws of the United Kingdom (</w:t>
      </w:r>
      <w:r>
        <w:rPr>
          <w:rFonts w:ascii="Arial" w:cs="Arial" w:eastAsia="Arial" w:hAnsi="Arial"/>
          <w:sz w:val="18"/>
          <w:szCs w:val="18"/>
          <w:b w:val="1"/>
          <w:bCs w:val="1"/>
          <w:color w:val="auto"/>
        </w:rPr>
        <w:t>“WFIL”</w:t>
      </w:r>
      <w:r>
        <w:rPr>
          <w:rFonts w:ascii="Arial" w:cs="Arial" w:eastAsia="Arial" w:hAnsi="Arial"/>
          <w:sz w:val="18"/>
          <w:szCs w:val="18"/>
          <w:color w:val="auto"/>
        </w:rPr>
        <w:t>), (ii) WFI France SARL, a French corporation (</w:t>
      </w:r>
      <w:r>
        <w:rPr>
          <w:rFonts w:ascii="Arial" w:cs="Arial" w:eastAsia="Arial" w:hAnsi="Arial"/>
          <w:sz w:val="18"/>
          <w:szCs w:val="18"/>
          <w:b w:val="1"/>
          <w:bCs w:val="1"/>
          <w:color w:val="auto"/>
        </w:rPr>
        <w:t>“WFI France”</w:t>
      </w:r>
      <w:r>
        <w:rPr>
          <w:rFonts w:ascii="Arial" w:cs="Arial" w:eastAsia="Arial" w:hAnsi="Arial"/>
          <w:sz w:val="18"/>
          <w:szCs w:val="18"/>
          <w:color w:val="auto"/>
        </w:rPr>
        <w:t>), (iii) Wireless Facilities International Germany GmbH, a German corporation (</w:t>
      </w:r>
      <w:r>
        <w:rPr>
          <w:rFonts w:ascii="Arial" w:cs="Arial" w:eastAsia="Arial" w:hAnsi="Arial"/>
          <w:sz w:val="18"/>
          <w:szCs w:val="18"/>
          <w:b w:val="1"/>
          <w:bCs w:val="1"/>
          <w:color w:val="auto"/>
        </w:rPr>
        <w:t>“WFI Germany”</w:t>
      </w:r>
      <w:r>
        <w:rPr>
          <w:rFonts w:ascii="Arial" w:cs="Arial" w:eastAsia="Arial" w:hAnsi="Arial"/>
          <w:sz w:val="18"/>
          <w:szCs w:val="18"/>
          <w:color w:val="auto"/>
        </w:rPr>
        <w:t>), (iv) Wireless Facilities Telekomunikasyon Servis Limited, a Turkish corporation (</w:t>
      </w:r>
      <w:r>
        <w:rPr>
          <w:rFonts w:ascii="Arial" w:cs="Arial" w:eastAsia="Arial" w:hAnsi="Arial"/>
          <w:sz w:val="18"/>
          <w:szCs w:val="18"/>
          <w:b w:val="1"/>
          <w:bCs w:val="1"/>
          <w:color w:val="auto"/>
        </w:rPr>
        <w:t>“WFI Turkey”</w:t>
      </w:r>
      <w:r>
        <w:rPr>
          <w:rFonts w:ascii="Arial" w:cs="Arial" w:eastAsia="Arial" w:hAnsi="Arial"/>
          <w:sz w:val="18"/>
          <w:szCs w:val="18"/>
          <w:color w:val="auto"/>
        </w:rPr>
        <w:t>), (v) WFI Scandinavia AB, a Swedish corporation (“</w:t>
      </w:r>
      <w:r>
        <w:rPr>
          <w:rFonts w:ascii="Arial" w:cs="Arial" w:eastAsia="Arial" w:hAnsi="Arial"/>
          <w:sz w:val="18"/>
          <w:szCs w:val="18"/>
          <w:b w:val="1"/>
          <w:bCs w:val="1"/>
          <w:color w:val="auto"/>
        </w:rPr>
        <w:t>WFI Sweden),</w:t>
      </w:r>
      <w:r>
        <w:rPr>
          <w:rFonts w:ascii="Arial" w:cs="Arial" w:eastAsia="Arial" w:hAnsi="Arial"/>
          <w:sz w:val="18"/>
          <w:szCs w:val="18"/>
          <w:color w:val="auto"/>
        </w:rPr>
        <w:t xml:space="preserve"> and (vi) Questus Limited, a company limited by shares formed under the laws of the United Kingdom (‘</w:t>
      </w:r>
      <w:r>
        <w:rPr>
          <w:rFonts w:ascii="Arial" w:cs="Arial" w:eastAsia="Arial" w:hAnsi="Arial"/>
          <w:sz w:val="18"/>
          <w:szCs w:val="18"/>
          <w:b w:val="1"/>
          <w:bCs w:val="1"/>
          <w:color w:val="auto"/>
        </w:rPr>
        <w:t>Questus</w:t>
      </w:r>
      <w:r>
        <w:rPr>
          <w:rFonts w:ascii="Arial" w:cs="Arial" w:eastAsia="Arial" w:hAnsi="Arial"/>
          <w:sz w:val="18"/>
          <w:szCs w:val="18"/>
          <w:color w:val="auto"/>
        </w:rPr>
        <w:t>,” and, together with WFIL, WFI France, WFI Germany, WFI Turkey and WFI Sweden, the “</w:t>
      </w:r>
      <w:r>
        <w:rPr>
          <w:rFonts w:ascii="Arial" w:cs="Arial" w:eastAsia="Arial" w:hAnsi="Arial"/>
          <w:sz w:val="18"/>
          <w:szCs w:val="18"/>
          <w:b w:val="1"/>
          <w:bCs w:val="1"/>
          <w:color w:val="auto"/>
        </w:rPr>
        <w:t>Transferred Subsidiaries</w:t>
      </w:r>
      <w:r>
        <w:rPr>
          <w:rFonts w:ascii="Arial" w:cs="Arial" w:eastAsia="Arial" w:hAnsi="Arial"/>
          <w:sz w:val="18"/>
          <w:szCs w:val="18"/>
          <w:color w:val="auto"/>
        </w:rPr>
        <w:t>”);</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WHEREAS, the activities of the Transferred Subsidiaries constitute all of Seller’s wireless network services business in the regions of Europe, the Middle East and Africa;</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WHEREAS, the Transferred Subsidiaries are indebted to Seller for intercompany loans having an aggregate principal amount and accrued interest of approximately Twelve Million One Hundred Ninety Thousand Seven Hundred Thirty Seven United States Dollars (US$12,190,737) less the amount of the debt released and discharged by the Deed of Release (as defined herein) as set forth in more detail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Intercompany</w:t>
      </w:r>
      <w:r>
        <w:rPr>
          <w:rFonts w:ascii="Arial" w:cs="Arial" w:eastAsia="Arial" w:hAnsi="Arial"/>
          <w:sz w:val="18"/>
          <w:szCs w:val="18"/>
          <w:color w:val="auto"/>
        </w:rPr>
        <w:t xml:space="preserve"> </w:t>
      </w:r>
      <w:r>
        <w:rPr>
          <w:rFonts w:ascii="Arial" w:cs="Arial" w:eastAsia="Arial" w:hAnsi="Arial"/>
          <w:sz w:val="18"/>
          <w:szCs w:val="18"/>
          <w:b w:val="1"/>
          <w:bCs w:val="1"/>
          <w:color w:val="auto"/>
        </w:rPr>
        <w:t>Debt</w:t>
      </w:r>
      <w:r>
        <w:rPr>
          <w:rFonts w:ascii="Arial" w:cs="Arial" w:eastAsia="Arial" w:hAnsi="Arial"/>
          <w:sz w:val="18"/>
          <w:szCs w:val="18"/>
          <w:color w:val="auto"/>
        </w:rPr>
        <w:t>”);</w:t>
      </w:r>
    </w:p>
    <w:p>
      <w:pPr>
        <w:spacing w:after="0" w:line="187"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 xml:space="preserve">WHEREAS, Seller </w:t>
      </w:r>
      <w:r>
        <w:rPr>
          <w:rFonts w:ascii="Arial" w:cs="Arial" w:eastAsia="Arial" w:hAnsi="Arial"/>
          <w:sz w:val="17"/>
          <w:szCs w:val="17"/>
          <w:color w:val="auto"/>
        </w:rPr>
        <w:t>desires to sell the Transferred Subsidiaries and to assign approximately Three Million United States Dollars (US$3,000,000) of the</w:t>
      </w:r>
      <w:r>
        <w:rPr>
          <w:rFonts w:ascii="Arial" w:cs="Arial" w:eastAsia="Arial" w:hAnsi="Arial"/>
          <w:sz w:val="18"/>
          <w:szCs w:val="18"/>
          <w:color w:val="auto"/>
        </w:rPr>
        <w:t xml:space="preserve"> </w:t>
      </w:r>
      <w:r>
        <w:rPr>
          <w:rFonts w:ascii="Arial" w:cs="Arial" w:eastAsia="Arial" w:hAnsi="Arial"/>
          <w:sz w:val="17"/>
          <w:szCs w:val="17"/>
          <w:color w:val="auto"/>
        </w:rPr>
        <w:t>Intercompany Debt (the “</w:t>
      </w:r>
      <w:r>
        <w:rPr>
          <w:rFonts w:ascii="Arial" w:cs="Arial" w:eastAsia="Arial" w:hAnsi="Arial"/>
          <w:sz w:val="17"/>
          <w:szCs w:val="17"/>
          <w:b w:val="1"/>
          <w:bCs w:val="1"/>
          <w:color w:val="auto"/>
        </w:rPr>
        <w:t>Assigned Intercompany Debt,</w:t>
      </w:r>
      <w:r>
        <w:rPr>
          <w:rFonts w:ascii="Arial" w:cs="Arial" w:eastAsia="Arial" w:hAnsi="Arial"/>
          <w:sz w:val="17"/>
          <w:szCs w:val="17"/>
          <w:color w:val="auto"/>
        </w:rPr>
        <w:t xml:space="preserve">” and the balance of the Intercompany Debt that is not Assigned Intercompany Debt is hereinafter sometimes referred to as the </w:t>
      </w:r>
      <w:r>
        <w:rPr>
          <w:rFonts w:ascii="Arial" w:cs="Arial" w:eastAsia="Arial" w:hAnsi="Arial"/>
          <w:sz w:val="17"/>
          <w:szCs w:val="17"/>
          <w:b w:val="1"/>
          <w:bCs w:val="1"/>
          <w:color w:val="auto"/>
        </w:rPr>
        <w:t>“Non-Assigned Intercompany Debt”</w:t>
      </w:r>
      <w:r>
        <w:rPr>
          <w:rFonts w:ascii="Arial" w:cs="Arial" w:eastAsia="Arial" w:hAnsi="Arial"/>
          <w:sz w:val="17"/>
          <w:szCs w:val="17"/>
          <w:color w:val="auto"/>
        </w:rPr>
        <w:t>) to Buyer, and Buyer desires to purchase the Transferred Subsidiaries and the Assigned Intercompany Debt from Seller, upon the terms and subject to the conditions hereinafter set forth;</w:t>
      </w:r>
    </w:p>
    <w:p>
      <w:pPr>
        <w:spacing w:after="0" w:line="182" w:lineRule="exact"/>
        <w:rPr>
          <w:sz w:val="20"/>
          <w:szCs w:val="20"/>
          <w:color w:val="auto"/>
        </w:rPr>
      </w:pPr>
    </w:p>
    <w:p>
      <w:pPr>
        <w:ind w:right="180" w:firstLine="648"/>
        <w:spacing w:after="0" w:line="270" w:lineRule="auto"/>
        <w:rPr>
          <w:sz w:val="20"/>
          <w:szCs w:val="20"/>
          <w:color w:val="auto"/>
        </w:rPr>
      </w:pPr>
      <w:r>
        <w:rPr>
          <w:rFonts w:ascii="Arial" w:cs="Arial" w:eastAsia="Arial" w:hAnsi="Arial"/>
          <w:sz w:val="18"/>
          <w:szCs w:val="18"/>
          <w:color w:val="auto"/>
        </w:rPr>
        <w:t xml:space="preserve">WHEREAS, the Board of Directors of </w:t>
      </w:r>
      <w:r>
        <w:rPr>
          <w:rFonts w:ascii="Arial" w:cs="Arial" w:eastAsia="Arial" w:hAnsi="Arial"/>
          <w:sz w:val="17"/>
          <w:szCs w:val="17"/>
          <w:color w:val="auto"/>
        </w:rPr>
        <w:t>Buyer and the Board of Directors of Seller have each determined that the sale of the Transferred Subsidiaries</w:t>
      </w:r>
      <w:r>
        <w:rPr>
          <w:rFonts w:ascii="Arial" w:cs="Arial" w:eastAsia="Arial" w:hAnsi="Arial"/>
          <w:sz w:val="18"/>
          <w:szCs w:val="18"/>
          <w:color w:val="auto"/>
        </w:rPr>
        <w:t xml:space="preserve"> </w:t>
      </w:r>
      <w:r>
        <w:rPr>
          <w:rFonts w:ascii="Arial" w:cs="Arial" w:eastAsia="Arial" w:hAnsi="Arial"/>
          <w:sz w:val="17"/>
          <w:szCs w:val="17"/>
          <w:color w:val="auto"/>
        </w:rPr>
        <w:t>and the assignment of the Assigned Intercompany Debt to Buyer are in the best interests of their respective equityholders and have agreed to effect the transactions provided for herein upon the terms and conditions of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as used herein have the following meanings:</w:t>
      </w:r>
    </w:p>
    <w:p>
      <w:pPr>
        <w:spacing w:after="0" w:line="221"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Person, any other Person directly or indirectly controlling, controlled by, or under common control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Transferred Subsidiary shall be considered an Affiliate of Seller.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Saturday, Sunday or any days on which banks are generally not open for business in the City of San Diego,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207"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b w:val="1"/>
          <w:bCs w:val="1"/>
          <w:color w:val="auto"/>
        </w:rPr>
        <w:t xml:space="preserve">“Buyer Ancillary Documents” </w:t>
      </w:r>
      <w:r>
        <w:rPr>
          <w:rFonts w:ascii="Arial" w:cs="Arial" w:eastAsia="Arial" w:hAnsi="Arial"/>
          <w:sz w:val="16"/>
          <w:szCs w:val="16"/>
          <w:color w:val="auto"/>
        </w:rPr>
        <w:t>means any certificate, agreement, document or other instrument, other than this Agreement, required to be executed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to be executed and delivered by Buyer or any of its Affiliates in connection with the transactions contemplated by this Agreement.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United States Internal Revenue Code of 1986, as amended.</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Release”</w:t>
      </w:r>
      <w:r>
        <w:rPr>
          <w:rFonts w:ascii="Arial" w:cs="Arial" w:eastAsia="Arial" w:hAnsi="Arial"/>
          <w:sz w:val="18"/>
          <w:szCs w:val="18"/>
          <w:color w:val="auto"/>
        </w:rPr>
        <w:t xml:space="preserve"> means the Deed of Release, dated March 8, 2007, between Seller and WFIL pursuant to which Seller has released and discharged WFIL from a certain portion of the Inter-Company Loans (as such term is defined in such Deed of Release).</w:t>
      </w:r>
    </w:p>
    <w:p>
      <w:pPr>
        <w:spacing w:after="0" w:line="16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“EMEA Excess Cash” </w:t>
      </w:r>
      <w:r>
        <w:rPr>
          <w:rFonts w:ascii="Arial" w:cs="Arial" w:eastAsia="Arial" w:hAnsi="Arial"/>
          <w:sz w:val="18"/>
          <w:szCs w:val="18"/>
          <w:color w:val="auto"/>
        </w:rPr>
        <w:t>means all cash and cash equivalents held in accounts owned by any of the Transferred Subsidiaries as of the business day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preceding the Closing Date,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Two Hundred Fifty Thousand United States Dollars ($250,000).</w:t>
      </w:r>
    </w:p>
    <w:p>
      <w:pPr>
        <w:spacing w:after="0" w:line="16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 Benefit Plan</w:t>
      </w:r>
      <w:r>
        <w:rPr>
          <w:rFonts w:ascii="Arial" w:cs="Arial" w:eastAsia="Arial" w:hAnsi="Arial"/>
          <w:sz w:val="16"/>
          <w:szCs w:val="16"/>
          <w:color w:val="auto"/>
        </w:rPr>
        <w:t xml:space="preserve">” means with respect to any Person: (a) each plan, fund, program, agreement, arrangement or scheme, including each plan, fund, program, agreement, arrangement or scheme maintained or required to be maintained under the Laws of a jurisdiction outside the United States of America, in each case, that is at any time sponsored or maintained or required to be sponsored or maintained by such Person or to which such Person makes or has made, or has or has had an obligation to make, contributions providing for employee benefits or for the remuneration, direct or indirect, of the employees, former employees, directors, officers, consultants, independent contractors, contingent workers or leased employees of such Person or the dependents of any of them (whether written or oral), including each deferred compensation, bonus, incentive compensation, pension, retirement, stock purchase, stock option and other equity compensation plan, “welfare” plan (within the meaning of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ERISA, determined without regard to whether such plan is subject to ERISA); (b) each “pension” plan (within the meaning of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ERISA, determined without regard to whether such plan is subject to ERISA); (c) each severance, health, vacation, summer hours, supplemental unemployment, hospitalization insurance, medical and dental benefit plan, program, agreement or arrangement; and (d) each other employee benefit plan, fund, </w:t>
      </w:r>
      <w:r>
        <w:rPr>
          <w:rFonts w:ascii="Arial" w:cs="Arial" w:eastAsia="Arial" w:hAnsi="Arial"/>
          <w:sz w:val="15"/>
          <w:szCs w:val="15"/>
          <w:color w:val="auto"/>
        </w:rPr>
        <w:t>program</w:t>
      </w:r>
      <w:r>
        <w:rPr>
          <w:rFonts w:ascii="Arial" w:cs="Arial" w:eastAsia="Arial" w:hAnsi="Arial"/>
          <w:sz w:val="16"/>
          <w:szCs w:val="16"/>
          <w:color w:val="auto"/>
        </w:rPr>
        <w:t>, agreement or arrangement.</w:t>
      </w:r>
    </w:p>
    <w:p>
      <w:pPr>
        <w:spacing w:after="0" w:line="161"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United States Employee Retirement Income Security Act of 1974, as amended, and the rules and regulations promulgated thereunder.</w:t>
      </w:r>
    </w:p>
    <w:p>
      <w:pPr>
        <w:sectPr>
          <w:pgSz w:w="11900" w:h="16838" w:orient="portrait"/>
          <w:cols w:equalWidth="0" w:num="1">
            <w:col w:w="11420"/>
          </w:cols>
          <w:pgMar w:left="240" w:top="121" w:right="239" w:bottom="13" w:gutter="0" w:footer="0" w:header="0"/>
        </w:sectPr>
      </w:pPr>
    </w:p>
    <w:bookmarkStart w:id="115" w:name="page116"/>
    <w:bookmarkEnd w:id="115"/>
    <w:p>
      <w:pPr>
        <w:ind w:left="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“GAAP” </w:t>
      </w:r>
      <w:r>
        <w:rPr>
          <w:rFonts w:ascii="Arial" w:cs="Arial" w:eastAsia="Arial" w:hAnsi="Arial"/>
          <w:sz w:val="18"/>
          <w:szCs w:val="18"/>
          <w:color w:val="auto"/>
        </w:rPr>
        <w:t>means United States generally accepted accounting principles.</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federal, state or local or foreign government or any court, administrative or regulatory agency or commission or other governmental authority or agency, domestic or foreign.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Holdback Amount</w:t>
      </w:r>
      <w:r>
        <w:rPr>
          <w:rFonts w:ascii="Arial" w:cs="Arial" w:eastAsia="Arial" w:hAnsi="Arial"/>
          <w:sz w:val="18"/>
          <w:szCs w:val="18"/>
          <w:color w:val="auto"/>
        </w:rPr>
        <w:t>” means Seven Hundred Thousand United States Dollars (US$700,000.00)</w:t>
      </w:r>
      <w:r>
        <w:rPr>
          <w:rFonts w:ascii="Arial" w:cs="Arial" w:eastAsia="Arial" w:hAnsi="Arial"/>
          <w:sz w:val="17"/>
          <w:szCs w:val="17"/>
          <w:color w:val="auto"/>
        </w:rPr>
        <w:t>.</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means all of the following in any country: (a) all issued patents and pending patent applications (including without limitation utility models, design patents, certificates of invention and applications for certificates of invention and priority rights), including all provisional applications, substitutions, continuations, continuations-in-part, divisions, renewals, reissues, re-examinations and extensions thereof; (b) all trade secret rights, proprietary processes, formulae and other know-how rights (whether at Law, in equity or otherwise); (c) all copyrights (whether registered or not), applications therefore, moral rights and other rights associated with original works of authorship (whether by statute, common Law or otherwise); (d) all trademarks (whether registered or not), service marks (whether registered or not), tradenames, brand names, trade dress, slogans, logos, Internet domain names, applications for any of the foregoing, and all goodwill associated with any of the foregoing; (e) Software, computer systems, content and databases (including CD-ROMs); and (f) the right (whether at Law, in equity by contract or otherwise) to use or otherwise exploit any of the foregoing.</w:t>
      </w:r>
    </w:p>
    <w:p>
      <w:pPr>
        <w:spacing w:after="0" w:line="160"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of Seller means the actual knowledge, after reasonable inquiry, of Eric DeMarco, Deanna Lund, James Edwards, Laura Siegel, Igor Leprince, Charlie Kjessler and Angela Chow.</w:t>
      </w:r>
    </w:p>
    <w:p>
      <w:pPr>
        <w:spacing w:after="0" w:line="162" w:lineRule="exact"/>
        <w:rPr>
          <w:sz w:val="20"/>
          <w:szCs w:val="20"/>
          <w:color w:val="auto"/>
        </w:rPr>
      </w:pPr>
    </w:p>
    <w:p>
      <w:pPr>
        <w:ind w:right="28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Law</w:t>
      </w:r>
      <w:r>
        <w:rPr>
          <w:rFonts w:ascii="Arial" w:cs="Arial" w:eastAsia="Arial" w:hAnsi="Arial"/>
          <w:sz w:val="16"/>
          <w:szCs w:val="16"/>
          <w:color w:val="auto"/>
        </w:rPr>
        <w:t>” or “</w:t>
      </w:r>
      <w:r>
        <w:rPr>
          <w:rFonts w:ascii="Arial" w:cs="Arial" w:eastAsia="Arial" w:hAnsi="Arial"/>
          <w:sz w:val="16"/>
          <w:szCs w:val="16"/>
          <w:b w:val="1"/>
          <w:bCs w:val="1"/>
          <w:color w:val="auto"/>
        </w:rPr>
        <w:t>Laws</w:t>
      </w:r>
      <w:r>
        <w:rPr>
          <w:rFonts w:ascii="Arial" w:cs="Arial" w:eastAsia="Arial" w:hAnsi="Arial"/>
          <w:sz w:val="16"/>
          <w:szCs w:val="16"/>
          <w:color w:val="auto"/>
        </w:rPr>
        <w:t>” means any federal, state, local, municipal, foreign or other law, statute, legislation, constitution, principle of common law, resolution, ordinance, code, order, edict, decree, proclamation, treaty, convention, rule, regulation, permit, ruling, directive, pronouncement, requirement (licensing or otherwise), specification, determination, decision, opinion, or interpretation that is, has been or may in the future be issued, enacted, adopted, passed, approved, issued, published, promulgated, made, implemented or otherwise put into effect by or under the authority of any Governmental Entity.</w:t>
      </w:r>
    </w:p>
    <w:p>
      <w:pPr>
        <w:spacing w:after="0" w:line="151" w:lineRule="exact"/>
        <w:rPr>
          <w:sz w:val="20"/>
          <w:szCs w:val="20"/>
          <w:color w:val="auto"/>
        </w:rPr>
      </w:pPr>
    </w:p>
    <w:p>
      <w:pPr>
        <w:ind w:right="8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Liability</w:t>
      </w:r>
      <w:r>
        <w:rPr>
          <w:rFonts w:ascii="Arial" w:cs="Arial" w:eastAsia="Arial" w:hAnsi="Arial"/>
          <w:sz w:val="16"/>
          <w:szCs w:val="16"/>
          <w:color w:val="auto"/>
        </w:rPr>
        <w:t>” means, with respect to any Person, any liability or obligation of such Person of any kind, character or description, whether known or unknown, absolute or contingent, accrued or unaccrued, liquidated or unliquidated, secured or unsecured, joint or several, due or to become due, vested or unvested, executory, determined, determinable or otherwise and whether or not the same is required to be accrued on the financial statements of such Person.</w:t>
      </w:r>
    </w:p>
    <w:p>
      <w:pPr>
        <w:spacing w:after="0" w:line="14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means, with respect to any property or asset, any mortgage, lien, pledge, charge, security interest or encumbrance of any nature whatsoever</w:t>
      </w:r>
      <w:r>
        <w:rPr>
          <w:rFonts w:ascii="Arial" w:cs="Arial" w:eastAsia="Arial" w:hAnsi="Arial"/>
          <w:sz w:val="18"/>
          <w:szCs w:val="18"/>
          <w:b w:val="1"/>
          <w:bCs w:val="1"/>
          <w:color w:val="auto"/>
        </w:rPr>
        <w:t xml:space="preserve"> </w:t>
      </w:r>
      <w:r>
        <w:rPr>
          <w:rFonts w:ascii="Arial" w:cs="Arial" w:eastAsia="Arial" w:hAnsi="Arial"/>
          <w:sz w:val="18"/>
          <w:szCs w:val="18"/>
          <w:color w:val="auto"/>
        </w:rPr>
        <w:t>in respect of such property or asset.</w:t>
      </w:r>
    </w:p>
    <w:p>
      <w:pPr>
        <w:spacing w:after="0" w:line="162" w:lineRule="exact"/>
        <w:rPr>
          <w:sz w:val="20"/>
          <w:szCs w:val="20"/>
          <w:color w:val="auto"/>
        </w:rPr>
      </w:pPr>
    </w:p>
    <w:p>
      <w:pPr>
        <w:jc w:val="both"/>
        <w:ind w:right="300" w:firstLine="648"/>
        <w:spacing w:after="0" w:line="266" w:lineRule="auto"/>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any event, change, violation, inaccuracy, circumstance, occurrence, state of facts or effect that has a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effect on (a) the business, assets (including intangible assets), Liabilities, properties, financial condition or results of operations of the Transferred Subsidiaries, taken as a whole, or (b) Seller’s or the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Subsidiaries’ ability to timely consummate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determining whether a material adverse effect has occurred or exists, there shall be excluded any effect, condition, event, change or occurrence impacting the Transferred Subsidiaries to the extent caused by: (i) any change in condition in (or affecting) the industry, national or local economy or financial markets in any country in which the Transferred Subsidiaries has material operations or sales (so long as the Transferred Subsidiaries are not disproportionately affected thereby); (ii) the taking of any action by Buyer or any action approved or consented to by Buyer; (iii) any act of terrorism or war, or any armed hostilities, anywhere in the world and any natural or man-made disaster; (iv) any disruption of a material contractor, customer, supplier or other similar relationships or other events or circumstances resulting from or attributable to the execution or announcement of this Agreement or the pendency of the transactions contemplated hereby; (v) any matter referred to in the Seller Disclosure Schedule; (vi) any material changes in accounting requirements or principles or any material changes in applicable laws or interpretations thereof; and (vii) any failure by the Transferred Subsidiaries to meet any internal or other estimates, predictions, projections or forecasts of revenue, net income or other measure of financial performance; provided that the exception in this clause (vii) shall not apply to the facts and circumstances underlying any such failure to the extent such facts and circumstances are not otherwise excluded pursuant to the preceding clauses (i) through (vi).</w:t>
      </w:r>
    </w:p>
    <w:p>
      <w:pPr>
        <w:spacing w:after="0" w:line="169"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 individual, corporation, partnership, limited liability company, association, trust or other entity or organization, including a</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Entity.</w:t>
      </w:r>
    </w:p>
    <w:p>
      <w:pPr>
        <w:spacing w:after="0" w:line="162" w:lineRule="exact"/>
        <w:rPr>
          <w:sz w:val="20"/>
          <w:szCs w:val="20"/>
          <w:color w:val="auto"/>
        </w:rPr>
      </w:pPr>
    </w:p>
    <w:p>
      <w:pPr>
        <w:ind w:right="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Permits</w:t>
      </w:r>
      <w:r>
        <w:rPr>
          <w:rFonts w:ascii="Arial" w:cs="Arial" w:eastAsia="Arial" w:hAnsi="Arial"/>
          <w:sz w:val="17"/>
          <w:szCs w:val="17"/>
          <w:color w:val="auto"/>
        </w:rPr>
        <w:t>” means all licenses, permits, franchises, approvals, authorizations, certificates, registrations, consents or orders of, or filings with, any Governmental Entity used or held for use in the Transferred Subsidiaries’ respective businesses and all other rights and privileges granted by a Governmental Entity necessary to allow the Transferred Subsidiaries to engage in their respective businesses without any violation of law.</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shall mean (a) Liens for Taxes which are not then delinquent or are being contested in good faith by appropriate proceedings and with respect to which adequate reserves in accordance with GAAP are reflected on the books of the Transferred Subsidiaries; (b) pledges or deposits of money securing statutory obligations of any Transferred Subsidiary under workmen’s compensation, unemployment insurance, social security or public liability laws or similar legislation (excluding Liens under ERISA); (c) pledges or deposits of money securing bids, tenders, contracts (other than contracts for the payment of money) or leases to which any Transferred Subsidiary is a party as lessee made in the ordinary course of business; (d) inchoate and unperfected workers’, mechanics’, vendors’ or similar Liens arising in the ordinary course of business; (e) carriers’, warehousemen’s, suppliers’ or other similar possessory Liens arising in the ordinary course of business so long as such Liens attach only to inventory; (f) deposits securing, or in lieu of, surety, appeal or customs bonds in proceedings to which any Transferred Subsidiary is a party; and (g) with respect to any Intellectual Property Rights, all Liens (other than Liens evidencing or securing financial obligations) of any kind evidenced by the documents or other instruments pursuant to which Seller or its Subsidiaries acquired such Intellectual Property Right, provided, however, that no such Lien or Liens, individually or in the aggregate, is reasonably expected to have a Material Adversely Effect on the Transferred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13"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assets taken as a whole or to materially impair the Transferred Subsidiaries’ ability to use such assets.</w:t>
      </w:r>
    </w:p>
    <w:p>
      <w:pPr>
        <w:sectPr>
          <w:pgSz w:w="11900" w:h="16838" w:orient="portrait"/>
          <w:cols w:equalWidth="0" w:num="1">
            <w:col w:w="11400"/>
          </w:cols>
          <w:pgMar w:left="240" w:top="513" w:right="259" w:bottom="0" w:gutter="0" w:footer="0" w:header="0"/>
          <w:type w:val="continuous"/>
        </w:sectPr>
      </w:pPr>
    </w:p>
    <w:bookmarkStart w:id="116" w:name="page117"/>
    <w:bookmarkEnd w:id="11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means </w:t>
      </w:r>
      <w:r>
        <w:rPr>
          <w:rFonts w:ascii="Arial" w:cs="Arial" w:eastAsia="Arial" w:hAnsi="Arial"/>
          <w:sz w:val="17"/>
          <w:szCs w:val="17"/>
          <w:color w:val="auto"/>
        </w:rPr>
        <w:t>Four Million United States Dollars (US$4,000,000), as adjusted pursuant to</w:t>
      </w:r>
      <w:r>
        <w:rPr>
          <w:rFonts w:ascii="Arial" w:cs="Arial" w:eastAsia="Arial" w:hAnsi="Arial"/>
          <w:sz w:val="18"/>
          <w:szCs w:val="18"/>
          <w:color w:val="auto"/>
        </w:rPr>
        <w:t xml:space="preserve"> </w:t>
      </w:r>
      <w:r>
        <w:rPr>
          <w:rFonts w:ascii="Arial" w:cs="Arial" w:eastAsia="Arial" w:hAnsi="Arial"/>
          <w:sz w:val="17"/>
          <w:szCs w:val="17"/>
          <w:u w:val="single" w:color="auto"/>
          <w:color w:val="auto"/>
        </w:rPr>
        <w:t>Section 6.7</w:t>
      </w:r>
      <w:r>
        <w:rPr>
          <w:rFonts w:ascii="Arial" w:cs="Arial" w:eastAsia="Arial" w:hAnsi="Arial"/>
          <w:sz w:val="17"/>
          <w:szCs w:val="17"/>
          <w:color w:val="auto"/>
        </w:rPr>
        <w:t>.</w:t>
      </w:r>
    </w:p>
    <w:p>
      <w:pPr>
        <w:spacing w:after="0" w:line="225" w:lineRule="exact"/>
        <w:rPr>
          <w:sz w:val="20"/>
          <w:szCs w:val="20"/>
          <w:color w:val="auto"/>
        </w:rPr>
      </w:pPr>
    </w:p>
    <w:p>
      <w:pPr>
        <w:ind w:right="4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Seller Ancillary Documents</w:t>
      </w:r>
      <w:r>
        <w:rPr>
          <w:rFonts w:ascii="Arial" w:cs="Arial" w:eastAsia="Arial" w:hAnsi="Arial"/>
          <w:sz w:val="16"/>
          <w:szCs w:val="16"/>
          <w:color w:val="auto"/>
        </w:rPr>
        <w:t>” means any certificate, agreement, document or other instrument, other than this Agreement, required under this Agreement to be executed and delivered by Seller or any of its Affiliates in connection with the transactions contemplated by this Agreement.</w:t>
      </w:r>
    </w:p>
    <w:p>
      <w:pPr>
        <w:spacing w:after="0" w:line="116"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all computer software programs, together with any error corrections, updates, modifications, or enhancements thereto, in both machine-readable form and human readable form, including all comments and any procedural code.</w:t>
      </w:r>
    </w:p>
    <w:p>
      <w:pPr>
        <w:spacing w:after="0" w:line="162" w:lineRule="exact"/>
        <w:rPr>
          <w:sz w:val="20"/>
          <w:szCs w:val="20"/>
          <w:color w:val="auto"/>
        </w:rPr>
      </w:pPr>
    </w:p>
    <w:p>
      <w:pPr>
        <w:ind w:right="4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 specified entity means any entity of which the specified entity (either alone or through or together with any other subsidiary) owns, directly or indirectly, securities or other ownership interests having ordinary voting power to elect a majority of the board of directors or other persons performing similar functions of such other entity.</w:t>
      </w:r>
    </w:p>
    <w:p>
      <w:pPr>
        <w:spacing w:after="0" w:line="176"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and “</w:t>
      </w:r>
      <w:r>
        <w:rPr>
          <w:rFonts w:ascii="Arial" w:cs="Arial" w:eastAsia="Arial" w:hAnsi="Arial"/>
          <w:sz w:val="18"/>
          <w:szCs w:val="18"/>
          <w:b w:val="1"/>
          <w:bCs w:val="1"/>
          <w:color w:val="auto"/>
        </w:rPr>
        <w:t>Taxes</w:t>
      </w:r>
      <w:r>
        <w:rPr>
          <w:rFonts w:ascii="Arial" w:cs="Arial" w:eastAsia="Arial" w:hAnsi="Arial"/>
          <w:sz w:val="18"/>
          <w:szCs w:val="18"/>
          <w:color w:val="auto"/>
        </w:rPr>
        <w:t>” include (i) all federal, state, local and foreign income, alternative or add-on minimum income, gains, franchise, business license, gross receipts, excise, real property, personal property, property transfer, sales, use, employment, license, payroll, services, ad valorem, documentary, stamp, environmental, withholding, occupation, social security, recording, value added or transfer Taxes, governmental charges, fees, customs duties, levies or assessments (whether payable directly or by withholding), and (ii) any estimated Tax, interest, fines, penalties or additions to Tax with respect to amounts referred to in clause (i) 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Entity responsible for the administration of Taxes.</w:t>
      </w:r>
    </w:p>
    <w:p>
      <w:pPr>
        <w:spacing w:after="0" w:line="225" w:lineRule="exact"/>
        <w:rPr>
          <w:sz w:val="20"/>
          <w:szCs w:val="20"/>
          <w:color w:val="auto"/>
        </w:rPr>
      </w:pPr>
    </w:p>
    <w:p>
      <w:pPr>
        <w:ind w:right="4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Returns</w:t>
      </w:r>
      <w:r>
        <w:rPr>
          <w:rFonts w:ascii="Arial" w:cs="Arial" w:eastAsia="Arial" w:hAnsi="Arial"/>
          <w:sz w:val="18"/>
          <w:szCs w:val="18"/>
          <w:color w:val="auto"/>
        </w:rPr>
        <w:t>” includes all reports, estimates, declarations of estimated Tax, information statements and returns actually filed, or required to be filed, with a Governmental Entity in connection with any Taxes, including information returns or reports with respect to backup withholding and other payments to third parties.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w:t>
      </w:r>
    </w:p>
    <w:p>
      <w:pPr>
        <w:spacing w:after="0" w:line="229" w:lineRule="exact"/>
        <w:rPr>
          <w:sz w:val="20"/>
          <w:szCs w:val="20"/>
          <w:color w:val="auto"/>
        </w:rPr>
      </w:pPr>
    </w:p>
    <w:p>
      <w:pPr>
        <w:ind w:left="220" w:firstLine="648"/>
        <w:spacing w:after="0" w:line="297"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Purchase and Sale of the Transferred Subsidiaries; Assignment of Assigned Intercompany Debt.</w:t>
      </w:r>
      <w:r>
        <w:rPr>
          <w:rFonts w:ascii="Arial" w:cs="Arial" w:eastAsia="Arial" w:hAnsi="Arial"/>
          <w:sz w:val="16"/>
          <w:szCs w:val="16"/>
          <w:color w:val="auto"/>
        </w:rPr>
        <w:t xml:space="preserve"> Upon the terms and subject to the conditions of this Agreement, at the Closing (as defined in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in consideration for the delivery of the Purchase Price in accordance with the first sentence of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Seller hereby agrees to sell the Transferred Subsidiaries and assign the Assigned Intercompany Debt to Buyer, and Buyer agrees to purchase the Transferred Subsidiaries and the Assigned Intercompany Debt from Seller. Buyer and Seller hereby acknowledge and agree that, subject to Seller’s receipt of the portion of the Purchase Price described in the first sentence of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and to the fullest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right="60"/>
        <w:spacing w:after="0" w:line="293" w:lineRule="auto"/>
        <w:rPr>
          <w:sz w:val="20"/>
          <w:szCs w:val="20"/>
          <w:color w:val="auto"/>
        </w:rPr>
      </w:pPr>
      <w:r>
        <w:rPr>
          <w:rFonts w:ascii="Arial" w:cs="Arial" w:eastAsia="Arial" w:hAnsi="Arial"/>
          <w:sz w:val="16"/>
          <w:szCs w:val="16"/>
          <w:color w:val="auto"/>
        </w:rPr>
        <w:t>extent permitted by Law, as of the Closing Date: (i) Buyer shall be deemed the beneficial and substantive owner of the Transferred Subsidiaries, and assume full responsibility and operational control of the Transferred Subsidiaries, notwithstanding that legal title and the registration of any equity interest of the Transferred Subsidiaries in the name of Buyer may occur subsequent to the Closing; (ii) Buyer shall be entitled to receive through its beneficial ownership of the Transferred Subsidiaries any and all benefits relating to ownership of interests in the Transferred Subsidiaries, and, except as otherwise provided by this Agreement, shall assume and be fully responsible for any and all Liabilities relating to the Transferred Subsidiaries; and (iii) the Assigned Intercompany Debt shall be assigned to and thereafter be owing to Buyer by the obligor(s) thereunder.</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Closing; Conditions to Closing; Deliverables; Allocation.</w:t>
      </w:r>
    </w:p>
    <w:p>
      <w:pPr>
        <w:spacing w:after="0" w:line="221" w:lineRule="exact"/>
        <w:rPr>
          <w:sz w:val="20"/>
          <w:szCs w:val="20"/>
          <w:color w:val="auto"/>
        </w:rPr>
      </w:pPr>
    </w:p>
    <w:p>
      <w:pPr>
        <w:ind w:right="100" w:firstLine="1305"/>
        <w:spacing w:after="0" w:line="261" w:lineRule="auto"/>
        <w:tabs>
          <w:tab w:leader="none" w:pos="1991"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closing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of the purchase and sale of the Equity Interests and the Assigned Intercompany Debt hereunder shall occur at the offices of Morrison &amp; Foerster LLP, 12531 High Bluff Drive, Suite 100, San Diego, CA 92130, at 10:00 A.M., on the later of March 9, 2007 or the third (3rd) Business Day after the day on which all of the conditions to closing set forth in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are satisfied or waived, or at such other date, time or place as the parties may agree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460" w:firstLine="1305"/>
        <w:spacing w:after="0" w:line="308" w:lineRule="auto"/>
        <w:tabs>
          <w:tab w:leader="none" w:pos="2001"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On the Closing Date, Buyer shall deliver to Seller an amount equal to Three Million Three Hundred Thousand United States Dollars (US$3,300,000). Buyer shall deliver to Seller such additional amounts under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at such time or times provided therein.</w:t>
      </w:r>
    </w:p>
    <w:p>
      <w:pPr>
        <w:spacing w:after="0" w:line="146" w:lineRule="exact"/>
        <w:rPr>
          <w:rFonts w:ascii="Arial" w:cs="Arial" w:eastAsia="Arial" w:hAnsi="Arial"/>
          <w:sz w:val="17"/>
          <w:szCs w:val="17"/>
          <w:color w:val="auto"/>
        </w:rPr>
      </w:pPr>
    </w:p>
    <w:p>
      <w:pPr>
        <w:ind w:right="120" w:firstLine="1305"/>
        <w:spacing w:after="0" w:line="276" w:lineRule="auto"/>
        <w:tabs>
          <w:tab w:leader="none" w:pos="1991" w:val="left"/>
        </w:tabs>
        <w:numPr>
          <w:ilvl w:val="0"/>
          <w:numId w:val="79"/>
        </w:numPr>
        <w:rPr>
          <w:rFonts w:ascii="Arial" w:cs="Arial" w:eastAsia="Arial" w:hAnsi="Arial"/>
          <w:sz w:val="17"/>
          <w:szCs w:val="17"/>
          <w:color w:val="auto"/>
        </w:rPr>
      </w:pPr>
      <w:r>
        <w:rPr>
          <w:rFonts w:ascii="Arial" w:cs="Arial" w:eastAsia="Arial" w:hAnsi="Arial"/>
          <w:sz w:val="17"/>
          <w:szCs w:val="17"/>
          <w:color w:val="auto"/>
        </w:rPr>
        <w:t>On the Closing Date: (i) Seller shall deliver to Buyer certificates for the Equity Interests in WFIL and WFI France duly endorsed or accompanied by stock powers duly endorsed in blank, as applicable, with any required transfer stamps affixed; (ii) Seller shall take any other appropriate and necessary action to promptly and duly transfer the relevant Equity Interests relating to the Transferred Subsidiaries under applicable Laws, such that Buyer or its designee shall appear in any official registry as the record owner of such Equity Interests; and (iii) Seller shall deliver to Buyer such instruments and documents as are necessary to effect the assignment of the Assigned Intercompany Debt to Buyer.</w:t>
      </w:r>
    </w:p>
    <w:p>
      <w:pPr>
        <w:spacing w:after="0" w:line="172" w:lineRule="exact"/>
        <w:rPr>
          <w:rFonts w:ascii="Arial" w:cs="Arial" w:eastAsia="Arial" w:hAnsi="Arial"/>
          <w:sz w:val="17"/>
          <w:szCs w:val="17"/>
          <w:color w:val="auto"/>
        </w:rPr>
      </w:pPr>
    </w:p>
    <w:p>
      <w:pPr>
        <w:ind w:right="80" w:firstLine="1305"/>
        <w:spacing w:after="0" w:line="264" w:lineRule="auto"/>
        <w:tabs>
          <w:tab w:leader="none" w:pos="20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 the Closing Date, Seller shall and shall cause the Transferred Subsidiaries to take any and all necessary and appropriate action to transfer control of the Transferred Subsidiaries to Buyer, including but not limited to the resignation of any officers, managers, partners, and directors of any of the Transferred Subsidiaries, as requested by Buyer.</w:t>
      </w:r>
    </w:p>
    <w:p>
      <w:pPr>
        <w:spacing w:after="0" w:line="181" w:lineRule="exact"/>
        <w:rPr>
          <w:rFonts w:ascii="Arial" w:cs="Arial" w:eastAsia="Arial" w:hAnsi="Arial"/>
          <w:sz w:val="18"/>
          <w:szCs w:val="18"/>
          <w:color w:val="auto"/>
        </w:rPr>
      </w:pPr>
    </w:p>
    <w:p>
      <w:pPr>
        <w:ind w:right="160" w:firstLine="1305"/>
        <w:spacing w:after="0" w:line="259" w:lineRule="auto"/>
        <w:tabs>
          <w:tab w:leader="none" w:pos="1991"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Purchase Price shall be allocated as follows: (i) US$999,990 to all of the outstanding stock in WFIL, (ii) US$10 to all of the outstanding stock in WFI France SARL, and (iii) the balance of the Purchase Price to the principal amount of the Assigned Intercompany Debt. Any reduction in the Purchase Price pursuant to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be first allocated the stock of WFIL to the extent of not more than US$999,980, and then to the Assigned Intercompany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SELLER</w:t>
      </w:r>
    </w:p>
    <w:p>
      <w:pPr>
        <w:sectPr>
          <w:pgSz w:w="11900" w:h="16838" w:orient="portrait"/>
          <w:cols w:equalWidth="0" w:num="1">
            <w:col w:w="11420"/>
          </w:cols>
          <w:pgMar w:left="240" w:top="121" w:right="239" w:bottom="0" w:gutter="0" w:footer="0" w:header="0"/>
        </w:sectPr>
      </w:pPr>
    </w:p>
    <w:bookmarkStart w:id="117" w:name="page118"/>
    <w:bookmarkEnd w:id="117"/>
    <w:p>
      <w:pPr>
        <w:ind w:left="660"/>
        <w:spacing w:after="0"/>
        <w:rPr>
          <w:sz w:val="20"/>
          <w:szCs w:val="20"/>
          <w:color w:val="auto"/>
        </w:rPr>
      </w:pPr>
      <w:r>
        <w:rPr>
          <w:rFonts w:ascii="Arial" w:cs="Arial" w:eastAsia="Arial" w:hAnsi="Arial"/>
          <w:sz w:val="16"/>
          <w:szCs w:val="16"/>
          <w:color w:val="auto"/>
        </w:rPr>
        <w:t>Except as set forth on Seller’s disclosure schedule (the “</w:t>
      </w:r>
      <w:r>
        <w:rPr>
          <w:rFonts w:ascii="Arial" w:cs="Arial" w:eastAsia="Arial" w:hAnsi="Arial"/>
          <w:sz w:val="16"/>
          <w:szCs w:val="16"/>
          <w:b w:val="1"/>
          <w:bCs w:val="1"/>
          <w:color w:val="auto"/>
        </w:rPr>
        <w:t>Seller Disclosure Schedule</w:t>
      </w:r>
      <w:r>
        <w:rPr>
          <w:rFonts w:ascii="Arial" w:cs="Arial" w:eastAsia="Arial" w:hAnsi="Arial"/>
          <w:sz w:val="16"/>
          <w:szCs w:val="16"/>
          <w:color w:val="auto"/>
        </w:rPr>
        <w:t>”) attached to this Agreement, Seller represents and warrants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Buyer as of the Closing Date that:</w:t>
      </w:r>
    </w:p>
    <w:p>
      <w:pPr>
        <w:spacing w:after="0" w:line="211" w:lineRule="exact"/>
        <w:rPr>
          <w:sz w:val="20"/>
          <w:szCs w:val="20"/>
          <w:color w:val="auto"/>
        </w:rPr>
      </w:pPr>
    </w:p>
    <w:p>
      <w:pPr>
        <w:ind w:left="220" w:right="80" w:firstLine="648"/>
        <w:spacing w:after="0" w:line="255"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Organization</w:t>
      </w:r>
      <w:r>
        <w:rPr>
          <w:rFonts w:ascii="Arial" w:cs="Arial" w:eastAsia="Arial" w:hAnsi="Arial"/>
          <w:sz w:val="18"/>
          <w:szCs w:val="18"/>
          <w:color w:val="auto"/>
        </w:rPr>
        <w:t>. Each of Seller and the Transferred Subsidiaries is duly formed, validly existing and in good standing under the Laws of the jurisdiction of its organization and has all requisite power and authority to own, lease and operate its properties and to carry on its business as now being conducted. Each of the Transferred Subsidiaries is duly qualified or registered to transact business under the Laws of each jurisdiction in which the failure to be so qualified would reasonably be expected to have a Material Adverse Effect on the Transferred Subsidiaries taken as a whole. No Transferred Subsidiary owns, directly or indirectly, any equity or ownership interest of any kind in any business, joint venture, or other Person. The copies of the organizational documents of each Transferred Subsidiary heretofore made available to Buyer are true, complete and correct copies of such instruments as presently in effect.</w:t>
      </w:r>
    </w:p>
    <w:p>
      <w:pPr>
        <w:spacing w:after="0" w:line="189" w:lineRule="exact"/>
        <w:rPr>
          <w:sz w:val="20"/>
          <w:szCs w:val="20"/>
          <w:color w:val="auto"/>
        </w:rPr>
      </w:pPr>
    </w:p>
    <w:p>
      <w:pPr>
        <w:ind w:left="220" w:firstLine="648"/>
        <w:spacing w:after="0" w:line="25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Authority</w:t>
      </w:r>
      <w:r>
        <w:rPr>
          <w:rFonts w:ascii="Arial" w:cs="Arial" w:eastAsia="Arial" w:hAnsi="Arial"/>
          <w:sz w:val="18"/>
          <w:szCs w:val="18"/>
          <w:color w:val="auto"/>
        </w:rPr>
        <w:t>. Seller has the right, power and capacity to execute and deliver this Agreement and the Seller Ancillary Documents and to perform its obligations under this Agreement and the Seller Ancillary Documents and to consummate the transactions contemplated hereby and thereby. The execution and delivery of this Agreement and the Seller Ancillary Documents by Seller, the performance by Seller of its obligations hereunder and thereunder and the consummation of the transactions provided for herein and therein have been duly and validly authorized. This Agreement has been, and each of the Seller Ancillary Documents will be as of the Closing Date, duly executed and delivered by Seller and constitutes, or will constitute, as the case may be, the valid and binding agreement of Seller, enforceable against Seller in accordance with its terms, subject to applicable bankruptcy, insolvency and other similar Laws affecting the enforceability of creditors’ rights generally, general equitable principles and the discretion of courts in granting equitable remedies.</w:t>
      </w:r>
    </w:p>
    <w:p>
      <w:pPr>
        <w:spacing w:after="0" w:line="192" w:lineRule="exact"/>
        <w:rPr>
          <w:sz w:val="20"/>
          <w:szCs w:val="20"/>
          <w:color w:val="auto"/>
        </w:rPr>
      </w:pPr>
    </w:p>
    <w:p>
      <w:pPr>
        <w:ind w:left="220" w:right="40" w:firstLine="648"/>
        <w:spacing w:after="0" w:line="270"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i w:val="1"/>
          <w:iCs w:val="1"/>
          <w:color w:val="auto"/>
        </w:rPr>
        <w:t>Absence of Restrictions and Conflicts</w:t>
      </w:r>
      <w:r>
        <w:rPr>
          <w:rFonts w:ascii="Arial" w:cs="Arial" w:eastAsia="Arial" w:hAnsi="Arial"/>
          <w:sz w:val="17"/>
          <w:szCs w:val="17"/>
          <w:color w:val="auto"/>
        </w:rPr>
        <w:t>. The execution, delivery and performance of this Agreement and the Seller Ancillary Documents, the consummation of the transactions contemplated by this Agreement and the Seller Ancillary Documents, and the fulfillment of and compliance with the terms and conditions of this Agreement and the Seller Ancillary Documents do not or will not (as the case may be), with the passing of time or the giving of notice or both, violate or conflict with, constitute a breach of or default under, result in the loss of any benefit under, permit the acceleration of any obligation under or create in any party the right to terminate, modify or cancel, (a) any term or provision of the organizational documents of Seller or any Transferred Subsidiary, (b) any Material Contract, (c) any judgment, decree or order of any court or Governmental Entity by which Seller or any Transferred Subsidiary is bound or (d) any Law or arbitration award applicable to Seller or any Transferred Subsidiary, except in any case under clauses (b), (c) or (d) above, where the loss, termination, breach, acceleration, modification or cancellation would not reasonably be expected to have a Material Adverse Effect on the Transferred Subsidiaries.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 w:right="280"/>
        <w:spacing w:after="0" w:line="284" w:lineRule="auto"/>
        <w:rPr>
          <w:sz w:val="20"/>
          <w:szCs w:val="20"/>
          <w:color w:val="auto"/>
        </w:rPr>
      </w:pPr>
      <w:r>
        <w:rPr>
          <w:rFonts w:ascii="Arial" w:cs="Arial" w:eastAsia="Arial" w:hAnsi="Arial"/>
          <w:sz w:val="16"/>
          <w:szCs w:val="16"/>
          <w:color w:val="auto"/>
        </w:rPr>
        <w:t>contemplated by this Agreement will not constitute a change of control or assignment requiring the consent from a third party pursuant to any Material Contract. No consent, approval, order or authorization of, or registration, declaration or filing with, any Governmental Entity is required with respect to Seller or any of its Affiliates in connection with the execution, delivery or performance of this Agreement or the Seller Ancillary Documents or the consummation of the transactions contemplated hereby or thereby, except (x) such reports under the Securities Exchange Act of 1934, as amended (including the rules and regulations thereunder), as may be required in connection with this Agreement and the transactions contemplated by this Agreement, (y) any filings required under the rules and regulations of the Nasdaq Global Market, and (z) with respect to the actions described in clause</w:t>
      </w:r>
    </w:p>
    <w:p>
      <w:pPr>
        <w:spacing w:after="0" w:line="5" w:lineRule="exact"/>
        <w:rPr>
          <w:sz w:val="20"/>
          <w:szCs w:val="20"/>
          <w:color w:val="auto"/>
        </w:rPr>
      </w:pPr>
    </w:p>
    <w:p>
      <w:pPr>
        <w:ind w:left="220" w:right="120" w:firstLine="4"/>
        <w:spacing w:after="0" w:line="302" w:lineRule="auto"/>
        <w:tabs>
          <w:tab w:leader="none" w:pos="535"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5.1(c)</w:t>
      </w:r>
      <w:r>
        <w:rPr>
          <w:rFonts w:ascii="Arial" w:cs="Arial" w:eastAsia="Arial" w:hAnsi="Arial"/>
          <w:sz w:val="16"/>
          <w:szCs w:val="16"/>
          <w:color w:val="auto"/>
        </w:rPr>
        <w:t>, filings by WFI UK, Ltd. with the Commissioner of the Inland Revenue in accordance with the provisions of ICTA 1988 s765A (the “</w:t>
      </w:r>
      <w:r>
        <w:rPr>
          <w:rFonts w:ascii="Arial" w:cs="Arial" w:eastAsia="Arial" w:hAnsi="Arial"/>
          <w:sz w:val="16"/>
          <w:szCs w:val="16"/>
          <w:b w:val="1"/>
          <w:bCs w:val="1"/>
          <w:color w:val="auto"/>
        </w:rPr>
        <w:t>WFI Turkey Share Transfer Tax Filing</w:t>
      </w:r>
      <w:r>
        <w:rPr>
          <w:rFonts w:ascii="Arial" w:cs="Arial" w:eastAsia="Arial" w:hAnsi="Arial"/>
          <w:sz w:val="16"/>
          <w:szCs w:val="16"/>
          <w:color w:val="auto"/>
        </w:rPr>
        <w:t>”), and except where the failure to obtain such consent, approval, order, authorization or registration or the failure to make such declaration or filing would not reasonably be expected to have a Material Adverse Effect on the Transferred Subsidiaries.</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Ownership of the Transferred Subsidiaries and Certain Other Subsidiaries</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88" w:lineRule="auto"/>
        <w:tabs>
          <w:tab w:leader="none" w:pos="1991"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The identity of each Person that owns any outstanding Equity Interest in a Transferred Subsidiary and the number of shares, or amount of such interest, owned by such Person is set forth on </w:t>
      </w: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Each such Person has good and marketable title to such Equity Interests. There is no agreement, understanding, trust, or other collaborative arrangement or understanding with any party other than Seller that could reasonably be expected to have a Material Adverse Effect on such Person’s ownership of such Equity Interests. Except as set forth in </w:t>
      </w: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such Equity Interests are owned free and clear of all Liens. Upon the delivery by Seller of the certificates representing the Equity Interests in WFIL and WFI France in the manner contemplated in this Agreement, Buyer will acquire the beneficial and legal, valid and indefeasible title to such Equity Interests, free and clear of all Liens. Upon the delivery by WFI UK, Ltd. of the certificate representing the Equity Interest in WFI Turkey described in clause (iii) of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WFI Sweden will acquire the beneficial and legal, valid and indefensible title to such Equity Interest, free and clear of all Liens. Except as contemplated by </w:t>
      </w:r>
      <w:r>
        <w:rPr>
          <w:rFonts w:ascii="Arial" w:cs="Arial" w:eastAsia="Arial" w:hAnsi="Arial"/>
          <w:sz w:val="16"/>
          <w:szCs w:val="16"/>
          <w:u w:val="single" w:color="auto"/>
          <w:color w:val="auto"/>
        </w:rPr>
        <w:t>Section 5.1(c)</w:t>
      </w:r>
      <w:r>
        <w:rPr>
          <w:rFonts w:ascii="Arial" w:cs="Arial" w:eastAsia="Arial" w:hAnsi="Arial"/>
          <w:sz w:val="16"/>
          <w:szCs w:val="16"/>
          <w:color w:val="auto"/>
        </w:rPr>
        <w:t>, there are no outstanding options, warrants, rights (including conversion or preemptive rights) or agreements for the purchase or acquisition of any Transferred Subsidiary’s securities or for the purchase or acquisition from Seller or any of its Affiliates of the Equity Interests.</w:t>
      </w:r>
    </w:p>
    <w:p>
      <w:pPr>
        <w:spacing w:after="0" w:line="169" w:lineRule="exact"/>
        <w:rPr>
          <w:rFonts w:ascii="Arial" w:cs="Arial" w:eastAsia="Arial" w:hAnsi="Arial"/>
          <w:sz w:val="16"/>
          <w:szCs w:val="16"/>
          <w:color w:val="auto"/>
        </w:rPr>
      </w:pPr>
    </w:p>
    <w:p>
      <w:pPr>
        <w:ind w:left="2000" w:hanging="695"/>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WFI Germany has not engaged in any activities since 2003 and has no assets and no Liabilities.</w:t>
      </w:r>
    </w:p>
    <w:p>
      <w:pPr>
        <w:spacing w:after="0" w:line="225" w:lineRule="exact"/>
        <w:rPr>
          <w:rFonts w:ascii="Arial" w:cs="Arial" w:eastAsia="Arial" w:hAnsi="Arial"/>
          <w:sz w:val="18"/>
          <w:szCs w:val="18"/>
          <w:color w:val="auto"/>
        </w:rPr>
      </w:pPr>
    </w:p>
    <w:p>
      <w:pPr>
        <w:ind w:right="140" w:firstLine="1305"/>
        <w:spacing w:after="0" w:line="308" w:lineRule="auto"/>
        <w:tabs>
          <w:tab w:leader="none" w:pos="1991" w:val="left"/>
        </w:tabs>
        <w:numPr>
          <w:ilvl w:val="0"/>
          <w:numId w:val="81"/>
        </w:numPr>
        <w:rPr>
          <w:rFonts w:ascii="Arial" w:cs="Arial" w:eastAsia="Arial" w:hAnsi="Arial"/>
          <w:sz w:val="17"/>
          <w:szCs w:val="17"/>
          <w:color w:val="auto"/>
        </w:rPr>
      </w:pPr>
      <w:r>
        <w:rPr>
          <w:rFonts w:ascii="Arial" w:cs="Arial" w:eastAsia="Arial" w:hAnsi="Arial"/>
          <w:sz w:val="17"/>
          <w:szCs w:val="17"/>
          <w:color w:val="auto"/>
        </w:rPr>
        <w:t>WFIL owns all of the issued and outstanding equity interests of Wireless Facilities International Spain, S. L., a Spanish company (“</w:t>
      </w:r>
      <w:r>
        <w:rPr>
          <w:rFonts w:ascii="Arial" w:cs="Arial" w:eastAsia="Arial" w:hAnsi="Arial"/>
          <w:sz w:val="17"/>
          <w:szCs w:val="17"/>
          <w:b w:val="1"/>
          <w:bCs w:val="1"/>
          <w:color w:val="auto"/>
        </w:rPr>
        <w:t>WFI Spain</w:t>
      </w:r>
      <w:r>
        <w:rPr>
          <w:rFonts w:ascii="Arial" w:cs="Arial" w:eastAsia="Arial" w:hAnsi="Arial"/>
          <w:sz w:val="17"/>
          <w:szCs w:val="17"/>
          <w:color w:val="auto"/>
        </w:rPr>
        <w:t>”), free and clear of all Liens. WFI Spain has not engaged in any activities since 2004 and has no assets and no Liabilities.</w:t>
      </w:r>
    </w:p>
    <w:p>
      <w:pPr>
        <w:spacing w:after="0" w:line="146" w:lineRule="exact"/>
        <w:rPr>
          <w:rFonts w:ascii="Arial" w:cs="Arial" w:eastAsia="Arial" w:hAnsi="Arial"/>
          <w:sz w:val="17"/>
          <w:szCs w:val="17"/>
          <w:color w:val="auto"/>
        </w:rPr>
      </w:pPr>
    </w:p>
    <w:p>
      <w:pPr>
        <w:ind w:right="220" w:firstLine="1305"/>
        <w:spacing w:after="0" w:line="277" w:lineRule="auto"/>
        <w:tabs>
          <w:tab w:leader="none" w:pos="2001" w:val="left"/>
        </w:tabs>
        <w:numPr>
          <w:ilvl w:val="0"/>
          <w:numId w:val="81"/>
        </w:numPr>
        <w:rPr>
          <w:rFonts w:ascii="Arial" w:cs="Arial" w:eastAsia="Arial" w:hAnsi="Arial"/>
          <w:sz w:val="18"/>
          <w:szCs w:val="18"/>
          <w:color w:val="auto"/>
        </w:rPr>
      </w:pPr>
      <w:r>
        <w:rPr>
          <w:rFonts w:ascii="Arial" w:cs="Arial" w:eastAsia="Arial" w:hAnsi="Arial"/>
          <w:sz w:val="18"/>
          <w:szCs w:val="18"/>
          <w:color w:val="auto"/>
        </w:rPr>
        <w:t>WFIL owns all of the issued and outstanding equity interests of Questus, free and clear of all Liens. Questus has not engaged in any activities since January 1, 2003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has no assets and no Liabilities other than Liabilities that are reflected on the Unaudited Interim Balance Sheet.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i w:val="1"/>
          <w:iCs w:val="1"/>
          <w:color w:val="auto"/>
        </w:rPr>
        <w:t>Validity of Intercompany Debt; Nature of Debt Released Pursuant to Deed of Release</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302" w:lineRule="auto"/>
        <w:tabs>
          <w:tab w:leader="none" w:pos="1991"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Intercompany Debt represents the valid and legally binding obligation of the Transferred Subsidiaries to Seller. The portion of the Intercompany Debt designated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as “Loans” constitutes debts arising from transactions for the lending of money which fall to be settled by the payment of money, and does not constitute trade debts. Seller has the right to transfer the Assigned Intercompany Debt to Buyer hereunder. The assignment of the Assigned Intercompany Debt to Buyer hereunder does not violate any contract, order, judgment, writ or Law applicable to Seller or the</w:t>
      </w:r>
    </w:p>
    <w:p>
      <w:pPr>
        <w:sectPr>
          <w:pgSz w:w="11900" w:h="16838" w:orient="portrait"/>
          <w:cols w:equalWidth="0" w:num="1">
            <w:col w:w="11420"/>
          </w:cols>
          <w:pgMar w:left="240" w:top="121" w:right="239" w:bottom="0" w:gutter="0" w:footer="0" w:header="0"/>
        </w:sectPr>
      </w:pPr>
    </w:p>
    <w:bookmarkStart w:id="118" w:name="page119"/>
    <w:bookmarkEnd w:id="118"/>
    <w:p>
      <w:pPr>
        <w:ind w:right="200"/>
        <w:spacing w:after="0" w:line="312" w:lineRule="auto"/>
        <w:rPr>
          <w:sz w:val="20"/>
          <w:szCs w:val="20"/>
          <w:color w:val="auto"/>
        </w:rPr>
      </w:pPr>
      <w:r>
        <w:rPr>
          <w:rFonts w:ascii="Arial" w:cs="Arial" w:eastAsia="Arial" w:hAnsi="Arial"/>
          <w:sz w:val="16"/>
          <w:szCs w:val="16"/>
          <w:color w:val="auto"/>
        </w:rPr>
        <w:t xml:space="preserve">Transferred Subsidiaries. Upon consummation of the transactions described in clauses (iv) and (v) of </w:t>
      </w:r>
      <w:r>
        <w:rPr>
          <w:rFonts w:ascii="Arial" w:cs="Arial" w:eastAsia="Arial" w:hAnsi="Arial"/>
          <w:sz w:val="16"/>
          <w:szCs w:val="16"/>
          <w:u w:val="single" w:color="auto"/>
          <w:color w:val="auto"/>
        </w:rPr>
        <w:t>Section 5.1(c)</w:t>
      </w:r>
      <w:r>
        <w:rPr>
          <w:rFonts w:ascii="Arial" w:cs="Arial" w:eastAsia="Arial" w:hAnsi="Arial"/>
          <w:sz w:val="16"/>
          <w:szCs w:val="16"/>
          <w:color w:val="auto"/>
        </w:rPr>
        <w:t>, Seller will have no further right to receive payment of principal or interest from the Transferred Subsidiaries in respect of the Non-Assigned Intercompany Debt. Upon assignment hereunder, Seller will have no further right to receive payment of principal or interest from the Transferred Subsidiaries in respect of the Assigned Intercompany Debt.</w:t>
      </w:r>
    </w:p>
    <w:p>
      <w:pPr>
        <w:spacing w:after="0" w:line="147" w:lineRule="exact"/>
        <w:rPr>
          <w:sz w:val="20"/>
          <w:szCs w:val="20"/>
          <w:color w:val="auto"/>
        </w:rPr>
      </w:pPr>
    </w:p>
    <w:p>
      <w:pPr>
        <w:ind w:right="240" w:firstLine="1305"/>
        <w:spacing w:after="0" w:line="277" w:lineRule="auto"/>
        <w:tabs>
          <w:tab w:leader="none" w:pos="20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of the debt of WFIL which has been released and discharged pursuant to the Deed of Release constitutes debts arising from transactions for the lending of money which fall to be settled by the payment of money, and does not constitute trade debts.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i w:val="1"/>
          <w:iCs w:val="1"/>
          <w:color w:val="auto"/>
        </w:rPr>
        <w:t>Financial Information.</w:t>
      </w:r>
    </w:p>
    <w:p>
      <w:pPr>
        <w:spacing w:after="0" w:line="225" w:lineRule="exact"/>
        <w:rPr>
          <w:sz w:val="20"/>
          <w:szCs w:val="20"/>
          <w:color w:val="auto"/>
        </w:rPr>
      </w:pPr>
    </w:p>
    <w:p>
      <w:pPr>
        <w:ind w:firstLine="1305"/>
        <w:spacing w:after="0" w:line="270" w:lineRule="auto"/>
        <w:tabs>
          <w:tab w:leader="none" w:pos="1991" w:val="left"/>
        </w:tabs>
        <w:numPr>
          <w:ilvl w:val="0"/>
          <w:numId w:val="84"/>
        </w:numPr>
        <w:rPr>
          <w:rFonts w:ascii="Arial" w:cs="Arial" w:eastAsia="Arial" w:hAnsi="Arial"/>
          <w:sz w:val="17"/>
          <w:szCs w:val="17"/>
          <w:color w:val="auto"/>
        </w:rPr>
      </w:pPr>
      <w:r>
        <w:rPr>
          <w:rFonts w:ascii="Arial" w:cs="Arial" w:eastAsia="Arial" w:hAnsi="Arial"/>
          <w:sz w:val="17"/>
          <w:szCs w:val="17"/>
          <w:color w:val="auto"/>
        </w:rPr>
        <w:t>Seller has delivered to Buyer true and complete copies of the unaudited combined balance sheet of the Transferred Subsidiaries on a stand-alone basis as of December 31, 2006 (the “</w:t>
      </w:r>
      <w:r>
        <w:rPr>
          <w:rFonts w:ascii="Arial" w:cs="Arial" w:eastAsia="Arial" w:hAnsi="Arial"/>
          <w:sz w:val="17"/>
          <w:szCs w:val="17"/>
          <w:b w:val="1"/>
          <w:bCs w:val="1"/>
          <w:color w:val="auto"/>
        </w:rPr>
        <w:t>Unaudited 2006 Balance Sheet</w:t>
      </w:r>
      <w:r>
        <w:rPr>
          <w:rFonts w:ascii="Arial" w:cs="Arial" w:eastAsia="Arial" w:hAnsi="Arial"/>
          <w:sz w:val="17"/>
          <w:szCs w:val="17"/>
          <w:color w:val="auto"/>
        </w:rPr>
        <w:t>”) and the related statement of income and cash flow for the Transferred Subsidiaries on a stand-alone basis for the year ended December 31, 2006 (together with the Unaudited 2006 Balance Sheet, the “</w:t>
      </w:r>
      <w:r>
        <w:rPr>
          <w:rFonts w:ascii="Arial" w:cs="Arial" w:eastAsia="Arial" w:hAnsi="Arial"/>
          <w:sz w:val="17"/>
          <w:szCs w:val="17"/>
          <w:b w:val="1"/>
          <w:bCs w:val="1"/>
          <w:color w:val="auto"/>
        </w:rPr>
        <w:t>Unaudited 2006</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Statements</w:t>
      </w:r>
      <w:r>
        <w:rPr>
          <w:rFonts w:ascii="Arial" w:cs="Arial" w:eastAsia="Arial" w:hAnsi="Arial"/>
          <w:sz w:val="17"/>
          <w:szCs w:val="17"/>
          <w:color w:val="auto"/>
        </w:rPr>
        <w:t>”) and the unaudited combined balance sheet of the Transferred Subsidiaries on a stand-alone basis as of January 31, 2007 (the “</w:t>
      </w:r>
      <w:r>
        <w:rPr>
          <w:rFonts w:ascii="Arial" w:cs="Arial" w:eastAsia="Arial" w:hAnsi="Arial"/>
          <w:sz w:val="17"/>
          <w:szCs w:val="17"/>
          <w:u w:val="single" w:color="auto"/>
          <w:color w:val="auto"/>
        </w:rPr>
        <w:t>Unaudited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Interim Balance Sheet</w:t>
      </w:r>
      <w:r>
        <w:rPr>
          <w:rFonts w:ascii="Arial" w:cs="Arial" w:eastAsia="Arial" w:hAnsi="Arial"/>
          <w:sz w:val="17"/>
          <w:szCs w:val="17"/>
          <w:color w:val="auto"/>
        </w:rPr>
        <w:t>”) and the related statements of income and cash flow for the Transferred Subsidiaries on a stand-alone basis for the month ended January 31, 2007 (together with the Unaudited Interim Statements and the Unaudited 2006 Statements referred to as the “</w:t>
      </w:r>
      <w:r>
        <w:rPr>
          <w:rFonts w:ascii="Arial" w:cs="Arial" w:eastAsia="Arial" w:hAnsi="Arial"/>
          <w:sz w:val="17"/>
          <w:szCs w:val="17"/>
          <w:u w:val="single" w:color="auto"/>
          <w:color w:val="auto"/>
        </w:rPr>
        <w:t>Unaudited Financial Statements</w:t>
      </w:r>
      <w:r>
        <w:rPr>
          <w:rFonts w:ascii="Arial" w:cs="Arial" w:eastAsia="Arial" w:hAnsi="Arial"/>
          <w:sz w:val="17"/>
          <w:szCs w:val="17"/>
          <w:color w:val="auto"/>
        </w:rPr>
        <w:t>”). The Unaudited Financial Statements are accurate and complete in all material respects and present fairly in all material respects the financial position of the Transferred Subsidiaries on a stand-alone basis as of the respective dates thereof and the results of operations and cash flows of the Transferred Subsidiaries on a stand-alone basis for the periods covered thereby. The Unaudited Financial Statements have been prepared in accordance with GAAP applied on a consistent basis throughout the periods covered.</w:t>
      </w:r>
    </w:p>
    <w:p>
      <w:pPr>
        <w:spacing w:after="0" w:line="177" w:lineRule="exact"/>
        <w:rPr>
          <w:rFonts w:ascii="Arial" w:cs="Arial" w:eastAsia="Arial" w:hAnsi="Arial"/>
          <w:sz w:val="17"/>
          <w:szCs w:val="17"/>
          <w:color w:val="auto"/>
        </w:rPr>
      </w:pPr>
    </w:p>
    <w:p>
      <w:pPr>
        <w:ind w:right="140" w:firstLine="1305"/>
        <w:spacing w:after="0" w:line="259" w:lineRule="auto"/>
        <w:tabs>
          <w:tab w:leader="none" w:pos="2001"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None of the Transferred Subsidiaries has any Liabilities other than: (i) Liabilities specifically reflected on and fully reserved against in the Unaudited Interim Balance Sheet, (ii) Liabilities incurred in the ordinary course of business since the date of the Unaudited Interim Balance Sheet (January 31, 2007), (iii) Liabilities for Taxes incurred in the ordinary course of business since December 31, 2006 and not required under GAAP to be shown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 xml:space="preserve">Unaudited Interim Balance Sheet, (iv) Liabilities incurred as a result of consummation of the transactions contemplated by this Agreement or the Seller Ancillary Documents and specifically identified in </w:t>
      </w:r>
      <w:r>
        <w:rPr>
          <w:rFonts w:ascii="Arial" w:cs="Arial" w:eastAsia="Arial" w:hAnsi="Arial"/>
          <w:sz w:val="17"/>
          <w:szCs w:val="17"/>
          <w:u w:val="single" w:color="auto"/>
          <w:color w:val="auto"/>
        </w:rPr>
        <w:t>Schedule 3.6(b)</w:t>
      </w:r>
      <w:r>
        <w:rPr>
          <w:rFonts w:ascii="Arial" w:cs="Arial" w:eastAsia="Arial" w:hAnsi="Arial"/>
          <w:sz w:val="17"/>
          <w:szCs w:val="17"/>
          <w:color w:val="auto"/>
        </w:rPr>
        <w:t xml:space="preserve">, or (v) other Liabilities described in </w:t>
      </w:r>
      <w:r>
        <w:rPr>
          <w:rFonts w:ascii="Arial" w:cs="Arial" w:eastAsia="Arial" w:hAnsi="Arial"/>
          <w:sz w:val="17"/>
          <w:szCs w:val="17"/>
          <w:u w:val="single" w:color="auto"/>
          <w:color w:val="auto"/>
        </w:rPr>
        <w:t>Schedule 3.6(b)</w:t>
      </w:r>
      <w:r>
        <w:rPr>
          <w:rFonts w:ascii="Arial" w:cs="Arial" w:eastAsia="Arial" w:hAnsi="Arial"/>
          <w:sz w:val="17"/>
          <w:szCs w:val="17"/>
          <w:color w:val="auto"/>
        </w:rPr>
        <w:t>.</w:t>
      </w:r>
    </w:p>
    <w:p>
      <w:pPr>
        <w:spacing w:after="0" w:line="147" w:lineRule="exact"/>
        <w:rPr>
          <w:sz w:val="20"/>
          <w:szCs w:val="20"/>
          <w:color w:val="auto"/>
        </w:rPr>
      </w:pPr>
    </w:p>
    <w:p>
      <w:pPr>
        <w:ind w:right="100" w:firstLine="1305"/>
        <w:spacing w:after="0" w:line="277" w:lineRule="auto"/>
        <w:tabs>
          <w:tab w:leader="none" w:pos="1991"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books, records and accounts of the Transferred Subsidiaries are in all material respects accurate and complete and maintained in accordance with good business practices and all applicable Laws.</w:t>
      </w:r>
    </w:p>
    <w:p>
      <w:pPr>
        <w:spacing w:after="0" w:line="170" w:lineRule="exact"/>
        <w:rPr>
          <w:sz w:val="20"/>
          <w:szCs w:val="20"/>
          <w:color w:val="auto"/>
        </w:rPr>
      </w:pPr>
    </w:p>
    <w:p>
      <w:pPr>
        <w:jc w:val="both"/>
        <w:ind w:left="220" w:right="140" w:firstLine="648"/>
        <w:spacing w:after="0" w:line="288"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i w:val="1"/>
          <w:iCs w:val="1"/>
          <w:color w:val="auto"/>
        </w:rPr>
        <w:t>Absence of Certain Changes</w:t>
      </w:r>
      <w:r>
        <w:rPr>
          <w:rFonts w:ascii="Arial" w:cs="Arial" w:eastAsia="Arial" w:hAnsi="Arial"/>
          <w:sz w:val="16"/>
          <w:szCs w:val="16"/>
          <w:color w:val="auto"/>
        </w:rPr>
        <w:t xml:space="preserve">. Since December 31, 2006, the Transferred Subsidiaries have conducted business and operations in the ordinary course of business and consistent with past practice, and there have not been any events, changes or circumstances that would reasonably be expected to have a Material Adverse Effect on the Transferred Subsidiaries. Since December 31, 2006, other than the actions contemplated by </w:t>
      </w:r>
      <w:r>
        <w:rPr>
          <w:rFonts w:ascii="Arial" w:cs="Arial" w:eastAsia="Arial" w:hAnsi="Arial"/>
          <w:sz w:val="16"/>
          <w:szCs w:val="16"/>
          <w:u w:val="single" w:color="auto"/>
          <w:color w:val="auto"/>
        </w:rPr>
        <w:t>Section</w:t>
      </w:r>
    </w:p>
    <w:p>
      <w:pPr>
        <w:ind w:left="220" w:right="140"/>
        <w:spacing w:after="0" w:line="254" w:lineRule="auto"/>
        <w:rPr>
          <w:sz w:val="20"/>
          <w:szCs w:val="20"/>
          <w:color w:val="auto"/>
        </w:rPr>
      </w:pPr>
      <w:r>
        <w:rPr>
          <w:rFonts w:ascii="Arial" w:cs="Arial" w:eastAsia="Arial" w:hAnsi="Arial"/>
          <w:sz w:val="18"/>
          <w:szCs w:val="18"/>
          <w:u w:val="single" w:color="auto"/>
          <w:color w:val="auto"/>
        </w:rPr>
        <w:t>5.1(c)</w:t>
      </w:r>
      <w:r>
        <w:rPr>
          <w:rFonts w:ascii="Arial" w:cs="Arial" w:eastAsia="Arial" w:hAnsi="Arial"/>
          <w:sz w:val="18"/>
          <w:szCs w:val="18"/>
          <w:color w:val="auto"/>
        </w:rPr>
        <w:t xml:space="preserve"> and the actions taken pursuant to the Deed of Release, there has not been, and will not be, any action taken of the type described in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which, had such action occurred after the date hereof without Buyer’s prior approval, would be in violation of </w:t>
      </w:r>
      <w:r>
        <w:rPr>
          <w:rFonts w:ascii="Arial" w:cs="Arial" w:eastAsia="Arial" w:hAnsi="Arial"/>
          <w:sz w:val="18"/>
          <w:szCs w:val="18"/>
          <w:u w:val="single" w:color="auto"/>
          <w:color w:val="auto"/>
        </w:rPr>
        <w:t>Section 5.1(a)</w:t>
      </w:r>
      <w:r>
        <w:rPr>
          <w:rFonts w:ascii="Arial" w:cs="Arial" w:eastAsia="Arial" w:hAnsi="Arial"/>
          <w:sz w:val="18"/>
          <w:szCs w:val="18"/>
          <w:color w:val="auto"/>
        </w:rPr>
        <w:t>. From the date of this Agreement through the Closing Date, there have not been any material changes to the combined balance sheet of the Transferred Subsidiaries on a stand-alone basis from the Unaudited Interim Balance Sheet.</w:t>
      </w:r>
    </w:p>
    <w:p>
      <w:pPr>
        <w:spacing w:after="0" w:line="190" w:lineRule="exact"/>
        <w:rPr>
          <w:sz w:val="20"/>
          <w:szCs w:val="20"/>
          <w:color w:val="auto"/>
        </w:rPr>
      </w:pPr>
    </w:p>
    <w:p>
      <w:pPr>
        <w:ind w:left="220" w:firstLine="648"/>
        <w:spacing w:after="0" w:line="25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i w:val="1"/>
          <w:iCs w:val="1"/>
          <w:color w:val="auto"/>
        </w:rPr>
        <w:t>Legal Proceedings</w:t>
      </w:r>
      <w:r>
        <w:rPr>
          <w:rFonts w:ascii="Arial" w:cs="Arial" w:eastAsia="Arial" w:hAnsi="Arial"/>
          <w:sz w:val="18"/>
          <w:szCs w:val="18"/>
          <w:color w:val="auto"/>
        </w:rPr>
        <w:t>. There are no suits, actions, claims, arbitration proceedings or investigations pending or, to Seller’s Knowledge, threatened, against Seller, any of its Affiliates or any material Employee Benefit Plan or arrangement (or trust with respect thereto) that is maintained or contributed to by any of the Transferred Subsidiaries or in which any current or former employee of the Transferred Subsidiaries participates with respect to the Transferred Subsidiaries, the outcome of which would reasonably be expected to have a Material Adverse Effect on the Transferred Subsidiaries.</w:t>
      </w:r>
    </w:p>
    <w:p>
      <w:pPr>
        <w:spacing w:after="0" w:line="188" w:lineRule="exact"/>
        <w:rPr>
          <w:sz w:val="20"/>
          <w:szCs w:val="20"/>
          <w:color w:val="auto"/>
        </w:rPr>
      </w:pPr>
    </w:p>
    <w:p>
      <w:pPr>
        <w:ind w:left="220" w:right="100" w:firstLine="648"/>
        <w:spacing w:after="0" w:line="272"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i w:val="1"/>
          <w:iCs w:val="1"/>
          <w:color w:val="auto"/>
        </w:rPr>
        <w:t>Compliance with Law</w:t>
      </w:r>
      <w:r>
        <w:rPr>
          <w:rFonts w:ascii="Arial" w:cs="Arial" w:eastAsia="Arial" w:hAnsi="Arial"/>
          <w:sz w:val="17"/>
          <w:szCs w:val="17"/>
          <w:color w:val="auto"/>
        </w:rPr>
        <w:t>. The Transferred Subsidiaries are in compliance with all Laws, including all Laws relating to employment and occupational health and safety, and have all Permits required to conduct their business as currently conducted, except for any non-compliance or failure to have a Permit that would not reasonably be expected to have a Material Adverse Effect on the Transferred Subsidiaries. None of the Transferred Subsidiaries is a party to or bound by any order, judgment, decree, injunction, rule or award of any Governmental Entity that would reasonably be expected to have a Material Adverse Effect on the Transferred Subsidiaries. Each Transferred Subsidiary has filed all reports required to be filed with any Governmental Entity on or before the date of this Agreement, except where the failure to file any such report would not reasonably be expected to have a Material Adverse Effect on the Transferred Subsidiaries.</w:t>
      </w:r>
    </w:p>
    <w:p>
      <w:pPr>
        <w:spacing w:after="0" w:line="178" w:lineRule="exact"/>
        <w:rPr>
          <w:sz w:val="20"/>
          <w:szCs w:val="20"/>
          <w:color w:val="auto"/>
        </w:rPr>
      </w:pPr>
    </w:p>
    <w:p>
      <w:pPr>
        <w:ind w:left="220" w:right="20" w:firstLine="648"/>
        <w:spacing w:after="0" w:line="25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Material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3.10</w:t>
      </w:r>
      <w:r>
        <w:rPr>
          <w:rFonts w:ascii="Arial" w:cs="Arial" w:eastAsia="Arial" w:hAnsi="Arial"/>
          <w:sz w:val="18"/>
          <w:szCs w:val="18"/>
          <w:color w:val="auto"/>
        </w:rPr>
        <w:t xml:space="preserve"> sets forth a true, correct and complete list of all existing contracts (a) involving an annual commitment or annual payment to or from the Transferred Subsidiaries of more than Fifty Thousand United States Dollars (US$50,000), (b) with respect to the Transferred Subsidiaries relating to any indebtedness for borrowed money or the deferred purchase price of property, (c) which limit or restrict in any respect any of the Transferred Subsidiaries from engaging in any line of business in any jurisdiction, (d) relating to the acquisition or disposition of the Transferred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right="20"/>
        <w:spacing w:after="0" w:line="288" w:lineRule="auto"/>
        <w:rPr>
          <w:sz w:val="20"/>
          <w:szCs w:val="20"/>
          <w:color w:val="auto"/>
        </w:rPr>
      </w:pPr>
      <w:r>
        <w:rPr>
          <w:rFonts w:ascii="Arial" w:cs="Arial" w:eastAsia="Arial" w:hAnsi="Arial"/>
          <w:sz w:val="16"/>
          <w:szCs w:val="16"/>
          <w:color w:val="auto"/>
        </w:rPr>
        <w:t>(whether by merger, sale of stock, sale of assets or otherwise) or (e) not made in the ordinary course of business and that are significant to the Transferred Subsidiaries, including all amendments thereto, to which Seller or any of its Subsidiaries is a party or by which it is bound (the “</w:t>
      </w:r>
      <w:r>
        <w:rPr>
          <w:rFonts w:ascii="Arial" w:cs="Arial" w:eastAsia="Arial" w:hAnsi="Arial"/>
          <w:sz w:val="16"/>
          <w:szCs w:val="16"/>
          <w:b w:val="1"/>
          <w:bCs w:val="1"/>
          <w:color w:val="auto"/>
        </w:rPr>
        <w:t>Material Contracts</w:t>
      </w:r>
      <w:r>
        <w:rPr>
          <w:rFonts w:ascii="Arial" w:cs="Arial" w:eastAsia="Arial" w:hAnsi="Arial"/>
          <w:sz w:val="16"/>
          <w:szCs w:val="16"/>
          <w:color w:val="auto"/>
        </w:rPr>
        <w:t>”). Each Material Contract is legal, valid, binding and enforceable in accordance with its respective terms with respect to Seller or any of its Subsidiaries, and, to Seller’s Knowledge, each other party to such Material Contract, except as the same may be limited by bankruptcy, insolvency, reorganization, moratorium or other Laws affecting the rights of creditors generally and subject to the Laws governing (and all limitations on) specific performance, injunctive relief and other equitable remedies. There are no existing defaults or breaches by Seller or any of its Subsidiaries under any Material Contract or any other contract to which Seller or any of its Subsidiaries is party and which relates to the Transferred Subsidiaries (or events or conditions which, with notice or lapse of time or both, would constitute a default or breach) and, to Seller’s Knowledge, there are no such defaults (or events or conditions which, with notice or lapse of time or both, would constitute a default or breach) with respect to any third party to any Material Contract or any such other contract, except in each case defaults or breaches that would not reasonably be expected to have a Material Adverse Effect on the Transferred Subsidiaries.</w:t>
      </w:r>
    </w:p>
    <w:p>
      <w:pPr>
        <w:sectPr>
          <w:pgSz w:w="11900" w:h="16838" w:orient="portrait"/>
          <w:cols w:equalWidth="0" w:num="1">
            <w:col w:w="11400"/>
          </w:cols>
          <w:pgMar w:left="240" w:top="125" w:right="259" w:bottom="0" w:gutter="0" w:footer="0" w:header="0"/>
        </w:sectPr>
      </w:pPr>
    </w:p>
    <w:bookmarkStart w:id="119" w:name="page120"/>
    <w:bookmarkEnd w:id="119"/>
    <w:p>
      <w:pPr>
        <w:ind w:left="220" w:right="20" w:firstLine="648"/>
        <w:spacing w:after="0" w:line="288"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i w:val="1"/>
          <w:iCs w:val="1"/>
          <w:color w:val="auto"/>
        </w:rPr>
        <w:t>Title to, and Sufficiency of, Assets</w:t>
      </w:r>
      <w:r>
        <w:rPr>
          <w:rFonts w:ascii="Arial" w:cs="Arial" w:eastAsia="Arial" w:hAnsi="Arial"/>
          <w:sz w:val="16"/>
          <w:szCs w:val="16"/>
          <w:color w:val="auto"/>
        </w:rPr>
        <w:t xml:space="preserve">. The Transferred Subsidiaries have, or will have on the Closing Date, good and valid title to, or in the case of leased properties and assets valid leasehold interests in, all properties and assets (whether real, personal, tangible or intangible) reflected on the Unaudited Interim Balance Sheet, except for properties and assets sold since the date of the Unaudited Interim Balance Sheet in the ordinary course of business consistent with past practice or where the failure to have such good title or valid leasehold interests would not reasonably be expected to have a Material Adverse Effect on the Transferred Subsidiaries, free and clear of all Liens, other than Permitted Liens. Except as set forth on </w:t>
      </w:r>
      <w:r>
        <w:rPr>
          <w:rFonts w:ascii="Arial" w:cs="Arial" w:eastAsia="Arial" w:hAnsi="Arial"/>
          <w:sz w:val="16"/>
          <w:szCs w:val="16"/>
          <w:u w:val="single" w:color="auto"/>
          <w:color w:val="auto"/>
        </w:rPr>
        <w:t>Schedule 3.11</w:t>
      </w:r>
      <w:r>
        <w:rPr>
          <w:rFonts w:ascii="Arial" w:cs="Arial" w:eastAsia="Arial" w:hAnsi="Arial"/>
          <w:sz w:val="16"/>
          <w:szCs w:val="16"/>
          <w:color w:val="auto"/>
        </w:rPr>
        <w:t>, the properties and assets of the Transferred Subsidiaries constitute all the properties, assets and rights (or non-exclusive rights in the case of property, assets or rights that were also used outside of the Transferred Subsidiaries) that (a) are owned by or licensed to Seller and/or any Transferred Subsidiary and used or held for use by the Transferred Subsidiaries in their respective businesses as currently conducted and (b) are necessary for the continued operation of the Transferred Subsidiaries’ respective businesses as currently conducted. The assets and properties of the Transferred Subsidiaries, taken as a whole, are in good operating condition and repair (ordinary wear and tear excepted).</w:t>
      </w:r>
    </w:p>
    <w:p>
      <w:pPr>
        <w:spacing w:after="0" w:line="169" w:lineRule="exact"/>
        <w:rPr>
          <w:sz w:val="20"/>
          <w:szCs w:val="20"/>
          <w:color w:val="auto"/>
        </w:rPr>
      </w:pPr>
    </w:p>
    <w:p>
      <w:pPr>
        <w:ind w:left="220" w:firstLine="648"/>
        <w:spacing w:after="0" w:line="254"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i w:val="1"/>
          <w:iCs w:val="1"/>
          <w:color w:val="auto"/>
        </w:rPr>
        <w:t>Taxes.</w:t>
      </w:r>
      <w:r>
        <w:rPr>
          <w:rFonts w:ascii="Arial" w:cs="Arial" w:eastAsia="Arial" w:hAnsi="Arial"/>
          <w:sz w:val="18"/>
          <w:szCs w:val="18"/>
          <w:color w:val="auto"/>
        </w:rPr>
        <w:t xml:space="preserve"> (a) Each Transferred Subsidiary has timely filed all Tax Returns required to have been filed by it with respect to the Transferred Subsidiaries, and has paid in full all Taxes required to have been paid by it, whether or not shown on such Tax Returns. Each of the Transferred Subsidiaries or, as relevant, any equity owner of such Transferred Subsidiary in respect thereof or on such Transferred Subsidiary’s behalf, has duly withheld or collected all Taxes that such Transferred Subsidiary is required by applicable Law to have collected and withheld, and all such amounts so withheld or collected have, if due, been paid over to the appropriate Governmental Entity, and all IRS Forms W-2 and 1099 (and any and all state, local and non-US analogues) with respect thereto which are required to have been filed by or on behalf of the Transferred Subsidiaries have been properly completed and timely filed. All Tax Returns referred to in this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are and were as of the time of filing true, correct and complete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40" w:firstLine="1305"/>
        <w:spacing w:after="0" w:line="259" w:lineRule="auto"/>
        <w:tabs>
          <w:tab w:leader="none" w:pos="2001"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claim has been made by a Governmental Entity in a jurisdiction in which any of the Transferred Subsidiaries, or Seller with respect to the activities or assets of any Transferred Subsidiary, has not filed Tax Returns that a Transferred Subsidiary is subject to taxation by that jurisdiction or should have filed a Tax Return (or should have had a Tax Return filed on its behalf) with such Governmental Entity or with respect to such jurisdiction.</w:t>
      </w:r>
    </w:p>
    <w:p>
      <w:pPr>
        <w:spacing w:after="0" w:line="186" w:lineRule="exact"/>
        <w:rPr>
          <w:rFonts w:ascii="Arial" w:cs="Arial" w:eastAsia="Arial" w:hAnsi="Arial"/>
          <w:sz w:val="18"/>
          <w:szCs w:val="18"/>
          <w:color w:val="auto"/>
        </w:rPr>
      </w:pPr>
    </w:p>
    <w:p>
      <w:pPr>
        <w:ind w:right="60" w:firstLine="1305"/>
        <w:spacing w:after="0" w:line="312" w:lineRule="auto"/>
        <w:tabs>
          <w:tab w:leader="none" w:pos="1991"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There are no written private letter rulings, private letter ruling requests closing agreements (or requests therefore), or other written agreements with any Governmental Entity, relating to Taxes (or Tax status) of or with respect to any of the Transferred Subsidiaries or any of their assets or businesses that would have a continuing effect with respect to any taxable period of a Transferred Subsidiary for which the Tax Return has not yet been filed.</w:t>
      </w:r>
    </w:p>
    <w:p>
      <w:pPr>
        <w:spacing w:after="0" w:line="152" w:lineRule="exact"/>
        <w:rPr>
          <w:rFonts w:ascii="Arial" w:cs="Arial" w:eastAsia="Arial" w:hAnsi="Arial"/>
          <w:sz w:val="16"/>
          <w:szCs w:val="16"/>
          <w:color w:val="auto"/>
        </w:rPr>
      </w:pPr>
    </w:p>
    <w:p>
      <w:pPr>
        <w:ind w:right="40" w:firstLine="1305"/>
        <w:spacing w:after="0" w:line="276" w:lineRule="auto"/>
        <w:tabs>
          <w:tab w:leader="none" w:pos="2001"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There has been no change in accounting method (whether voluntary or involuntary), and no such change in method of accounting has been requested or is pending with respect to any of the Transferred Subsidiaries (or any of their assets or businesses), which change in method of accounting would require any Transferred Subsidiary to make a positive adjustment to its income pursuant to Section 481(a) of the Code (or any similar provision) on any Tax Return for any taxable period for which such Transferred Subsidiary has not yet filed a Tax Return.</w:t>
      </w:r>
    </w:p>
    <w:p>
      <w:pPr>
        <w:spacing w:after="0" w:line="175" w:lineRule="exact"/>
        <w:rPr>
          <w:rFonts w:ascii="Arial" w:cs="Arial" w:eastAsia="Arial" w:hAnsi="Arial"/>
          <w:sz w:val="17"/>
          <w:szCs w:val="17"/>
          <w:color w:val="auto"/>
        </w:rPr>
      </w:pPr>
    </w:p>
    <w:p>
      <w:pPr>
        <w:ind w:right="20" w:firstLine="1305"/>
        <w:spacing w:after="0" w:line="293" w:lineRule="auto"/>
        <w:tabs>
          <w:tab w:leader="none" w:pos="1991"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 assessment of Taxes in excess of the amount shown on any Tax Return filed by the Transferred Subsidiaries has been proposed in writing (or otherwise to the Knowledge of Seller) by a Taxing Authority which assessment has not since been paid or finally settled, and there are no audits or other proceedings pending or threatened in writing (or otherwise to the Knowledge of Seller) with respect to Taxes payable by the Transferred Subsidiaries. Buyer has been provided with copies of all written correspondence from or to the United States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(or other relevant Taxing Authority) with respect to any such pending such audit. There are no Liens on any of the assets of any of the Transferred Subsidiaries that arose in connection with any failure (or alleged failure) of any Person to timely and/or accurately (1) pay any Tax, or (2) file any Tax Return.</w:t>
      </w:r>
    </w:p>
    <w:p>
      <w:pPr>
        <w:spacing w:after="0" w:line="164" w:lineRule="exact"/>
        <w:rPr>
          <w:rFonts w:ascii="Arial" w:cs="Arial" w:eastAsia="Arial" w:hAnsi="Arial"/>
          <w:sz w:val="16"/>
          <w:szCs w:val="16"/>
          <w:color w:val="auto"/>
        </w:rPr>
      </w:pPr>
    </w:p>
    <w:p>
      <w:pPr>
        <w:ind w:right="320" w:firstLine="1305"/>
        <w:spacing w:after="0" w:line="259" w:lineRule="auto"/>
        <w:tabs>
          <w:tab w:leader="none" w:pos="201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There are no agreements or waivers having continuing effect that have been entered into by or on behalf of the Transferred Subsidiaries extending the statute of limitations (or similar limitations on assessment or collection) applicable to any (A) Taxes, or (B) Tax assessments or deficiencies, payable by of the Transferred Subsidiaries or for which any direct or indirect equity owner of any of the Transferred Subsidiaries after the Closing could be liable.</w:t>
      </w:r>
    </w:p>
    <w:p>
      <w:pPr>
        <w:spacing w:after="0" w:line="186" w:lineRule="exact"/>
        <w:rPr>
          <w:rFonts w:ascii="Arial" w:cs="Arial" w:eastAsia="Arial" w:hAnsi="Arial"/>
          <w:sz w:val="18"/>
          <w:szCs w:val="18"/>
          <w:color w:val="auto"/>
        </w:rPr>
      </w:pPr>
    </w:p>
    <w:p>
      <w:pPr>
        <w:jc w:val="both"/>
        <w:ind w:right="180" w:firstLine="1305"/>
        <w:spacing w:after="0" w:line="259" w:lineRule="auto"/>
        <w:tabs>
          <w:tab w:leader="none" w:pos="2001"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None of the Transferred Subsidiaries is or was a party to, or has or could have any Liability under, any Tax indemnification, Tax allocation, Tax sharing agreement, or similar contract or agreement, a substantial purpose of which is or was the allocation of Tax Liabilities computed on a consolidated, combined, unitary or similar basis among entities that have or will be required to compute their Tax Liability by filing Tax Returns on such basis.</w:t>
      </w:r>
    </w:p>
    <w:p>
      <w:pPr>
        <w:spacing w:after="0" w:line="186" w:lineRule="exact"/>
        <w:rPr>
          <w:rFonts w:ascii="Arial" w:cs="Arial" w:eastAsia="Arial" w:hAnsi="Arial"/>
          <w:sz w:val="18"/>
          <w:szCs w:val="18"/>
          <w:color w:val="auto"/>
        </w:rPr>
      </w:pPr>
    </w:p>
    <w:p>
      <w:pPr>
        <w:ind w:right="260" w:firstLine="1305"/>
        <w:spacing w:after="0" w:line="308" w:lineRule="auto"/>
        <w:tabs>
          <w:tab w:leader="none" w:pos="2001" w:val="left"/>
        </w:tabs>
        <w:numPr>
          <w:ilvl w:val="0"/>
          <w:numId w:val="86"/>
        </w:numPr>
        <w:rPr>
          <w:rFonts w:ascii="Arial" w:cs="Arial" w:eastAsia="Arial" w:hAnsi="Arial"/>
          <w:sz w:val="17"/>
          <w:szCs w:val="17"/>
          <w:color w:val="auto"/>
        </w:rPr>
      </w:pPr>
      <w:r>
        <w:rPr>
          <w:rFonts w:ascii="Arial" w:cs="Arial" w:eastAsia="Arial" w:hAnsi="Arial"/>
          <w:sz w:val="17"/>
          <w:szCs w:val="17"/>
          <w:color w:val="auto"/>
        </w:rPr>
        <w:t>Except with respect to any loss recognized by Seller in connection with the transactions contemplated by this agreement or any election under Treasury Regulations 301.7701-3 made after the execution of this agreement, none of the Transferred Subsidiaries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participated in any “reportable transaction” within the meaning of Treasury Regulations Section 1.6011-4(b)(1) that was, is, or to the Knowledge of Seller will ever be, required to be disclosed under Treasury Regulations Section 1.6011-4 or is a material advisor with respect to such a transaction as defined in Code Section 6111(b)(1).</w:t>
      </w:r>
    </w:p>
    <w:p>
      <w:pPr>
        <w:spacing w:after="0" w:line="181" w:lineRule="exact"/>
        <w:rPr>
          <w:sz w:val="20"/>
          <w:szCs w:val="20"/>
          <w:color w:val="auto"/>
        </w:rPr>
      </w:pPr>
    </w:p>
    <w:p>
      <w:pPr>
        <w:ind w:right="440" w:firstLine="1305"/>
        <w:spacing w:after="0" w:line="277" w:lineRule="auto"/>
        <w:tabs>
          <w:tab w:leader="none" w:pos="200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the Knowledge of Seller, no Tax withholding is or will be required by Buyer or any of its Affiliates on the Purchase Price payable pursuant to this Agreement to Seller or any of its respective successors or assigns.</w:t>
      </w:r>
    </w:p>
    <w:p>
      <w:pPr>
        <w:spacing w:after="0" w:line="176" w:lineRule="exact"/>
        <w:rPr>
          <w:rFonts w:ascii="Arial" w:cs="Arial" w:eastAsia="Arial" w:hAnsi="Arial"/>
          <w:sz w:val="18"/>
          <w:szCs w:val="18"/>
          <w:color w:val="auto"/>
        </w:rPr>
      </w:pPr>
    </w:p>
    <w:p>
      <w:pPr>
        <w:ind w:firstLine="1305"/>
        <w:spacing w:after="0" w:line="271" w:lineRule="auto"/>
        <w:tabs>
          <w:tab w:leader="none" w:pos="2006" w:val="left"/>
        </w:tabs>
        <w:numPr>
          <w:ilvl w:val="0"/>
          <w:numId w:val="87"/>
        </w:numPr>
        <w:rPr>
          <w:rFonts w:ascii="Arial" w:cs="Arial" w:eastAsia="Arial" w:hAnsi="Arial"/>
          <w:sz w:val="17"/>
          <w:szCs w:val="17"/>
          <w:color w:val="auto"/>
        </w:rPr>
      </w:pPr>
      <w:r>
        <w:rPr>
          <w:rFonts w:ascii="Arial" w:cs="Arial" w:eastAsia="Arial" w:hAnsi="Arial"/>
          <w:sz w:val="17"/>
          <w:szCs w:val="17"/>
          <w:color w:val="auto"/>
        </w:rPr>
        <w:t>None of the Transferred Subsidiaries (A) is or has ever been a member of any affiliated group (within the meaning of section 1504(a) of the Code) or similar group of entities with which the Transferred Subsidiaries joined, or were or may be required to join, for any taxable period beginning on or before the Closing Date in making a consolidated federal income Tax Return or other income Tax Return in which Tax Liability was or would be computed on a consolidated, combined, unitary or similar basis, other than a group with respect to which Seller or a Transferred Subsidiary has been the common parent at all times, or (B) could reasonably have any liability for the unpaid Taxes of another Person under Treasury Regulations Section 1.1502-6 (or any similar provisions of state, local or foreign Law), whether as a transferee or successor, by contract, or otherwise.</w:t>
      </w:r>
    </w:p>
    <w:p>
      <w:pPr>
        <w:spacing w:after="0" w:line="188" w:lineRule="exact"/>
        <w:rPr>
          <w:rFonts w:ascii="Arial" w:cs="Arial" w:eastAsia="Arial" w:hAnsi="Arial"/>
          <w:sz w:val="17"/>
          <w:szCs w:val="17"/>
          <w:color w:val="auto"/>
        </w:rPr>
      </w:pPr>
    </w:p>
    <w:p>
      <w:pPr>
        <w:ind w:left="2000" w:hanging="695"/>
        <w:spacing w:after="0"/>
        <w:tabs>
          <w:tab w:leader="none" w:pos="2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Seller is not a “foreign person” within the meaning of Treasury Regulations Section 1.1445-2(b)(2)(i).</w:t>
      </w:r>
    </w:p>
    <w:p>
      <w:pPr>
        <w:sectPr>
          <w:pgSz w:w="11900" w:h="16838" w:orient="portrait"/>
          <w:cols w:equalWidth="0" w:num="1">
            <w:col w:w="11420"/>
          </w:cols>
          <w:pgMar w:left="240" w:top="125" w:right="239" w:bottom="0" w:gutter="0" w:footer="0" w:header="0"/>
        </w:sectPr>
      </w:pPr>
    </w:p>
    <w:bookmarkStart w:id="120" w:name="page121"/>
    <w:bookmarkEnd w:id="120"/>
    <w:p>
      <w:pPr>
        <w:ind w:firstLine="1305"/>
        <w:spacing w:after="0" w:line="284" w:lineRule="auto"/>
        <w:tabs>
          <w:tab w:leader="none" w:pos="2006"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None of the Transferred Subsidiaries is or has been a partner or member in any business entity (other than another Transferred Subsidiary by reason of any election under Treasury Regulations Section 301.7701-3 made after execution of this Agreement pursuant to clause (ii)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5.1(c)</w:t>
      </w:r>
      <w:r>
        <w:rPr>
          <w:rFonts w:ascii="Arial" w:cs="Arial" w:eastAsia="Arial" w:hAnsi="Arial"/>
          <w:sz w:val="16"/>
          <w:szCs w:val="16"/>
          <w:color w:val="auto"/>
        </w:rPr>
        <w:t xml:space="preserve"> or as permitted pursuant to the fifth sentence of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within the meaning of the Treasury Regulations Section 301.7701-2(a) that is classified as a partnership or disregarded entity for U.S. federal income tax purposes, and none of the Transferred Subsidiaries is or has been a participant in any other business relationship, contract or arrangement (other than ownership of a Transferred Subsidiary by reason of any election under Treasury Regulations Section 301.7701-3 made after execution of this Agreement pursuant to clause (ii) of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or as permitted pursuant to the fifth sentence of </w:t>
      </w:r>
      <w:r>
        <w:rPr>
          <w:rFonts w:ascii="Arial" w:cs="Arial" w:eastAsia="Arial" w:hAnsi="Arial"/>
          <w:sz w:val="16"/>
          <w:szCs w:val="16"/>
          <w:u w:val="single" w:color="auto"/>
          <w:color w:val="auto"/>
        </w:rPr>
        <w:t>Section</w:t>
      </w:r>
    </w:p>
    <w:p>
      <w:pPr>
        <w:spacing w:after="0" w:line="4"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5.1(a)</w:t>
      </w:r>
      <w:r>
        <w:rPr>
          <w:rFonts w:ascii="Arial" w:cs="Arial" w:eastAsia="Arial" w:hAnsi="Arial"/>
          <w:sz w:val="18"/>
          <w:szCs w:val="18"/>
          <w:color w:val="auto"/>
        </w:rPr>
        <w:t>.) that Seller or any of the Transferred Subsidiaries has treated as a partnership in which any Transferred Subsidiary is or was a partner for U.S. federal income tax purposes.</w:t>
      </w:r>
    </w:p>
    <w:p>
      <w:pPr>
        <w:spacing w:after="0" w:line="183" w:lineRule="exact"/>
        <w:rPr>
          <w:rFonts w:ascii="Arial" w:cs="Arial" w:eastAsia="Arial" w:hAnsi="Arial"/>
          <w:sz w:val="16"/>
          <w:szCs w:val="16"/>
          <w:color w:val="auto"/>
        </w:rPr>
      </w:pPr>
    </w:p>
    <w:p>
      <w:pPr>
        <w:ind w:left="2020" w:hanging="715"/>
        <w:spacing w:after="0"/>
        <w:tabs>
          <w:tab w:leader="none" w:pos="20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None of the Transferred Subsidiaries has entered into any advance pricing agreement with the IRS or other similar agreement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other Taxing Authority.</w:t>
      </w:r>
    </w:p>
    <w:p>
      <w:pPr>
        <w:spacing w:after="0" w:line="210" w:lineRule="exact"/>
        <w:rPr>
          <w:rFonts w:ascii="Arial" w:cs="Arial" w:eastAsia="Arial" w:hAnsi="Arial"/>
          <w:sz w:val="16"/>
          <w:szCs w:val="16"/>
          <w:color w:val="auto"/>
        </w:rPr>
      </w:pPr>
    </w:p>
    <w:p>
      <w:pPr>
        <w:ind w:right="180" w:firstLine="1305"/>
        <w:spacing w:after="0" w:line="277" w:lineRule="auto"/>
        <w:tabs>
          <w:tab w:leader="none" w:pos="2001"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None of the Transferred Subsidiaries has either distributed stock of a controlled corporation pursuant to Section 355 of the Code or had its stock distributed by another corporation pursuant to Section 355 of the Code.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None of the Transferred Subsidiaries is or ever has been a “surrogate foreign corporation” within the meaning of Section 7874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7" w:lineRule="exact"/>
        <w:rPr>
          <w:rFonts w:ascii="Arial" w:cs="Arial" w:eastAsia="Arial" w:hAnsi="Arial"/>
          <w:sz w:val="18"/>
          <w:szCs w:val="18"/>
          <w:color w:val="auto"/>
        </w:rPr>
      </w:pPr>
    </w:p>
    <w:p>
      <w:pPr>
        <w:ind w:firstLine="1305"/>
        <w:spacing w:after="0" w:line="273" w:lineRule="auto"/>
        <w:tabs>
          <w:tab w:leader="none" w:pos="2001"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any case in which any of the Transferred Subsidiaries have previously obtained financial benefits under governmentally sponsored incentive programs requiring advance application and qualification (excluding, for instance tax and other incentives of general availability, such as elective accelerated depreciation schedules), to the Knowledge of Seller (a) such benefits were obtained in accordance with applicable laws and in compliance with all regulatory order, and (b) such Transferred Subsidiary is not obligated to repay any amount to a Governmental Entity by reason of any event having already occurred inconsistent with the entitlement to such benefit as have been received and will not be obligated to repay any such amount by reason of consummation of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-1088390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i w:val="1"/>
          <w:iCs w:val="1"/>
          <w:color w:val="auto"/>
        </w:rPr>
        <w:t>Employees</w:t>
      </w:r>
      <w:r>
        <w:rPr>
          <w:rFonts w:ascii="Arial" w:cs="Arial" w:eastAsia="Arial" w:hAnsi="Arial"/>
          <w:sz w:val="18"/>
          <w:szCs w:val="18"/>
          <w:color w:val="auto"/>
        </w:rPr>
        <w:t>.</w:t>
      </w:r>
    </w:p>
    <w:p>
      <w:pPr>
        <w:spacing w:after="0" w:line="225" w:lineRule="exact"/>
        <w:rPr>
          <w:sz w:val="20"/>
          <w:szCs w:val="20"/>
          <w:color w:val="auto"/>
        </w:rPr>
      </w:pPr>
    </w:p>
    <w:p>
      <w:pPr>
        <w:ind w:right="140" w:firstLine="1305"/>
        <w:spacing w:after="0" w:line="273" w:lineRule="auto"/>
        <w:tabs>
          <w:tab w:leader="none" w:pos="1991"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Schedule 3.13(a)</w:t>
      </w:r>
      <w:r>
        <w:rPr>
          <w:rFonts w:ascii="Arial" w:cs="Arial" w:eastAsia="Arial" w:hAnsi="Arial"/>
          <w:sz w:val="17"/>
          <w:szCs w:val="17"/>
          <w:color w:val="auto"/>
        </w:rPr>
        <w:t xml:space="preserve"> sets forth an accurate, correct and complete list of all (a) Persons who are employees of Seller or any of its Subsidiaries and perform any material services for any of the Transferred Subsidiaries, including each Person’s name, title or position, present annual compensation (including bonuses, commissions and deferred compensation), accrued and unused paid vacation and other paid leave, years of service, interests in any incentive compensation plan, and estimated entitlements to receive supplementary retirement benefits or allowances (whether pursuant to a contractual obligation or otherwise) and the name of the entity that is the employer of such Person and (b) individuals who are currently performing services for the Transferred Subsidiaries who are classified as “consultants” or “independent contractors.”</w:t>
      </w:r>
    </w:p>
    <w:p>
      <w:pPr>
        <w:spacing w:after="0" w:line="178" w:lineRule="exact"/>
        <w:rPr>
          <w:rFonts w:ascii="Arial" w:cs="Arial" w:eastAsia="Arial" w:hAnsi="Arial"/>
          <w:sz w:val="17"/>
          <w:szCs w:val="17"/>
          <w:color w:val="auto"/>
        </w:rPr>
      </w:pPr>
    </w:p>
    <w:p>
      <w:pPr>
        <w:ind w:firstLine="1305"/>
        <w:spacing w:after="0" w:line="264" w:lineRule="auto"/>
        <w:tabs>
          <w:tab w:leader="none" w:pos="2001"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Schedule 3.13(b)</w:t>
      </w:r>
      <w:r>
        <w:rPr>
          <w:rFonts w:ascii="Arial" w:cs="Arial" w:eastAsia="Arial" w:hAnsi="Arial"/>
          <w:sz w:val="18"/>
          <w:szCs w:val="18"/>
          <w:color w:val="auto"/>
        </w:rPr>
        <w:t xml:space="preserve"> sets forth a complete and correct list of, and Seller has provided to Buyer true, correct and complete copies of, all employment or severance or termination agreements and policies, plans, commitments or other contracts, whether written or oral, accruing to the benefit of executive officer, director or material independent contractor of the Transferred Subsidiaries.</w:t>
      </w:r>
    </w:p>
    <w:p>
      <w:pPr>
        <w:spacing w:after="0" w:line="181" w:lineRule="exact"/>
        <w:rPr>
          <w:rFonts w:ascii="Arial" w:cs="Arial" w:eastAsia="Arial" w:hAnsi="Arial"/>
          <w:sz w:val="18"/>
          <w:szCs w:val="18"/>
          <w:color w:val="auto"/>
        </w:rPr>
      </w:pPr>
    </w:p>
    <w:p>
      <w:pPr>
        <w:ind w:right="100" w:firstLine="1305"/>
        <w:spacing w:after="0" w:line="257" w:lineRule="auto"/>
        <w:tabs>
          <w:tab w:leader="none" w:pos="1991"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There are no claims, disputes or controversies pending, or to Seller’s Knowledge threatened, against Seller or any of its Subsidiaries involving any individual required to be identified pursuant to </w:t>
      </w:r>
      <w:r>
        <w:rPr>
          <w:rFonts w:ascii="Arial" w:cs="Arial" w:eastAsia="Arial" w:hAnsi="Arial"/>
          <w:sz w:val="18"/>
          <w:szCs w:val="18"/>
          <w:u w:val="single" w:color="auto"/>
          <w:color w:val="auto"/>
        </w:rPr>
        <w:t>Section 3.13 (a)</w:t>
      </w:r>
      <w:r>
        <w:rPr>
          <w:rFonts w:ascii="Arial" w:cs="Arial" w:eastAsia="Arial" w:hAnsi="Arial"/>
          <w:sz w:val="18"/>
          <w:szCs w:val="18"/>
          <w:color w:val="auto"/>
        </w:rPr>
        <w:t>, or any events or facts of which Seller has Knowledge that could form the basis of any such claim, dispute or controversy, except for such claims, disputes or controversies that would not reasonably be expected to have a Material Adverse Effect on the Transferred Subsidiaries. No Transferred Subsidiary has suffered or sustained any work stoppage and, to Seller’s Knowledge, no such work stoppage is threatened against any Transferred Subsidiary.</w:t>
      </w:r>
    </w:p>
    <w:p>
      <w:pPr>
        <w:spacing w:after="0" w:line="188" w:lineRule="exact"/>
        <w:rPr>
          <w:rFonts w:ascii="Arial" w:cs="Arial" w:eastAsia="Arial" w:hAnsi="Arial"/>
          <w:sz w:val="18"/>
          <w:szCs w:val="18"/>
          <w:color w:val="auto"/>
        </w:rPr>
      </w:pPr>
    </w:p>
    <w:p>
      <w:pPr>
        <w:ind w:firstLine="1305"/>
        <w:spacing w:after="0" w:line="255" w:lineRule="auto"/>
        <w:tabs>
          <w:tab w:leader="none" w:pos="2001" w:val="left"/>
        </w:tabs>
        <w:numPr>
          <w:ilvl w:val="0"/>
          <w:numId w:val="89"/>
        </w:numPr>
        <w:rPr>
          <w:rFonts w:ascii="Arial" w:cs="Arial" w:eastAsia="Arial" w:hAnsi="Arial"/>
          <w:sz w:val="18"/>
          <w:szCs w:val="18"/>
          <w:color w:val="auto"/>
        </w:rPr>
      </w:pPr>
      <w:r>
        <w:rPr>
          <w:rFonts w:ascii="Arial" w:cs="Arial" w:eastAsia="Arial" w:hAnsi="Arial"/>
          <w:sz w:val="18"/>
          <w:szCs w:val="18"/>
          <w:color w:val="auto"/>
        </w:rPr>
        <w:t>Neither Seller nor any Transferred Subsidiary is a party to any contract, agreement or arrangement with any labor union or employee association with respect to employees of any Transferred Subsidiary nor has Seller nor any Transferred Subsidiary conducted negotiations with any labor unions or employee association with respect to any employees of any Transferred Subsidiary. Neither Seller nor any Transferred Subsidiary is aware of any current attempts to organize or establish any labor union or employee association with respect to any of the employees of any Transferred Subsidiary, and there is no existing or pending certification of any such union with regard to a bargaining unit. The Transferred Subsidiaries have performed and discharged in all material respects their respective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with respect to works councils and other staff representatives, staff representative bodies and institutions representing all or part of the individuals required to be identified pursuant to </w:t>
      </w:r>
      <w:r>
        <w:rPr>
          <w:rFonts w:ascii="Arial" w:cs="Arial" w:eastAsia="Arial" w:hAnsi="Arial"/>
          <w:sz w:val="18"/>
          <w:szCs w:val="18"/>
          <w:u w:val="single" w:color="auto"/>
          <w:color w:val="auto"/>
        </w:rPr>
        <w:t>Section 3.13 (a)</w:t>
      </w:r>
      <w:r>
        <w:rPr>
          <w:rFonts w:ascii="Arial" w:cs="Arial" w:eastAsia="Arial" w:hAnsi="Arial"/>
          <w:sz w:val="18"/>
          <w:szCs w:val="18"/>
          <w:color w:val="auto"/>
        </w:rPr>
        <w: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i w:val="1"/>
          <w:iCs w:val="1"/>
          <w:color w:val="auto"/>
        </w:rPr>
        <w:t>Benefit Plans.</w:t>
      </w:r>
    </w:p>
    <w:p>
      <w:pPr>
        <w:spacing w:after="0" w:line="225" w:lineRule="exact"/>
        <w:rPr>
          <w:sz w:val="20"/>
          <w:szCs w:val="20"/>
          <w:color w:val="auto"/>
        </w:rPr>
      </w:pPr>
    </w:p>
    <w:p>
      <w:pPr>
        <w:ind w:right="40" w:firstLine="1305"/>
        <w:spacing w:after="0" w:line="254" w:lineRule="auto"/>
        <w:tabs>
          <w:tab w:leader="none" w:pos="199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Schedule 3.14(a)</w:t>
      </w:r>
      <w:r>
        <w:rPr>
          <w:rFonts w:ascii="Arial" w:cs="Arial" w:eastAsia="Arial" w:hAnsi="Arial"/>
          <w:sz w:val="18"/>
          <w:szCs w:val="18"/>
          <w:color w:val="auto"/>
        </w:rPr>
        <w:t xml:space="preserve"> sets forth a true and correct list of each material Employee Benefit Plan or arrangement that is maintained or contributed to by any of the Transferred Subsidiaries or in which any current or former employee of the Transferred Subsidiaries participates. Except as set forth on </w:t>
      </w:r>
      <w:r>
        <w:rPr>
          <w:rFonts w:ascii="Arial" w:cs="Arial" w:eastAsia="Arial" w:hAnsi="Arial"/>
          <w:sz w:val="18"/>
          <w:szCs w:val="18"/>
          <w:u w:val="single" w:color="auto"/>
          <w:color w:val="auto"/>
        </w:rPr>
        <w:t>Schedule 3.14(a)</w:t>
      </w:r>
      <w:r>
        <w:rPr>
          <w:rFonts w:ascii="Arial" w:cs="Arial" w:eastAsia="Arial" w:hAnsi="Arial"/>
          <w:sz w:val="18"/>
          <w:szCs w:val="18"/>
          <w:color w:val="auto"/>
        </w:rPr>
        <w:t>, none of the Employee Benefit Plans that any Transferred Subsidiary maintains or to which any Transferred Subsidiary makes contributions or in which any current or former employee of Transferred Subsidiaries participates is subject to ERISA or the Code. No Transferred Subsidiary nor any trade or business, whether or not incorporated, which together with any Transferred Subsidiary would be deemed a “single employer” within the meaning of Section 4001 of ERISA (each Subsidiary and each such trade or business is referred to herein as an “</w:t>
      </w:r>
      <w:r>
        <w:rPr>
          <w:rFonts w:ascii="Arial" w:cs="Arial" w:eastAsia="Arial" w:hAnsi="Arial"/>
          <w:sz w:val="18"/>
          <w:szCs w:val="18"/>
          <w:b w:val="1"/>
          <w:bCs w:val="1"/>
          <w:color w:val="auto"/>
        </w:rPr>
        <w:t>ERISA Affiliate</w:t>
      </w:r>
      <w:r>
        <w:rPr>
          <w:rFonts w:ascii="Arial" w:cs="Arial" w:eastAsia="Arial" w:hAnsi="Arial"/>
          <w:sz w:val="18"/>
          <w:szCs w:val="18"/>
          <w:color w:val="auto"/>
        </w:rPr>
        <w:t>”), has maintained or made contributions to any Employee Benefit Plan subject to Section 412 of the Code or Title IV of ERISA for the six-year period prior to the date of this Agreement.</w:t>
      </w:r>
    </w:p>
    <w:p>
      <w:pPr>
        <w:spacing w:after="0" w:line="192" w:lineRule="exact"/>
        <w:rPr>
          <w:rFonts w:ascii="Arial" w:cs="Arial" w:eastAsia="Arial" w:hAnsi="Arial"/>
          <w:sz w:val="18"/>
          <w:szCs w:val="18"/>
          <w:color w:val="auto"/>
        </w:rPr>
      </w:pPr>
    </w:p>
    <w:p>
      <w:pPr>
        <w:ind w:right="220" w:firstLine="1305"/>
        <w:spacing w:after="0" w:line="342" w:lineRule="auto"/>
        <w:tabs>
          <w:tab w:leader="none" w:pos="2001"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 Transferred Subsidiary nor any ERISA Affiliate has been obligated to make contributions to any Employee Benefit Plan subject to ERISA that is a multiemployer plan (within the meaning of Section 3(37) of ERISA), and no Transferred Subsidiary nor any ERISA Affiliate has</w:t>
      </w:r>
    </w:p>
    <w:p>
      <w:pPr>
        <w:sectPr>
          <w:pgSz w:w="11900" w:h="16838" w:orient="portrait"/>
          <w:cols w:equalWidth="0" w:num="1">
            <w:col w:w="11420"/>
          </w:cols>
          <w:pgMar w:left="240" w:top="125" w:right="239" w:bottom="0" w:gutter="0" w:footer="0" w:header="0"/>
        </w:sectPr>
      </w:pPr>
    </w:p>
    <w:bookmarkStart w:id="121" w:name="page122"/>
    <w:bookmarkEnd w:id="121"/>
    <w:p>
      <w:pPr>
        <w:ind w:right="40"/>
        <w:spacing w:after="0" w:line="297" w:lineRule="auto"/>
        <w:rPr>
          <w:sz w:val="20"/>
          <w:szCs w:val="20"/>
          <w:color w:val="auto"/>
        </w:rPr>
      </w:pPr>
      <w:r>
        <w:rPr>
          <w:rFonts w:ascii="Arial" w:cs="Arial" w:eastAsia="Arial" w:hAnsi="Arial"/>
          <w:sz w:val="16"/>
          <w:szCs w:val="16"/>
          <w:color w:val="auto"/>
        </w:rPr>
        <w:t>made contributions to any Employee Benefit Plan subject to ERISA that is a multiple employer plan as defined in Section 413 of the Code for the six-year period prior to the date of this Agreement. All contributions or other amounts payable by Seller or any of the Transferred Subsidiaries as of the Closing Date with respect to each Employee Benefit Plan or arrangement that is maintained or contributed to by any of the Transferred Subsidiaries or in which any current or former employee of the Transferred Subsidiaries participates in respect of current or prior plan years have been either paid or accrued on the Unaudited Interim Balance Sheet, except to the extent the failure to make or accrue such payments would not reasonably be expected to have a Material Adverse Effect.</w:t>
      </w:r>
    </w:p>
    <w:p>
      <w:pPr>
        <w:spacing w:after="0" w:line="158" w:lineRule="exact"/>
        <w:rPr>
          <w:sz w:val="20"/>
          <w:szCs w:val="20"/>
          <w:color w:val="auto"/>
        </w:rPr>
      </w:pPr>
    </w:p>
    <w:p>
      <w:pPr>
        <w:ind w:right="40" w:firstLine="1305"/>
        <w:spacing w:after="0" w:line="272" w:lineRule="auto"/>
        <w:tabs>
          <w:tab w:leader="none" w:pos="1991"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3.14(c)</w:t>
      </w:r>
      <w:r>
        <w:rPr>
          <w:rFonts w:ascii="Arial" w:cs="Arial" w:eastAsia="Arial" w:hAnsi="Arial"/>
          <w:sz w:val="17"/>
          <w:szCs w:val="17"/>
          <w:color w:val="auto"/>
        </w:rPr>
        <w:t>, no employee of a Transferred Subsidiary is subject to Section 280G or Section 409A of the Code. No material Employee Benefit Plan or arrangement that is maintained or contributed to by any of the Transferred Subsidiaries or in which any current or former employee of the Transferred Subsidiaries participates provides death or medical benefits (whether or not insured) beyond their retirement or other termination of service the cost of which is material to the Transferred Subsidiaries taken as a whole other than coverage mandated by applicable Law. The consummation of the transactions contemplated by this Agreement will not (i) entitle any current or former employee or officer of a Transferred Subsidiary to severance pay, unemployment compensation or any other payment or (ii) accelerate the time of payment or vesting, or increase the amount of, any compensation due any such employee or officer.</w:t>
      </w:r>
    </w:p>
    <w:p>
      <w:pPr>
        <w:spacing w:after="0" w:line="177" w:lineRule="exact"/>
        <w:rPr>
          <w:rFonts w:ascii="Arial" w:cs="Arial" w:eastAsia="Arial" w:hAnsi="Arial"/>
          <w:sz w:val="17"/>
          <w:szCs w:val="17"/>
          <w:color w:val="auto"/>
        </w:rPr>
      </w:pPr>
    </w:p>
    <w:p>
      <w:pPr>
        <w:ind w:right="360" w:firstLine="1305"/>
        <w:spacing w:after="0" w:line="277" w:lineRule="auto"/>
        <w:tabs>
          <w:tab w:leader="none" w:pos="2001"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Employee Benefit Plan of a Transferred Subsidiary that is subject to the Laws of a non-U.S. jurisdiction is in substantial compliance with the applicable Laws of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20" w:firstLine="648"/>
        <w:spacing w:after="0" w:line="284"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i w:val="1"/>
          <w:iCs w:val="1"/>
          <w:color w:val="auto"/>
        </w:rPr>
        <w:t>Intellectual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3.15</w:t>
      </w:r>
      <w:r>
        <w:rPr>
          <w:rFonts w:ascii="Arial" w:cs="Arial" w:eastAsia="Arial" w:hAnsi="Arial"/>
          <w:sz w:val="16"/>
          <w:szCs w:val="16"/>
          <w:color w:val="auto"/>
        </w:rPr>
        <w:t xml:space="preserve"> sets forth a listing of all Intellectual Property Rights held or used by any Transferred Subsidiary, other than Intellectual Property Rights related to (a) commercial off-the-shelf Software having a cost of less than One Thousand United States Dollars (US$1,000) per seat or license and (b) standard form non-exclusive licenses that are generally available and have a cost of less than Fifty Thousand United States Dollars (US$50,000) per year (the “Transferred Subsidiary Intellectual Property Rights”). Except for off-the-shelf software programs (including but not limited to word processing and spreadsheet programs) and except as set forth on </w:t>
      </w:r>
      <w:r>
        <w:rPr>
          <w:rFonts w:ascii="Arial" w:cs="Arial" w:eastAsia="Arial" w:hAnsi="Arial"/>
          <w:sz w:val="16"/>
          <w:szCs w:val="16"/>
          <w:u w:val="single" w:color="auto"/>
          <w:color w:val="auto"/>
        </w:rPr>
        <w:t>Schedule 3.15</w:t>
      </w:r>
      <w:r>
        <w:rPr>
          <w:rFonts w:ascii="Arial" w:cs="Arial" w:eastAsia="Arial" w:hAnsi="Arial"/>
          <w:sz w:val="16"/>
          <w:szCs w:val="16"/>
          <w:color w:val="auto"/>
        </w:rPr>
        <w:t xml:space="preserve">, each Transferred Subsidiary owns or has a right to use all the Transferred Subsidiary Intellectual Property Rights held or used by it free and clear of any Liens, other than Permitted Liens, and free from any requirement of any past, present or future royalty payments, license fees, charges or other payments. Except as set forth on </w:t>
      </w:r>
      <w:r>
        <w:rPr>
          <w:rFonts w:ascii="Arial" w:cs="Arial" w:eastAsia="Arial" w:hAnsi="Arial"/>
          <w:sz w:val="16"/>
          <w:szCs w:val="16"/>
          <w:u w:val="single" w:color="auto"/>
          <w:color w:val="auto"/>
        </w:rPr>
        <w:t>Schedule 3.15</w:t>
      </w:r>
      <w:r>
        <w:rPr>
          <w:rFonts w:ascii="Arial" w:cs="Arial" w:eastAsia="Arial" w:hAnsi="Arial"/>
          <w:sz w:val="16"/>
          <w:szCs w:val="16"/>
          <w:color w:val="auto"/>
        </w:rPr>
        <w:t>, (a) no proceedings are pending or, to the Knowledge of Seller threatened, which challenge the validity of the ownership or use by any Transferred Subsidiary of any Transferred Subsidiary Intellectual Property Rights, (b) Seller has no Knowledge of any infringement or infringing use of any Transferred Subsidiary Intellectual Property Rights or licenses thereof by any Person and (c) to the Knowledge of Seller, no material infringement by Seller or any of its Subsidiaries of any Intellectual Property Rights of any third party has occurred in connection with the conduct of the Transferred Subsidiaries’ respective businesses or will result in any way from the signing and execution of this Agreement or any of the Seller Ancillary Documents or the consummation of any or all of the transactions contemplated hereby and thereby, and no claim has been made by any third party based upon an allegation of any such infringement. To the Knowledge of Seller, none of the former or present employees, officers or directors of Seller or any of its Subsidiaries holds any right, title or interest, directly or indirectly, in whole or in part, in or to any Transferred Subsidiary Intellectual Property Rights. Neither Seller nor any of Seller’s Subsidiaries licenses from any present or, to Seller’s Knowledge, former employees, officers or directors of Seller or any of Seller’s Subsidiaries, any Transferred Subsidiary Intellectual Property Rights which are necessary for the conduct of the business of the Transferred Subsidiaries. Except for agreements imposing an obligation on former or present employees, officers, directors, or independent contractors of Seller or any of Seller’s Subsidiaries to keep the Transferred Subsidiary Intellectual Property Rights confidential or to assign to Seller or any of Seller’s Subsidiaries any Transferred Subsidiary Intellectual Property Rights created, developed or conceived by any such Persons, neither Seller nor any of Seller’s Subsidiaries is a party to any employment contract, patent disclosure agreement or any other contract, agreement or arrangement with any employee of Seller or any of Seller’s Subsidiaries relating to any Transferred Subsidiary Intellectual Property Rights, that grants such employee an ownership right or other economic interest in such Transferred Subsidiary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REPRESENTATIONS AND WARRANTIES OF BUYER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Buyer represents and warrants to Seller as of the Closing Date that:</w:t>
      </w:r>
    </w:p>
    <w:p>
      <w:pPr>
        <w:spacing w:after="0" w:line="225" w:lineRule="exact"/>
        <w:rPr>
          <w:sz w:val="20"/>
          <w:szCs w:val="20"/>
          <w:color w:val="auto"/>
        </w:rPr>
      </w:pPr>
    </w:p>
    <w:p>
      <w:pPr>
        <w:ind w:left="220" w:right="60" w:firstLine="648"/>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Organization</w:t>
      </w:r>
      <w:r>
        <w:rPr>
          <w:rFonts w:ascii="Arial" w:cs="Arial" w:eastAsia="Arial" w:hAnsi="Arial"/>
          <w:sz w:val="18"/>
          <w:szCs w:val="18"/>
          <w:color w:val="auto"/>
        </w:rPr>
        <w:t>. Buyer is a limited company duly organized, validly existing and in good standing under the laws of the jurisdiction of its organization. Buyer has all requisite power and authority to carry on its businesses as now being conducted.</w:t>
      </w:r>
    </w:p>
    <w:p>
      <w:pPr>
        <w:spacing w:after="0" w:line="170" w:lineRule="exact"/>
        <w:rPr>
          <w:sz w:val="20"/>
          <w:szCs w:val="20"/>
          <w:color w:val="auto"/>
        </w:rPr>
      </w:pPr>
    </w:p>
    <w:p>
      <w:pPr>
        <w:ind w:left="220" w:right="760" w:firstLine="648"/>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Authority</w:t>
      </w:r>
      <w:r>
        <w:rPr>
          <w:rFonts w:ascii="Arial" w:cs="Arial" w:eastAsia="Arial" w:hAnsi="Arial"/>
          <w:sz w:val="18"/>
          <w:szCs w:val="18"/>
          <w:color w:val="auto"/>
        </w:rPr>
        <w:t>. Buyer has full capacity and authority to enter into this Agreement and the Buyer Ancillary Documents and to consummate the transactions contemplated hereby and thereby.</w:t>
      </w:r>
    </w:p>
    <w:p>
      <w:pPr>
        <w:spacing w:after="0" w:line="170" w:lineRule="exact"/>
        <w:rPr>
          <w:sz w:val="20"/>
          <w:szCs w:val="20"/>
          <w:color w:val="auto"/>
        </w:rPr>
      </w:pPr>
    </w:p>
    <w:p>
      <w:pPr>
        <w:ind w:left="220" w:right="560" w:firstLine="648"/>
        <w:spacing w:after="0" w:line="27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Due Execution</w:t>
      </w:r>
      <w:r>
        <w:rPr>
          <w:rFonts w:ascii="Arial" w:cs="Arial" w:eastAsia="Arial" w:hAnsi="Arial"/>
          <w:sz w:val="18"/>
          <w:szCs w:val="18"/>
          <w:color w:val="auto"/>
        </w:rPr>
        <w:t>. This Agreement and the Buyer Ancillary Documents have been duly executed and delivered by Buyer and constitute valid and legally binding obligations of Buyer.</w:t>
      </w:r>
    </w:p>
    <w:p>
      <w:pPr>
        <w:spacing w:after="0" w:line="170" w:lineRule="exact"/>
        <w:rPr>
          <w:sz w:val="20"/>
          <w:szCs w:val="20"/>
          <w:color w:val="auto"/>
        </w:rPr>
      </w:pPr>
    </w:p>
    <w:p>
      <w:pPr>
        <w:ind w:left="220" w:right="60" w:firstLine="648"/>
        <w:spacing w:after="0" w:line="264"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No Finders.</w:t>
      </w:r>
      <w:r>
        <w:rPr>
          <w:rFonts w:ascii="Arial" w:cs="Arial" w:eastAsia="Arial" w:hAnsi="Arial"/>
          <w:sz w:val="18"/>
          <w:szCs w:val="18"/>
          <w:color w:val="auto"/>
        </w:rPr>
        <w:t xml:space="preserve"> There is no investment banker, broker, finder or other intermediary which has been retained by or is authorized to act on behalf of Buyer who might be entitled to any fee or commission from Seller or any of its Affiliates upon consummation of the transactions contemplated by this Agreement.</w:t>
      </w:r>
    </w:p>
    <w:p>
      <w:pPr>
        <w:spacing w:after="0" w:line="181" w:lineRule="exact"/>
        <w:rPr>
          <w:sz w:val="20"/>
          <w:szCs w:val="20"/>
          <w:color w:val="auto"/>
        </w:rPr>
      </w:pPr>
    </w:p>
    <w:p>
      <w:pPr>
        <w:ind w:left="220" w:right="100" w:firstLine="648"/>
        <w:spacing w:after="0" w:line="279"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i w:val="1"/>
          <w:iCs w:val="1"/>
          <w:color w:val="auto"/>
        </w:rPr>
        <w:t>Inspections; No Other Representations.</w:t>
      </w:r>
      <w:r>
        <w:rPr>
          <w:rFonts w:ascii="Arial" w:cs="Arial" w:eastAsia="Arial" w:hAnsi="Arial"/>
          <w:sz w:val="17"/>
          <w:szCs w:val="17"/>
          <w:color w:val="auto"/>
        </w:rPr>
        <w:t xml:space="preserve"> Buyer is an informed and sophisticated purchaser and has engaged expert advisors experienced in the evaluation and purchase of businesses such as the Transferred Subsidiaries as contemplated hereunder. Buyer has undertaken such investigation and has been provided with and has evaluated such documents and information as it has deemed necessary to enable it to make an informed decision with respect to the execution, delivery and performance of its obligations under this Agreement.</w:t>
      </w:r>
    </w:p>
    <w:p>
      <w:pPr>
        <w:spacing w:after="0" w:line="171"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Buyer agrees to accept the Equity Interests, the Assigned Intercompany Debt and the Transferred Subsidiaries in the condition in which they exist on the Effective Date based upon its own inspection, examination and determination with respect thereto as to all matters, and without reliance upon any express or implied representations or warranties of any nature made by or on behalf of or imputed to Seller, except as expressly set forth in this Agreement.</w:t>
      </w:r>
    </w:p>
    <w:p>
      <w:pPr>
        <w:sectPr>
          <w:pgSz w:w="11900" w:h="16838" w:orient="portrait"/>
          <w:cols w:equalWidth="0" w:num="1">
            <w:col w:w="11420"/>
          </w:cols>
          <w:pgMar w:left="240" w:top="125" w:right="239" w:bottom="0" w:gutter="0" w:footer="0" w:header="0"/>
        </w:sectPr>
      </w:pPr>
    </w:p>
    <w:bookmarkStart w:id="122" w:name="page123"/>
    <w:bookmarkEnd w:id="122"/>
    <w:p>
      <w:pPr>
        <w:ind w:left="880"/>
        <w:spacing w:after="0"/>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i w:val="1"/>
          <w:iCs w:val="1"/>
          <w:color w:val="auto"/>
        </w:rPr>
        <w:t>Financial Capacity</w:t>
      </w:r>
      <w:r>
        <w:rPr>
          <w:rFonts w:ascii="Arial" w:cs="Arial" w:eastAsia="Arial" w:hAnsi="Arial"/>
          <w:sz w:val="17"/>
          <w:szCs w:val="17"/>
          <w:color w:val="auto"/>
        </w:rPr>
        <w:t>. Buyer has sufficient cash on hand, liquid assets and available borrowings to pay the Purchase Price at</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Closing.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Seller Covenants.</w:t>
      </w:r>
      <w:r>
        <w:rPr>
          <w:rFonts w:ascii="Arial" w:cs="Arial" w:eastAsia="Arial" w:hAnsi="Arial"/>
          <w:sz w:val="18"/>
          <w:szCs w:val="18"/>
          <w:color w:val="auto"/>
        </w:rPr>
        <w:t xml:space="preserve"> Seller agrees that:</w:t>
      </w:r>
    </w:p>
    <w:p>
      <w:pPr>
        <w:spacing w:after="0" w:line="231" w:lineRule="exact"/>
        <w:rPr>
          <w:sz w:val="20"/>
          <w:szCs w:val="20"/>
          <w:color w:val="auto"/>
        </w:rPr>
      </w:pPr>
    </w:p>
    <w:p>
      <w:pPr>
        <w:ind w:right="660" w:firstLine="1305"/>
        <w:spacing w:after="0" w:line="268" w:lineRule="auto"/>
        <w:tabs>
          <w:tab w:leader="none" w:pos="1991" w:val="left"/>
        </w:tabs>
        <w:numPr>
          <w:ilvl w:val="0"/>
          <w:numId w:val="92"/>
        </w:numPr>
        <w:rPr>
          <w:rFonts w:ascii="Arial" w:cs="Arial" w:eastAsia="Arial" w:hAnsi="Arial"/>
          <w:sz w:val="18"/>
          <w:szCs w:val="18"/>
          <w:color w:val="auto"/>
        </w:rPr>
      </w:pPr>
      <w:r>
        <w:rPr>
          <w:rFonts w:ascii="Arial" w:cs="Arial" w:eastAsia="Arial" w:hAnsi="Arial"/>
          <w:sz w:val="18"/>
          <w:szCs w:val="18"/>
          <w:color w:val="auto"/>
        </w:rPr>
        <w:t>From the date of this Agreement until the Closing Date or the termination of this Agreement, Seller shall, and shall cause the Transferred Subsidiaries to, conduct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businesses in the ordinary course consistent with past practices and to use commercially reasonable efforts to preserve intact the business organizations of the Transferred Subsidiaries and relationships of the Transferred Subsidiaries with third parties and to keep available the services of the employees of the Transferred Subsidiaries. Seller shall notify Buyer promptly of the occurrence of any event that would reasonably be expected to have a Material Adverse Effect on the Transferred Subsidiaries of which it or any of its Subsidiaries has Knowledge including, without limitation, information (and provide copies of all pertinent documents) concerning all proceedings instituted, threatened or asserted against or affecting the Transferred Subsidiaries at law or in equity, before or by any Governmental Entity. Seller shall keep records relating to the Transferred Subsidiaries in accordance with GAAP and other applicable accounting principles applied on a basis consistent with prior periods and in accordance with past practice. Seller shall inform and consult with Buyer regarding any significant developments or transactions proposed to be entered into relating to the Transferred Subsidiaries prior to the earlier of the Closing Date or the termination of this Agreement. Without limiting the generality of the foregoing, from the date of this Agreement until the earlier of the termination of this Agreement or the Closing Date, Seller will not take or permit any of the Transferred Subsidiaries to take, any of the following actions, without Buyer’s prior written consent, which consent will not be unreasonably withheld or delayed: (i) adopt any change to the organizational documents of any Transferred Subsidiary (i.e., certificates of incorporation, organization or formation; bylaws or limited liability company operating agreements, as applicable), (ii) except as contemplated by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allow any Transferred Subsidiary to merge or consolidate with any other Person or acquire a material amount of assets from any other Person, (iii) except in the ordinary course of business and except as contemplated by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(A) sell or transfer material assets relating to the Transferred Subsidiaries, (B) grant, create, incur or suffer to exist any Liens, other than Permitted Liens, on any material assets or properties relating to the Transferred Subsidiaries, (C) incur any material Liability (absolute, accrued or contingent) relating to the Transferred Subsidiaries, (D) waive any material claims or rights relating to the Transferred Subsidiaries, or (E) enter into, assume or amend any Material Contract, (iv) increase in any manner the base compensation of, or enter into any new bonus or incentive agreement or arrangement with, any employee of any Transferred Subsidiary, except in the ordinary course of business or pursuant to the Contracts set forth on </w:t>
      </w:r>
      <w:r>
        <w:rPr>
          <w:rFonts w:ascii="Arial" w:cs="Arial" w:eastAsia="Arial" w:hAnsi="Arial"/>
          <w:sz w:val="16"/>
          <w:szCs w:val="16"/>
          <w:u w:val="single" w:color="auto"/>
          <w:color w:val="auto"/>
        </w:rPr>
        <w:t>Schedule 5.1(a)</w:t>
      </w:r>
      <w:r>
        <w:rPr>
          <w:rFonts w:ascii="Arial" w:cs="Arial" w:eastAsia="Arial" w:hAnsi="Arial"/>
          <w:sz w:val="16"/>
          <w:szCs w:val="16"/>
          <w:color w:val="auto"/>
        </w:rPr>
        <w:t xml:space="preserve">, (v) pay or agree to pay any additional or increased benefits under any Employee Benefit Plan of a Transferred Subsidiary, except in the ordinary course of business, (vi) award any additional equity to any employee of a Transferred Subsidiary, except to the extent contractually obligated to provide such equity award as of the date hereof or in the ordinary course of business, (vii) amend or terminate any employment agreement with any employee of any Transferred Subsidiary or enter into any new employment agreement with any employee of any Transferred Subsidiary, except in the ordinary course of business, (vii) make any election relating to Taxes of or relating to any of the Transferred Subsidiaries, or their respective assets or businesses, which would have any Material Adverse Effect on Tax obligations of the Transferred Subsidiaries for any taxable period or portion thereof beginning after the Closing Date, including, without limitation, any change in accounting method for Tax purposes and/or change in Tax status (other than an election with respect to WFIL under Treasury Regulations section 301.7701-3 described in clause (ii) of </w:t>
      </w:r>
      <w:r>
        <w:rPr>
          <w:rFonts w:ascii="Arial" w:cs="Arial" w:eastAsia="Arial" w:hAnsi="Arial"/>
          <w:sz w:val="16"/>
          <w:szCs w:val="16"/>
          <w:u w:val="single" w:color="auto"/>
          <w:color w:val="auto"/>
        </w:rPr>
        <w:t>Section 5.1(c)</w:t>
      </w:r>
      <w:r>
        <w:rPr>
          <w:rFonts w:ascii="Arial" w:cs="Arial" w:eastAsia="Arial" w:hAnsi="Arial"/>
          <w:sz w:val="16"/>
          <w:szCs w:val="16"/>
          <w:color w:val="auto"/>
        </w:rPr>
        <w:t>), or amend any material Tax Return filed prior to the date hereof or hereinafter filed having such effect, (viii) make any capital expenditure in excess of Fifty Thousand United States Dollars (US$50,000), or (ix) commit or agree to take any of the foregoing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firstLine="1305"/>
        <w:spacing w:after="0" w:line="302" w:lineRule="auto"/>
        <w:tabs>
          <w:tab w:leader="none" w:pos="2001"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From the date hereof to the earlier of the Closing Date or the termination of this Agreement as provided in </w:t>
      </w:r>
      <w:r>
        <w:rPr>
          <w:rFonts w:ascii="Arial" w:cs="Arial" w:eastAsia="Arial" w:hAnsi="Arial"/>
          <w:sz w:val="16"/>
          <w:szCs w:val="16"/>
          <w:u w:val="single" w:color="auto"/>
          <w:color w:val="auto"/>
        </w:rPr>
        <w:t>Article 8</w:t>
      </w:r>
      <w:r>
        <w:rPr>
          <w:rFonts w:ascii="Arial" w:cs="Arial" w:eastAsia="Arial" w:hAnsi="Arial"/>
          <w:sz w:val="16"/>
          <w:szCs w:val="16"/>
          <w:color w:val="auto"/>
        </w:rPr>
        <w:t>, Seller shall afford Buyer, its advisors and representatives, upon reasonable prior written notice and in a manner that does not interfere with the normal business activities of Seller, reasonable access to information relating to the Transferred Subsidiaries as Buyer reasonably requests, including permitting Buyer, its advisors and representatives to make physical inspections of the Transferred Subsidiaries’ assets, properties, financial statements and books and records.</w:t>
      </w:r>
    </w:p>
    <w:p>
      <w:pPr>
        <w:spacing w:after="0" w:line="154" w:lineRule="exact"/>
        <w:rPr>
          <w:rFonts w:ascii="Arial" w:cs="Arial" w:eastAsia="Arial" w:hAnsi="Arial"/>
          <w:sz w:val="16"/>
          <w:szCs w:val="16"/>
          <w:color w:val="auto"/>
        </w:rPr>
      </w:pPr>
    </w:p>
    <w:p>
      <w:pPr>
        <w:ind w:left="2040" w:hanging="735"/>
        <w:spacing w:after="0"/>
        <w:tabs>
          <w:tab w:leader="none" w:pos="2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Prior to the Closing Date, Seller shall, and shall cause its Affiliates to, as applicable, take the following actions in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following sequence:</w:t>
      </w:r>
    </w:p>
    <w:p>
      <w:pPr>
        <w:spacing w:after="0" w:line="210" w:lineRule="exact"/>
        <w:rPr>
          <w:rFonts w:ascii="Arial" w:cs="Arial" w:eastAsia="Arial" w:hAnsi="Arial"/>
          <w:sz w:val="18"/>
          <w:szCs w:val="18"/>
          <w:color w:val="auto"/>
        </w:rPr>
      </w:pPr>
    </w:p>
    <w:p>
      <w:pPr>
        <w:jc w:val="both"/>
        <w:ind w:left="1300" w:right="300" w:firstLine="653"/>
        <w:spacing w:after="0" w:line="342" w:lineRule="auto"/>
        <w:tabs>
          <w:tab w:leader="none" w:pos="2658" w:val="left"/>
        </w:tabs>
        <w:numPr>
          <w:ilvl w:val="1"/>
          <w:numId w:val="93"/>
        </w:numPr>
        <w:rPr>
          <w:rFonts w:ascii="Arial" w:cs="Arial" w:eastAsia="Arial" w:hAnsi="Arial"/>
          <w:sz w:val="16"/>
          <w:szCs w:val="16"/>
          <w:color w:val="auto"/>
        </w:rPr>
      </w:pPr>
      <w:r>
        <w:rPr>
          <w:rFonts w:ascii="Arial" w:cs="Arial" w:eastAsia="Arial" w:hAnsi="Arial"/>
          <w:sz w:val="16"/>
          <w:szCs w:val="16"/>
          <w:color w:val="auto"/>
        </w:rPr>
        <w:t>if requested by Seller and approved by Buyer, WFI Sweden shall elect to be classified as a disregarded entity for U.S. federal income Tax purposes under Treasury Regulation section 301.7701-3, effective by no later than the day prior to the Closing Date;</w:t>
      </w:r>
    </w:p>
    <w:p>
      <w:pPr>
        <w:spacing w:after="0" w:line="123" w:lineRule="exact"/>
        <w:rPr>
          <w:rFonts w:ascii="Arial" w:cs="Arial" w:eastAsia="Arial" w:hAnsi="Arial"/>
          <w:sz w:val="16"/>
          <w:szCs w:val="16"/>
          <w:color w:val="auto"/>
        </w:rPr>
      </w:pPr>
    </w:p>
    <w:p>
      <w:pPr>
        <w:ind w:left="1300" w:right="60" w:firstLine="653"/>
        <w:spacing w:after="0" w:line="277" w:lineRule="auto"/>
        <w:tabs>
          <w:tab w:leader="none" w:pos="2663" w:val="left"/>
        </w:tabs>
        <w:numPr>
          <w:ilvl w:val="1"/>
          <w:numId w:val="93"/>
        </w:numPr>
        <w:rPr>
          <w:rFonts w:ascii="Arial" w:cs="Arial" w:eastAsia="Arial" w:hAnsi="Arial"/>
          <w:sz w:val="18"/>
          <w:szCs w:val="18"/>
          <w:color w:val="auto"/>
        </w:rPr>
      </w:pPr>
      <w:r>
        <w:rPr>
          <w:rFonts w:ascii="Arial" w:cs="Arial" w:eastAsia="Arial" w:hAnsi="Arial"/>
          <w:sz w:val="18"/>
          <w:szCs w:val="18"/>
          <w:color w:val="auto"/>
        </w:rPr>
        <w:t>WFIL shall elect to be classified as a disregarded entity for U.S. federal income Tax purposes under Treasury Regulation section 301.7701-3, effective by no later than the day prior to the Closing Date;</w:t>
      </w:r>
    </w:p>
    <w:p>
      <w:pPr>
        <w:spacing w:after="0" w:line="170" w:lineRule="exact"/>
        <w:rPr>
          <w:rFonts w:ascii="Arial" w:cs="Arial" w:eastAsia="Arial" w:hAnsi="Arial"/>
          <w:sz w:val="18"/>
          <w:szCs w:val="18"/>
          <w:color w:val="auto"/>
        </w:rPr>
      </w:pPr>
    </w:p>
    <w:p>
      <w:pPr>
        <w:ind w:left="2680" w:hanging="727"/>
        <w:spacing w:after="0"/>
        <w:tabs>
          <w:tab w:leader="none" w:pos="26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WFI UK, Ltd. shall transfer to WFI Sweden all of its right, title and interest in and to 7,000 shares of WFI Turkey;</w:t>
      </w:r>
    </w:p>
    <w:p>
      <w:pPr>
        <w:spacing w:after="0" w:line="236" w:lineRule="exact"/>
        <w:rPr>
          <w:rFonts w:ascii="Arial" w:cs="Arial" w:eastAsia="Arial" w:hAnsi="Arial"/>
          <w:sz w:val="17"/>
          <w:szCs w:val="17"/>
          <w:color w:val="auto"/>
        </w:rPr>
      </w:pPr>
    </w:p>
    <w:p>
      <w:pPr>
        <w:ind w:left="1300" w:right="40" w:firstLine="653"/>
        <w:spacing w:after="0" w:line="277" w:lineRule="auto"/>
        <w:tabs>
          <w:tab w:leader="none" w:pos="2658"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Seller shall cancel the outstanding debt of WFI Turkey shown on </w:t>
      </w:r>
      <w:r>
        <w:rPr>
          <w:rFonts w:ascii="Arial" w:cs="Arial" w:eastAsia="Arial" w:hAnsi="Arial"/>
          <w:sz w:val="18"/>
          <w:szCs w:val="18"/>
          <w:u w:val="single" w:color="auto"/>
          <w:color w:val="auto"/>
        </w:rPr>
        <w:t>Schedule A</w:t>
      </w:r>
      <w:r>
        <w:rPr>
          <w:rFonts w:ascii="Arial" w:cs="Arial" w:eastAsia="Arial" w:hAnsi="Arial"/>
          <w:sz w:val="18"/>
          <w:szCs w:val="18"/>
          <w:color w:val="auto"/>
        </w:rPr>
        <w:t>, such cancellation to be effectuated in form and substance reasonably acceptable to Buyer;</w:t>
      </w:r>
    </w:p>
    <w:p>
      <w:pPr>
        <w:spacing w:after="0" w:line="170" w:lineRule="exact"/>
        <w:rPr>
          <w:rFonts w:ascii="Arial" w:cs="Arial" w:eastAsia="Arial" w:hAnsi="Arial"/>
          <w:sz w:val="18"/>
          <w:szCs w:val="18"/>
          <w:color w:val="auto"/>
        </w:rPr>
      </w:pPr>
    </w:p>
    <w:p>
      <w:pPr>
        <w:ind w:left="1300" w:right="100" w:firstLine="653"/>
        <w:spacing w:after="0" w:line="302" w:lineRule="auto"/>
        <w:tabs>
          <w:tab w:leader="none" w:pos="2653"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WFIL shall, (A) first, utilize the EMEA Excess Cash to pay to WFI the portion of the Intercompany Debt owed by it to WFI that is designated as “Trade”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and (B) second, utilize the balance of the EMEA Excess Cash remaining after the foregoing payment to pay WFI that portion of the loan principal of the Intercompany Debt owed by it to WFI that is designated as “Loans”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such that the remaining balance of the Intercompany Debt equals the amount of the Assigned Intercompany Debt; and</w:t>
      </w:r>
    </w:p>
    <w:p>
      <w:pPr>
        <w:spacing w:after="0" w:line="154" w:lineRule="exact"/>
        <w:rPr>
          <w:rFonts w:ascii="Arial" w:cs="Arial" w:eastAsia="Arial" w:hAnsi="Arial"/>
          <w:sz w:val="16"/>
          <w:szCs w:val="16"/>
          <w:color w:val="auto"/>
        </w:rPr>
      </w:pPr>
    </w:p>
    <w:p>
      <w:pPr>
        <w:ind w:left="1300" w:right="180" w:firstLine="653"/>
        <w:spacing w:after="0" w:line="277" w:lineRule="auto"/>
        <w:tabs>
          <w:tab w:leader="none" w:pos="2658" w:val="left"/>
        </w:tabs>
        <w:numPr>
          <w:ilvl w:val="1"/>
          <w:numId w:val="93"/>
        </w:numPr>
        <w:rPr>
          <w:rFonts w:ascii="Arial" w:cs="Arial" w:eastAsia="Arial" w:hAnsi="Arial"/>
          <w:sz w:val="18"/>
          <w:szCs w:val="18"/>
          <w:color w:val="auto"/>
        </w:rPr>
      </w:pPr>
      <w:r>
        <w:rPr>
          <w:rFonts w:ascii="Arial" w:cs="Arial" w:eastAsia="Arial" w:hAnsi="Arial"/>
          <w:sz w:val="18"/>
          <w:szCs w:val="18"/>
          <w:color w:val="auto"/>
        </w:rPr>
        <w:t>WFIL shall transfer to WFI UK, Ltd., in consideration of US $1, all of its right, title and interest in and to all the equity interests of WFI Spain.</w:t>
      </w:r>
    </w:p>
    <w:p>
      <w:pPr>
        <w:sectPr>
          <w:pgSz w:w="11900" w:h="16838" w:orient="portrait"/>
          <w:cols w:equalWidth="0" w:num="1">
            <w:col w:w="11420"/>
          </w:cols>
          <w:pgMar w:left="240" w:top="125" w:right="239" w:bottom="139" w:gutter="0" w:footer="0" w:header="0"/>
        </w:sectPr>
      </w:pPr>
    </w:p>
    <w:bookmarkStart w:id="123" w:name="page124"/>
    <w:bookmarkEnd w:id="123"/>
    <w:p>
      <w:pPr>
        <w:ind w:right="40"/>
        <w:spacing w:after="0" w:line="342" w:lineRule="auto"/>
        <w:rPr>
          <w:sz w:val="20"/>
          <w:szCs w:val="20"/>
          <w:color w:val="auto"/>
        </w:rPr>
      </w:pPr>
      <w:r>
        <w:rPr>
          <w:rFonts w:ascii="Arial" w:cs="Arial" w:eastAsia="Arial" w:hAnsi="Arial"/>
          <w:sz w:val="16"/>
          <w:szCs w:val="16"/>
          <w:color w:val="auto"/>
        </w:rPr>
        <w:t>In addition to the foregoing, prior to the Closing Date, Seller shall, and shall cause each of its Affiliates to, terminate any and all agreements and arrangements between Seller and any of its Affiliates other than a Transferred Subsidiary, on the one hand, and any Transferred Subsidiary, on the other hand.</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Buyer and Seller acknowledge and agree that to the fullest extent permitted by Law, as of the time of the transfer described in the foregoing clause (iii), WFI Sweden shall be deemed the beneficial and substantive owner of the transferred interests in WFI Turkey, notwithstanding that legal title and registration of any equity interest of such entity in the name of WFI Sweden may occur at a later date and WFI Sweden shall be entitled to receive through its 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of such transferred interest in WFI Turkey any and all benefits relating to ownership of such transferred interest, and, except as otherwise provided by this Agreement, shall assume and be fully responsible for any and all Liabilities relating to such transferred interest.</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Buyer and Seller further acknowledge and agree that to the fullest extent permitted by Law, as of the time of the transfer described in the foregoing clause (vi), WFI UK, Ltd. shall be deemed the beneficial and substantive owner of WFI Spain, and assume full responsibility and operational control of such entity, notwithstanding that legal title and registration of any equity interest of such entity in the name of WFI UK, Ltd. may occur at a later date and WFI UK, Ltd. shall be entitled to receive through its beneficial ownership of WFI Spain any and all benefits relating to ownership of interests in such entities, and, except as otherwise provided by this Agreement, shall assume and be fully responsible for any and all Liabilities relating to such entities.</w:t>
      </w:r>
    </w:p>
    <w:p>
      <w:pPr>
        <w:spacing w:after="0" w:line="173" w:lineRule="exact"/>
        <w:rPr>
          <w:sz w:val="20"/>
          <w:szCs w:val="20"/>
          <w:color w:val="auto"/>
        </w:rPr>
      </w:pPr>
    </w:p>
    <w:p>
      <w:pPr>
        <w:ind w:right="540" w:firstLine="1305"/>
        <w:spacing w:after="0" w:line="342" w:lineRule="auto"/>
        <w:tabs>
          <w:tab w:leader="none" w:pos="2001" w:val="left"/>
        </w:tabs>
        <w:numPr>
          <w:ilvl w:val="0"/>
          <w:numId w:val="94"/>
        </w:numPr>
        <w:rPr>
          <w:rFonts w:ascii="Arial" w:cs="Arial" w:eastAsia="Arial" w:hAnsi="Arial"/>
          <w:sz w:val="16"/>
          <w:szCs w:val="16"/>
          <w:color w:val="auto"/>
        </w:rPr>
      </w:pPr>
      <w:r>
        <w:rPr>
          <w:rFonts w:ascii="Arial" w:cs="Arial" w:eastAsia="Arial" w:hAnsi="Arial"/>
          <w:sz w:val="16"/>
          <w:szCs w:val="16"/>
          <w:color w:val="auto"/>
        </w:rPr>
        <w:t>Seller shall pay and be responsible for any fee or commission payable to any investment banker, broker, finder or other intermediary retained by or authorized to act on behalf of Seller with respect to the consummation of the transactions contemplated by this Agreement.</w:t>
      </w:r>
    </w:p>
    <w:p>
      <w:pPr>
        <w:spacing w:after="0" w:line="123" w:lineRule="exact"/>
        <w:rPr>
          <w:rFonts w:ascii="Arial" w:cs="Arial" w:eastAsia="Arial" w:hAnsi="Arial"/>
          <w:sz w:val="16"/>
          <w:szCs w:val="16"/>
          <w:color w:val="auto"/>
        </w:rPr>
      </w:pPr>
    </w:p>
    <w:p>
      <w:pPr>
        <w:ind w:right="80" w:firstLine="1305"/>
        <w:spacing w:after="0" w:line="277" w:lineRule="auto"/>
        <w:tabs>
          <w:tab w:leader="none" w:pos="1991"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Prior to the Closing, Seller shall pay or shall cause the Transferred Subsidiaries to pay all payroll (including related payroll Taxes and expenses), contractor and other expenses of the Transferred Subsidiaries through Week 5 as set forth on </w:t>
      </w:r>
      <w:r>
        <w:rPr>
          <w:rFonts w:ascii="Arial" w:cs="Arial" w:eastAsia="Arial" w:hAnsi="Arial"/>
          <w:sz w:val="18"/>
          <w:szCs w:val="18"/>
          <w:u w:val="single" w:color="auto"/>
          <w:color w:val="auto"/>
        </w:rPr>
        <w:t>Schedule 5.1(e)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1305"/>
        <w:spacing w:after="0" w:line="270" w:lineRule="auto"/>
        <w:tabs>
          <w:tab w:leader="none" w:pos="2016" w:val="left"/>
        </w:tabs>
        <w:numPr>
          <w:ilvl w:val="0"/>
          <w:numId w:val="94"/>
        </w:numPr>
        <w:rPr>
          <w:rFonts w:ascii="Arial" w:cs="Arial" w:eastAsia="Arial" w:hAnsi="Arial"/>
          <w:sz w:val="17"/>
          <w:szCs w:val="17"/>
          <w:color w:val="auto"/>
        </w:rPr>
      </w:pPr>
      <w:r>
        <w:rPr>
          <w:rFonts w:ascii="Arial" w:cs="Arial" w:eastAsia="Arial" w:hAnsi="Arial"/>
          <w:sz w:val="17"/>
          <w:szCs w:val="17"/>
          <w:color w:val="auto"/>
        </w:rPr>
        <w:t>Seller will use commercially reasonable efforts to obtain such written consents, assignments, waivers and authorizations or other certificates from third parties, including Governmental Entities, and give such notices to third parties, including Governmental Entities, in each case that are required to consummate the transactions provided for herein and to keep in effect and avoid the breach, violation or termination of any Material Contract of any Transferred Subsidiary (each, an “</w:t>
      </w:r>
      <w:r>
        <w:rPr>
          <w:rFonts w:ascii="Arial" w:cs="Arial" w:eastAsia="Arial" w:hAnsi="Arial"/>
          <w:sz w:val="17"/>
          <w:szCs w:val="17"/>
          <w:b w:val="1"/>
          <w:bCs w:val="1"/>
          <w:color w:val="auto"/>
        </w:rPr>
        <w:t>Assignment Consent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reasonable efforts by Seller shall not include (a) the payment of any amounts by Seller to any such third party or (b) the amendment of any provision of, or waiver of any rights under, any contract between Seller or any Transferred Subsidiary, on the one hand, and any such third party, on the other hand. If any Assignment Consents are not received on or before the Closing Date with respect to any Material Contract, Seller shall cooperate with Buyer in any reasonable arrangement designed to provide Buyer with all of the benefits of such Material Contract as if the Assignment Consent had been obtained as set forth in more detail in the Transition Services Agreement, including by granting subleases and establishing subcontracting arrangements. In no event will Buyer be entitled to delay the Closing or terminate this Agreement due to Seller’s failure to obtain an Assignment Consent.</w:t>
      </w:r>
    </w:p>
    <w:p>
      <w:pPr>
        <w:spacing w:after="0" w:line="177" w:lineRule="exact"/>
        <w:rPr>
          <w:rFonts w:ascii="Arial" w:cs="Arial" w:eastAsia="Arial" w:hAnsi="Arial"/>
          <w:sz w:val="17"/>
          <w:szCs w:val="17"/>
          <w:color w:val="auto"/>
        </w:rPr>
      </w:pPr>
    </w:p>
    <w:p>
      <w:pPr>
        <w:ind w:right="100" w:firstLine="1305"/>
        <w:spacing w:after="0" w:line="257" w:lineRule="auto"/>
        <w:tabs>
          <w:tab w:leader="none" w:pos="2001"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a period of four (4) years following the Closing Date, Seller hereby agrees not to, either on its own account or in conjunction with or on behalf of any Person, carry on or be engaged, directly or indirectly, whether as a shareholder, director, employee, partner, agent or otherwise, in Europe, the Middle East or Africa in the delivery of the following services, whether directly or as a subcontractor to an equipment vendor or any other Person, relating to wireless carriers for their licensed wireless telecommunications networks, whether privately owned or owned by a Governmental Entity: (1) consulting services for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planning, including without limitation technology assessment, vendor evaluation, market analysis and business plan development; (2) design and deployment services, including without limitation radio frequency engineering, spectrum relocation, fixed network engineering, core network engineering, site acquisition, zoning, permitting, construction/construction management and installation and optimization services; (3) management and optimization services, including without limitation radio frequency optimization services, testing and analysis of quality of service and end-user experience and network operations and maintenance services; or (4) any outsourcing or managed service that includes any of the activities described in the foregoing clauses (1) through (3);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Seller shall in no way be restricted for engaging in or carrying on such activities for Governmental Entities through its WFI Government Services, Inc. entity in connection with the non-commercial activities of such Governmental Entities, such as, but not limited to, military and police functions. While the restrictions contained in this </w:t>
      </w:r>
      <w:r>
        <w:rPr>
          <w:rFonts w:ascii="Arial" w:cs="Arial" w:eastAsia="Arial" w:hAnsi="Arial"/>
          <w:sz w:val="17"/>
          <w:szCs w:val="17"/>
          <w:u w:val="single" w:color="auto"/>
          <w:color w:val="auto"/>
        </w:rPr>
        <w:t>Section 5.1(f)</w:t>
      </w:r>
      <w:r>
        <w:rPr>
          <w:rFonts w:ascii="Arial" w:cs="Arial" w:eastAsia="Arial" w:hAnsi="Arial"/>
          <w:sz w:val="17"/>
          <w:szCs w:val="17"/>
          <w:color w:val="auto"/>
        </w:rPr>
        <w:t xml:space="preserve"> are considered by the parties to be reasonable in all the circumstances for the protection of the interests of Buyer and/or the Transferred Subsidiaries, it is recognized that restrictions of the nature in question may fail for technical reasons and, accordingly, it is hereby agreed and declared that if any of such restrictions shall be adjudged to be void but would be valid if part of the wording thereof were deleted or the periods thereof reduced or the range of activities or area dealt with thereby reduced in scope, the said restriction shall apply with such modifications as may be necessary to make it valid and effective. The parties hereby agree that any remedy at Law for any of breach by Seller of any of the provisions contained in this </w:t>
      </w:r>
      <w:r>
        <w:rPr>
          <w:rFonts w:ascii="Arial" w:cs="Arial" w:eastAsia="Arial" w:hAnsi="Arial"/>
          <w:sz w:val="17"/>
          <w:szCs w:val="17"/>
          <w:u w:val="single" w:color="auto"/>
          <w:color w:val="auto"/>
        </w:rPr>
        <w:t>Section 5.1(f)</w:t>
      </w:r>
      <w:r>
        <w:rPr>
          <w:rFonts w:ascii="Arial" w:cs="Arial" w:eastAsia="Arial" w:hAnsi="Arial"/>
          <w:sz w:val="17"/>
          <w:szCs w:val="17"/>
          <w:color w:val="auto"/>
        </w:rPr>
        <w:t xml:space="preserve"> may be inadequate and that Buyer will be entitled to seek injunctive relief in addition to any other remedy Buyer may have under this Agreement.</w:t>
      </w:r>
    </w:p>
    <w:p>
      <w:pPr>
        <w:spacing w:after="0" w:line="185" w:lineRule="exact"/>
        <w:rPr>
          <w:sz w:val="20"/>
          <w:szCs w:val="20"/>
          <w:color w:val="auto"/>
        </w:rPr>
      </w:pPr>
    </w:p>
    <w:p>
      <w:pPr>
        <w:ind w:right="40" w:firstLine="1305"/>
        <w:spacing w:after="0" w:line="289" w:lineRule="auto"/>
        <w:tabs>
          <w:tab w:leader="none" w:pos="2001"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On and after the Closing Date, Seller will afford promptly to Buyer and its accountants, attorneys, agents and representatives full and complete access to its and its Subsidiaries’ properties, books, records, documents, employees, directors and auditors to the extent reasonably necessary or appropriate to permit Buyer to (i) determine any matter relating to Buyer’s rights and obligations hereunder, (ii) complete and/or initiate any and all financial audits necessary or appropriate for Buyer’s business, operations and financial reporting purposes, and (ii) respond to, prepare for, or defend itself against any third-party or governmental investigation, inquiry, action, suit, proceeding, claim or threatened or actual legal or arbitral proceedings arising from the operation of the Transferred Subsidiaries prior to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access by Buyer shall not unreasonably interfere with the conduct of Seller’s business;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Buyer may retain copies of such books and records that are reasonably necessary or appropriate to respond to, prepare for, or produce such properties, books, records and employees in connection with any existing third-party or governmental investigation, inquiry, action, suit, proceeding, claim or threatened or actual legal proceeding or arbitration..</w:t>
      </w:r>
    </w:p>
    <w:p>
      <w:pPr>
        <w:spacing w:after="0" w:line="166" w:lineRule="exact"/>
        <w:rPr>
          <w:rFonts w:ascii="Arial" w:cs="Arial" w:eastAsia="Arial" w:hAnsi="Arial"/>
          <w:sz w:val="16"/>
          <w:szCs w:val="16"/>
          <w:color w:val="auto"/>
        </w:rPr>
      </w:pPr>
    </w:p>
    <w:p>
      <w:pPr>
        <w:ind w:right="80" w:firstLine="1305"/>
        <w:spacing w:after="0" w:line="277" w:lineRule="auto"/>
        <w:tabs>
          <w:tab w:leader="none" w:pos="2006"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Seller shall be obligated to reimburse Buyer for any costs in excess of Ten Thousand United States Dollars ($10,000) incurred by Buyer or any of its Subsidiaries in connection with the dissolution of Wireless Facilities International Germany GmbH.</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Buyer Covenants.</w:t>
      </w:r>
      <w:r>
        <w:rPr>
          <w:rFonts w:ascii="Arial" w:cs="Arial" w:eastAsia="Arial" w:hAnsi="Arial"/>
          <w:sz w:val="18"/>
          <w:szCs w:val="18"/>
          <w:color w:val="auto"/>
        </w:rPr>
        <w:t xml:space="preserve"> Buyer agrees that:</w:t>
      </w:r>
    </w:p>
    <w:p>
      <w:pPr>
        <w:sectPr>
          <w:pgSz w:w="11900" w:h="16838" w:orient="portrait"/>
          <w:cols w:equalWidth="0" w:num="1">
            <w:col w:w="11400"/>
          </w:cols>
          <w:pgMar w:left="240" w:top="125" w:right="259" w:bottom="0" w:gutter="0" w:footer="0" w:header="0"/>
        </w:sectPr>
      </w:pPr>
    </w:p>
    <w:bookmarkStart w:id="124" w:name="page125"/>
    <w:bookmarkEnd w:id="124"/>
    <w:p>
      <w:pPr>
        <w:ind w:right="200" w:firstLine="1305"/>
        <w:spacing w:after="0" w:line="277" w:lineRule="auto"/>
        <w:tabs>
          <w:tab w:leader="none" w:pos="1991"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 and after the Closing Date, Buyer will, and shall cause each of the Transferred Subsidiaries to, afford promptly to Seller and its accountants, attorneys, agents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representatives full and complete access to their properties, books, records, documents, employees, directors and auditors to the extent reasonably necessary or appropriate to permit Seller to (i) determine any matter relating to Seller’s rights and obligations hereunder or to any period ending on or before the Closing Date, (ii) complete and/or initiate any and all financial audits necessary or appropriate for Seller’s financial reporting purposes, and (iii) respond to, prepare for, or defend itself against any third-party or governmental investigation, inquiry, action, suit, proceeding, claim or threatened or actual legal or arbitral proceedings, including, without limitation, any and all stockholder derivative and/or class action litigation and inquiries and investigations by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xml:space="preserve">”), whether or not in existence as of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access by Seller shall not unreasonably interfere with the conduct of the business of Buyer;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Seller may retain copies of such books and records that are reasonably necessary or appropriate to respond to, prepare for, or produce such properties, books, records and employees in connection with any existing third-party or governmental investigation, inquiry, action, suit, proceeding, claim or threatened or actual legal proceeding or arbitration.</w:t>
      </w:r>
    </w:p>
    <w:p>
      <w:pPr>
        <w:spacing w:after="0" w:line="167" w:lineRule="exact"/>
        <w:rPr>
          <w:sz w:val="20"/>
          <w:szCs w:val="20"/>
          <w:color w:val="auto"/>
        </w:rPr>
      </w:pPr>
    </w:p>
    <w:p>
      <w:pPr>
        <w:ind w:firstLine="1305"/>
        <w:spacing w:after="0" w:line="254" w:lineRule="auto"/>
        <w:tabs>
          <w:tab w:leader="none" w:pos="2001"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Without limiting the foregoing, Buyer will, and shall cause the Transferred Subsidiaries to, provide full cooperation with respect to issues relating to, arising under or resulting from Seller’s ongoing stockholder derivative and/or class action litigation and SEC investigation, including, without limitation: (x) assisting in making employees of Buyer and the Transferred Subsidiaries reasonably available for deposition testimony; and (y) preserving and delivering original copies of, and providing reasonable access to, any and all properties, books, records, documents relating to, arising under or resulting from Seller’s ongoing stockholder derivative and/or class action litigation and SEC investigation. Seller shall be responsible for all reasonable out-of-pocket costs incurred by Buyer and its Subsidiaries in complying with this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including copying, delivery and telephone charges and shall provide Buyer with reasonable compensation for the salary and benefits associated with any employees who devote a significant portion of any calendar year assisting Seller pursuant to this </w:t>
      </w:r>
      <w:r>
        <w:rPr>
          <w:rFonts w:ascii="Arial" w:cs="Arial" w:eastAsia="Arial" w:hAnsi="Arial"/>
          <w:sz w:val="18"/>
          <w:szCs w:val="18"/>
          <w:u w:val="single" w:color="auto"/>
          <w:color w:val="auto"/>
        </w:rPr>
        <w:t>Section 5.2(b)</w:t>
      </w:r>
      <w:r>
        <w:rPr>
          <w:rFonts w:ascii="Arial" w:cs="Arial" w:eastAsia="Arial" w:hAnsi="Arial"/>
          <w:sz w:val="18"/>
          <w:szCs w:val="18"/>
          <w:color w:val="auto"/>
        </w:rPr>
        <w: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Mutual Covenants.</w:t>
      </w:r>
      <w:r>
        <w:rPr>
          <w:rFonts w:ascii="Arial" w:cs="Arial" w:eastAsia="Arial" w:hAnsi="Arial"/>
          <w:sz w:val="18"/>
          <w:szCs w:val="18"/>
          <w:color w:val="auto"/>
        </w:rPr>
        <w:t xml:space="preserve"> Buyer and Seller agree that:</w:t>
      </w:r>
    </w:p>
    <w:p>
      <w:pPr>
        <w:spacing w:after="0" w:line="225" w:lineRule="exact"/>
        <w:rPr>
          <w:sz w:val="20"/>
          <w:szCs w:val="20"/>
          <w:color w:val="auto"/>
        </w:rPr>
      </w:pPr>
    </w:p>
    <w:p>
      <w:pPr>
        <w:ind w:right="20" w:firstLine="1305"/>
        <w:spacing w:after="0" w:line="270" w:lineRule="auto"/>
        <w:tabs>
          <w:tab w:leader="none" w:pos="1991" w:val="left"/>
        </w:tabs>
        <w:numPr>
          <w:ilvl w:val="0"/>
          <w:numId w:val="98"/>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Buyer and Seller will use commercially reasonable efforts to take, or cause to be taken, all actions and to do, or cause to be done, all things necessary or desirable under applicable Laws to consummate the transactions contemplated by this Agreement, including, without limitation, diligently pursuing the registration of the transfer of the Equity Interests with the appropriate national, state, local or municipal governmental authorities. Buyer agrees to cause the Transferred Subsidiaries to execute, notarize and deliver such other documents, certificates, agreements and other writings and to take such other actions as may be necessary or desirable in order to consummate or implement expeditiously the transactions contemplated by this Agreement. Notwithstanding the foregoing, no delay, postponement, or rejection of the registration of the transfer of the Equity Interests from Seller to Buyer by any national, state, local or municipal governmental authority shall be deemed to delay the Closing hereunder, and the parties shall take all reasonably necessary actions to effect such registration of the transfer of the Equity Interests with the appropriate national, state, local or municipal governmental authorities.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4" w:lineRule="exact"/>
        <w:rPr>
          <w:rFonts w:ascii="Arial" w:cs="Arial" w:eastAsia="Arial" w:hAnsi="Arial"/>
          <w:sz w:val="17"/>
          <w:szCs w:val="17"/>
          <w:color w:val="auto"/>
        </w:rPr>
      </w:pPr>
    </w:p>
    <w:p>
      <w:pPr>
        <w:ind w:right="60" w:firstLine="1305"/>
        <w:spacing w:after="0" w:line="279" w:lineRule="auto"/>
        <w:tabs>
          <w:tab w:leader="none" w:pos="2001" w:val="left"/>
        </w:tabs>
        <w:numPr>
          <w:ilvl w:val="0"/>
          <w:numId w:val="98"/>
        </w:numPr>
        <w:rPr>
          <w:rFonts w:ascii="Arial" w:cs="Arial" w:eastAsia="Arial" w:hAnsi="Arial"/>
          <w:sz w:val="17"/>
          <w:szCs w:val="17"/>
          <w:color w:val="auto"/>
        </w:rPr>
      </w:pPr>
      <w:r>
        <w:rPr>
          <w:rFonts w:ascii="Arial" w:cs="Arial" w:eastAsia="Arial" w:hAnsi="Arial"/>
          <w:sz w:val="17"/>
          <w:szCs w:val="17"/>
          <w:color w:val="auto"/>
        </w:rPr>
        <w:t>Seller and Buyer shall cooperate with one another (i) in determining whether any action by or in respect of, or filing with, any Governmental Entity is required or any actions, consents, approvals or waivers are required to be obtained from parties to any material contracts, in each case in connection with the consummation of the transactions contemplated by this Agreement, and (ii) in taking such actions or making any such filings, furnishing information required in connection therewith and seeking timely to obtain any such actions, consents, approvals or waivers.</w:t>
      </w:r>
    </w:p>
    <w:p>
      <w:pPr>
        <w:spacing w:after="0" w:line="171" w:lineRule="exact"/>
        <w:rPr>
          <w:rFonts w:ascii="Arial" w:cs="Arial" w:eastAsia="Arial" w:hAnsi="Arial"/>
          <w:sz w:val="17"/>
          <w:szCs w:val="17"/>
          <w:color w:val="auto"/>
        </w:rPr>
      </w:pPr>
    </w:p>
    <w:p>
      <w:pPr>
        <w:ind w:right="100" w:firstLine="1305"/>
        <w:spacing w:after="0" w:line="259" w:lineRule="auto"/>
        <w:tabs>
          <w:tab w:leader="none" w:pos="1991"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Buyer and Seller shall enter into a Transition Services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which Transition Services Agreement will, among other things, grant to Buyer a license to use the name, trademarks and domain names related to “WFI” or Wireless Facilities” for one hundred twenty (120) days following Closing pursuant to the terms and conditions contained therein. The Transition Services Agreement shall also address identified IT support for the periods specified therein and the cost to Buyer of such support.</w:t>
      </w:r>
    </w:p>
    <w:p>
      <w:pPr>
        <w:spacing w:after="0" w:line="186" w:lineRule="exact"/>
        <w:rPr>
          <w:rFonts w:ascii="Arial" w:cs="Arial" w:eastAsia="Arial" w:hAnsi="Arial"/>
          <w:sz w:val="18"/>
          <w:szCs w:val="18"/>
          <w:color w:val="auto"/>
        </w:rPr>
      </w:pPr>
    </w:p>
    <w:p>
      <w:pPr>
        <w:ind w:firstLine="1305"/>
        <w:spacing w:after="0" w:line="268" w:lineRule="auto"/>
        <w:tabs>
          <w:tab w:leader="none" w:pos="2001"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Unless the parties otherwise mutually agree in writing, Seller agrees that it will not, and will not permit its Affiliates to, prior to the second anniversary of the Closing Date, in any manner, directly or indirectly or by assisting others, (a) hire or attempt to hire, on any of their behalves or on behalf of any other Person, any employee of any Transferred Subsidiary, or (b) otherwise encourage any employee of a Transferred Subsidiary to leave the employ of Buyer;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5.3(d)</w:t>
      </w:r>
      <w:r>
        <w:rPr>
          <w:rFonts w:ascii="Arial" w:cs="Arial" w:eastAsia="Arial" w:hAnsi="Arial"/>
          <w:sz w:val="17"/>
          <w:szCs w:val="17"/>
          <w:color w:val="auto"/>
        </w:rPr>
        <w:t xml:space="preserve"> shall prohibit or prevent Seller or its Affiliates from hiring or attempting to hire any employee of a Transferred Subsidiary whose employment with a Transferred Subsidiary has been terminated and who has not been employed by any Transferred Subsidiary for a period of six (6) or more months. Unless the parties otherwise mutually agree in writing, the parties agree that they will not, and they will not permit their Affiliates to, prior to the second anniversary of the Closing Date, in any manner, directly or indirectly, or by assisting others, solicit or attempt to solicit on any of their behalves or on behalf of any other Person any employee of the other party or its Affiliates, except that Buyer or any of its Affiliates are permitted to continue to employ the employees of the Transferred Subsidiaries following the Closing and that nothing in this </w:t>
      </w:r>
      <w:r>
        <w:rPr>
          <w:rFonts w:ascii="Arial" w:cs="Arial" w:eastAsia="Arial" w:hAnsi="Arial"/>
          <w:sz w:val="17"/>
          <w:szCs w:val="17"/>
          <w:u w:val="single" w:color="auto"/>
          <w:color w:val="auto"/>
        </w:rPr>
        <w:t>Section 5.3(d)</w:t>
      </w:r>
      <w:r>
        <w:rPr>
          <w:rFonts w:ascii="Arial" w:cs="Arial" w:eastAsia="Arial" w:hAnsi="Arial"/>
          <w:sz w:val="17"/>
          <w:szCs w:val="17"/>
          <w:color w:val="auto"/>
        </w:rPr>
        <w:t xml:space="preserve"> shall prohibit or prevent the parties or their Affiliates from soliciting or attempting to solicit on any of their behalves or on behalf of another Person any employee of the other party or its Affiliates where the individual’s employment with the other party or its Affiliates has been terminated and such individual has not been employed by the other party or its Affiliates for a period of six (6) or more months. The foregoing provisions will not apply to general solicitations of potential employees (e.g., general newspaper advertisements or website job postings) that are not specifically targeted to the employees of the other party or otherwise intended to circumvent the provisions of this </w:t>
      </w:r>
      <w:r>
        <w:rPr>
          <w:rFonts w:ascii="Arial" w:cs="Arial" w:eastAsia="Arial" w:hAnsi="Arial"/>
          <w:sz w:val="17"/>
          <w:szCs w:val="17"/>
          <w:u w:val="single" w:color="auto"/>
          <w:color w:val="auto"/>
        </w:rPr>
        <w:t>Section 5.3(d)</w:t>
      </w:r>
      <w:r>
        <w:rPr>
          <w:rFonts w:ascii="Arial" w:cs="Arial" w:eastAsia="Arial" w:hAnsi="Arial"/>
          <w:sz w:val="17"/>
          <w:szCs w:val="17"/>
          <w:color w:val="auto"/>
        </w:rPr>
        <w:t xml:space="preserve">. The parties hereby agree that any remedy at law for any breach of the provisions contained in this </w:t>
      </w:r>
      <w:r>
        <w:rPr>
          <w:rFonts w:ascii="Arial" w:cs="Arial" w:eastAsia="Arial" w:hAnsi="Arial"/>
          <w:sz w:val="17"/>
          <w:szCs w:val="17"/>
          <w:u w:val="single" w:color="auto"/>
          <w:color w:val="auto"/>
        </w:rPr>
        <w:t>Section 5.3(d)</w:t>
      </w:r>
      <w:r>
        <w:rPr>
          <w:rFonts w:ascii="Arial" w:cs="Arial" w:eastAsia="Arial" w:hAnsi="Arial"/>
          <w:sz w:val="17"/>
          <w:szCs w:val="17"/>
          <w:color w:val="auto"/>
        </w:rPr>
        <w:t xml:space="preserve"> may be inadequate and that the non-breaching party will be entitled to seek injunctive relief in addition to any other remedy such party might have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-3830955</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344805</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Tax Definitions.</w:t>
      </w:r>
      <w:r>
        <w:rPr>
          <w:rFonts w:ascii="Arial" w:cs="Arial" w:eastAsia="Arial" w:hAnsi="Arial"/>
          <w:sz w:val="18"/>
          <w:szCs w:val="18"/>
          <w:color w:val="auto"/>
        </w:rPr>
        <w:t xml:space="preserve"> The following terms, as used in this </w:t>
      </w:r>
      <w:r>
        <w:rPr>
          <w:rFonts w:ascii="Arial" w:cs="Arial" w:eastAsia="Arial" w:hAnsi="Arial"/>
          <w:sz w:val="18"/>
          <w:szCs w:val="18"/>
          <w:u w:val="single" w:color="auto"/>
          <w:color w:val="auto"/>
        </w:rPr>
        <w:t>Article 6</w:t>
      </w:r>
      <w:r>
        <w:rPr>
          <w:rFonts w:ascii="Arial" w:cs="Arial" w:eastAsia="Arial" w:hAnsi="Arial"/>
          <w:sz w:val="18"/>
          <w:szCs w:val="18"/>
          <w:color w:val="auto"/>
        </w:rPr>
        <w:t>, have the following meanings:</w:t>
      </w:r>
    </w:p>
    <w:p>
      <w:pPr>
        <w:sectPr>
          <w:pgSz w:w="11900" w:h="16838" w:orient="portrait"/>
          <w:cols w:equalWidth="0" w:num="1">
            <w:col w:w="11420"/>
          </w:cols>
          <w:pgMar w:left="240" w:top="125" w:right="239" w:bottom="0" w:gutter="0" w:footer="0" w:header="0"/>
        </w:sectPr>
      </w:pPr>
    </w:p>
    <w:bookmarkStart w:id="125" w:name="page126"/>
    <w:bookmarkEnd w:id="12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Tax</w:t>
      </w:r>
      <w:r>
        <w:rPr>
          <w:rFonts w:ascii="Arial" w:cs="Arial" w:eastAsia="Arial" w:hAnsi="Arial"/>
          <w:sz w:val="18"/>
          <w:szCs w:val="18"/>
          <w:color w:val="auto"/>
        </w:rPr>
        <w:t>” means any Tax imposed under Subtitle A of the Code.</w:t>
      </w:r>
    </w:p>
    <w:p>
      <w:pPr>
        <w:spacing w:after="0" w:line="225"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Determination</w:t>
      </w:r>
      <w:r>
        <w:rPr>
          <w:rFonts w:ascii="Arial" w:cs="Arial" w:eastAsia="Arial" w:hAnsi="Arial"/>
          <w:sz w:val="16"/>
          <w:szCs w:val="16"/>
          <w:color w:val="auto"/>
        </w:rPr>
        <w:t>” means (i) with respect to Federal Taxes, a “determination” as defined in Section 1313(a) of the Code and, with respect to Taxes other than Federal Taxes,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 or (ii) the payment of Tax by Buyer, Seller or any of their Affiliates, whichever is responsible for payment of such Tax under applicable Law, with respect to any item disallowed or adjusted by a Taxing Authority, provided that the party bearing the burden of such Tax (taking into account the indemnity obligations under this Agreement) determines that no action should be taken to recoup such payment.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Tax Period</w:t>
      </w:r>
      <w:r>
        <w:rPr>
          <w:rFonts w:ascii="Arial" w:cs="Arial" w:eastAsia="Arial" w:hAnsi="Arial"/>
          <w:sz w:val="18"/>
          <w:szCs w:val="18"/>
          <w:color w:val="auto"/>
        </w:rPr>
        <w:t>” means any taxable period beginning after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Pre-Closing Partial Tax Period</w:t>
      </w:r>
      <w:r>
        <w:rPr>
          <w:rFonts w:ascii="Arial" w:cs="Arial" w:eastAsia="Arial" w:hAnsi="Arial"/>
          <w:sz w:val="16"/>
          <w:szCs w:val="16"/>
          <w:color w:val="auto"/>
        </w:rPr>
        <w:t>” means the portion of any Straddle Period beginning before and ending at the close of business on the Closing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Period</w:t>
      </w:r>
      <w:r>
        <w:rPr>
          <w:rFonts w:ascii="Arial" w:cs="Arial" w:eastAsia="Arial" w:hAnsi="Arial"/>
          <w:sz w:val="18"/>
          <w:szCs w:val="18"/>
          <w:color w:val="auto"/>
        </w:rPr>
        <w:t>” means any taxable period ending on or before the Closing Date.</w:t>
      </w:r>
    </w:p>
    <w:p>
      <w:pPr>
        <w:spacing w:after="0" w:line="225"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Group</w:t>
      </w:r>
      <w:r>
        <w:rPr>
          <w:rFonts w:ascii="Arial" w:cs="Arial" w:eastAsia="Arial" w:hAnsi="Arial"/>
          <w:sz w:val="18"/>
          <w:szCs w:val="18"/>
          <w:color w:val="auto"/>
        </w:rPr>
        <w:t>” means, with respect to federal income Taxes, the affiliated group of corporations (as defined in Section 1504(a) of the Code) of which Seller is a member and, with respect to state, local, or foreign Taxes, the consolidated, combined or unitary group of which Seller or any of its Affiliates (other than any of the Transferred Subsidiaries) is a member and which includes one or more of the Transferred Subsidiaries during a relevant taxable period.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means any taxable period beginning on or before the Closing Date and ending after the Closing Date.</w:t>
      </w:r>
    </w:p>
    <w:p>
      <w:pPr>
        <w:spacing w:after="0" w:line="225"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report or similar statement required or proposed by a party to be filed with a Taxing Authority with respect to any Taxes (including any required attached schedules and workpapers), including any information return (including, without limitation, IRS Form 5471 or any form or report required to be filed under Sections 6038 or 6038B of the Code or the Treasury Regulations promulgated thereunder) or report, claims for refund, amended return and declaration of estimated Tax.</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Liability for Taxes.</w:t>
      </w:r>
    </w:p>
    <w:p>
      <w:pPr>
        <w:spacing w:after="0" w:line="221" w:lineRule="exact"/>
        <w:rPr>
          <w:sz w:val="20"/>
          <w:szCs w:val="20"/>
          <w:color w:val="auto"/>
        </w:rPr>
      </w:pPr>
    </w:p>
    <w:p>
      <w:pPr>
        <w:ind w:right="140" w:firstLine="1305"/>
        <w:spacing w:after="0" w:line="282" w:lineRule="auto"/>
        <w:tabs>
          <w:tab w:leader="none" w:pos="1991"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(1) all Taxes of each of the Transferred Subsidiaries and their respective assets or businesses for all Pre-Closing Tax Periods or allocable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to Pre-Closing Partial Tax Periods under the principles of </w:t>
      </w:r>
      <w:r>
        <w:rPr>
          <w:rFonts w:ascii="Arial" w:cs="Arial" w:eastAsia="Arial" w:hAnsi="Arial"/>
          <w:sz w:val="16"/>
          <w:szCs w:val="16"/>
          <w:u w:val="single" w:color="auto"/>
          <w:color w:val="auto"/>
        </w:rPr>
        <w:t>Section 6.2(c)</w:t>
      </w:r>
      <w:r>
        <w:rPr>
          <w:rFonts w:ascii="Arial" w:cs="Arial" w:eastAsia="Arial" w:hAnsi="Arial"/>
          <w:sz w:val="16"/>
          <w:szCs w:val="16"/>
          <w:color w:val="auto"/>
        </w:rPr>
        <w:t>; (2) all Taxes imposed on any Transferred Subsidiary by reason of its inclusion during any period before the Closing in any group of entities that filed or was or will be required to file Tax Returns on an affiliated, consolidated, combined or unitary group basis (including Taxes imposed pursuant to Treasury Regulations Section 1.1502-6 or any analogous or similar state, local, or foreign Law);</w:t>
      </w:r>
    </w:p>
    <w:p>
      <w:pPr>
        <w:ind w:right="40" w:firstLine="8"/>
        <w:spacing w:after="0" w:line="266" w:lineRule="auto"/>
        <w:tabs>
          <w:tab w:leader="none" w:pos="25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any and all Taxes with respect to the Transferred Subsidiaries (and their respective assets or businesses) resulting from or arising out of any of the transactions contemplated by this Agreement and not effected in the ordinary course of business, other than Transfer Taxes allocable to Buyer pursuant to </w:t>
      </w:r>
      <w:r>
        <w:rPr>
          <w:rFonts w:ascii="Arial" w:cs="Arial" w:eastAsia="Arial" w:hAnsi="Arial"/>
          <w:sz w:val="17"/>
          <w:szCs w:val="17"/>
          <w:u w:val="single" w:color="auto"/>
          <w:color w:val="auto"/>
        </w:rPr>
        <w:t>Section 6.4(c)</w:t>
      </w:r>
      <w:r>
        <w:rPr>
          <w:rFonts w:ascii="Arial" w:cs="Arial" w:eastAsia="Arial" w:hAnsi="Arial"/>
          <w:sz w:val="17"/>
          <w:szCs w:val="17"/>
          <w:color w:val="auto"/>
        </w:rPr>
        <w:t xml:space="preserve">; (4) any and all withholding Taxes collected from Buyer which are determined by a relevant Governmental Entity to have been required to be withheld out of the Purchase Price payable pursuant to this Agreement; (5) any and all Taxes resulting from or arising out of the actions described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5.1(c)</w:t>
      </w:r>
      <w:r>
        <w:rPr>
          <w:rFonts w:ascii="Arial" w:cs="Arial" w:eastAsia="Arial" w:hAnsi="Arial"/>
          <w:sz w:val="17"/>
          <w:szCs w:val="17"/>
          <w:color w:val="auto"/>
        </w:rPr>
        <w:t xml:space="preserve"> or resulting from the Deed of Release or any action taken pursuant to the Deed of Release for all Pre-Closing Tax Periods or allocable to pre-Closing Partial Tax Periods under the principles of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(6) any and all Taxes imposed on any Transferred Subsidiary as a transferee or successor of another Person, either by contract or pursuant to any Law, to the extent that such transferee or successor liability for Tax arose by reason of an event or transaction occurring at or prior to the Closing; and (7) any and all Liabilities for Taxes with respect to any taxable period (whether before, during or after the Closing Date), relating to or arising from matters described in </w:t>
      </w:r>
      <w:r>
        <w:rPr>
          <w:rFonts w:ascii="Arial" w:cs="Arial" w:eastAsia="Arial" w:hAnsi="Arial"/>
          <w:sz w:val="17"/>
          <w:szCs w:val="17"/>
          <w:u w:val="single" w:color="auto"/>
          <w:color w:val="auto"/>
        </w:rPr>
        <w:t>Section 9.1(b)(iv)</w:t>
      </w:r>
      <w:r>
        <w:rPr>
          <w:rFonts w:ascii="Arial" w:cs="Arial" w:eastAsia="Arial" w:hAnsi="Arial"/>
          <w:sz w:val="17"/>
          <w:szCs w:val="17"/>
          <w:color w:val="auto"/>
        </w:rPr>
        <w:t xml:space="preserve">, including without limitation any Liabilities for Taxes arising from the provisions of the U.K. Taxation of Chargeable Gains Act 1992, § 179 or the U.K. Finance Act 2002, Schedule 29, ¶ 58, other than Liabilities incurred by reason of the breach by Buyer (and not by Seller) of the last sentence of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Indemnified Taxes shall not include the portion of any of the foregoing Taxes which is specifically identified as a liability on the Unaudited Interim Balance Sheet or which is incurred in the ordinary course of business after December 31, 2006 and not required under GAAP to be shown on the Unaudited Interim Balance Sheet. For the avoidance of doubt, no indemnity is provided pursuant to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in respect of Taxes for any Post-Closing Tax Period and any Straddle Period in excess of the portion allocable to a Pre-Closing Partial Tax Period under the principles of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attributable to unavailability or prior absorption of a loss carryover or similar Tax-related attribute from a Pre-Closing Tax Period.</w:t>
      </w:r>
    </w:p>
    <w:p>
      <w:pPr>
        <w:spacing w:after="0" w:line="188" w:lineRule="exact"/>
        <w:rPr>
          <w:rFonts w:ascii="Arial" w:cs="Arial" w:eastAsia="Arial" w:hAnsi="Arial"/>
          <w:sz w:val="17"/>
          <w:szCs w:val="17"/>
          <w:color w:val="auto"/>
        </w:rPr>
      </w:pPr>
    </w:p>
    <w:p>
      <w:pPr>
        <w:ind w:right="120" w:firstLine="1305"/>
        <w:spacing w:after="0" w:line="273" w:lineRule="auto"/>
        <w:tabs>
          <w:tab w:leader="none" w:pos="200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Non-Indemnified Taxes</w:t>
      </w:r>
      <w:r>
        <w:rPr>
          <w:rFonts w:ascii="Arial" w:cs="Arial" w:eastAsia="Arial" w:hAnsi="Arial"/>
          <w:sz w:val="17"/>
          <w:szCs w:val="17"/>
          <w:color w:val="auto"/>
        </w:rPr>
        <w:t xml:space="preserve">” means all Taxes which are not Indemnified Taxes, including without limitation (1) all Taxes (or the non-payment thereof) of the Transferred Subsidiaries for all Post-Closing Tax Periods and any Straddle Period in excess of the portion allocable to a Pre-Closing Partial Tax Period under the principles of </w:t>
      </w:r>
      <w:r>
        <w:rPr>
          <w:rFonts w:ascii="Arial" w:cs="Arial" w:eastAsia="Arial" w:hAnsi="Arial"/>
          <w:sz w:val="17"/>
          <w:szCs w:val="17"/>
          <w:u w:val="single" w:color="auto"/>
          <w:color w:val="auto"/>
        </w:rPr>
        <w:t>Section 6.2(c)</w:t>
      </w:r>
      <w:r>
        <w:rPr>
          <w:rFonts w:ascii="Arial" w:cs="Arial" w:eastAsia="Arial" w:hAnsi="Arial"/>
          <w:sz w:val="17"/>
          <w:szCs w:val="17"/>
          <w:color w:val="auto"/>
        </w:rPr>
        <w:t>; and (2) all Taxes imposed on any Transferred Subsidiary by reason of its inclusion during any period after the Closing in any group of entities that file or is required to file Tax Returns on an affiliated, consolidated, combined or unitary group basis (including Taxes imposed pursuant to Treasury Regulations Section 1.1502-6 or any analogous provision of state, local, or foreign Law); and (3) all Taxes imposed on any Transferred Subsidiary as a transferee or successor of another Person, either by contract or pursuant to any Law, to the extent that such transferee or successor liability for Tax arose by reason of an event or transaction occurring after the Closing.</w:t>
      </w:r>
    </w:p>
    <w:p>
      <w:pPr>
        <w:spacing w:after="0" w:line="176" w:lineRule="exact"/>
        <w:rPr>
          <w:rFonts w:ascii="Arial" w:cs="Arial" w:eastAsia="Arial" w:hAnsi="Arial"/>
          <w:sz w:val="17"/>
          <w:szCs w:val="17"/>
          <w:color w:val="auto"/>
        </w:rPr>
      </w:pPr>
    </w:p>
    <w:p>
      <w:pPr>
        <w:ind w:right="200" w:firstLine="1305"/>
        <w:spacing w:after="0" w:line="308" w:lineRule="auto"/>
        <w:tabs>
          <w:tab w:leader="none" w:pos="199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 xml:space="preserve">If the Transferred Subsidiaries are permitted but not required under applicable income Tax Laws to treat the Closing Date as the last day of a taxable period, then the parties shall treat that day as the last day of a taxable period. For purposes of this </w:t>
      </w:r>
      <w:r>
        <w:rPr>
          <w:rFonts w:ascii="Arial" w:cs="Arial" w:eastAsia="Arial" w:hAnsi="Arial"/>
          <w:sz w:val="17"/>
          <w:szCs w:val="17"/>
          <w:u w:val="single" w:color="auto"/>
          <w:color w:val="auto"/>
        </w:rPr>
        <w:t>Section 6.2</w:t>
      </w:r>
      <w:r>
        <w:rPr>
          <w:rFonts w:ascii="Arial" w:cs="Arial" w:eastAsia="Arial" w:hAnsi="Arial"/>
          <w:sz w:val="17"/>
          <w:szCs w:val="17"/>
          <w:color w:val="auto"/>
        </w:rPr>
        <w: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the case of any Taxes that are payable for a Straddle Period, the portion of such Taxes that is attributable to the Pre-Closing Partial Tax Period shall (1) subject to clause (2) of this </w:t>
      </w:r>
      <w:r>
        <w:rPr>
          <w:rFonts w:ascii="Arial" w:cs="Arial" w:eastAsia="Arial" w:hAnsi="Arial"/>
          <w:sz w:val="16"/>
          <w:szCs w:val="16"/>
          <w:u w:val="single" w:color="auto"/>
          <w:color w:val="auto"/>
        </w:rPr>
        <w:t>Section 6.2(c)</w:t>
      </w:r>
      <w:r>
        <w:rPr>
          <w:rFonts w:ascii="Arial" w:cs="Arial" w:eastAsia="Arial" w:hAnsi="Arial"/>
          <w:sz w:val="16"/>
          <w:szCs w:val="16"/>
          <w:color w:val="auto"/>
        </w:rPr>
        <w:t>, including any Tax based on or measured by income or receipts of the Transferred Subsidiaries during the Straddle Period, be deemed equal to the amount of Tax which would be payable if the relevant taxable period had ended at the close of business on the Closing Date and such Tax was computed on a “closing of the books” basis computed on a specific identification basis, according to the date of the event or transaction giving rise to the Tax or measure of Tax (with exemptions, allowances or deductions that are calculated on an annual or periodic basis, such as the deduction for</w:t>
      </w:r>
    </w:p>
    <w:p>
      <w:pPr>
        <w:sectPr>
          <w:pgSz w:w="11900" w:h="16838" w:orient="portrait"/>
          <w:cols w:equalWidth="0" w:num="1">
            <w:col w:w="11400"/>
          </w:cols>
          <w:pgMar w:left="240" w:top="121" w:right="259" w:bottom="0" w:gutter="0" w:footer="0" w:header="0"/>
        </w:sectPr>
      </w:pPr>
    </w:p>
    <w:bookmarkStart w:id="126" w:name="page127"/>
    <w:bookmarkEnd w:id="126"/>
    <w:p>
      <w:pPr>
        <w:ind w:right="20"/>
        <w:spacing w:after="0" w:line="269" w:lineRule="auto"/>
        <w:rPr>
          <w:sz w:val="20"/>
          <w:szCs w:val="20"/>
          <w:color w:val="auto"/>
        </w:rPr>
      </w:pPr>
      <w:r>
        <w:rPr>
          <w:rFonts w:ascii="Arial" w:cs="Arial" w:eastAsia="Arial" w:hAnsi="Arial"/>
          <w:sz w:val="17"/>
          <w:szCs w:val="17"/>
          <w:color w:val="auto"/>
        </w:rPr>
        <w:t xml:space="preserve">depreciation, apportioned on a pro-rata per diem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otherwise specifically provided in this Agreement any Taxes attributable to (A) transactions not specifically contemplated by this Agreement and not in the ordinary course of business that occur on the Closing Date but after the Closing shall be considered to have occurred on the day following the Closing Date and (B) transactions not specifically contemplated by this Agreement and not in the ordinary course of business that occur on the Closing Date but before the Closing shall be considered to have occurred on the day prior to the Closing Date, and (2) in the case of any other Tax with respect to which the portion of which that is allocable to the Pre-Closing Partial Tax Period cannot practically be determined on a specific identification basis (because of, for instance, restrictions imposed by applicable Law) by reference to the “closing-of-the-books” method described above, be deemed to be the amount of such Tax for the entire taxable period multiplied by a fraction, the numerator of which is the number of days in the taxable period ending on the Closing Date, and the denominator of which is the number of days in the entire taxable period. For avoidance of doubt, except as otherwise provided in </w:t>
      </w:r>
      <w:r>
        <w:rPr>
          <w:rFonts w:ascii="Arial" w:cs="Arial" w:eastAsia="Arial" w:hAnsi="Arial"/>
          <w:sz w:val="17"/>
          <w:szCs w:val="17"/>
          <w:u w:val="single" w:color="auto"/>
          <w:color w:val="auto"/>
        </w:rPr>
        <w:t>Section 6.4(c)</w:t>
      </w:r>
      <w:r>
        <w:rPr>
          <w:rFonts w:ascii="Arial" w:cs="Arial" w:eastAsia="Arial" w:hAnsi="Arial"/>
          <w:sz w:val="17"/>
          <w:szCs w:val="17"/>
          <w:color w:val="auto"/>
        </w:rPr>
        <w:t>, Taxes imposed on the Transferred Subsidiaries as a result of consummation on the Closing Date of the transactions contemplated by this Agreement shall be allocated to the Pre-Closing Tax Period or Pre-Closing Partial Tax Period, as the case may be.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Filing of Tax Returns.</w:t>
      </w:r>
    </w:p>
    <w:p>
      <w:pPr>
        <w:spacing w:after="0" w:line="221" w:lineRule="exact"/>
        <w:rPr>
          <w:sz w:val="20"/>
          <w:szCs w:val="20"/>
          <w:color w:val="auto"/>
        </w:rPr>
      </w:pPr>
    </w:p>
    <w:p>
      <w:pPr>
        <w:jc w:val="both"/>
        <w:ind w:right="200" w:firstLine="1305"/>
        <w:spacing w:after="0" w:line="266" w:lineRule="auto"/>
        <w:tabs>
          <w:tab w:leader="none" w:pos="199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Seller will file (or cause to be filed) all Tax Returns of the Seller Group (collectively, “</w:t>
      </w:r>
      <w:r>
        <w:rPr>
          <w:rFonts w:ascii="Arial" w:cs="Arial" w:eastAsia="Arial" w:hAnsi="Arial"/>
          <w:sz w:val="18"/>
          <w:szCs w:val="18"/>
          <w:b w:val="1"/>
          <w:bCs w:val="1"/>
          <w:color w:val="auto"/>
        </w:rPr>
        <w:t>Combined Tax Returns</w:t>
      </w:r>
      <w:r>
        <w:rPr>
          <w:rFonts w:ascii="Arial" w:cs="Arial" w:eastAsia="Arial" w:hAnsi="Arial"/>
          <w:sz w:val="18"/>
          <w:szCs w:val="18"/>
          <w:color w:val="auto"/>
        </w:rPr>
        <w:t>”) for all taxable periods in which any Transferred Subsidiary are included or required to be included. Seller will prepare such Combined Tax Returns in a manner consistent with past practice.</w:t>
      </w:r>
    </w:p>
    <w:p>
      <w:pPr>
        <w:spacing w:after="0" w:line="180" w:lineRule="exact"/>
        <w:rPr>
          <w:rFonts w:ascii="Arial" w:cs="Arial" w:eastAsia="Arial" w:hAnsi="Arial"/>
          <w:sz w:val="18"/>
          <w:szCs w:val="18"/>
          <w:color w:val="auto"/>
        </w:rPr>
      </w:pPr>
    </w:p>
    <w:p>
      <w:pPr>
        <w:ind w:right="140" w:firstLine="1305"/>
        <w:spacing w:after="0" w:line="289" w:lineRule="auto"/>
        <w:tabs>
          <w:tab w:leader="none" w:pos="200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Except as described in </w:t>
      </w:r>
      <w:r>
        <w:rPr>
          <w:rFonts w:ascii="Arial" w:cs="Arial" w:eastAsia="Arial" w:hAnsi="Arial"/>
          <w:sz w:val="16"/>
          <w:szCs w:val="16"/>
          <w:u w:val="single" w:color="auto"/>
          <w:color w:val="auto"/>
        </w:rPr>
        <w:t>Sections 6.3.(a)</w:t>
      </w:r>
      <w:r>
        <w:rPr>
          <w:rFonts w:ascii="Arial" w:cs="Arial" w:eastAsia="Arial" w:hAnsi="Arial"/>
          <w:sz w:val="16"/>
          <w:szCs w:val="16"/>
          <w:color w:val="auto"/>
        </w:rPr>
        <w:t xml:space="preserve">, Buyer shall prepare and timely file (or cause to be timely filed) with the appropriate Taxing Authorities all Tax Returns required to be filed by the Transferred Subsidiaries with respect to any taxable period beginning before the Closing Date that are due after the Closing Date (each a </w:t>
      </w:r>
      <w:r>
        <w:rPr>
          <w:rFonts w:ascii="Arial" w:cs="Arial" w:eastAsia="Arial" w:hAnsi="Arial"/>
          <w:sz w:val="16"/>
          <w:szCs w:val="16"/>
          <w:b w:val="1"/>
          <w:bCs w:val="1"/>
          <w:color w:val="auto"/>
        </w:rPr>
        <w:t>“Buyer Prepared Return”</w:t>
      </w:r>
      <w:r>
        <w:rPr>
          <w:rFonts w:ascii="Arial" w:cs="Arial" w:eastAsia="Arial" w:hAnsi="Arial"/>
          <w:sz w:val="16"/>
          <w:szCs w:val="16"/>
          <w:color w:val="auto"/>
        </w:rPr>
        <w:t xml:space="preserve">). Each such Buyer Prepared Return shall be prepared in a manner consistent with the prior practice of the Transferred Subsidiaries, unless otherwise required by Law. Seller shall provide Buyer promptly any and all information and documents reasonably requested by Buyer in connection with Buyer’s preparation of such Buyer Prepared Returns. No liability in respect of Tax shown on any Buyer Prepared Return shall be considered to constitute a Damage subject to indemnity pursuant to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unless, before filing of such Buyer Prepared Return, Buyer shall have provided Seller with a copy of such Buyer Prepared Return for review and comment and Seller shall have approved the filing of such Buyer Prepared Return, which approval shall not be unreasonably withheld or delayed. For this purpose, Seller’s withholding of approval of a Buyer Prepared Return based upon Buyer’s failure to adopt in such Tax Return an alternative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335915</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position suggested by Seller in the notice of Tax Statement Dispute described in </w:t>
      </w:r>
      <w:r>
        <w:rPr>
          <w:rFonts w:ascii="Arial" w:cs="Arial" w:eastAsia="Arial" w:hAnsi="Arial"/>
          <w:sz w:val="17"/>
          <w:szCs w:val="17"/>
          <w:u w:val="single" w:color="auto"/>
          <w:color w:val="auto"/>
        </w:rPr>
        <w:t>Section 6.3(c)</w:t>
      </w:r>
      <w:r>
        <w:rPr>
          <w:rFonts w:ascii="Arial" w:cs="Arial" w:eastAsia="Arial" w:hAnsi="Arial"/>
          <w:sz w:val="17"/>
          <w:szCs w:val="17"/>
          <w:color w:val="auto"/>
        </w:rPr>
        <w:t xml:space="preserve"> shall be deemed reasonable if the reporting position proposed by the Seller to be reflected in such Buyer Prepared Return has a “reasonable basis” (set forth in said notice), within the meaning of Section 6662 of the Code and is not inconsistent with prior practice with respect to the Tax Returns of the relevant Transferred Subsidiary. Buyer shall make a good faith effort to provide Seller with a copy of each such Buyer Prepared Return for review and comment at least thirty (30) days prior to the required filing date (with permitted extensions) of such return (or, if required to be filed within thirty (30) days after the Closing or the end of the taxable period to which such return relates, as soon as possible following the Closing or end of such taxable period, as the case may be), accompanied by a statement (a “</w:t>
      </w:r>
      <w:r>
        <w:rPr>
          <w:rFonts w:ascii="Arial" w:cs="Arial" w:eastAsia="Arial" w:hAnsi="Arial"/>
          <w:sz w:val="17"/>
          <w:szCs w:val="17"/>
          <w:b w:val="1"/>
          <w:bCs w:val="1"/>
          <w:color w:val="auto"/>
        </w:rPr>
        <w:t>Pre-Closing Tax</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setting forth and calculating in reasonable detail the Indemnified Taxes that are shown as due on such Tax Return. Such Pre-Closing Tax</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Statement shall be sufficient to allow Seller to make a reasonable determination as to the accuracy of the calculation (except for inaccuracies which would not materially and adversely affect Seller). Each Pre-Closing Tax Statement shall be considered to be a Notice of Claim within the meaning of </w:t>
      </w:r>
      <w:r>
        <w:rPr>
          <w:rFonts w:ascii="Arial" w:cs="Arial" w:eastAsia="Arial" w:hAnsi="Arial"/>
          <w:sz w:val="17"/>
          <w:szCs w:val="17"/>
          <w:u w:val="single" w:color="auto"/>
          <w:color w:val="auto"/>
        </w:rPr>
        <w:t>Section 9.5(a)</w:t>
      </w:r>
      <w:r>
        <w:rPr>
          <w:rFonts w:ascii="Arial" w:cs="Arial" w:eastAsia="Arial" w:hAnsi="Arial"/>
          <w:sz w:val="17"/>
          <w:szCs w:val="17"/>
          <w:color w:val="auto"/>
        </w:rPr>
        <w:t xml:space="preserve">. Buyer shall timely pay or cause to be paid the Tax shown as due on each Buyer Prepared Return, provided that such obligation shall not prevent recovery from Seller of any portion thereof which constitutes Indemnified Taxes pursuant to </w:t>
      </w:r>
      <w:r>
        <w:rPr>
          <w:rFonts w:ascii="Arial" w:cs="Arial" w:eastAsia="Arial" w:hAnsi="Arial"/>
          <w:sz w:val="17"/>
          <w:szCs w:val="17"/>
          <w:u w:val="single" w:color="auto"/>
          <w:color w:val="auto"/>
        </w:rPr>
        <w:t>Section 9.1</w:t>
      </w:r>
      <w:r>
        <w:rPr>
          <w:rFonts w:ascii="Arial" w:cs="Arial" w:eastAsia="Arial" w:hAnsi="Arial"/>
          <w:sz w:val="17"/>
          <w:szCs w:val="17"/>
          <w:color w:val="auto"/>
        </w:rPr>
        <w:t>.</w:t>
      </w:r>
    </w:p>
    <w:p>
      <w:pPr>
        <w:spacing w:after="0" w:line="183" w:lineRule="exact"/>
        <w:rPr>
          <w:sz w:val="20"/>
          <w:szCs w:val="20"/>
          <w:color w:val="auto"/>
        </w:rPr>
      </w:pPr>
    </w:p>
    <w:p>
      <w:pPr>
        <w:ind w:right="60" w:firstLine="1305"/>
        <w:spacing w:after="0" w:line="257" w:lineRule="auto"/>
        <w:tabs>
          <w:tab w:leader="none" w:pos="19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Seller disagrees with the manner of preparation of a Buyer Prepared Return or the amount of Indemnified Taxes calculated in the Pre-Closing Tax Statement, within ten (10) days of the receipt of the Buyer Prepared Return and Pre-Closing Tax Statement, Seller shall provide to Buyer a notice of such dispute (a “</w:t>
      </w:r>
      <w:r>
        <w:rPr>
          <w:rFonts w:ascii="Arial" w:cs="Arial" w:eastAsia="Arial" w:hAnsi="Arial"/>
          <w:sz w:val="18"/>
          <w:szCs w:val="18"/>
          <w:b w:val="1"/>
          <w:bCs w:val="1"/>
          <w:color w:val="auto"/>
        </w:rPr>
        <w:t>Tax Statement Dispute</w:t>
      </w:r>
      <w:r>
        <w:rPr>
          <w:rFonts w:ascii="Arial" w:cs="Arial" w:eastAsia="Arial" w:hAnsi="Arial"/>
          <w:sz w:val="18"/>
          <w:szCs w:val="18"/>
          <w:color w:val="auto"/>
        </w:rPr>
        <w:t xml:space="preserve">”). If Seller does not provide a notice of Tax Statement Dispute within such 10-day period, the amount of Indemnified Tax shown therein shall be treated as a Settled Claim, and the amount claimed therein shall be paid out of the Holdback Amount as specified in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firstLine="1305"/>
        <w:spacing w:after="0" w:line="269" w:lineRule="auto"/>
        <w:tabs>
          <w:tab w:leader="none" w:pos="200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Seller provides Buyer with a notice of a Tax Statement Dispute, Seller shall also provide Buyer with a proposed revision of such Buyer Prepared Return, a statement setting forth and calculating in reasonable detail the Indemnified Taxes with respect to such Buyer Prepared Return, and a written explanation of the reasons for its adjustment. If Seller and Buyer, after consultation with their tax advisors, cannot reach complete agreement, the dispute shall be submitted to an arbitrator (the “</w:t>
      </w:r>
      <w:r>
        <w:rPr>
          <w:rFonts w:ascii="Arial" w:cs="Arial" w:eastAsia="Arial" w:hAnsi="Arial"/>
          <w:sz w:val="17"/>
          <w:szCs w:val="17"/>
          <w:b w:val="1"/>
          <w:bCs w:val="1"/>
          <w:color w:val="auto"/>
        </w:rPr>
        <w:t>Tax Arbitrator</w:t>
      </w:r>
      <w:r>
        <w:rPr>
          <w:rFonts w:ascii="Arial" w:cs="Arial" w:eastAsia="Arial" w:hAnsi="Arial"/>
          <w:sz w:val="17"/>
          <w:szCs w:val="17"/>
          <w:color w:val="auto"/>
        </w:rPr>
        <w:t xml:space="preserve">”) pursuant to the procedures described in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for resolution by the Tax Arbitrator no later than five (5) days prior to the required filing date of such Buyer Prepared Return. The decision of the Tax Arbitrator with respect to such dispute shall be binding upon Buyer and Seller and their Affiliates. If a Tax Statement Dispute is resolved such that the Tax reported as due on the applicable Buyer Prepared Return is less than that proposed by Buyer in the applicable Pre-Closing Tax Statement, and the Final Determination of any issue that was the subject of such Tax Statement Dispute results in required payment of Indemnified Taxes, then, notwithstanding any other provision of this Agreement to the contrary, Seller’s indemnification obligation under </w:t>
      </w:r>
      <w:r>
        <w:rPr>
          <w:rFonts w:ascii="Arial" w:cs="Arial" w:eastAsia="Arial" w:hAnsi="Arial"/>
          <w:sz w:val="17"/>
          <w:szCs w:val="17"/>
          <w:u w:val="single" w:color="auto"/>
          <w:color w:val="auto"/>
        </w:rPr>
        <w:t>Section 9.1(b)(i)</w:t>
      </w:r>
      <w:r>
        <w:rPr>
          <w:rFonts w:ascii="Arial" w:cs="Arial" w:eastAsia="Arial" w:hAnsi="Arial"/>
          <w:sz w:val="17"/>
          <w:szCs w:val="17"/>
          <w:color w:val="auto"/>
        </w:rPr>
        <w:t xml:space="preserve"> for the portion of the resulting Indemnified Taxes which consist of penalties and interest payable in respect of the portion of the Taxes determined to have been reportable in excess of the Taxes that were initially proposed to be reported by Buyer in the Buyer Prepared Return shall be payable by Seller as Damages without regard to the limitations otherwise applicable with respect to such Damages under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9.9 and 9.10</w:t>
      </w:r>
      <w:r>
        <w:rPr>
          <w:rFonts w:ascii="Arial" w:cs="Arial" w:eastAsia="Arial" w:hAnsi="Arial"/>
          <w:sz w:val="17"/>
          <w:szCs w:val="17"/>
          <w:color w:val="auto"/>
        </w:rPr>
        <w:t xml:space="preserve"> of this Agreement, and the amount of such interest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penalties recoverable as Damages shall not be taken into account when applying the provisions of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to indemnity obligations for other Damages.</w:t>
      </w:r>
    </w:p>
    <w:p>
      <w:pPr>
        <w:spacing w:after="0" w:line="248" w:lineRule="exact"/>
        <w:rPr>
          <w:sz w:val="20"/>
          <w:szCs w:val="20"/>
          <w:color w:val="auto"/>
        </w:rPr>
      </w:pPr>
    </w:p>
    <w:p>
      <w:pPr>
        <w:ind w:right="40" w:firstLine="1305"/>
        <w:spacing w:after="0" w:line="263" w:lineRule="auto"/>
        <w:tabs>
          <w:tab w:leader="none" w:pos="199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To the extent a Claim for Taxes set forth in a Pre-Closing Tax Statement that has been Finally Determined within the meaning of </w:t>
      </w:r>
      <w:r>
        <w:rPr>
          <w:rFonts w:ascii="Arial" w:cs="Arial" w:eastAsia="Arial" w:hAnsi="Arial"/>
          <w:sz w:val="17"/>
          <w:szCs w:val="17"/>
          <w:u w:val="single" w:color="auto"/>
          <w:color w:val="auto"/>
        </w:rPr>
        <w:t>Section 9.6</w:t>
      </w:r>
      <w:r>
        <w:rPr>
          <w:rFonts w:ascii="Arial" w:cs="Arial" w:eastAsia="Arial" w:hAnsi="Arial"/>
          <w:sz w:val="17"/>
          <w:szCs w:val="17"/>
          <w:color w:val="auto"/>
        </w:rPr>
        <w:t>, but cannot be fully satisfied out of the Holdback Amount available at the time of such Final Determination, Seller shall pay to Buyer the unsatisfied portion of the Finally Determined Claim for Taxes by wire transfer on the later of (a) the third (3</w:t>
      </w:r>
      <w:r>
        <w:rPr>
          <w:rFonts w:ascii="Arial" w:cs="Arial" w:eastAsia="Arial" w:hAnsi="Arial"/>
          <w:sz w:val="22"/>
          <w:szCs w:val="22"/>
          <w:color w:val="auto"/>
          <w:vertAlign w:val="superscript"/>
        </w:rPr>
        <w:t>rd</w:t>
      </w:r>
      <w:r>
        <w:rPr>
          <w:rFonts w:ascii="Arial" w:cs="Arial" w:eastAsia="Arial" w:hAnsi="Arial"/>
          <w:sz w:val="17"/>
          <w:szCs w:val="17"/>
          <w:color w:val="auto"/>
        </w:rPr>
        <w:t>) Business Day prior to the due date for payment of such Taxes to the relevant Taxing Authority and (b) the third (3</w:t>
      </w:r>
      <w:r>
        <w:rPr>
          <w:rFonts w:ascii="Arial" w:cs="Arial" w:eastAsia="Arial" w:hAnsi="Arial"/>
          <w:sz w:val="22"/>
          <w:szCs w:val="22"/>
          <w:color w:val="auto"/>
          <w:vertAlign w:val="superscript"/>
        </w:rPr>
        <w:t>rd</w:t>
      </w:r>
      <w:r>
        <w:rPr>
          <w:rFonts w:ascii="Arial" w:cs="Arial" w:eastAsia="Arial" w:hAnsi="Arial"/>
          <w:sz w:val="17"/>
          <w:szCs w:val="17"/>
          <w:color w:val="auto"/>
        </w:rPr>
        <w:t>) Business Day after such Claim was Finally Determined.</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Tax Covenants.</w:t>
      </w:r>
    </w:p>
    <w:p>
      <w:pPr>
        <w:sectPr>
          <w:pgSz w:w="11900" w:h="16838" w:orient="portrait"/>
          <w:cols w:equalWidth="0" w:num="1">
            <w:col w:w="11420"/>
          </w:cols>
          <w:pgMar w:left="240" w:top="125" w:right="239" w:bottom="194" w:gutter="0" w:footer="0" w:header="0"/>
        </w:sectPr>
      </w:pPr>
    </w:p>
    <w:bookmarkStart w:id="127" w:name="page128"/>
    <w:bookmarkEnd w:id="127"/>
    <w:p>
      <w:pPr>
        <w:ind w:right="20" w:firstLine="1305"/>
        <w:spacing w:after="0" w:line="287" w:lineRule="auto"/>
        <w:tabs>
          <w:tab w:leader="none" w:pos="199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Upon the prior written request of Buyer, whether prior to or after the Closing Date, Seller shall file (or to cause to be filed) or join (or cause one or more of their Affiliates to join) in the execution and filing of an IRS Form 8832 and any other documentation necessary to cause one or more of the Transferred Subsidiaries (other than WFIL and, if the action described in clause (i) of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has been effectuated, WFI Sweden), as directed by Buyer, to elect to be treated, effective as of the day prior to Closing, as a partnership or disregarded entity for federal income tax purposes, as applicable; provided however, that notwithstanding anything in this Agreement to the contrary, if such election is made as requested by Buyer, any Tax Liability of such Transferred Subsidiary resulting from such election shall not be an Indemnified Tax to the extent that it exceeds the Tax Liability that would have existed absent such election with respect to such Transferred Subsidiary, and Buyer shall indemnify Seller and its Affiliates from any adverse Tax consequences attributable to the making of such election; provided that, if Buyer has given notice to Seller to make such election not less than fifteen (15) days before such election is required to be filed, the amount of such indemnity shall be payable by Buyer only if Seller has informed Buyer at least five (5) days before the required filing date for such election of the nature and the reasonably estimated amount of such adverse Tax consequence and thereafter promptly provided Buyer with such relevant information related to such adverse Tax consequences as Buyer may reasonably request.</w:t>
      </w:r>
    </w:p>
    <w:p>
      <w:pPr>
        <w:spacing w:after="0" w:line="172" w:lineRule="exact"/>
        <w:rPr>
          <w:rFonts w:ascii="Arial" w:cs="Arial" w:eastAsia="Arial" w:hAnsi="Arial"/>
          <w:sz w:val="16"/>
          <w:szCs w:val="16"/>
          <w:color w:val="auto"/>
        </w:rPr>
      </w:pPr>
    </w:p>
    <w:p>
      <w:pPr>
        <w:ind w:right="280" w:firstLine="1305"/>
        <w:spacing w:after="0" w:line="308" w:lineRule="auto"/>
        <w:tabs>
          <w:tab w:leader="none" w:pos="200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Seller shall cause WFI UK, Ltd. to make the WFI Turkey Share Transfer Tax Filing no later than one hundred sixty (160) days following the date of the transfer described in clause (iii) of </w:t>
      </w:r>
      <w:r>
        <w:rPr>
          <w:rFonts w:ascii="Arial" w:cs="Arial" w:eastAsia="Arial" w:hAnsi="Arial"/>
          <w:sz w:val="17"/>
          <w:szCs w:val="17"/>
          <w:u w:val="single" w:color="auto"/>
          <w:color w:val="auto"/>
        </w:rPr>
        <w:t>Section 5.1(c)</w:t>
      </w:r>
      <w:r>
        <w:rPr>
          <w:rFonts w:ascii="Arial" w:cs="Arial" w:eastAsia="Arial" w:hAnsi="Arial"/>
          <w:sz w:val="17"/>
          <w:szCs w:val="17"/>
          <w:color w:val="auto"/>
        </w:rPr>
        <w:t xml:space="preserve"> and promptly thereafter shall provide Buyer with evidence thereof.</w:t>
      </w:r>
    </w:p>
    <w:p>
      <w:pPr>
        <w:spacing w:after="0" w:line="142" w:lineRule="exact"/>
        <w:rPr>
          <w:rFonts w:ascii="Arial" w:cs="Arial" w:eastAsia="Arial" w:hAnsi="Arial"/>
          <w:sz w:val="17"/>
          <w:szCs w:val="17"/>
          <w:color w:val="auto"/>
        </w:rPr>
      </w:pPr>
    </w:p>
    <w:p>
      <w:pPr>
        <w:ind w:firstLine="1305"/>
        <w:spacing w:after="0" w:line="256" w:lineRule="auto"/>
        <w:tabs>
          <w:tab w:leader="none" w:pos="199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transfer, documentary, sales, use, stamp, registration and other such fees and Taxes (“</w:t>
      </w:r>
      <w:r>
        <w:rPr>
          <w:rFonts w:ascii="Arial" w:cs="Arial" w:eastAsia="Arial" w:hAnsi="Arial"/>
          <w:sz w:val="18"/>
          <w:szCs w:val="18"/>
          <w:b w:val="1"/>
          <w:bCs w:val="1"/>
          <w:color w:val="auto"/>
        </w:rPr>
        <w:t>Transfer Taxes</w:t>
      </w:r>
      <w:r>
        <w:rPr>
          <w:rFonts w:ascii="Arial" w:cs="Arial" w:eastAsia="Arial" w:hAnsi="Arial"/>
          <w:sz w:val="18"/>
          <w:szCs w:val="18"/>
          <w:color w:val="auto"/>
        </w:rPr>
        <w:t>”) incurred in connection with this Agreement and the cost of preparing any Tax Returns related to Transfer Taxes shall be borne equally by Buyer and Seller. To the extent that any portion of Transfer Tax is paid or required by Law to be paid by one party hereto but required by the foregoing to be borne by another party hereto, such other party shall pay or reimburse the Tax-paying party for the proper portion of the Tax required to be so borne upon notice from the Tax-paying party of the amount of such Tax required to be paid or reimbursed. The parties shall cooperate to file or cause to be filed all necessary Tax Returns and other documentation with respect to all such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Contest Rights.</w:t>
      </w:r>
    </w:p>
    <w:p>
      <w:pPr>
        <w:spacing w:after="0" w:line="225" w:lineRule="exact"/>
        <w:rPr>
          <w:sz w:val="20"/>
          <w:szCs w:val="20"/>
          <w:color w:val="auto"/>
        </w:rPr>
      </w:pPr>
    </w:p>
    <w:p>
      <w:pPr>
        <w:ind w:firstLine="1305"/>
        <w:spacing w:after="0" w:line="289" w:lineRule="auto"/>
        <w:tabs>
          <w:tab w:leader="none" w:pos="199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If any party or any of its respective Affiliates receives notice or otherwise becomes aware with respect to any (1) current or future audit, examination, investigation or other proceeding or (2) any claim, demand, assessment (including a notice of proposed assessment), or other assertion, in any case relating to Taxes relating to the Transferred Subsidiaries (or their respective assets or businesses) that could give rise to a liability of the other party hereto (including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then such party, shall promptly notify the other party in writing. Each party agrees to consult with and to keep the other party hereto informed on a regular basis regarding the status of any Tax audit or proceeding. Seller and Buyer will cooperate with each other (and cause their respective Affiliates to so cooperate) in the conduct of any audit or other proceeding (including appeals) related to Taxes and all other Tax matters relating to the Transferred Subsidiaries or their respective assets or businesses, and each will execute and deliver such powers of attorney and other documents as are reasonably necessary to carry out the intent of this Agreement. The party requesting cooperation under this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will reimburse the other party for any reasonable and actual out-of-pocket expenses reasonably incurred in furnishing such cooperation.</w:t>
      </w:r>
    </w:p>
    <w:p>
      <w:pPr>
        <w:spacing w:after="0" w:line="166" w:lineRule="exact"/>
        <w:rPr>
          <w:rFonts w:ascii="Arial" w:cs="Arial" w:eastAsia="Arial" w:hAnsi="Arial"/>
          <w:sz w:val="16"/>
          <w:szCs w:val="16"/>
          <w:color w:val="auto"/>
        </w:rPr>
      </w:pPr>
    </w:p>
    <w:p>
      <w:pPr>
        <w:ind w:firstLine="1305"/>
        <w:spacing w:after="0" w:line="268" w:lineRule="auto"/>
        <w:tabs>
          <w:tab w:leader="none" w:pos="200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Subject to the other provisions of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Seller shall have the right to control, at its own expense, any and all audits and any and all subsequent proceedings with respect to (i) any Pre-Closing Tax Period or Straddle Period which if adversely resolved, may reasonably be expected to give rise to an Indemnified Tax, (ii) any taxable period reflected on a Combined Tax Return, and (iii) solely for the sake of clarity, any Taxes solely of Seller or any of its Affiliates (other than the Transferred Subsidiaries) not described in clauses (i) or (ii);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none of Seller or any of its Affiliates shall settle, compromise, or waive or fail to initiate or pursue any such proceeding (or portion thereof) without the specific prior written consent of Buyer if such settlement, compromise, waiver or failure would cause any of Buyer or any of its Affiliates to be liable for Taxes (other than Indemnified Taxes for which Buyer will be entitled to full and complete indemnification by Seller notwithstanding the limitations contained in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for which they would not have been liable absent such settlement, compromise, waiver or failure. Buyer shall have the right to participate in such proceeding at its own expense, and shall be entitled to control the disposition of any issue involved in such proceeding which does not affect a potential liability of Seller. Both Buyer and Seller shall be entitled to represent their own interests in light of their responsibilities (including indemnity obligations) for the related Taxes, at their own expense, in any audit or administrative or judicial proceedings involving a Straddle Period. Except as provided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6.5</w:t>
      </w:r>
      <w:r>
        <w:rPr>
          <w:rFonts w:ascii="Arial" w:cs="Arial" w:eastAsia="Arial" w:hAnsi="Arial"/>
          <w:sz w:val="17"/>
          <w:szCs w:val="17"/>
          <w:color w:val="auto"/>
        </w:rPr>
        <w:t xml:space="preserve">, the provisions of </w:t>
      </w:r>
      <w:r>
        <w:rPr>
          <w:rFonts w:ascii="Arial" w:cs="Arial" w:eastAsia="Arial" w:hAnsi="Arial"/>
          <w:sz w:val="17"/>
          <w:szCs w:val="17"/>
          <w:u w:val="single" w:color="auto"/>
          <w:color w:val="auto"/>
        </w:rPr>
        <w:t>Article 9</w:t>
      </w:r>
      <w:r>
        <w:rPr>
          <w:rFonts w:ascii="Arial" w:cs="Arial" w:eastAsia="Arial" w:hAnsi="Arial"/>
          <w:sz w:val="17"/>
          <w:szCs w:val="17"/>
          <w:color w:val="auto"/>
        </w:rPr>
        <w:t>, including the provisions therein addressing settlement authority, shall govern the manner in which any Tax audit or administrative or judicial proceeding relating to Taxes is resolved.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Tax Elections; Amended Returns; Refunds.</w:t>
      </w:r>
    </w:p>
    <w:p>
      <w:pPr>
        <w:spacing w:after="0" w:line="225" w:lineRule="exact"/>
        <w:rPr>
          <w:sz w:val="20"/>
          <w:szCs w:val="20"/>
          <w:color w:val="auto"/>
        </w:rPr>
      </w:pPr>
    </w:p>
    <w:p>
      <w:pPr>
        <w:ind w:right="100" w:firstLine="1305"/>
        <w:spacing w:after="0" w:line="264" w:lineRule="auto"/>
        <w:tabs>
          <w:tab w:leader="none" w:pos="199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Except in connection with an audit resolved pursuant to </w:t>
      </w:r>
      <w:r>
        <w:rPr>
          <w:rFonts w:ascii="Arial" w:cs="Arial" w:eastAsia="Arial" w:hAnsi="Arial"/>
          <w:sz w:val="18"/>
          <w:szCs w:val="18"/>
          <w:u w:val="single" w:color="auto"/>
          <w:color w:val="auto"/>
        </w:rPr>
        <w:t>Section 6.5</w:t>
      </w:r>
      <w:r>
        <w:rPr>
          <w:rFonts w:ascii="Arial" w:cs="Arial" w:eastAsia="Arial" w:hAnsi="Arial"/>
          <w:sz w:val="18"/>
          <w:szCs w:val="18"/>
          <w:color w:val="auto"/>
        </w:rPr>
        <w:t>, no party or Affiliate of a party may amend a Tax Return of a Transferred Subsidiary, or file or amend any Tax election of a Transferred Subsidiary, in each case, with respect to a Pre-Closing Tax Period or Pre-Closing Partial Tax Period without the consent of Seller, which consent shall not be unreasonably withheld or delayed.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firstLine="1305"/>
        <w:spacing w:after="0" w:line="272" w:lineRule="auto"/>
        <w:tabs>
          <w:tab w:leader="none" w:pos="200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To the extent any determination of Tax liability of a Transferred Subsidiary, whether as the result of an audit or examination, a claim for refund, the filing of an amended Tax Return or otherwise, results in any refund or credit of overpaid Indemnified Taxes, Buyer shall promptly pay the amount of such refund or credit that is received or applied for the benefit of Buyer or its Affiliates (but only to the extent that such overpaid Indemnified Taxes (i) have actually been paid by Seller or any of the Transferred Subsidiaries (limited in the case of any Transferred Subsidiary to payments made by such Transferred Subsidiary prior to Closing), either directly or through indemnity payment to Buyer, and (ii) exceed any amount included as an asset in the Unaudited Interim Balance Sheet in respect of a Transferred Subsidiary’s right to refund or credit of such overpaid Indemnified Taxes), along with any interest actually received or credited thereon, to Seller upon receipt thereof by Buyer or its Affiliates.</w:t>
      </w:r>
    </w:p>
    <w:p>
      <w:pPr>
        <w:spacing w:after="0" w:line="177" w:lineRule="exact"/>
        <w:rPr>
          <w:rFonts w:ascii="Arial" w:cs="Arial" w:eastAsia="Arial" w:hAnsi="Arial"/>
          <w:sz w:val="17"/>
          <w:szCs w:val="17"/>
          <w:color w:val="auto"/>
        </w:rPr>
      </w:pPr>
    </w:p>
    <w:p>
      <w:pPr>
        <w:ind w:right="500" w:firstLine="1305"/>
        <w:spacing w:after="0" w:line="277" w:lineRule="auto"/>
        <w:tabs>
          <w:tab w:leader="none" w:pos="199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6.6(b)</w:t>
      </w:r>
      <w:r>
        <w:rPr>
          <w:rFonts w:ascii="Arial" w:cs="Arial" w:eastAsia="Arial" w:hAnsi="Arial"/>
          <w:sz w:val="18"/>
          <w:szCs w:val="18"/>
          <w:color w:val="auto"/>
        </w:rPr>
        <w:t>, Buyer will be entitled to any refund (and including interest paid therewith) of any Tax liability of the Transferred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-1642110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i w:val="1"/>
          <w:iCs w:val="1"/>
          <w:color w:val="auto"/>
        </w:rPr>
        <w:t>Treatment of Indemnification Payments.</w:t>
      </w:r>
      <w:r>
        <w:rPr>
          <w:rFonts w:ascii="Arial" w:cs="Arial" w:eastAsia="Arial" w:hAnsi="Arial"/>
          <w:sz w:val="17"/>
          <w:szCs w:val="17"/>
          <w:color w:val="auto"/>
        </w:rPr>
        <w:t xml:space="preserve"> Any payment made by Buyer, Seller, or any of their respective Affiliates pursuant to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9</w:t>
      </w:r>
      <w:r>
        <w:rPr>
          <w:rFonts w:ascii="Arial" w:cs="Arial" w:eastAsia="Arial" w:hAnsi="Arial"/>
          <w:sz w:val="17"/>
          <w:szCs w:val="17"/>
          <w:color w:val="auto"/>
        </w:rPr>
        <w:t xml:space="preserve"> shall, to the extent permissible under applicable Law, be treated as an adjustment to the Purchase Price for all relevant Tax purposes.</w:t>
      </w:r>
    </w:p>
    <w:p>
      <w:pPr>
        <w:sectPr>
          <w:pgSz w:w="11900" w:h="16838" w:orient="portrait"/>
          <w:cols w:equalWidth="0" w:num="1">
            <w:col w:w="11400"/>
          </w:cols>
          <w:pgMar w:left="240" w:top="125" w:right="259" w:bottom="116" w:gutter="0" w:footer="0" w:header="0"/>
        </w:sectPr>
      </w:pPr>
    </w:p>
    <w:bookmarkStart w:id="128" w:name="page129"/>
    <w:bookmarkEnd w:id="128"/>
    <w:p>
      <w:pPr>
        <w:ind w:right="100" w:firstLine="648"/>
        <w:spacing w:after="0" w:line="277"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i w:val="1"/>
          <w:iCs w:val="1"/>
          <w:color w:val="auto"/>
        </w:rPr>
        <w:t>All Payments Net of Withholding.</w:t>
      </w:r>
      <w:r>
        <w:rPr>
          <w:rFonts w:ascii="Arial" w:cs="Arial" w:eastAsia="Arial" w:hAnsi="Arial"/>
          <w:sz w:val="18"/>
          <w:szCs w:val="18"/>
          <w:color w:val="auto"/>
        </w:rPr>
        <w:t xml:space="preserve"> All payments made by Buyer (or any of its Affiliates) to Seller (or any of its respective successors or assigns) pursuant to this Agreement shall be made net of any amounts required to be withheld under applicable Law.</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i w:val="1"/>
          <w:iCs w:val="1"/>
          <w:color w:val="auto"/>
        </w:rPr>
        <w:t>Cooperation, Access to Information, and Record Retention.</w:t>
      </w:r>
      <w:r>
        <w:rPr>
          <w:rFonts w:ascii="Arial" w:cs="Arial" w:eastAsia="Arial" w:hAnsi="Arial"/>
          <w:sz w:val="16"/>
          <w:szCs w:val="16"/>
          <w:color w:val="auto"/>
        </w:rPr>
        <w:t xml:space="preserve"> Seller and Buyer shall cooperate, and cause their representatives and Affiliates to cooperate, as and to the extent reasonably requested by the other party in connection with the filing of all Tax Returns, the making of any election related to Taxes, the preparation for any audit by any Taxing Authority, and the prosecution or defense of any claim, suit or proceeding (including appeals) relating to any Taxes or Tax Return concerning or with respect to the Transferred Subsidiaries or their respective assets or business. Such cooperation shall include the provision to the other party, upon request, as promptly as practicable, of records and information which are reasonably relevant to any such Tax Return, audit, litigation or other proceeding and making employees available on a mutually convenient basis to provide additional information and explanation of any material provided hereunder. The Seller and Buyer and their Affiliates shall (a) retain all books and records with respect to Taxes of the Transferred Subsidiaries (including Tax Returns) relating to any taxable period beginning before the Closing Date until the expiration of the statute of limitations for assessment of Taxes for such respective taxable period, and (b) give the other party reasonable written notice prior to transferring, destroying or discarding any such books and records and, if another party so requests, allow such party to take possession of such books and records. The parties further agree, (i) upon request, to use reasonable efforts to obtain any certificate or other document from any Governmental Entity or any other Person as may be necessary to mitigate, reduce or eliminate any Tax that could be imposed on the Transferred Subsidiaries or that could be subject to indemnity pursuant to item 7 of </w:t>
      </w:r>
      <w:r>
        <w:rPr>
          <w:rFonts w:ascii="Arial" w:cs="Arial" w:eastAsia="Arial" w:hAnsi="Arial"/>
          <w:sz w:val="16"/>
          <w:szCs w:val="16"/>
          <w:u w:val="single" w:color="auto"/>
          <w:color w:val="auto"/>
        </w:rPr>
        <w:t>Section 6.2(a)</w:t>
      </w:r>
      <w:r>
        <w:rPr>
          <w:rFonts w:ascii="Arial" w:cs="Arial" w:eastAsia="Arial" w:hAnsi="Arial"/>
          <w:sz w:val="16"/>
          <w:szCs w:val="16"/>
          <w:color w:val="auto"/>
        </w:rPr>
        <w:t>; and (ii) except to the extent contemplated by this Agreement or otherwise required by Law, to refrain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340995</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from (and to cause their Affiliates to refrain from) transferring any shares of stock in Questus or liquidating Questus prior to January 1, 2009.</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w:t>
      </w:r>
    </w:p>
    <w:p>
      <w:pPr>
        <w:spacing w:after="0" w:line="229" w:lineRule="exact"/>
        <w:rPr>
          <w:sz w:val="20"/>
          <w:szCs w:val="20"/>
          <w:color w:val="auto"/>
        </w:rPr>
      </w:pPr>
    </w:p>
    <w:p>
      <w:pPr>
        <w:ind w:left="220" w:right="280" w:firstLine="648"/>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Conditions to Obligations of Buyer.</w:t>
      </w:r>
      <w:r>
        <w:rPr>
          <w:rFonts w:ascii="Arial" w:cs="Arial" w:eastAsia="Arial" w:hAnsi="Arial"/>
          <w:sz w:val="18"/>
          <w:szCs w:val="18"/>
          <w:color w:val="auto"/>
        </w:rPr>
        <w:t xml:space="preserve"> The obligations of Buyer to consummate the transactions contemplated by this Agreement will be subject to the fulfillment at or prior to the Closing of each of the following conditions:</w:t>
      </w:r>
    </w:p>
    <w:p>
      <w:pPr>
        <w:spacing w:after="0" w:line="170" w:lineRule="exact"/>
        <w:rPr>
          <w:sz w:val="20"/>
          <w:szCs w:val="20"/>
          <w:color w:val="auto"/>
        </w:rPr>
      </w:pPr>
    </w:p>
    <w:p>
      <w:pPr>
        <w:ind w:right="280" w:firstLine="1305"/>
        <w:spacing w:after="0" w:line="264" w:lineRule="auto"/>
        <w:tabs>
          <w:tab w:leader="none" w:pos="1991"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 Proceedings</w:t>
      </w:r>
      <w:r>
        <w:rPr>
          <w:rFonts w:ascii="Arial" w:cs="Arial" w:eastAsia="Arial" w:hAnsi="Arial"/>
          <w:sz w:val="18"/>
          <w:szCs w:val="18"/>
          <w:color w:val="auto"/>
        </w:rPr>
        <w:t>. No judgment, injunction, order or decree of a Governmental Entity of competent jurisdiction shall be in effect which has the effect of making the transactions contemplated by this Agreement illegal or otherwise restraining or prohibiting the consummation of such transactions.</w:t>
      </w:r>
    </w:p>
    <w:p>
      <w:pPr>
        <w:spacing w:after="0" w:line="181" w:lineRule="exact"/>
        <w:rPr>
          <w:rFonts w:ascii="Arial" w:cs="Arial" w:eastAsia="Arial" w:hAnsi="Arial"/>
          <w:sz w:val="18"/>
          <w:szCs w:val="18"/>
          <w:color w:val="auto"/>
        </w:rPr>
      </w:pPr>
    </w:p>
    <w:p>
      <w:pPr>
        <w:ind w:right="60" w:firstLine="1305"/>
        <w:spacing w:after="0" w:line="272" w:lineRule="auto"/>
        <w:tabs>
          <w:tab w:leader="none" w:pos="2001"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Governmental Consents</w:t>
      </w:r>
      <w:r>
        <w:rPr>
          <w:rFonts w:ascii="Arial" w:cs="Arial" w:eastAsia="Arial" w:hAnsi="Arial"/>
          <w:sz w:val="17"/>
          <w:szCs w:val="17"/>
          <w:color w:val="auto"/>
        </w:rPr>
        <w:t xml:space="preserve">. All consents, approvals, orders or authorizations from, and all material declarations, filings and registrations with, any Governmental Entity, including all necessary approvals under any applicable antitrust Laws, required to consummate the transactions contemplated by this Agreement shall have been obtained or made, except to the extent that the failure to obtain such consents, approvals, orders or authorizations or to make such material declarations, filings or registrations would not reasonably be expected to have a Material Adverse Effect on the Transferred Subsidiaries or Buyer (for purposes of this clause, after giving effect to the transactions contemplated 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Buyer shall be obligated to consummate the transactions contemplated by this Agreement, notwithstanding the fact that the registration of the Equity Interests of the Transferred Subsidiaries may occur subsequent to the Closing Date.</w:t>
      </w:r>
    </w:p>
    <w:p>
      <w:pPr>
        <w:spacing w:after="0" w:line="177" w:lineRule="exact"/>
        <w:rPr>
          <w:rFonts w:ascii="Arial" w:cs="Arial" w:eastAsia="Arial" w:hAnsi="Arial"/>
          <w:sz w:val="17"/>
          <w:szCs w:val="17"/>
          <w:color w:val="auto"/>
        </w:rPr>
      </w:pPr>
    </w:p>
    <w:p>
      <w:pPr>
        <w:ind w:right="40" w:firstLine="1305"/>
        <w:spacing w:after="0" w:line="271" w:lineRule="auto"/>
        <w:tabs>
          <w:tab w:leader="none" w:pos="1991"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The representations and warranties of Seller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must have been true and correct in all respects as of the date hereof and must be true and correct in all respects as of the Closing Date as though made on and as of the Closing Date (except for any such representations and warranties that, by their terms, speak only as of a specific date or dates, in which case such representations and warranties need only to be true and correct on and as of such specified date or dates), except for inaccuracies of representations or warranties the circumstances giving rise to which, individually or in the aggregate, do not constitute and would not reasonably be expected to have a Material Adverse Effect on the Transferred Subsidiaries (it being understood that, for purposes of determining the accuracy of such representations and warranties, all “Material Adverse Effect” qualifications and other materiality qualifications contained in such representations and warranties shall be disregarded), and Buyer shall have received a certificate signed by a duly authorized officer of Seller to the foregoing effect.</w:t>
      </w:r>
    </w:p>
    <w:p>
      <w:pPr>
        <w:spacing w:after="0" w:line="184" w:lineRule="exact"/>
        <w:rPr>
          <w:rFonts w:ascii="Arial" w:cs="Arial" w:eastAsia="Arial" w:hAnsi="Arial"/>
          <w:sz w:val="17"/>
          <w:szCs w:val="17"/>
          <w:color w:val="auto"/>
        </w:rPr>
      </w:pPr>
    </w:p>
    <w:p>
      <w:pPr>
        <w:ind w:right="180" w:firstLine="1305"/>
        <w:spacing w:after="0" w:line="259" w:lineRule="auto"/>
        <w:tabs>
          <w:tab w:leader="none" w:pos="205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Seller</w:t>
      </w:r>
      <w:r>
        <w:rPr>
          <w:rFonts w:ascii="Arial" w:cs="Arial" w:eastAsia="Arial" w:hAnsi="Arial"/>
          <w:sz w:val="18"/>
          <w:szCs w:val="18"/>
          <w:color w:val="auto"/>
        </w:rPr>
        <w:t>. Seller must have performed in all material respects all covenants and agreements required to be performed by it under this Agreement on or prior to the Closing Date, and Buyer shall have received a certificate signed by a duly authorized officer of Seller to the foregoing effect.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1" w:lineRule="exact"/>
        <w:rPr>
          <w:rFonts w:ascii="Arial" w:cs="Arial" w:eastAsia="Arial" w:hAnsi="Arial"/>
          <w:sz w:val="18"/>
          <w:szCs w:val="18"/>
          <w:color w:val="auto"/>
        </w:rPr>
      </w:pPr>
    </w:p>
    <w:p>
      <w:pPr>
        <w:ind w:right="80" w:firstLine="1305"/>
        <w:spacing w:after="0" w:line="277" w:lineRule="auto"/>
        <w:tabs>
          <w:tab w:leader="none" w:pos="1991"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Good Standing Certificates</w:t>
      </w:r>
      <w:r>
        <w:rPr>
          <w:rFonts w:ascii="Arial" w:cs="Arial" w:eastAsia="Arial" w:hAnsi="Arial"/>
          <w:sz w:val="18"/>
          <w:szCs w:val="18"/>
          <w:color w:val="auto"/>
        </w:rPr>
        <w:t>. Seller must have delivered to Buyer certificates of Governmental Entities as to the good standing of each Transferred Subsidiary.</w:t>
      </w:r>
    </w:p>
    <w:p>
      <w:pPr>
        <w:spacing w:after="0" w:line="170" w:lineRule="exact"/>
        <w:rPr>
          <w:rFonts w:ascii="Arial" w:cs="Arial" w:eastAsia="Arial" w:hAnsi="Arial"/>
          <w:sz w:val="18"/>
          <w:szCs w:val="18"/>
          <w:color w:val="auto"/>
        </w:rPr>
      </w:pPr>
    </w:p>
    <w:p>
      <w:pPr>
        <w:ind w:right="620" w:firstLine="1305"/>
        <w:spacing w:after="0" w:line="277" w:lineRule="auto"/>
        <w:tabs>
          <w:tab w:leader="none" w:pos="201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xml:space="preserve">. Seller must have executed and delivered to Buyer a counterpart of the Transition Services Agreement,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80" w:firstLine="1305"/>
        <w:spacing w:after="0" w:line="264" w:lineRule="auto"/>
        <w:tabs>
          <w:tab w:leader="none" w:pos="2001"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Resignation of Officers and Directors</w:t>
      </w:r>
      <w:r>
        <w:rPr>
          <w:rFonts w:ascii="Arial" w:cs="Arial" w:eastAsia="Arial" w:hAnsi="Arial"/>
          <w:sz w:val="18"/>
          <w:szCs w:val="18"/>
          <w:color w:val="auto"/>
        </w:rPr>
        <w:t>. Those Persons holding the position of a director or officer of any of the Transferred Subsidiaries, in office immediately prior to Closing, as to which Buyer shall requested their resignations, will have resigned in writing from such positions effective as of the Closing.</w:t>
      </w:r>
    </w:p>
    <w:p>
      <w:pPr>
        <w:spacing w:after="0" w:line="181" w:lineRule="exact"/>
        <w:rPr>
          <w:rFonts w:ascii="Arial" w:cs="Arial" w:eastAsia="Arial" w:hAnsi="Arial"/>
          <w:sz w:val="18"/>
          <w:szCs w:val="18"/>
          <w:color w:val="auto"/>
        </w:rPr>
      </w:pPr>
    </w:p>
    <w:p>
      <w:pPr>
        <w:ind w:firstLine="1305"/>
        <w:spacing w:after="0" w:line="259" w:lineRule="auto"/>
        <w:tabs>
          <w:tab w:leader="none" w:pos="2001"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Secretary Certificate of Seller</w:t>
      </w:r>
      <w:r>
        <w:rPr>
          <w:rFonts w:ascii="Arial" w:cs="Arial" w:eastAsia="Arial" w:hAnsi="Arial"/>
          <w:sz w:val="18"/>
          <w:szCs w:val="18"/>
          <w:color w:val="auto"/>
        </w:rPr>
        <w:t>. Buyer shall have received a certificate executed by the Secretary or any Assistant Secretary of Seller, dated the Closing Date, certifying as to (i) the good standing of Seller in the State of Delaware, (ii) the effectiveness of the resolutions required in order to authorize the execution, delivery and performance of this Agreement by Seller and (iii) the effectiveness of the Deed of Release and the non-existence of any amendments thereto or waivers of any provisions thereof.</w:t>
      </w:r>
    </w:p>
    <w:p>
      <w:pPr>
        <w:spacing w:after="0" w:line="186" w:lineRule="exact"/>
        <w:rPr>
          <w:rFonts w:ascii="Arial" w:cs="Arial" w:eastAsia="Arial" w:hAnsi="Arial"/>
          <w:sz w:val="18"/>
          <w:szCs w:val="18"/>
          <w:color w:val="auto"/>
        </w:rPr>
      </w:pPr>
    </w:p>
    <w:p>
      <w:pPr>
        <w:ind w:right="160" w:firstLine="1305"/>
        <w:spacing w:after="0" w:line="277" w:lineRule="auto"/>
        <w:tabs>
          <w:tab w:leader="none" w:pos="200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FIRPTA Certificate</w:t>
      </w:r>
      <w:r>
        <w:rPr>
          <w:rFonts w:ascii="Arial" w:cs="Arial" w:eastAsia="Arial" w:hAnsi="Arial"/>
          <w:sz w:val="18"/>
          <w:szCs w:val="18"/>
          <w:color w:val="auto"/>
        </w:rPr>
        <w:t xml:space="preserve">. Buyer shall have received a certificate, signed by Seller under penalties of perjury,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-2602865</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29" w:name="page130"/>
    <w:bookmarkEnd w:id="129"/>
    <w:p>
      <w:pPr>
        <w:ind w:right="220" w:firstLine="1305"/>
        <w:spacing w:after="0" w:line="259" w:lineRule="auto"/>
        <w:tabs>
          <w:tab w:leader="none" w:pos="200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Secretary Certificate of the Transferred Subsidiaries</w:t>
      </w:r>
      <w:r>
        <w:rPr>
          <w:rFonts w:ascii="Arial" w:cs="Arial" w:eastAsia="Arial" w:hAnsi="Arial"/>
          <w:sz w:val="18"/>
          <w:szCs w:val="18"/>
          <w:color w:val="auto"/>
        </w:rPr>
        <w:t>. Buyer shall have received a certificate executed by the Secretary or any Assistant Secretary of each Transferred Subsidiary, dated the Closing Date, certifying as to (i) the good standing of such Transferred Subsidiary in its jurisdiction of organization, (ii) the organizational documents of such Transferred Subsidiary and (iii) in the case of WFIL, the effectiveness of the Deed of Release and the non-existence of any amendments thereto or waivers of any provisions thereof.</w:t>
      </w:r>
    </w:p>
    <w:p>
      <w:pPr>
        <w:spacing w:after="0" w:line="186" w:lineRule="exact"/>
        <w:rPr>
          <w:rFonts w:ascii="Arial" w:cs="Arial" w:eastAsia="Arial" w:hAnsi="Arial"/>
          <w:sz w:val="18"/>
          <w:szCs w:val="18"/>
          <w:color w:val="auto"/>
        </w:rPr>
      </w:pPr>
    </w:p>
    <w:p>
      <w:pPr>
        <w:ind w:right="20" w:firstLine="1305"/>
        <w:spacing w:after="0" w:line="277" w:lineRule="auto"/>
        <w:tabs>
          <w:tab w:leader="none" w:pos="2001"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No event or events that individually or in the aggregate would reasonably be expected to have a Material Adverse Effect on the Transferred Subsidiaries shall have occurred after the date of this Agreement.</w:t>
      </w:r>
    </w:p>
    <w:p>
      <w:pPr>
        <w:spacing w:after="0" w:line="170" w:lineRule="exact"/>
        <w:rPr>
          <w:rFonts w:ascii="Arial" w:cs="Arial" w:eastAsia="Arial" w:hAnsi="Arial"/>
          <w:sz w:val="18"/>
          <w:szCs w:val="18"/>
          <w:color w:val="auto"/>
        </w:rPr>
      </w:pPr>
    </w:p>
    <w:p>
      <w:pPr>
        <w:ind w:right="580" w:firstLine="1305"/>
        <w:spacing w:after="0" w:line="277" w:lineRule="auto"/>
        <w:tabs>
          <w:tab w:leader="none" w:pos="200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Cash Held by Transferred Subsidiaries</w:t>
      </w:r>
      <w:r>
        <w:rPr>
          <w:rFonts w:ascii="Arial" w:cs="Arial" w:eastAsia="Arial" w:hAnsi="Arial"/>
          <w:sz w:val="18"/>
          <w:szCs w:val="18"/>
          <w:color w:val="auto"/>
        </w:rPr>
        <w:t>. Buyer shall have received evidence that the aggregate net cash balance held by the Transferred Subsidiaries equals at least Two Hundred Fifty Thousand United States Dollars ($250,000).</w:t>
      </w:r>
    </w:p>
    <w:p>
      <w:pPr>
        <w:spacing w:after="0" w:line="170" w:lineRule="exact"/>
        <w:rPr>
          <w:rFonts w:ascii="Arial" w:cs="Arial" w:eastAsia="Arial" w:hAnsi="Arial"/>
          <w:sz w:val="18"/>
          <w:szCs w:val="18"/>
          <w:color w:val="auto"/>
        </w:rPr>
      </w:pPr>
    </w:p>
    <w:p>
      <w:pPr>
        <w:jc w:val="both"/>
        <w:ind w:right="260" w:firstLine="1305"/>
        <w:spacing w:after="0" w:line="264" w:lineRule="auto"/>
        <w:tabs>
          <w:tab w:leader="none" w:pos="200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Reduction of Intercompany Debt and Other Pre-Closing Date Actions</w:t>
      </w:r>
      <w:r>
        <w:rPr>
          <w:rFonts w:ascii="Arial" w:cs="Arial" w:eastAsia="Arial" w:hAnsi="Arial"/>
          <w:sz w:val="18"/>
          <w:szCs w:val="18"/>
          <w:color w:val="auto"/>
        </w:rPr>
        <w:t xml:space="preserve">. Seller and its Affiliates shall have completed all actions described in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(with respect to clause (i) thereof, only if such action was requested by Seller and approved by Buyer), and shall have provided Buyer with copies of documentation effectuating such actions.</w:t>
      </w:r>
    </w:p>
    <w:p>
      <w:pPr>
        <w:spacing w:after="0" w:line="181" w:lineRule="exact"/>
        <w:rPr>
          <w:sz w:val="20"/>
          <w:szCs w:val="20"/>
          <w:color w:val="auto"/>
        </w:rPr>
      </w:pPr>
    </w:p>
    <w:p>
      <w:pPr>
        <w:ind w:left="220" w:right="300" w:firstLine="648"/>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Conditions to Obligations of Seller.</w:t>
      </w:r>
      <w:r>
        <w:rPr>
          <w:rFonts w:ascii="Arial" w:cs="Arial" w:eastAsia="Arial" w:hAnsi="Arial"/>
          <w:sz w:val="18"/>
          <w:szCs w:val="18"/>
          <w:color w:val="auto"/>
        </w:rPr>
        <w:t xml:space="preserve"> The obligations of Seller to consummate the transactions contemplated by this Agreement will be subject to the fulfillment at or prior to Closing of each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firstLine="1305"/>
        <w:spacing w:after="0" w:line="264" w:lineRule="auto"/>
        <w:tabs>
          <w:tab w:leader="none" w:pos="199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 Proceedings</w:t>
      </w:r>
      <w:r>
        <w:rPr>
          <w:rFonts w:ascii="Arial" w:cs="Arial" w:eastAsia="Arial" w:hAnsi="Arial"/>
          <w:sz w:val="18"/>
          <w:szCs w:val="18"/>
          <w:color w:val="auto"/>
        </w:rPr>
        <w:t>. No judgment, injunction, order or decree of a Governmental Entity of competent jurisdiction shall be in effect which has the effect of making the transactions contemplated by this Agreement illegal or otherwise restraining or prohibiting the consummation of such transactions.</w:t>
      </w:r>
    </w:p>
    <w:p>
      <w:pPr>
        <w:spacing w:after="0" w:line="181" w:lineRule="exact"/>
        <w:rPr>
          <w:rFonts w:ascii="Arial" w:cs="Arial" w:eastAsia="Arial" w:hAnsi="Arial"/>
          <w:sz w:val="18"/>
          <w:szCs w:val="18"/>
          <w:color w:val="auto"/>
        </w:rPr>
      </w:pPr>
    </w:p>
    <w:p>
      <w:pPr>
        <w:ind w:right="140" w:firstLine="1305"/>
        <w:spacing w:after="0" w:line="276" w:lineRule="auto"/>
        <w:tabs>
          <w:tab w:leader="none" w:pos="2001"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Governmental Consents</w:t>
      </w:r>
      <w:r>
        <w:rPr>
          <w:rFonts w:ascii="Arial" w:cs="Arial" w:eastAsia="Arial" w:hAnsi="Arial"/>
          <w:sz w:val="17"/>
          <w:szCs w:val="17"/>
          <w:color w:val="auto"/>
        </w:rPr>
        <w:t>. All consents, approvals, orders or authorizations from, and all material declarations, filings and registrations with, any Governmental Entity, including all necessary approvals under any applicable antitrust Laws, required to consummate the transactions contemplated by this Agreement shall have been obtained or made, except to the extent that the failure to obtain such consents, approvals, orders or authorizations or to make such material declarations, filings or registrations would not reasonably be expected to have a Material Adverse Effect on Seller (for purposes of this clause, after giving effect to the transactions contemplated hereby).</w:t>
      </w:r>
    </w:p>
    <w:p>
      <w:pPr>
        <w:spacing w:after="0" w:line="172" w:lineRule="exact"/>
        <w:rPr>
          <w:rFonts w:ascii="Arial" w:cs="Arial" w:eastAsia="Arial" w:hAnsi="Arial"/>
          <w:sz w:val="17"/>
          <w:szCs w:val="17"/>
          <w:color w:val="auto"/>
        </w:rPr>
      </w:pPr>
    </w:p>
    <w:p>
      <w:pPr>
        <w:ind w:firstLine="1305"/>
        <w:spacing w:after="0" w:line="271" w:lineRule="auto"/>
        <w:tabs>
          <w:tab w:leader="none" w:pos="1991"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The representations and warranties of Buyer set forth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must have been true and correct in all respects as of the date hereof and must be true and correct in all respects as of the Closing Date as though made on and as of the Closing Date (except for any such representations and warranties that, by their terms, speak only as of a specific date or dates, in which case such representations and warranties need only to be true and correct on and as of such specified date or dates), except for inaccuracies of representations or warranties the circumstances giving rise to which, individually or in the aggregate, do not constitute and would not reasonably be expected to have a material adverse effect on Buyer’s ability to consummate the transactions contemplated hereby (it being understood that, for purposes of determining the accuracy of such representations and warranties, all materiality qualifications contained in such representations and warranties shall be disregarded), and Seller shall have received a certificate signed by a duly authorized officer of Buyer to the foregoing effect.</w:t>
      </w:r>
    </w:p>
    <w:p>
      <w:pPr>
        <w:spacing w:after="0" w:line="178" w:lineRule="exact"/>
        <w:rPr>
          <w:rFonts w:ascii="Arial" w:cs="Arial" w:eastAsia="Arial" w:hAnsi="Arial"/>
          <w:sz w:val="17"/>
          <w:szCs w:val="17"/>
          <w:color w:val="auto"/>
        </w:rPr>
      </w:pPr>
    </w:p>
    <w:p>
      <w:pPr>
        <w:jc w:val="both"/>
        <w:ind w:right="60" w:firstLine="1305"/>
        <w:spacing w:after="0" w:line="264" w:lineRule="auto"/>
        <w:tabs>
          <w:tab w:leader="none" w:pos="200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by Buyer</w:t>
      </w:r>
      <w:r>
        <w:rPr>
          <w:rFonts w:ascii="Arial" w:cs="Arial" w:eastAsia="Arial" w:hAnsi="Arial"/>
          <w:sz w:val="18"/>
          <w:szCs w:val="18"/>
          <w:color w:val="auto"/>
        </w:rPr>
        <w:t>. Buyer must have performed in all material respects all covenants and agreements required to be performed by it under this Agreement on or prior to the Closing Date, and Seller shall have received a certificate signed by a duly authorized officer of Buyer to the foregoing effect.</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Transition Services Agreement</w:t>
      </w:r>
      <w:r>
        <w:rPr>
          <w:rFonts w:ascii="Arial" w:cs="Arial" w:eastAsia="Arial" w:hAnsi="Arial"/>
          <w:sz w:val="17"/>
          <w:szCs w:val="17"/>
          <w:color w:val="auto"/>
        </w:rPr>
        <w:t>. Buyer must have executed and delivered to Seller a counterpart of the Transition Services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right="140" w:firstLine="1305"/>
        <w:spacing w:after="0" w:line="264" w:lineRule="auto"/>
        <w:tabs>
          <w:tab w:leader="none" w:pos="201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Seller shall have received a certificate executed by the Secretary or any Assistant Secretary of Buyer, dated the Closing Date, as to (a) the good standing of Buyer in its jurisdiction of organization and (b) the effectiveness of the resolutions required in order to authorize the execution, delivery and performance of this Agreement by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Termination.</w:t>
      </w:r>
      <w:r>
        <w:rPr>
          <w:rFonts w:ascii="Arial" w:cs="Arial" w:eastAsia="Arial" w:hAnsi="Arial"/>
          <w:sz w:val="18"/>
          <w:szCs w:val="18"/>
          <w:color w:val="auto"/>
        </w:rPr>
        <w:t xml:space="preserve"> This Agreement may be terminated prior to the Closing as follows:</w:t>
      </w:r>
    </w:p>
    <w:p>
      <w:pPr>
        <w:spacing w:after="0" w:line="225" w:lineRule="exact"/>
        <w:rPr>
          <w:sz w:val="20"/>
          <w:szCs w:val="20"/>
          <w:color w:val="auto"/>
        </w:rPr>
      </w:pPr>
    </w:p>
    <w:p>
      <w:pPr>
        <w:ind w:left="2000" w:hanging="695"/>
        <w:spacing w:after="0"/>
        <w:tabs>
          <w:tab w:leader="none" w:pos="2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writing by mutual consent of the parties;</w:t>
      </w:r>
    </w:p>
    <w:p>
      <w:pPr>
        <w:spacing w:after="0" w:line="225" w:lineRule="exact"/>
        <w:rPr>
          <w:rFonts w:ascii="Arial" w:cs="Arial" w:eastAsia="Arial" w:hAnsi="Arial"/>
          <w:sz w:val="18"/>
          <w:szCs w:val="18"/>
          <w:color w:val="auto"/>
        </w:rPr>
      </w:pPr>
    </w:p>
    <w:p>
      <w:pPr>
        <w:ind w:right="100" w:firstLine="1305"/>
        <w:spacing w:after="0" w:line="259" w:lineRule="auto"/>
        <w:tabs>
          <w:tab w:leader="none" w:pos="200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by Seller, by written notice from Seller to Buyer, if Buyer (a) fails to perform in any material respect any of its obligations contained in this Agreement required to be performed on or prior to the Closing Date or (b) materially breaches before Closing any of its representations and warranties contained in this Agreement, which failure or breach is not cured within ten (10) Business Days after Seller has notified Buyer of its intent to terminate this Agreement pursuant to this </w:t>
      </w:r>
      <w:r>
        <w:rPr>
          <w:rFonts w:ascii="Arial" w:cs="Arial" w:eastAsia="Arial" w:hAnsi="Arial"/>
          <w:sz w:val="18"/>
          <w:szCs w:val="18"/>
          <w:u w:val="single" w:color="auto"/>
          <w:color w:val="auto"/>
        </w:rPr>
        <w:t>Section 8.1(b)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00" w:firstLine="1305"/>
        <w:spacing w:after="0" w:line="259" w:lineRule="auto"/>
        <w:tabs>
          <w:tab w:leader="none" w:pos="199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by Buyer, by written notice from Buyer to Seller, if Seller (a) fails to perform in any material respect any of its obligations contained in this Agreement required to be performed on or prior to the Closing Date or (b) materially breaches before Closing any of its representations and warranties contained in this Agreement, which failure or breach is not cured within ten (10) Business Days after Buyer has notified Seller of its intent to terminate this Agreement pursuant to this </w:t>
      </w:r>
      <w:r>
        <w:rPr>
          <w:rFonts w:ascii="Arial" w:cs="Arial" w:eastAsia="Arial" w:hAnsi="Arial"/>
          <w:sz w:val="18"/>
          <w:szCs w:val="18"/>
          <w:u w:val="single" w:color="auto"/>
          <w:color w:val="auto"/>
        </w:rPr>
        <w:t>Section 8.1(c)</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40" w:firstLine="1305"/>
        <w:spacing w:after="0" w:line="342" w:lineRule="auto"/>
        <w:tabs>
          <w:tab w:leader="none" w:pos="200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by Buyer, by written notice from Buyer to Seller, if any Governmental Entity (i) indicates that it will impose conditions to its approval of the transactions contemplated by this Agreement or does impose such or (ii) indicates that it will file a suit, action or other proceeding before a</w:t>
      </w:r>
    </w:p>
    <w:p>
      <w:pPr>
        <w:sectPr>
          <w:pgSz w:w="11900" w:h="16838" w:orient="portrait"/>
          <w:cols w:equalWidth="0" w:num="1">
            <w:col w:w="11400"/>
          </w:cols>
          <w:pgMar w:left="240" w:top="125" w:right="259" w:bottom="0" w:gutter="0" w:footer="0" w:header="0"/>
        </w:sectPr>
      </w:pPr>
    </w:p>
    <w:bookmarkStart w:id="130" w:name="page131"/>
    <w:bookmarkEnd w:id="130"/>
    <w:p>
      <w:pPr>
        <w:ind w:right="300"/>
        <w:spacing w:after="0" w:line="277" w:lineRule="auto"/>
        <w:rPr>
          <w:sz w:val="20"/>
          <w:szCs w:val="20"/>
          <w:color w:val="auto"/>
        </w:rPr>
      </w:pPr>
      <w:r>
        <w:rPr>
          <w:rFonts w:ascii="Arial" w:cs="Arial" w:eastAsia="Arial" w:hAnsi="Arial"/>
          <w:sz w:val="18"/>
          <w:szCs w:val="18"/>
          <w:color w:val="auto"/>
        </w:rPr>
        <w:t>court or governmental agency seeking to restrain or prohibit, or to obtain damages or other relief in connection with, the consummation of the transactions contemplated by this Agreement or does file such; or</w:t>
      </w:r>
    </w:p>
    <w:p>
      <w:pPr>
        <w:spacing w:after="0" w:line="176" w:lineRule="exact"/>
        <w:rPr>
          <w:sz w:val="20"/>
          <w:szCs w:val="20"/>
          <w:color w:val="auto"/>
        </w:rPr>
      </w:pPr>
    </w:p>
    <w:p>
      <w:pPr>
        <w:ind w:right="120" w:firstLine="1305"/>
        <w:spacing w:after="0" w:line="268" w:lineRule="auto"/>
        <w:tabs>
          <w:tab w:leader="none" w:pos="199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either party by written notice to the other party if the Closing has not occurred on or prior to March 31, 2007 for any reason other than delay or nonperformance of the party seeking such termination.</w:t>
      </w:r>
    </w:p>
    <w:p>
      <w:pPr>
        <w:spacing w:after="0" w:line="180" w:lineRule="exact"/>
        <w:rPr>
          <w:sz w:val="20"/>
          <w:szCs w:val="20"/>
          <w:color w:val="auto"/>
        </w:rPr>
      </w:pPr>
    </w:p>
    <w:p>
      <w:pPr>
        <w:jc w:val="both"/>
        <w:ind w:left="220" w:right="360" w:firstLine="648"/>
        <w:spacing w:after="0" w:line="25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Effect of Termination.</w:t>
      </w:r>
      <w:r>
        <w:rPr>
          <w:rFonts w:ascii="Arial" w:cs="Arial" w:eastAsia="Arial" w:hAnsi="Arial"/>
          <w:sz w:val="18"/>
          <w:szCs w:val="18"/>
          <w:color w:val="auto"/>
        </w:rPr>
        <w:t xml:space="preserve"> In the event of termination of this Agreement pursuant to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this Agreement will forthwith become void and there will be no liability on the part of any party to the other party under this Agreement, except for obligations under </w:t>
      </w:r>
      <w:r>
        <w:rPr>
          <w:rFonts w:ascii="Arial" w:cs="Arial" w:eastAsia="Arial" w:hAnsi="Arial"/>
          <w:sz w:val="18"/>
          <w:szCs w:val="18"/>
          <w:u w:val="single" w:color="auto"/>
          <w:color w:val="auto"/>
        </w:rPr>
        <w:t>Section 10.14</w:t>
      </w:r>
      <w:r>
        <w:rPr>
          <w:rFonts w:ascii="Arial" w:cs="Arial" w:eastAsia="Arial" w:hAnsi="Arial"/>
          <w:sz w:val="18"/>
          <w:szCs w:val="18"/>
          <w:color w:val="auto"/>
        </w:rPr>
        <w:t xml:space="preserve"> (Public Announcements),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(Notices),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(Amendments and Waivers),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(Expenses), </w:t>
      </w:r>
      <w:r>
        <w:rPr>
          <w:rFonts w:ascii="Arial" w:cs="Arial" w:eastAsia="Arial" w:hAnsi="Arial"/>
          <w:sz w:val="18"/>
          <w:szCs w:val="18"/>
          <w:u w:val="single" w:color="auto"/>
          <w:color w:val="auto"/>
        </w:rPr>
        <w:t>Section 10.14</w:t>
      </w:r>
      <w:r>
        <w:rPr>
          <w:rFonts w:ascii="Arial" w:cs="Arial" w:eastAsia="Arial" w:hAnsi="Arial"/>
          <w:sz w:val="18"/>
          <w:szCs w:val="18"/>
          <w:color w:val="auto"/>
        </w:rPr>
        <w:t xml:space="preserve"> (Governing Law),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(Arbitration) and this </w:t>
      </w:r>
      <w:r>
        <w:rPr>
          <w:rFonts w:ascii="Arial" w:cs="Arial" w:eastAsia="Arial" w:hAnsi="Arial"/>
          <w:sz w:val="18"/>
          <w:szCs w:val="18"/>
          <w:u w:val="single" w:color="auto"/>
          <w:color w:val="auto"/>
        </w:rPr>
        <w:t>Section 8.2</w:t>
      </w:r>
      <w:r>
        <w:rPr>
          <w:rFonts w:ascii="Arial" w:cs="Arial" w:eastAsia="Arial" w:hAnsi="Arial"/>
          <w:sz w:val="18"/>
          <w:szCs w:val="18"/>
          <w:color w:val="auto"/>
        </w:rPr>
        <w:t>, all of which will survive the termination date. Notwithstanding the foregoing, nothing contained in this Agreement will relieve any Party from liability for any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55" w:lineRule="auto"/>
        <w:tabs>
          <w:tab w:leader="none" w:pos="199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Buyer and its Affiliates hereby agree to indemnify Seller and its officers, directors, employees, attorneys, Subsidiaries and Affiliates (all such Persons being collectively referred to as the “</w:t>
      </w:r>
      <w:r>
        <w:rPr>
          <w:rFonts w:ascii="Arial" w:cs="Arial" w:eastAsia="Arial" w:hAnsi="Arial"/>
          <w:sz w:val="18"/>
          <w:szCs w:val="18"/>
          <w:b w:val="1"/>
          <w:bCs w:val="1"/>
          <w:color w:val="auto"/>
        </w:rPr>
        <w:t>Seller Indemnified Party</w:t>
      </w:r>
      <w:r>
        <w:rPr>
          <w:rFonts w:ascii="Arial" w:cs="Arial" w:eastAsia="Arial" w:hAnsi="Arial"/>
          <w:sz w:val="18"/>
          <w:szCs w:val="18"/>
          <w:color w:val="auto"/>
        </w:rPr>
        <w:t>”) against and to hold each of them harmless from any and all damages, losses, liabilities and expenses (including reasonable expenses of investigation and reasonable attorneys’ fees and expenses in connection with any action, suit or proceeding) (“</w:t>
      </w:r>
      <w:r>
        <w:rPr>
          <w:rFonts w:ascii="Arial" w:cs="Arial" w:eastAsia="Arial" w:hAnsi="Arial"/>
          <w:sz w:val="18"/>
          <w:szCs w:val="18"/>
          <w:b w:val="1"/>
          <w:bCs w:val="1"/>
          <w:color w:val="auto"/>
        </w:rPr>
        <w:t>Damages</w:t>
      </w:r>
      <w:r>
        <w:rPr>
          <w:rFonts w:ascii="Arial" w:cs="Arial" w:eastAsia="Arial" w:hAnsi="Arial"/>
          <w:sz w:val="18"/>
          <w:szCs w:val="18"/>
          <w:color w:val="auto"/>
        </w:rPr>
        <w:t xml:space="preserve">”) incurred or suffered by any Seller Indemnified Party arising out of: (i) any Tax imposed on any Transferred Subsidiary for all taxable periods (or the portion thereof) beginning after the Closing Date (determined in accordance with </w:t>
      </w:r>
      <w:r>
        <w:rPr>
          <w:rFonts w:ascii="Arial" w:cs="Arial" w:eastAsia="Arial" w:hAnsi="Arial"/>
          <w:sz w:val="18"/>
          <w:szCs w:val="18"/>
          <w:u w:val="single" w:color="auto"/>
          <w:color w:val="auto"/>
        </w:rPr>
        <w:t>Section 6.2(c))</w:t>
      </w:r>
      <w:r>
        <w:rPr>
          <w:rFonts w:ascii="Arial" w:cs="Arial" w:eastAsia="Arial" w:hAnsi="Arial"/>
          <w:sz w:val="18"/>
          <w:szCs w:val="18"/>
          <w:color w:val="auto"/>
        </w:rPr>
        <w:t>; (ii) the operation of the business of the Transferred Subsidiaries on or after the Closing Date; (iii) any breach of any representation or warranty of Buyer hereunder; and (iv) the fraud or willful misconduct of Buyer or any of its Affiliates.</w:t>
      </w:r>
    </w:p>
    <w:p>
      <w:pPr>
        <w:spacing w:after="0" w:line="189" w:lineRule="exact"/>
        <w:rPr>
          <w:rFonts w:ascii="Arial" w:cs="Arial" w:eastAsia="Arial" w:hAnsi="Arial"/>
          <w:sz w:val="18"/>
          <w:szCs w:val="18"/>
          <w:color w:val="auto"/>
        </w:rPr>
      </w:pPr>
    </w:p>
    <w:p>
      <w:pPr>
        <w:ind w:right="60" w:firstLine="1305"/>
        <w:spacing w:after="0" w:line="255" w:lineRule="auto"/>
        <w:tabs>
          <w:tab w:leader="none" w:pos="200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Seller and its Affiliates hereby agree to indemnify Buyer and its officers, directors, employees, attorneys, Subsidiaries and Affiliates (all such Persons being collectively referred to as the “</w:t>
      </w:r>
      <w:r>
        <w:rPr>
          <w:rFonts w:ascii="Arial" w:cs="Arial" w:eastAsia="Arial" w:hAnsi="Arial"/>
          <w:sz w:val="18"/>
          <w:szCs w:val="18"/>
          <w:b w:val="1"/>
          <w:bCs w:val="1"/>
          <w:color w:val="auto"/>
        </w:rPr>
        <w:t>Buyer Indemnified Party</w:t>
      </w:r>
      <w:r>
        <w:rPr>
          <w:rFonts w:ascii="Arial" w:cs="Arial" w:eastAsia="Arial" w:hAnsi="Arial"/>
          <w:sz w:val="18"/>
          <w:szCs w:val="18"/>
          <w:color w:val="auto"/>
        </w:rPr>
        <w:t xml:space="preserve">”) against and to hold each of them harmless from any and all Damages incurred or suffered by Buyer Indemnified Party arising out of (i) Indemnified Taxes as defined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(ii) any breach of any representation or warranty of Seller hereunder, (iii) the fraud or willful misconduct of Seller or any of its Affiliates, or (iv) provided that such Damages have not arisen from a breach by Buyer (and not by Seller) of its obligations under the last sentence of </w:t>
      </w:r>
      <w:r>
        <w:rPr>
          <w:rFonts w:ascii="Arial" w:cs="Arial" w:eastAsia="Arial" w:hAnsi="Arial"/>
          <w:sz w:val="18"/>
          <w:szCs w:val="18"/>
          <w:u w:val="single" w:color="auto"/>
          <w:color w:val="auto"/>
        </w:rPr>
        <w:t>Section 6.9</w:t>
      </w:r>
      <w:r>
        <w:rPr>
          <w:rFonts w:ascii="Arial" w:cs="Arial" w:eastAsia="Arial" w:hAnsi="Arial"/>
          <w:sz w:val="18"/>
          <w:szCs w:val="18"/>
          <w:color w:val="auto"/>
        </w:rPr>
        <w:t>, (A) any operations of Questus at or prior to the Closing or (B) any transactions relating to the ownership of Questus or any transactions to which Questus was a party or by which it or its assets were bound, in each case that occurred at or prior to the Closing.</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Notice of Claim; Third Party Claims.</w:t>
      </w:r>
    </w:p>
    <w:p>
      <w:pPr>
        <w:spacing w:after="0" w:line="221" w:lineRule="exact"/>
        <w:rPr>
          <w:sz w:val="20"/>
          <w:szCs w:val="20"/>
          <w:color w:val="auto"/>
        </w:rPr>
      </w:pPr>
    </w:p>
    <w:p>
      <w:pPr>
        <w:ind w:firstLine="1305"/>
        <w:spacing w:after="0" w:line="254" w:lineRule="auto"/>
        <w:tabs>
          <w:tab w:leader="none" w:pos="199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The party seeking indemnification under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(the “</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agrees to give prompt notice (a </w:t>
      </w:r>
      <w:r>
        <w:rPr>
          <w:rFonts w:ascii="Arial" w:cs="Arial" w:eastAsia="Arial" w:hAnsi="Arial"/>
          <w:sz w:val="18"/>
          <w:szCs w:val="18"/>
          <w:b w:val="1"/>
          <w:bCs w:val="1"/>
          <w:color w:val="auto"/>
        </w:rPr>
        <w:t>“Notice of</w:t>
      </w:r>
      <w:r>
        <w:rPr>
          <w:rFonts w:ascii="Arial" w:cs="Arial" w:eastAsia="Arial" w:hAnsi="Arial"/>
          <w:sz w:val="18"/>
          <w:szCs w:val="18"/>
          <w:color w:val="auto"/>
        </w:rPr>
        <w:t xml:space="preserve"> </w:t>
      </w:r>
      <w:r>
        <w:rPr>
          <w:rFonts w:ascii="Arial" w:cs="Arial" w:eastAsia="Arial" w:hAnsi="Arial"/>
          <w:sz w:val="18"/>
          <w:szCs w:val="18"/>
          <w:b w:val="1"/>
          <w:bCs w:val="1"/>
          <w:color w:val="auto"/>
        </w:rPr>
        <w:t>Claim”</w:t>
      </w:r>
      <w:r>
        <w:rPr>
          <w:rFonts w:ascii="Arial" w:cs="Arial" w:eastAsia="Arial" w:hAnsi="Arial"/>
          <w:sz w:val="18"/>
          <w:szCs w:val="18"/>
          <w:color w:val="auto"/>
        </w:rPr>
        <w:t>) to the party against whom indemnity is sought (the “</w:t>
      </w:r>
      <w:r>
        <w:rPr>
          <w:rFonts w:ascii="Arial" w:cs="Arial" w:eastAsia="Arial" w:hAnsi="Arial"/>
          <w:sz w:val="18"/>
          <w:szCs w:val="18"/>
          <w:b w:val="1"/>
          <w:bCs w:val="1"/>
          <w:color w:val="auto"/>
        </w:rPr>
        <w:t>Indemnifying Party</w:t>
      </w:r>
      <w:r>
        <w:rPr>
          <w:rFonts w:ascii="Arial" w:cs="Arial" w:eastAsia="Arial" w:hAnsi="Arial"/>
          <w:sz w:val="18"/>
          <w:szCs w:val="18"/>
          <w:color w:val="auto"/>
        </w:rPr>
        <w:t>”) of the assertion of any claim or the commencement of any suit, action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proceeding (any such claim, suit, action or proceeding, a </w:t>
      </w:r>
      <w:r>
        <w:rPr>
          <w:rFonts w:ascii="Arial" w:cs="Arial" w:eastAsia="Arial" w:hAnsi="Arial"/>
          <w:sz w:val="18"/>
          <w:szCs w:val="18"/>
          <w:b w:val="1"/>
          <w:bCs w:val="1"/>
          <w:color w:val="auto"/>
        </w:rPr>
        <w:t>“Claim”</w:t>
      </w:r>
      <w:r>
        <w:rPr>
          <w:rFonts w:ascii="Arial" w:cs="Arial" w:eastAsia="Arial" w:hAnsi="Arial"/>
          <w:sz w:val="18"/>
          <w:szCs w:val="18"/>
          <w:color w:val="auto"/>
        </w:rPr>
        <w:t xml:space="preserve">) in respect of which indemnity may be sought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and will provide the Indemnifying Party with such information relating thereto that the Indemnifying Party may reasonably request. Each Notice of Claim will contain the following: (i) a statement that the Indemnified Party has incurred or suffered Damages in an aggregate stated amount arising from such Claim (which amount may be the amount of damages claimed by a third party in a Third Party Claim (as defined in </w:t>
      </w:r>
      <w:r>
        <w:rPr>
          <w:rFonts w:ascii="Arial" w:cs="Arial" w:eastAsia="Arial" w:hAnsi="Arial"/>
          <w:sz w:val="18"/>
          <w:szCs w:val="18"/>
          <w:u w:val="single" w:color="auto"/>
          <w:color w:val="auto"/>
        </w:rPr>
        <w:t>Section 9.2(b)</w:t>
      </w:r>
      <w:r>
        <w:rPr>
          <w:rFonts w:ascii="Arial" w:cs="Arial" w:eastAsia="Arial" w:hAnsi="Arial"/>
          <w:sz w:val="18"/>
          <w:szCs w:val="18"/>
          <w:color w:val="auto"/>
        </w:rPr>
        <w:t>)); and (ii) a brief description, in reasonable detail (to the extent reasonably available to the Indemnified Party), of the facts, circumstances or events giving rise to the alleged Damages based on the Indemnified Party’s good faith belief thereof, including the identity and address of any third-party claimant (to the extent reasonably available to the Indemnified Party) and copies of any formal demand or complaint, the amount of Damages, the date each such item was incurred or suffered and the specific nature of the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 which such item is related. The failure to promptly notify the Indemnifying Party shall not relieve the Indemnifying Party of its obligations hereunder, except to the extent such failure shall have adversely prejudiced the Indemnifying Party.</w:t>
      </w:r>
    </w:p>
    <w:p>
      <w:pPr>
        <w:spacing w:after="0" w:line="170" w:lineRule="exact"/>
        <w:rPr>
          <w:sz w:val="20"/>
          <w:szCs w:val="20"/>
          <w:color w:val="auto"/>
        </w:rPr>
      </w:pPr>
    </w:p>
    <w:p>
      <w:pPr>
        <w:ind w:firstLine="1305"/>
        <w:spacing w:after="0" w:line="253" w:lineRule="auto"/>
        <w:tabs>
          <w:tab w:leader="none" w:pos="200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Except as otherwise provided with respect to Tax matters addressed in </w:t>
      </w:r>
      <w:r>
        <w:rPr>
          <w:rFonts w:ascii="Arial" w:cs="Arial" w:eastAsia="Arial" w:hAnsi="Arial"/>
          <w:sz w:val="18"/>
          <w:szCs w:val="18"/>
          <w:u w:val="single" w:color="auto"/>
          <w:color w:val="auto"/>
        </w:rPr>
        <w:t>Article 6</w:t>
      </w:r>
      <w:r>
        <w:rPr>
          <w:rFonts w:ascii="Arial" w:cs="Arial" w:eastAsia="Arial" w:hAnsi="Arial"/>
          <w:sz w:val="18"/>
          <w:szCs w:val="18"/>
          <w:color w:val="auto"/>
        </w:rPr>
        <w:t>, the Indemnifying Party will have the right, within 10 calendar days after written notice delivered to the Indemnified Party, to assume full responsibility for any Damages resulting from any Claim asserted by any third party for which indemnification is available hereunder (a “</w:t>
      </w:r>
      <w:r>
        <w:rPr>
          <w:rFonts w:ascii="Arial" w:cs="Arial" w:eastAsia="Arial" w:hAnsi="Arial"/>
          <w:sz w:val="18"/>
          <w:szCs w:val="18"/>
          <w:b w:val="1"/>
          <w:bCs w:val="1"/>
          <w:color w:val="auto"/>
        </w:rPr>
        <w:t>Third Party Claim</w:t>
      </w:r>
      <w:r>
        <w:rPr>
          <w:rFonts w:ascii="Arial" w:cs="Arial" w:eastAsia="Arial" w:hAnsi="Arial"/>
          <w:sz w:val="18"/>
          <w:szCs w:val="18"/>
          <w:color w:val="auto"/>
        </w:rPr>
        <w:t>”) and to assume the defense of such Third Party Claim, including the employment of counsel reasonably satisfactory to the Indemnified Party and the payment of the fees and disbursements of such counsel. If, however, the Indemnifying Party declines or fails to assume the defense of such Third Party Claim on the terms provided above or to employ counsel reasonably satisfactory to the Indemnified Party, in either case within such 10-day period, then the Indemnifying Party will pay the reasonable fees and disbursements of counsel for the Indemnified Party as incurred. The party that is defending a Third Party Claim (the “</w:t>
      </w:r>
      <w:r>
        <w:rPr>
          <w:rFonts w:ascii="Arial" w:cs="Arial" w:eastAsia="Arial" w:hAnsi="Arial"/>
          <w:sz w:val="18"/>
          <w:szCs w:val="18"/>
          <w:b w:val="1"/>
          <w:bCs w:val="1"/>
          <w:color w:val="auto"/>
        </w:rPr>
        <w:t>Defending Party</w:t>
      </w:r>
      <w:r>
        <w:rPr>
          <w:rFonts w:ascii="Arial" w:cs="Arial" w:eastAsia="Arial" w:hAnsi="Arial"/>
          <w:sz w:val="18"/>
          <w:szCs w:val="18"/>
          <w:color w:val="auto"/>
        </w:rPr>
        <w:t>”) will at all times use reasonable efforts to keep the party that is not defending a Third Party Claim (the “</w:t>
      </w:r>
      <w:r>
        <w:rPr>
          <w:rFonts w:ascii="Arial" w:cs="Arial" w:eastAsia="Arial" w:hAnsi="Arial"/>
          <w:sz w:val="18"/>
          <w:szCs w:val="18"/>
          <w:b w:val="1"/>
          <w:bCs w:val="1"/>
          <w:color w:val="auto"/>
        </w:rPr>
        <w:t>Non-Defending Party</w:t>
      </w:r>
      <w:r>
        <w:rPr>
          <w:rFonts w:ascii="Arial" w:cs="Arial" w:eastAsia="Arial" w:hAnsi="Arial"/>
          <w:sz w:val="18"/>
          <w:szCs w:val="18"/>
          <w:color w:val="auto"/>
        </w:rPr>
        <w:t>”) reasonably apprised of the status of the defense of any matter the defense of which the Indemnifying Party has assumed and to cooperate in good faith with the Indemnified Party with respect to the defense of any such matter.</w:t>
      </w:r>
    </w:p>
    <w:p>
      <w:pPr>
        <w:spacing w:after="0" w:line="194" w:lineRule="exact"/>
        <w:rPr>
          <w:rFonts w:ascii="Arial" w:cs="Arial" w:eastAsia="Arial" w:hAnsi="Arial"/>
          <w:sz w:val="18"/>
          <w:szCs w:val="18"/>
          <w:color w:val="auto"/>
        </w:rPr>
      </w:pPr>
    </w:p>
    <w:p>
      <w:pPr>
        <w:jc w:val="both"/>
        <w:ind w:right="160" w:firstLine="1305"/>
        <w:spacing w:after="0" w:line="259" w:lineRule="auto"/>
        <w:tabs>
          <w:tab w:leader="none" w:pos="199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Non-Defending Party will have the right to participate at its own expense in all proceedings. Each party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186" w:lineRule="exact"/>
        <w:rPr>
          <w:rFonts w:ascii="Arial" w:cs="Arial" w:eastAsia="Arial" w:hAnsi="Arial"/>
          <w:sz w:val="18"/>
          <w:szCs w:val="18"/>
          <w:color w:val="auto"/>
        </w:rPr>
      </w:pPr>
    </w:p>
    <w:p>
      <w:pPr>
        <w:ind w:right="720" w:firstLine="1305"/>
        <w:spacing w:after="0" w:line="277" w:lineRule="auto"/>
        <w:tabs>
          <w:tab w:leader="none" w:pos="200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Defending Party shall obtain the prior written consent of the Non-Defending Party (which shall not be unreasonably withheld) before entering into any settlement of such Third Party Claim.</w:t>
      </w:r>
    </w:p>
    <w:p>
      <w:pPr>
        <w:sectPr>
          <w:pgSz w:w="11900" w:h="16838" w:orient="portrait"/>
          <w:cols w:equalWidth="0" w:num="1">
            <w:col w:w="11420"/>
          </w:cols>
          <w:pgMar w:left="240" w:top="125" w:right="239" w:bottom="0" w:gutter="0" w:footer="0" w:header="0"/>
        </w:sectPr>
      </w:pPr>
    </w:p>
    <w:bookmarkStart w:id="131" w:name="page132"/>
    <w:bookmarkEnd w:id="131"/>
    <w:p>
      <w:pPr>
        <w:ind w:left="220" w:right="40" w:firstLine="648"/>
        <w:spacing w:after="0" w:line="289" w:lineRule="auto"/>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i w:val="1"/>
          <w:iCs w:val="1"/>
          <w:color w:val="auto"/>
        </w:rPr>
        <w:t>Calculation of Damages.</w:t>
      </w:r>
      <w:r>
        <w:rPr>
          <w:rFonts w:ascii="Arial" w:cs="Arial" w:eastAsia="Arial" w:hAnsi="Arial"/>
          <w:sz w:val="16"/>
          <w:szCs w:val="16"/>
          <w:color w:val="auto"/>
        </w:rPr>
        <w:t xml:space="preserve"> The amount of any Damages payable under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by the Indemnifying Party shall be net of any amounts recovered or recoverable by the Indemnified Party under applicable insurance policies. The amount of Damages attributable to Indemnified Taxes shall be reduced by any Tax benefit actually realized by the Indemnified Party or its Affiliates by virtue of suffering such Damages and shall be increased by any Tax detriment actually realized by the Indemnified Party or its Affiliates by virtue of receiving indemnification pursuant to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The amount of any Damages otherwise subject to indemnification under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shall also be reduced to the extent of any “Unanticipated Cash Benefit” actually realized by the Buyer within one year following the Closing Date. The Buyer shall be deemed to have an Unanticipated Cash Benefit to the extent that, within one year following the Closing Date, the Buyer or its Affiliates (i) actually receives cash from an asset that was not shown on the Unaudited Interim Balance Sheet but would have properly been shown pursuant to GAAP, or (ii) actually realizes a reduction in cash outflow because the actual amount of a Liability of a Transferred Subsidiary is less than that shown on the Unaudited Interim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335915</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right="60" w:firstLine="648"/>
        <w:spacing w:after="0" w:line="302"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i w:val="1"/>
          <w:iCs w:val="1"/>
          <w:color w:val="auto"/>
        </w:rPr>
        <w:t>Rights Independent of Prior Investigation.</w:t>
      </w:r>
      <w:r>
        <w:rPr>
          <w:rFonts w:ascii="Arial" w:cs="Arial" w:eastAsia="Arial" w:hAnsi="Arial"/>
          <w:sz w:val="16"/>
          <w:szCs w:val="16"/>
          <w:color w:val="auto"/>
        </w:rPr>
        <w:t xml:space="preserve"> The right of each party to indemnification, reimbursement or other remedy based upon any representations, warranties, covenants and obligations of the other party herein shall not be affected by any investigation conducted with respect to, or any knowledge acquired (or capable of being acquired) at any time, whether before or after the execution and delivery of this Agreement or the Closing Date, by such party with respect to the accuracy or inaccuracy of or compliance with any representation, warranty, covenant or obligation.</w:t>
      </w:r>
    </w:p>
    <w:p>
      <w:pPr>
        <w:spacing w:after="0" w:line="154" w:lineRule="exact"/>
        <w:rPr>
          <w:sz w:val="20"/>
          <w:szCs w:val="20"/>
          <w:color w:val="auto"/>
        </w:rPr>
      </w:pPr>
    </w:p>
    <w:p>
      <w:pPr>
        <w:ind w:left="220" w:right="640" w:firstLine="648"/>
        <w:spacing w:after="0" w:line="277"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i w:val="1"/>
          <w:iCs w:val="1"/>
          <w:color w:val="auto"/>
        </w:rPr>
        <w:t>Resolution of Notice of Claim.</w:t>
      </w:r>
      <w:r>
        <w:rPr>
          <w:rFonts w:ascii="Arial" w:cs="Arial" w:eastAsia="Arial" w:hAnsi="Arial"/>
          <w:sz w:val="18"/>
          <w:szCs w:val="18"/>
          <w:color w:val="auto"/>
        </w:rPr>
        <w:t xml:space="preserve"> Each Notice of Claim delivered by an Indemnified Party to an Indemnifying Party will be resolved as follows:</w:t>
      </w:r>
    </w:p>
    <w:p>
      <w:pPr>
        <w:spacing w:after="0" w:line="170" w:lineRule="exact"/>
        <w:rPr>
          <w:sz w:val="20"/>
          <w:szCs w:val="20"/>
          <w:color w:val="auto"/>
        </w:rPr>
      </w:pPr>
    </w:p>
    <w:p>
      <w:pPr>
        <w:ind w:right="20" w:firstLine="1305"/>
        <w:spacing w:after="0" w:line="270" w:lineRule="auto"/>
        <w:tabs>
          <w:tab w:leader="none" w:pos="199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With respect to a Claim that does not arise out of a Third Party Claim, if, within 20 calendar days after a Notice of Claim is received by the Indemnifying Party, the Indemnifying Party does not contest such Notice of Claim in writing to the Indemnified Party as provided in Section 9.5(b), then the Indemnifying Party will be conclusively deemed to have consented to the recovery by the Indemnified Party of the full amount of the Damages specified in the Notice of Claim and, without further notice, to have stipulated to the entry of a final judgment for damages against the Indemnifying Party for such amount in any court having jurisdiction over the matter where venue is proper. With respect to a Third Party Claim, if the Indemnifying Party assumes the defense of such Third Party Claim on the terms provided in </w:t>
      </w:r>
      <w:r>
        <w:rPr>
          <w:rFonts w:ascii="Arial" w:cs="Arial" w:eastAsia="Arial" w:hAnsi="Arial"/>
          <w:sz w:val="17"/>
          <w:szCs w:val="17"/>
          <w:u w:val="single" w:color="auto"/>
          <w:color w:val="auto"/>
        </w:rPr>
        <w:t>Section 9.2(b)</w:t>
      </w:r>
      <w:r>
        <w:rPr>
          <w:rFonts w:ascii="Arial" w:cs="Arial" w:eastAsia="Arial" w:hAnsi="Arial"/>
          <w:sz w:val="17"/>
          <w:szCs w:val="17"/>
          <w:color w:val="auto"/>
        </w:rPr>
        <w:t xml:space="preserve"> and employs counsel reasonably satisfactory to the Indemnified Party, then the Indemnifying Party will be conclusively deemed to have consented to the recovery by the Indemnified Party of the full amount of the Damages specified in the Notice of Claim and, without further notice, to have stipulated to the entry of a final judgment for damages against the Indemnifying Party for such amount in any court having jurisdiction over the matter where venue is proper.</w:t>
      </w:r>
    </w:p>
    <w:p>
      <w:pPr>
        <w:spacing w:after="0" w:line="181" w:lineRule="exact"/>
        <w:rPr>
          <w:rFonts w:ascii="Arial" w:cs="Arial" w:eastAsia="Arial" w:hAnsi="Arial"/>
          <w:sz w:val="17"/>
          <w:szCs w:val="17"/>
          <w:color w:val="auto"/>
        </w:rPr>
      </w:pPr>
    </w:p>
    <w:p>
      <w:pPr>
        <w:ind w:right="20" w:firstLine="1305"/>
        <w:spacing w:after="0" w:line="255" w:lineRule="auto"/>
        <w:tabs>
          <w:tab w:leader="none" w:pos="200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If, (i) with respect to a Claim that is not a Third Party Claim, the Indemnifying Party delivers the notice specified in </w:t>
      </w:r>
      <w:r>
        <w:rPr>
          <w:rFonts w:ascii="Arial" w:cs="Arial" w:eastAsia="Arial" w:hAnsi="Arial"/>
          <w:sz w:val="18"/>
          <w:szCs w:val="18"/>
          <w:u w:val="single" w:color="auto"/>
          <w:color w:val="auto"/>
        </w:rPr>
        <w:t>Section 9.5(a)</w:t>
      </w:r>
      <w:r>
        <w:rPr>
          <w:rFonts w:ascii="Arial" w:cs="Arial" w:eastAsia="Arial" w:hAnsi="Arial"/>
          <w:sz w:val="18"/>
          <w:szCs w:val="18"/>
          <w:color w:val="auto"/>
        </w:rPr>
        <w:t xml:space="preserve"> within the 20-day period specified or (ii) with respect to a Third Party Claim, the Indemnifying Party declines or fails to assume the defense of such Third Party Claim on the terms provided in </w:t>
      </w:r>
      <w:r>
        <w:rPr>
          <w:rFonts w:ascii="Arial" w:cs="Arial" w:eastAsia="Arial" w:hAnsi="Arial"/>
          <w:sz w:val="18"/>
          <w:szCs w:val="18"/>
          <w:u w:val="single" w:color="auto"/>
          <w:color w:val="auto"/>
        </w:rPr>
        <w:t>Section 9.2(b)</w:t>
      </w:r>
      <w:r>
        <w:rPr>
          <w:rFonts w:ascii="Arial" w:cs="Arial" w:eastAsia="Arial" w:hAnsi="Arial"/>
          <w:sz w:val="18"/>
          <w:szCs w:val="18"/>
          <w:color w:val="auto"/>
        </w:rPr>
        <w:t xml:space="preserve"> or to employ counsel reasonably satisfactory to the Indemnified Party, in either case within the 10-day period provided in </w:t>
      </w:r>
      <w:r>
        <w:rPr>
          <w:rFonts w:ascii="Arial" w:cs="Arial" w:eastAsia="Arial" w:hAnsi="Arial"/>
          <w:sz w:val="18"/>
          <w:szCs w:val="18"/>
          <w:u w:val="single" w:color="auto"/>
          <w:color w:val="auto"/>
        </w:rPr>
        <w:t>Section 9.2(b)</w:t>
      </w:r>
      <w:r>
        <w:rPr>
          <w:rFonts w:ascii="Arial" w:cs="Arial" w:eastAsia="Arial" w:hAnsi="Arial"/>
          <w:sz w:val="18"/>
          <w:szCs w:val="18"/>
          <w:color w:val="auto"/>
        </w:rPr>
        <w:t xml:space="preserve"> (a Claim described in either of the foregoing clauses (i) and (ii), a </w:t>
      </w:r>
      <w:r>
        <w:rPr>
          <w:rFonts w:ascii="Arial" w:cs="Arial" w:eastAsia="Arial" w:hAnsi="Arial"/>
          <w:sz w:val="18"/>
          <w:szCs w:val="18"/>
          <w:b w:val="1"/>
          <w:bCs w:val="1"/>
          <w:color w:val="auto"/>
        </w:rPr>
        <w:t>“Contested Claim”</w:t>
      </w:r>
      <w:r>
        <w:rPr>
          <w:rFonts w:ascii="Arial" w:cs="Arial" w:eastAsia="Arial" w:hAnsi="Arial"/>
          <w:sz w:val="18"/>
          <w:szCs w:val="18"/>
          <w:color w:val="auto"/>
        </w:rPr>
        <w:t xml:space="preserve">), then such Contested Claim will be resolved by either (iii) a written settlement agreement executed by the Indemnifying Party and the Indemnified Party or (iv) in the absence of such a written settlement agreement, by binding arbitration between Indemnifying Party and the Indemnified Party in accordance with the terms and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120" w:firstLine="1305"/>
        <w:spacing w:after="0" w:line="308" w:lineRule="auto"/>
        <w:tabs>
          <w:tab w:leader="none" w:pos="199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If a Claim (including a Contested Claim) is settled by a written settlement agreement executed by the Indemnifying Party and the Indemnified Party (a </w:t>
      </w:r>
      <w:r>
        <w:rPr>
          <w:rFonts w:ascii="Arial" w:cs="Arial" w:eastAsia="Arial" w:hAnsi="Arial"/>
          <w:sz w:val="17"/>
          <w:szCs w:val="17"/>
          <w:b w:val="1"/>
          <w:bCs w:val="1"/>
          <w:color w:val="auto"/>
        </w:rPr>
        <w:t>“Settled Claim”</w:t>
      </w:r>
      <w:r>
        <w:rPr>
          <w:rFonts w:ascii="Arial" w:cs="Arial" w:eastAsia="Arial" w:hAnsi="Arial"/>
          <w:sz w:val="17"/>
          <w:szCs w:val="17"/>
          <w:color w:val="auto"/>
        </w:rPr>
        <w:t>), then the parties will resolve such Settled Claim as provided in such settlement agreement.</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i w:val="1"/>
          <w:iCs w:val="1"/>
          <w:color w:val="auto"/>
        </w:rPr>
        <w:t>Disposition of Holdback Amount.</w:t>
      </w:r>
      <w:r>
        <w:rPr>
          <w:rFonts w:ascii="Arial" w:cs="Arial" w:eastAsia="Arial" w:hAnsi="Arial"/>
          <w:sz w:val="18"/>
          <w:szCs w:val="18"/>
          <w:color w:val="auto"/>
        </w:rPr>
        <w:t xml:space="preserve"> The Holdback Amount shall be distributed as follows:</w:t>
      </w:r>
    </w:p>
    <w:p>
      <w:pPr>
        <w:spacing w:after="0" w:line="225" w:lineRule="exact"/>
        <w:rPr>
          <w:sz w:val="20"/>
          <w:szCs w:val="20"/>
          <w:color w:val="auto"/>
        </w:rPr>
      </w:pPr>
    </w:p>
    <w:p>
      <w:pPr>
        <w:ind w:right="160" w:firstLine="1305"/>
        <w:spacing w:after="0" w:line="277" w:lineRule="auto"/>
        <w:tabs>
          <w:tab w:leader="none" w:pos="199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Upon the Final Determination (as hereafter defined) of a Claim against any Seller Indemnifying Party prior to the date that is the earlier of (i) March 31, 2008 and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the date that Buyer files its annual report on Form 10-K for the fiscal year ended December 31, 2007 with the SEC (the </w:t>
      </w:r>
      <w:r>
        <w:rPr>
          <w:rFonts w:ascii="Arial" w:cs="Arial" w:eastAsia="Arial" w:hAnsi="Arial"/>
          <w:sz w:val="18"/>
          <w:szCs w:val="18"/>
          <w:b w:val="1"/>
          <w:bCs w:val="1"/>
          <w:color w:val="auto"/>
        </w:rPr>
        <w:t>“Final Holdback Date”</w:t>
      </w:r>
      <w:r>
        <w:rPr>
          <w:rFonts w:ascii="Arial" w:cs="Arial" w:eastAsia="Arial" w:hAnsi="Arial"/>
          <w:sz w:val="18"/>
          <w:szCs w:val="18"/>
          <w:color w:val="auto"/>
        </w:rPr>
        <w:t>), a portion of the Holdback Amount equal to the lesser of the amount of the Claim as Finally Determined or the entire amount of the Holdback Amount shall be retained by Buyer and shall no longer constitute part of the Holdback Amount.</w:t>
      </w:r>
    </w:p>
    <w:p>
      <w:pPr>
        <w:spacing w:after="0" w:line="180" w:lineRule="exact"/>
        <w:rPr>
          <w:sz w:val="20"/>
          <w:szCs w:val="20"/>
          <w:color w:val="auto"/>
        </w:rPr>
      </w:pPr>
    </w:p>
    <w:p>
      <w:pPr>
        <w:ind w:right="100" w:firstLine="1305"/>
        <w:spacing w:after="0" w:line="291" w:lineRule="auto"/>
        <w:tabs>
          <w:tab w:leader="none" w:pos="2001" w:val="left"/>
        </w:tabs>
        <w:numPr>
          <w:ilvl w:val="1"/>
          <w:numId w:val="117"/>
        </w:numPr>
        <w:rPr>
          <w:rFonts w:ascii="Arial" w:cs="Arial" w:eastAsia="Arial" w:hAnsi="Arial"/>
          <w:sz w:val="16"/>
          <w:szCs w:val="16"/>
          <w:color w:val="auto"/>
        </w:rPr>
      </w:pPr>
      <w:r>
        <w:rPr>
          <w:rFonts w:ascii="Arial" w:cs="Arial" w:eastAsia="Arial" w:hAnsi="Arial"/>
          <w:sz w:val="16"/>
          <w:szCs w:val="16"/>
          <w:color w:val="auto"/>
        </w:rPr>
        <w:t xml:space="preserve">On the Final Holdback Date, (i) if there are no Claims pending against any Seller Indemnifying Party, a portion of the Holdback Amount equal to the original amount of the Holdback Amount minus any amount retained by Buyer pursuant to </w:t>
      </w:r>
      <w:r>
        <w:rPr>
          <w:rFonts w:ascii="Arial" w:cs="Arial" w:eastAsia="Arial" w:hAnsi="Arial"/>
          <w:sz w:val="16"/>
          <w:szCs w:val="16"/>
          <w:u w:val="single" w:color="auto"/>
          <w:color w:val="auto"/>
        </w:rPr>
        <w:t>Section 9.6(a)</w:t>
      </w:r>
      <w:r>
        <w:rPr>
          <w:rFonts w:ascii="Arial" w:cs="Arial" w:eastAsia="Arial" w:hAnsi="Arial"/>
          <w:sz w:val="16"/>
          <w:szCs w:val="16"/>
          <w:color w:val="auto"/>
        </w:rPr>
        <w:t xml:space="preserve"> shall be released to Seller and</w:t>
      </w:r>
    </w:p>
    <w:p>
      <w:pPr>
        <w:ind w:firstLine="8"/>
        <w:spacing w:after="0" w:line="254" w:lineRule="auto"/>
        <w:tabs>
          <w:tab w:leader="none" w:pos="2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if there are any Claims pending against any Seller Indemnifying Party, (A) a portion of the Holdback Amount equal to the lesser of the aggregate amount of such pending Claims and the remaining balance of the Holdback Amount as of such date shall not be released to Seller and remain subject to the provisions of this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until such time as all such Claims have been Finally Determined and (B) any remaining amount of the Holdback Amount after the application of subclause (A) shall be released to Seller.</w:t>
      </w:r>
    </w:p>
    <w:p>
      <w:pPr>
        <w:spacing w:after="0" w:line="189" w:lineRule="exact"/>
        <w:rPr>
          <w:rFonts w:ascii="Arial" w:cs="Arial" w:eastAsia="Arial" w:hAnsi="Arial"/>
          <w:sz w:val="18"/>
          <w:szCs w:val="18"/>
          <w:color w:val="auto"/>
        </w:rPr>
      </w:pPr>
    </w:p>
    <w:p>
      <w:pPr>
        <w:jc w:val="both"/>
        <w:ind w:right="60" w:firstLine="1305"/>
        <w:spacing w:after="0" w:line="264" w:lineRule="auto"/>
        <w:tabs>
          <w:tab w:leader="none" w:pos="199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Upon the Final Determination of any Claim referred to in </w:t>
      </w:r>
      <w:r>
        <w:rPr>
          <w:rFonts w:ascii="Arial" w:cs="Arial" w:eastAsia="Arial" w:hAnsi="Arial"/>
          <w:sz w:val="18"/>
          <w:szCs w:val="18"/>
          <w:u w:val="single" w:color="auto"/>
          <w:color w:val="auto"/>
        </w:rPr>
        <w:t>Section 9.6(b)</w:t>
      </w:r>
      <w:r>
        <w:rPr>
          <w:rFonts w:ascii="Arial" w:cs="Arial" w:eastAsia="Arial" w:hAnsi="Arial"/>
          <w:sz w:val="18"/>
          <w:szCs w:val="18"/>
          <w:color w:val="auto"/>
        </w:rPr>
        <w:t>, a portion of the Holdback Amount equal to the lesser of the amount of the Claim as Finally Determined or the entire amount of the Holdback Amount shall be retained by Buyer and shall no longer constitute part of the Holdback Amount.</w:t>
      </w:r>
    </w:p>
    <w:p>
      <w:pPr>
        <w:spacing w:after="0" w:line="181" w:lineRule="exact"/>
        <w:rPr>
          <w:rFonts w:ascii="Arial" w:cs="Arial" w:eastAsia="Arial" w:hAnsi="Arial"/>
          <w:sz w:val="18"/>
          <w:szCs w:val="18"/>
          <w:color w:val="auto"/>
        </w:rPr>
      </w:pPr>
    </w:p>
    <w:p>
      <w:pPr>
        <w:ind w:right="260" w:firstLine="1305"/>
        <w:spacing w:after="0" w:line="277" w:lineRule="auto"/>
        <w:tabs>
          <w:tab w:leader="none" w:pos="200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Upon the Final Determination of the last remaining Claim referred to in </w:t>
      </w:r>
      <w:r>
        <w:rPr>
          <w:rFonts w:ascii="Arial" w:cs="Arial" w:eastAsia="Arial" w:hAnsi="Arial"/>
          <w:sz w:val="18"/>
          <w:szCs w:val="18"/>
          <w:u w:val="single" w:color="auto"/>
          <w:color w:val="auto"/>
        </w:rPr>
        <w:t>Section 9.6(b)</w:t>
      </w:r>
      <w:r>
        <w:rPr>
          <w:rFonts w:ascii="Arial" w:cs="Arial" w:eastAsia="Arial" w:hAnsi="Arial"/>
          <w:sz w:val="18"/>
          <w:szCs w:val="18"/>
          <w:color w:val="auto"/>
        </w:rPr>
        <w:t xml:space="preserve">, any remaining balance of the Holdback Amount after application of </w:t>
      </w:r>
      <w:r>
        <w:rPr>
          <w:rFonts w:ascii="Arial" w:cs="Arial" w:eastAsia="Arial" w:hAnsi="Arial"/>
          <w:sz w:val="18"/>
          <w:szCs w:val="18"/>
          <w:u w:val="single" w:color="auto"/>
          <w:color w:val="auto"/>
        </w:rPr>
        <w:t>Section 9.6(b)</w:t>
      </w:r>
      <w:r>
        <w:rPr>
          <w:rFonts w:ascii="Arial" w:cs="Arial" w:eastAsia="Arial" w:hAnsi="Arial"/>
          <w:sz w:val="18"/>
          <w:szCs w:val="18"/>
          <w:color w:val="auto"/>
        </w:rPr>
        <w:t xml:space="preserve"> to such Claim shall be released to Seller.</w:t>
      </w:r>
    </w:p>
    <w:p>
      <w:pPr>
        <w:spacing w:after="0" w:line="166" w:lineRule="exact"/>
        <w:rPr>
          <w:rFonts w:ascii="Arial" w:cs="Arial" w:eastAsia="Arial" w:hAnsi="Arial"/>
          <w:sz w:val="18"/>
          <w:szCs w:val="18"/>
          <w:color w:val="auto"/>
        </w:rPr>
      </w:pPr>
    </w:p>
    <w:p>
      <w:pPr>
        <w:ind w:right="20" w:firstLine="1305"/>
        <w:spacing w:after="0" w:line="298" w:lineRule="auto"/>
        <w:tabs>
          <w:tab w:leader="none" w:pos="199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9.6</w:t>
      </w:r>
      <w:r>
        <w:rPr>
          <w:rFonts w:ascii="Arial" w:cs="Arial" w:eastAsia="Arial" w:hAnsi="Arial"/>
          <w:sz w:val="16"/>
          <w:szCs w:val="16"/>
          <w:color w:val="auto"/>
        </w:rPr>
        <w:t>, a Claim shall be deemed to be “</w:t>
      </w:r>
      <w:r>
        <w:rPr>
          <w:rFonts w:ascii="Arial" w:cs="Arial" w:eastAsia="Arial" w:hAnsi="Arial"/>
          <w:sz w:val="16"/>
          <w:szCs w:val="16"/>
          <w:b w:val="1"/>
          <w:bCs w:val="1"/>
          <w:color w:val="auto"/>
        </w:rPr>
        <w:t>Finally Determined</w:t>
      </w:r>
      <w:r>
        <w:rPr>
          <w:rFonts w:ascii="Arial" w:cs="Arial" w:eastAsia="Arial" w:hAnsi="Arial"/>
          <w:sz w:val="16"/>
          <w:szCs w:val="16"/>
          <w:color w:val="auto"/>
        </w:rPr>
        <w:t>” if (i) the Claim is a Settled Claim or (ii) an arbitrator or court has rendered an award or judgment of such payment in favor of Buyer Indemnified Party and such award or judgment is not subject to appeal, or the time for filing an appeal therefrom has passed and no appeal has been filed. Buyer shall pay Seller interest at the rate per annum equal to the rate payable on six (6) month certificates of deposit available from Citibank on the Closing Date with respect to any portion of the Holdback Amount released to Seller; such interest shall accrue from the Closing Date through the date that such portion of the Holdback Amount is released to Seller.</w:t>
      </w:r>
    </w:p>
    <w:p>
      <w:pPr>
        <w:sectPr>
          <w:pgSz w:w="11900" w:h="16838" w:orient="portrait"/>
          <w:cols w:equalWidth="0" w:num="1">
            <w:col w:w="11420"/>
          </w:cols>
          <w:pgMar w:left="240" w:top="125" w:right="239" w:bottom="127" w:gutter="0" w:footer="0" w:header="0"/>
        </w:sectPr>
      </w:pPr>
    </w:p>
    <w:bookmarkStart w:id="132" w:name="page133"/>
    <w:bookmarkEnd w:id="132"/>
    <w:p>
      <w:pPr>
        <w:ind w:right="20" w:firstLine="648"/>
        <w:spacing w:after="0" w:line="293" w:lineRule="auto"/>
        <w:rPr>
          <w:sz w:val="20"/>
          <w:szCs w:val="20"/>
          <w:color w:val="auto"/>
        </w:rPr>
      </w:pPr>
      <w:r>
        <w:rPr>
          <w:rFonts w:ascii="Arial" w:cs="Arial" w:eastAsia="Arial" w:hAnsi="Arial"/>
          <w:sz w:val="16"/>
          <w:szCs w:val="16"/>
          <w:color w:val="auto"/>
        </w:rPr>
        <w:t xml:space="preserve">SECTION 9.7 </w:t>
      </w:r>
      <w:r>
        <w:rPr>
          <w:rFonts w:ascii="Arial" w:cs="Arial" w:eastAsia="Arial" w:hAnsi="Arial"/>
          <w:sz w:val="16"/>
          <w:szCs w:val="16"/>
          <w:i w:val="1"/>
          <w:iCs w:val="1"/>
          <w:color w:val="auto"/>
        </w:rPr>
        <w:t>Assignment of Claims.</w:t>
      </w:r>
      <w:r>
        <w:rPr>
          <w:rFonts w:ascii="Arial" w:cs="Arial" w:eastAsia="Arial" w:hAnsi="Arial"/>
          <w:sz w:val="16"/>
          <w:szCs w:val="16"/>
          <w:color w:val="auto"/>
        </w:rPr>
        <w:t xml:space="preserve"> If the Indemnified Party receives any payment from an Indemnifying Party in respect of any Damages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and the Indemnified Party could have recovered all or a part of such Damages from a third party (a </w:t>
      </w:r>
      <w:r>
        <w:rPr>
          <w:rFonts w:ascii="Arial" w:cs="Arial" w:eastAsia="Arial" w:hAnsi="Arial"/>
          <w:sz w:val="16"/>
          <w:szCs w:val="16"/>
          <w:b w:val="1"/>
          <w:bCs w:val="1"/>
          <w:color w:val="auto"/>
        </w:rPr>
        <w:t>“Potential Contributor”</w:t>
      </w:r>
      <w:r>
        <w:rPr>
          <w:rFonts w:ascii="Arial" w:cs="Arial" w:eastAsia="Arial" w:hAnsi="Arial"/>
          <w:sz w:val="16"/>
          <w:szCs w:val="16"/>
          <w:color w:val="auto"/>
        </w:rPr>
        <w:t xml:space="preserve">) based on the underlying Claim asserted against the Indemnifying Party, the Indemnified Party shall assign such of its rights to proceed against the Potential Contributor as are necessary to permit the Indemnifying Party to recover from the Potential Contributor the amount of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 Buyer Indemnified Party, such Buyer Indemnified Party shall have no obligation to assigns such rights if Buyer determines in its reasonable discretion that to do so would be detrimental to a material relationship between Buyer or any of its Subsidiaries and such Potential Contributor.</w:t>
      </w:r>
    </w:p>
    <w:p>
      <w:pPr>
        <w:spacing w:after="0" w:line="16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i w:val="1"/>
          <w:iCs w:val="1"/>
          <w:color w:val="auto"/>
        </w:rPr>
        <w:t>Claims Period</w:t>
      </w:r>
      <w:r>
        <w:rPr>
          <w:rFonts w:ascii="Arial" w:cs="Arial" w:eastAsia="Arial" w:hAnsi="Arial"/>
          <w:sz w:val="18"/>
          <w:szCs w:val="18"/>
          <w:color w:val="auto"/>
        </w:rPr>
        <w:t xml:space="preserve">. The representations and warranties of Seller and Buyer contained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of this Agreement, respectively, and claims for indemnification for Damages under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arising from breaches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338455</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representations and warranties will survive the Closing until the date that is fifteen (15) months following the Closing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representation and warranties of Seller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(Ownership of the Transferred Subsidiaries),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(Taxes),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(Employees) and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(Benefit Plans) and claims for Indemnified Taxes as defined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survive until thirty (30) days following the expiration of the applicable statute or similar period of limitations (the “</w:t>
      </w:r>
      <w:r>
        <w:rPr>
          <w:rFonts w:ascii="Arial" w:cs="Arial" w:eastAsia="Arial" w:hAnsi="Arial"/>
          <w:sz w:val="18"/>
          <w:szCs w:val="18"/>
          <w:b w:val="1"/>
          <w:bCs w:val="1"/>
          <w:color w:val="auto"/>
        </w:rPr>
        <w:t>Claims Period</w:t>
      </w:r>
      <w:r>
        <w:rPr>
          <w:rFonts w:ascii="Arial" w:cs="Arial" w:eastAsia="Arial" w:hAnsi="Arial"/>
          <w:sz w:val="18"/>
          <w:szCs w:val="18"/>
          <w:color w:val="auto"/>
        </w:rPr>
        <w:t>”). Notwithstanding the foregoing, if, prior to the close of business on the last day of the Claims Period, an Indemnifying Party is properly notified of a claim for indemnity hereunder and such claim has not been finally resolved or disposed of at such date, such claim will continue to survive and will remain a basis for indemnity hereunder until such claim is finally resolved or disposed of in accordance with the terms hereof.</w:t>
      </w:r>
    </w:p>
    <w:p>
      <w:pPr>
        <w:spacing w:after="0" w:line="18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 xml:space="preserve">SECTION 9.9 </w:t>
      </w:r>
      <w:r>
        <w:rPr>
          <w:rFonts w:ascii="Arial" w:cs="Arial" w:eastAsia="Arial" w:hAnsi="Arial"/>
          <w:sz w:val="16"/>
          <w:szCs w:val="16"/>
          <w:i w:val="1"/>
          <w:iCs w:val="1"/>
          <w:color w:val="auto"/>
        </w:rPr>
        <w:t>Liability Cap</w:t>
      </w:r>
      <w:r>
        <w:rPr>
          <w:rFonts w:ascii="Arial" w:cs="Arial" w:eastAsia="Arial" w:hAnsi="Arial"/>
          <w:sz w:val="16"/>
          <w:szCs w:val="16"/>
          <w:color w:val="auto"/>
        </w:rPr>
        <w:t xml:space="preserve">. Subject to the provisions of the last sentence of </w:t>
      </w:r>
      <w:r>
        <w:rPr>
          <w:rFonts w:ascii="Arial" w:cs="Arial" w:eastAsia="Arial" w:hAnsi="Arial"/>
          <w:sz w:val="16"/>
          <w:szCs w:val="16"/>
          <w:u w:val="single" w:color="auto"/>
          <w:color w:val="auto"/>
        </w:rPr>
        <w:t>Section 6.3(d)</w:t>
      </w:r>
      <w:r>
        <w:rPr>
          <w:rFonts w:ascii="Arial" w:cs="Arial" w:eastAsia="Arial" w:hAnsi="Arial"/>
          <w:sz w:val="16"/>
          <w:szCs w:val="16"/>
          <w:color w:val="auto"/>
        </w:rPr>
        <w:t xml:space="preserve"> and the provisions of this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below, the maximum aggregate amount of indemnity for Damages to which the Seller Indemnified Parties and the Buyer Indemnified Parties may be entitled with respect to Claims under </w:t>
      </w:r>
      <w:r>
        <w:rPr>
          <w:rFonts w:ascii="Arial" w:cs="Arial" w:eastAsia="Arial" w:hAnsi="Arial"/>
          <w:sz w:val="16"/>
          <w:szCs w:val="16"/>
          <w:u w:val="single" w:color="auto"/>
          <w:color w:val="auto"/>
        </w:rPr>
        <w:t>Section 9.1(a)(iii)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9.1(b)(ii)</w:t>
      </w:r>
      <w:r>
        <w:rPr>
          <w:rFonts w:ascii="Arial" w:cs="Arial" w:eastAsia="Arial" w:hAnsi="Arial"/>
          <w:sz w:val="16"/>
          <w:szCs w:val="16"/>
          <w:color w:val="auto"/>
        </w:rPr>
        <w:t xml:space="preserve">, respectively, shall be Seven Hundred Thousand United States Dollars (US$700,000) (the </w:t>
      </w:r>
      <w:r>
        <w:rPr>
          <w:rFonts w:ascii="Arial" w:cs="Arial" w:eastAsia="Arial" w:hAnsi="Arial"/>
          <w:sz w:val="16"/>
          <w:szCs w:val="16"/>
          <w:b w:val="1"/>
          <w:bCs w:val="1"/>
          <w:color w:val="auto"/>
        </w:rPr>
        <w:t>“General Liability Cap”</w:t>
      </w:r>
      <w:r>
        <w:rPr>
          <w:rFonts w:ascii="Arial" w:cs="Arial" w:eastAsia="Arial" w:hAnsi="Arial"/>
          <w:sz w:val="16"/>
          <w:szCs w:val="16"/>
          <w:color w:val="auto"/>
        </w:rPr>
        <w:t>) and the maximum aggregate amount of indemnity for Damages to which Buyer Indemnified Parties may be entitled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 to Claims under </w:t>
      </w:r>
      <w:r>
        <w:rPr>
          <w:rFonts w:ascii="Arial" w:cs="Arial" w:eastAsia="Arial" w:hAnsi="Arial"/>
          <w:sz w:val="16"/>
          <w:szCs w:val="16"/>
          <w:u w:val="single" w:color="auto"/>
          <w:color w:val="auto"/>
        </w:rPr>
        <w:t>Section 9.1(b)(i)</w:t>
      </w:r>
      <w:r>
        <w:rPr>
          <w:rFonts w:ascii="Arial" w:cs="Arial" w:eastAsia="Arial" w:hAnsi="Arial"/>
          <w:sz w:val="16"/>
          <w:szCs w:val="16"/>
          <w:color w:val="auto"/>
        </w:rPr>
        <w:t xml:space="preserve"> shall be Two Million United States Dollars (US$2,000,000) (the </w:t>
      </w:r>
      <w:r>
        <w:rPr>
          <w:rFonts w:ascii="Arial" w:cs="Arial" w:eastAsia="Arial" w:hAnsi="Arial"/>
          <w:sz w:val="16"/>
          <w:szCs w:val="16"/>
          <w:b w:val="1"/>
          <w:bCs w:val="1"/>
          <w:color w:val="auto"/>
        </w:rPr>
        <w:t>“Tax Liability Cap”</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amounts payable with respect to all Claims Finally Determined in favor of any Buyer Indemnified Party (including those under the General Liability Cap) shall be aggregated for the purposes of determining whether the Tax Liability Cap has been met;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there shall be no maximum limit on the amount of indemnity for Damages (i) for Claims under </w:t>
      </w:r>
      <w:r>
        <w:rPr>
          <w:rFonts w:ascii="Arial" w:cs="Arial" w:eastAsia="Arial" w:hAnsi="Arial"/>
          <w:sz w:val="16"/>
          <w:szCs w:val="16"/>
          <w:u w:val="single" w:color="auto"/>
          <w:color w:val="auto"/>
        </w:rPr>
        <w:t>Section 9.1(b)(i)</w:t>
      </w:r>
      <w:r>
        <w:rPr>
          <w:rFonts w:ascii="Arial" w:cs="Arial" w:eastAsia="Arial" w:hAnsi="Arial"/>
          <w:sz w:val="16"/>
          <w:szCs w:val="16"/>
          <w:color w:val="auto"/>
        </w:rPr>
        <w:t xml:space="preserve"> for Indemnified Taxes described in item 4 or item 7 of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(ii) for Claims under </w:t>
      </w:r>
      <w:r>
        <w:rPr>
          <w:rFonts w:ascii="Arial" w:cs="Arial" w:eastAsia="Arial" w:hAnsi="Arial"/>
          <w:sz w:val="16"/>
          <w:szCs w:val="16"/>
          <w:u w:val="single" w:color="auto"/>
          <w:color w:val="auto"/>
        </w:rPr>
        <w:t>Section 9.1(b)(i)</w:t>
      </w:r>
      <w:r>
        <w:rPr>
          <w:rFonts w:ascii="Arial" w:cs="Arial" w:eastAsia="Arial" w:hAnsi="Arial"/>
          <w:sz w:val="16"/>
          <w:szCs w:val="16"/>
          <w:color w:val="auto"/>
        </w:rPr>
        <w:t xml:space="preserve"> for Indemnified Taxes arising out of or relating to any action described in clauses (i), (ii), (iv) or (v) of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or resulting from the Deed of Release or any action taken pursuant to the Deed of Release or (iii) for Claims under </w:t>
      </w:r>
      <w:r>
        <w:rPr>
          <w:rFonts w:ascii="Arial" w:cs="Arial" w:eastAsia="Arial" w:hAnsi="Arial"/>
          <w:sz w:val="16"/>
          <w:szCs w:val="16"/>
          <w:u w:val="single" w:color="auto"/>
          <w:color w:val="auto"/>
        </w:rPr>
        <w:t>Section 9.1(b)(iv)</w:t>
      </w:r>
      <w:r>
        <w:rPr>
          <w:rFonts w:ascii="Arial" w:cs="Arial" w:eastAsia="Arial" w:hAnsi="Arial"/>
          <w:sz w:val="16"/>
          <w:szCs w:val="16"/>
          <w:color w:val="auto"/>
        </w:rPr>
        <w:t xml:space="preserve">, and Damages for such Claims shall not be taken into account when applying the General Liability Cap or the Tax Liability Cap to Claims for other Damages. For the avoidance of doubt, Claims for Indemnified Taxes that are described in both </w:t>
      </w:r>
      <w:r>
        <w:rPr>
          <w:rFonts w:ascii="Arial" w:cs="Arial" w:eastAsia="Arial" w:hAnsi="Arial"/>
          <w:sz w:val="16"/>
          <w:szCs w:val="16"/>
          <w:u w:val="single" w:color="auto"/>
          <w:color w:val="auto"/>
        </w:rPr>
        <w:t>Section 9.1(b)(i)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9.1(b)(ii)</w:t>
      </w:r>
      <w:r>
        <w:rPr>
          <w:rFonts w:ascii="Arial" w:cs="Arial" w:eastAsia="Arial" w:hAnsi="Arial"/>
          <w:sz w:val="16"/>
          <w:szCs w:val="16"/>
          <w:color w:val="auto"/>
        </w:rPr>
        <w:t xml:space="preserve"> shall be treated as described in </w:t>
      </w:r>
      <w:r>
        <w:rPr>
          <w:rFonts w:ascii="Arial" w:cs="Arial" w:eastAsia="Arial" w:hAnsi="Arial"/>
          <w:sz w:val="16"/>
          <w:szCs w:val="16"/>
          <w:u w:val="single" w:color="auto"/>
          <w:color w:val="auto"/>
        </w:rPr>
        <w:t>Section 9.1(b)(i)</w:t>
      </w:r>
      <w:r>
        <w:rPr>
          <w:rFonts w:ascii="Arial" w:cs="Arial" w:eastAsia="Arial" w:hAnsi="Arial"/>
          <w:sz w:val="16"/>
          <w:szCs w:val="16"/>
          <w:color w:val="auto"/>
        </w:rPr>
        <w:t>.</w:t>
      </w:r>
    </w:p>
    <w:p>
      <w:pPr>
        <w:spacing w:after="0" w:line="16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i w:val="1"/>
          <w:iCs w:val="1"/>
          <w:color w:val="auto"/>
        </w:rPr>
        <w:t>Liability Thresholds</w:t>
      </w:r>
      <w:r>
        <w:rPr>
          <w:rFonts w:ascii="Arial" w:cs="Arial" w:eastAsia="Arial" w:hAnsi="Arial"/>
          <w:sz w:val="16"/>
          <w:szCs w:val="16"/>
          <w:color w:val="auto"/>
        </w:rPr>
        <w:t xml:space="preserve">. Subject to the provisions of the last sentence of </w:t>
      </w:r>
      <w:r>
        <w:rPr>
          <w:rFonts w:ascii="Arial" w:cs="Arial" w:eastAsia="Arial" w:hAnsi="Arial"/>
          <w:sz w:val="16"/>
          <w:szCs w:val="16"/>
          <w:u w:val="single" w:color="auto"/>
          <w:color w:val="auto"/>
        </w:rPr>
        <w:t>Section 6.3(d)</w:t>
      </w:r>
      <w:r>
        <w:rPr>
          <w:rFonts w:ascii="Arial" w:cs="Arial" w:eastAsia="Arial" w:hAnsi="Arial"/>
          <w:sz w:val="16"/>
          <w:szCs w:val="16"/>
          <w:color w:val="auto"/>
        </w:rPr>
        <w:t xml:space="preserve"> and the provisions of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below, neither Buyer, on the one hand, nor Seller on the other hand, shall be liable to the other under </w:t>
      </w:r>
      <w:r>
        <w:rPr>
          <w:rFonts w:ascii="Arial" w:cs="Arial" w:eastAsia="Arial" w:hAnsi="Arial"/>
          <w:sz w:val="16"/>
          <w:szCs w:val="16"/>
          <w:u w:val="single" w:color="auto"/>
          <w:color w:val="auto"/>
        </w:rPr>
        <w:t>Section 9.1(a)(i) or (iii)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9.1(b)(i) and (ii)</w:t>
      </w:r>
      <w:r>
        <w:rPr>
          <w:rFonts w:ascii="Arial" w:cs="Arial" w:eastAsia="Arial" w:hAnsi="Arial"/>
          <w:sz w:val="16"/>
          <w:szCs w:val="16"/>
          <w:color w:val="auto"/>
        </w:rPr>
        <w:t>, respectively, unless the total amount of Damages with respect to all Claims Finally Determined against Buyer or Seller, as applicable, exceeds Twenty-Five Thousand United States Dollars (US$25,000) (the “</w:t>
      </w:r>
      <w:r>
        <w:rPr>
          <w:rFonts w:ascii="Arial" w:cs="Arial" w:eastAsia="Arial" w:hAnsi="Arial"/>
          <w:sz w:val="16"/>
          <w:szCs w:val="16"/>
          <w:b w:val="1"/>
          <w:bCs w:val="1"/>
          <w:color w:val="auto"/>
        </w:rPr>
        <w:t>Basket Amount</w:t>
      </w:r>
      <w:r>
        <w:rPr>
          <w:rFonts w:ascii="Arial" w:cs="Arial" w:eastAsia="Arial" w:hAnsi="Arial"/>
          <w:sz w:val="16"/>
          <w:szCs w:val="16"/>
          <w:color w:val="auto"/>
        </w:rPr>
        <w:t xml:space="preserve">”), and once the amount of Damages Finally Determined against Buyer or Seller, as applicable, in respect of such Claims exceeds the Basket Amount, the Buyer or Seller, as applicable, shall be entitled to recover the entire amount of the Damages so determined. The foregoing provision shall not apply to any Damages (i) for Claims under </w:t>
      </w:r>
      <w:r>
        <w:rPr>
          <w:rFonts w:ascii="Arial" w:cs="Arial" w:eastAsia="Arial" w:hAnsi="Arial"/>
          <w:sz w:val="16"/>
          <w:szCs w:val="16"/>
          <w:u w:val="single" w:color="auto"/>
          <w:color w:val="auto"/>
        </w:rPr>
        <w:t>Section 9.1(b)(i)</w:t>
      </w:r>
      <w:r>
        <w:rPr>
          <w:rFonts w:ascii="Arial" w:cs="Arial" w:eastAsia="Arial" w:hAnsi="Arial"/>
          <w:sz w:val="16"/>
          <w:szCs w:val="16"/>
          <w:color w:val="auto"/>
        </w:rPr>
        <w:t xml:space="preserve"> for Indemnified Taxes described in item 4 or item 7 of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(ii) for Claims under </w:t>
      </w:r>
      <w:r>
        <w:rPr>
          <w:rFonts w:ascii="Arial" w:cs="Arial" w:eastAsia="Arial" w:hAnsi="Arial"/>
          <w:sz w:val="16"/>
          <w:szCs w:val="16"/>
          <w:u w:val="single" w:color="auto"/>
          <w:color w:val="auto"/>
        </w:rPr>
        <w:t>Section 9.1(b)(i)</w:t>
      </w:r>
      <w:r>
        <w:rPr>
          <w:rFonts w:ascii="Arial" w:cs="Arial" w:eastAsia="Arial" w:hAnsi="Arial"/>
          <w:sz w:val="16"/>
          <w:szCs w:val="16"/>
          <w:color w:val="auto"/>
        </w:rPr>
        <w:t xml:space="preserve"> for Indemnified Taxes arising out of relating to actions described in clauses (i), (ii), (iv) or (v) of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or resulting from the Deed of Release or any action taken pursuant to the Deed of Release or (iii)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335280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Claims under </w:t>
      </w:r>
      <w:r>
        <w:rPr>
          <w:rFonts w:ascii="Arial" w:cs="Arial" w:eastAsia="Arial" w:hAnsi="Arial"/>
          <w:sz w:val="16"/>
          <w:szCs w:val="16"/>
          <w:u w:val="single" w:color="auto"/>
          <w:color w:val="auto"/>
        </w:rPr>
        <w:t>Section 9.1(b)(iv)</w:t>
      </w:r>
      <w:r>
        <w:rPr>
          <w:rFonts w:ascii="Arial" w:cs="Arial" w:eastAsia="Arial" w:hAnsi="Arial"/>
          <w:sz w:val="16"/>
          <w:szCs w:val="16"/>
          <w:color w:val="auto"/>
        </w:rPr>
        <w:t xml:space="preserve">. For the avoidance of doubt, Claims for Indemnified Taxes that are described in both </w:t>
      </w:r>
      <w:r>
        <w:rPr>
          <w:rFonts w:ascii="Arial" w:cs="Arial" w:eastAsia="Arial" w:hAnsi="Arial"/>
          <w:sz w:val="16"/>
          <w:szCs w:val="16"/>
          <w:u w:val="single" w:color="auto"/>
          <w:color w:val="auto"/>
        </w:rPr>
        <w:t>Section 9.1(b)(i)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9.1(b)</w:t>
      </w:r>
    </w:p>
    <w:p>
      <w:pPr>
        <w:spacing w:after="0" w:line="46" w:lineRule="exact"/>
        <w:rPr>
          <w:sz w:val="20"/>
          <w:szCs w:val="20"/>
          <w:color w:val="auto"/>
        </w:rPr>
      </w:pPr>
    </w:p>
    <w:p>
      <w:pPr>
        <w:ind w:left="260" w:hanging="256"/>
        <w:spacing w:after="0"/>
        <w:tabs>
          <w:tab w:leader="none" w:pos="260" w:val="left"/>
        </w:tabs>
        <w:numPr>
          <w:ilvl w:val="0"/>
          <w:numId w:val="119"/>
        </w:numPr>
        <w:rPr>
          <w:rFonts w:ascii="Arial" w:cs="Arial" w:eastAsia="Arial" w:hAnsi="Arial"/>
          <w:sz w:val="18"/>
          <w:szCs w:val="18"/>
          <w:u w:val="single" w:color="auto"/>
          <w:color w:val="auto"/>
        </w:rPr>
      </w:pPr>
      <w:r>
        <w:rPr>
          <w:rFonts w:ascii="Arial" w:cs="Arial" w:eastAsia="Arial" w:hAnsi="Arial"/>
          <w:sz w:val="18"/>
          <w:szCs w:val="18"/>
          <w:color w:val="auto"/>
        </w:rPr>
        <w:t xml:space="preserve">shall be treated as described in </w:t>
      </w:r>
      <w:r>
        <w:rPr>
          <w:rFonts w:ascii="Arial" w:cs="Arial" w:eastAsia="Arial" w:hAnsi="Arial"/>
          <w:sz w:val="18"/>
          <w:szCs w:val="18"/>
          <w:u w:val="single" w:color="auto"/>
          <w:color w:val="auto"/>
        </w:rPr>
        <w:t>Section 9.1(b)(i)</w:t>
      </w:r>
      <w:r>
        <w:rPr>
          <w:rFonts w:ascii="Arial" w:cs="Arial" w:eastAsia="Arial" w:hAnsi="Arial"/>
          <w:sz w:val="18"/>
          <w:szCs w:val="18"/>
          <w:color w:val="auto"/>
        </w:rPr>
        <w:t>.</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i w:val="1"/>
          <w:iCs w:val="1"/>
          <w:color w:val="auto"/>
        </w:rPr>
        <w:t>Remedy</w:t>
      </w:r>
      <w:r>
        <w:rPr>
          <w:rFonts w:ascii="Arial" w:cs="Arial" w:eastAsia="Arial" w:hAnsi="Arial"/>
          <w:sz w:val="18"/>
          <w:szCs w:val="18"/>
          <w:color w:val="auto"/>
        </w:rPr>
        <w:t xml:space="preserve">. Except for any equitable relief, including injunctive relief or specific performance, to which any party hereto may be entitled, from and after the date hereof, the indemnification rights provided in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will be the sole and exclusive remedy of each Party hereto and each of their respective Affiliates and their officers, directors, employees, stockholders, agents or representatives with respect to this Agreement, and no Party shall be entitled to rescission of the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foregoing will in no way limit the rights of an Indemnified Party for any fraud or intentional misconduct by a party in connection with this Agreement, the documents executed in connection herewith or the transactions contemplated hereby.</w:t>
      </w:r>
    </w:p>
    <w:p>
      <w:pPr>
        <w:spacing w:after="0" w:line="18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20" w:firstLine="648"/>
        <w:spacing w:after="0" w:line="26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w:t>
      </w:r>
      <w:r>
        <w:rPr>
          <w:rFonts w:ascii="Arial" w:cs="Arial" w:eastAsia="Arial" w:hAnsi="Arial"/>
          <w:sz w:val="17"/>
          <w:szCs w:val="17"/>
          <w:color w:val="auto"/>
        </w:rPr>
        <w:t>All notices and other communications required or permitted under this Agreement will be in writing and will be either</w:t>
      </w:r>
      <w:r>
        <w:rPr>
          <w:rFonts w:ascii="Arial" w:cs="Arial" w:eastAsia="Arial" w:hAnsi="Arial"/>
          <w:sz w:val="18"/>
          <w:szCs w:val="18"/>
          <w:color w:val="auto"/>
        </w:rPr>
        <w:t xml:space="preserve"> </w:t>
      </w:r>
      <w:r>
        <w:rPr>
          <w:rFonts w:ascii="Arial" w:cs="Arial" w:eastAsia="Arial" w:hAnsi="Arial"/>
          <w:sz w:val="17"/>
          <w:szCs w:val="17"/>
          <w:color w:val="auto"/>
        </w:rPr>
        <w:t>hand delivered in person, sent by facsimile, sent by certified or registered first-class mail, postage pre-paid, or sent by nationally recognized express courier service. Such notices and other communications will be effective upon receipt if hand delivered or sent by facsimile, five days after mailing if sent by mail, and one day after dispatch if sent by express courier, to the following addresses, or such other addresses as any party may notify the other party in accordance with this Section 10.1:</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Buyer:</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LCC Wireless Engineering Services Limited c/o LCC International, Inc.</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Peter A. Deliso, Esq.</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7925 Jones Branch Drive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McLean, VA 22102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(703) 873-2900</w:t>
      </w:r>
    </w:p>
    <w:p>
      <w:pPr>
        <w:sectPr>
          <w:pgSz w:w="11900" w:h="16838" w:orient="portrait"/>
          <w:cols w:equalWidth="0" w:num="1">
            <w:col w:w="11200"/>
          </w:cols>
          <w:pgMar w:left="460" w:top="125" w:right="239" w:bottom="180" w:gutter="0" w:footer="0" w:header="0"/>
        </w:sectPr>
      </w:pPr>
    </w:p>
    <w:bookmarkStart w:id="133" w:name="page134"/>
    <w:bookmarkEnd w:id="133"/>
    <w:p>
      <w:pPr>
        <w:ind w:left="440"/>
        <w:spacing w:after="0"/>
        <w:rPr>
          <w:sz w:val="20"/>
          <w:szCs w:val="20"/>
          <w:color w:val="auto"/>
        </w:rPr>
      </w:pPr>
      <w:r>
        <w:rPr>
          <w:rFonts w:ascii="Arial" w:cs="Arial" w:eastAsia="Arial" w:hAnsi="Arial"/>
          <w:sz w:val="18"/>
          <w:szCs w:val="18"/>
          <w:color w:val="auto"/>
        </w:rPr>
        <w:t>with a copy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constituting notice) to:</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Hogan &amp; Hartson L.L.P.</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Lorraine Sostowski, Esq.</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Hogan &amp; Hartson L.L.P.</w:t>
      </w:r>
    </w:p>
    <w:p>
      <w:pPr>
        <w:ind w:left="1080"/>
        <w:spacing w:after="0" w:line="205" w:lineRule="auto"/>
        <w:rPr>
          <w:sz w:val="20"/>
          <w:szCs w:val="20"/>
          <w:color w:val="auto"/>
        </w:rPr>
      </w:pPr>
      <w:r>
        <w:rPr>
          <w:rFonts w:ascii="Arial" w:cs="Arial" w:eastAsia="Arial" w:hAnsi="Arial"/>
          <w:sz w:val="18"/>
          <w:szCs w:val="18"/>
          <w:color w:val="auto"/>
        </w:rPr>
        <w:t>555 13</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NW</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Washington, DC 20004</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(202) 637-5910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363855</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Seller,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Wireless Facilities, Inc.</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Bridge Pointe Corporate Centre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4810 Eastgate Mall</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James Edwards, Secretary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(858) 228-2048</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constituting notice) to:</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Morrison &amp; Foerster LLP</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12531 High Bluff Drive, Suite 100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San Diego, CA 92130-2040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Scott M. Stanton, Esq.</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(858) 720-5125</w:t>
      </w:r>
    </w:p>
    <w:p>
      <w:pPr>
        <w:spacing w:after="0" w:line="21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Amendments and Waivers.</w:t>
      </w:r>
      <w:r>
        <w:rPr>
          <w:rFonts w:ascii="Arial" w:cs="Arial" w:eastAsia="Arial" w:hAnsi="Arial"/>
          <w:sz w:val="16"/>
          <w:szCs w:val="16"/>
          <w:color w:val="auto"/>
        </w:rPr>
        <w:t xml:space="preserve"> Any provision of this Agreement may be amended or waived if, but only if, such amendment or waiver is in writing and is signed, in the case of an amendment, by each party to this Agreement, and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provided herein, the rights and remedies herein provided shall be cumulative and not exclusive of any rights or remedies provided by Law.</w:t>
      </w:r>
    </w:p>
    <w:p>
      <w:pPr>
        <w:spacing w:after="0" w:line="15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6.4(c)</w:t>
      </w:r>
      <w:r>
        <w:rPr>
          <w:rFonts w:ascii="Arial" w:cs="Arial" w:eastAsia="Arial" w:hAnsi="Arial"/>
          <w:sz w:val="18"/>
          <w:szCs w:val="18"/>
          <w:color w:val="auto"/>
        </w:rPr>
        <w:t>, costs and expenses incurred in connection with this Agreement and the transactions contemplated hereby shall be paid by the party incurring such cost or expense.</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party may assign, delegate or otherwise transfer any of its rights or obligations under this Agreement without the consent of each other party hereto. Notwithstanding the foregoing and anything contained in this Agreement to the contrary, (a) Buyer shall have the right, in its sole discretion, to transfer its rights and obligations under this Agreement and/or the Equity Interests to a corporation or other entity directly or indirectly wholly-owned by Buyer and (b) either party shall have the right, in its sole discretion, to transfer its rights and obligations under this Agreement in connection with a merger of such party with another Person or the sale of substantially all of the assets of such Person.</w:t>
      </w:r>
    </w:p>
    <w:p>
      <w:pPr>
        <w:spacing w:after="0" w:line="18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Agreement shall be governed by and construed in accordance with the law of the State of New York, without regard to the conflicts of law rules of such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338455</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i w:val="1"/>
          <w:iCs w:val="1"/>
          <w:color w:val="auto"/>
        </w:rPr>
        <w:t>Arbitration</w:t>
      </w:r>
      <w:r>
        <w:rPr>
          <w:rFonts w:ascii="Arial" w:cs="Arial" w:eastAsia="Arial" w:hAnsi="Arial"/>
          <w:sz w:val="18"/>
          <w:szCs w:val="18"/>
          <w:color w:val="auto"/>
        </w:rPr>
        <w:t xml:space="preserve">. Except with respect to matters described in </w:t>
      </w:r>
      <w:r>
        <w:rPr>
          <w:rFonts w:ascii="Arial" w:cs="Arial" w:eastAsia="Arial" w:hAnsi="Arial"/>
          <w:sz w:val="18"/>
          <w:szCs w:val="18"/>
          <w:u w:val="single" w:color="auto"/>
          <w:color w:val="auto"/>
        </w:rPr>
        <w:t>Sections 5.1(f)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5.3(d)</w:t>
      </w:r>
      <w:r>
        <w:rPr>
          <w:rFonts w:ascii="Arial" w:cs="Arial" w:eastAsia="Arial" w:hAnsi="Arial"/>
          <w:sz w:val="18"/>
          <w:szCs w:val="18"/>
          <w:color w:val="auto"/>
        </w:rPr>
        <w:t>, if a dispute arises between the parties relating to the interpretation or performance of this Agreement, with the exception of any claim for a temporary restraining order or preliminary or permanent injunctive relief to enjoin any breach or threatened breach hereof, such dispute shall be settled by a panel of three arbitrators with such arbitration to be held in New York, New York, before JAMS/ENDDISPUTE or its successor and pursuant to the JAMS Comprehensive Arbitration Rules and Procedures in effect at that time, and judgment upon the award rendered by the arbitrators may be entered in any court having jurisdiction thereof. All arbitrators must be knowledgeable in the subject matter at issue in the dispute. The arbitrators shall make their decision in accordance with the terms of this Agreement and applicable Law.</w:t>
      </w:r>
    </w:p>
    <w:p>
      <w:pPr>
        <w:spacing w:after="0" w:line="189"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 xml:space="preserve">Each party shall initially bear its own costs and legal fees associated with such arbitration and Buyer and Seller shall initially split the cost of the arbitrators, but the prevailing party in any such arbitration (not including, however, a party involved in an arbitration initiated under </w:t>
      </w:r>
      <w:r>
        <w:rPr>
          <w:rFonts w:ascii="Arial" w:cs="Arial" w:eastAsia="Arial" w:hAnsi="Arial"/>
          <w:sz w:val="17"/>
          <w:szCs w:val="17"/>
          <w:u w:val="single" w:color="auto"/>
          <w:color w:val="auto"/>
        </w:rPr>
        <w:t>Section 6.3(d)</w:t>
      </w:r>
      <w:r>
        <w:rPr>
          <w:rFonts w:ascii="Arial" w:cs="Arial" w:eastAsia="Arial" w:hAnsi="Arial"/>
          <w:sz w:val="17"/>
          <w:szCs w:val="17"/>
          <w:color w:val="auto"/>
        </w:rPr>
        <w:t xml:space="preserve"> unless the other party’s position is determined by the arbitrators to have been unreasonable), shall be entitled to recover from the other party the reasonable attorneys’ fees, costs and expenses incurred by such prevailing party in connection with such arbitration.</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decision of the arbitrators shall be final, provided, however, that if either party is dissatisfied with the a decision of less than a unanimous decision of the panel of arbitrators, such dissatisfied party may appeal the final award in accordance with JAMS’ Optional Arbitration Appeal Procedures. The final award from either a unanimous arbitration panel or the JAMS’ Appeal Procedures may be sued on or enforced by the party in whose favor it runs in any court of competent jurisdiction at the option of the successful party. The rights and obligations of the parties to arbitrate any dispute relating to the interpretation or performance of this Agreement or the grounds for the termination thereof, shall survive the expiration or termination of this Agreement for any reason.</w:t>
      </w:r>
    </w:p>
    <w:p>
      <w:pPr>
        <w:sectPr>
          <w:pgSz w:w="11900" w:h="16838" w:orient="portrait"/>
          <w:cols w:equalWidth="0" w:num="1">
            <w:col w:w="11200"/>
          </w:cols>
          <w:pgMar w:left="460" w:top="125" w:right="239" w:bottom="162" w:gutter="0" w:footer="0" w:header="0"/>
        </w:sectPr>
      </w:pPr>
    </w:p>
    <w:bookmarkStart w:id="134" w:name="page135"/>
    <w:bookmarkEnd w:id="134"/>
    <w:p>
      <w:pPr>
        <w:ind w:left="220" w:firstLine="432"/>
        <w:spacing w:after="0" w:line="286" w:lineRule="auto"/>
        <w:rPr>
          <w:sz w:val="20"/>
          <w:szCs w:val="20"/>
          <w:color w:val="auto"/>
        </w:rPr>
      </w:pPr>
      <w:r>
        <w:rPr>
          <w:rFonts w:ascii="Arial" w:cs="Arial" w:eastAsia="Arial" w:hAnsi="Arial"/>
          <w:sz w:val="17"/>
          <w:szCs w:val="17"/>
          <w:color w:val="auto"/>
        </w:rPr>
        <w:t>The arbitrators shall be empowered to award specific performance, injunctive relief and other equitable remedies as well as damages, but shall not be empowered to award punitive or exemplary damages or award any damages. The final award shall binding on the parties and enforceable in accordance with the New York Convention on the Recognition and Enforcement of Arbitral Awards (9 U.S.C. Section 1, et. seq.).</w:t>
      </w:r>
    </w:p>
    <w:p>
      <w:pPr>
        <w:spacing w:after="0" w:line="166" w:lineRule="exact"/>
        <w:rPr>
          <w:sz w:val="20"/>
          <w:szCs w:val="20"/>
          <w:color w:val="auto"/>
        </w:rPr>
      </w:pPr>
    </w:p>
    <w:p>
      <w:pPr>
        <w:ind w:left="220" w:right="100" w:firstLine="648"/>
        <w:spacing w:after="0" w:line="25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i w:val="1"/>
          <w:iCs w:val="1"/>
          <w:color w:val="auto"/>
        </w:rPr>
        <w:t>Counterparts; Third Party Beneficiaries.</w:t>
      </w:r>
      <w:r>
        <w:rPr>
          <w:rFonts w:ascii="Arial" w:cs="Arial" w:eastAsia="Arial" w:hAnsi="Arial"/>
          <w:sz w:val="18"/>
          <w:szCs w:val="18"/>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Except for the rights of the Seller Indemnified Parties and the Buyer Indemnified Parties, no provision of this Agreement is intended to confer upon any Person other than the parties hereto any rights or remedies hereunder.</w:t>
      </w:r>
    </w:p>
    <w:p>
      <w:pPr>
        <w:spacing w:after="0" w:line="188" w:lineRule="exact"/>
        <w:rPr>
          <w:sz w:val="20"/>
          <w:szCs w:val="20"/>
          <w:color w:val="auto"/>
        </w:rPr>
      </w:pPr>
    </w:p>
    <w:p>
      <w:pPr>
        <w:ind w:left="220" w:right="340" w:firstLine="648"/>
        <w:spacing w:after="0" w:line="264"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including the Exhibits and Schedules hereto, and the Non-Disclosure Agreement by and between Seller and Buyer collectively constitute the entire agreement between the parties with respect to the subject matter of this Agreement and supersede all prior agreements and understandings, both oral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 w:right="160"/>
        <w:spacing w:after="0" w:line="277" w:lineRule="auto"/>
        <w:rPr>
          <w:sz w:val="20"/>
          <w:szCs w:val="20"/>
          <w:color w:val="auto"/>
        </w:rPr>
      </w:pPr>
      <w:r>
        <w:rPr>
          <w:rFonts w:ascii="Arial" w:cs="Arial" w:eastAsia="Arial" w:hAnsi="Arial"/>
          <w:sz w:val="18"/>
          <w:szCs w:val="18"/>
          <w:color w:val="auto"/>
        </w:rPr>
        <w:t>written, between the parties with respect to the subject matter of this Agreement, including, without limitation, the letter of intent previously executed by Seller and Buyer.</w:t>
      </w:r>
    </w:p>
    <w:p>
      <w:pPr>
        <w:spacing w:after="0" w:line="170" w:lineRule="exact"/>
        <w:rPr>
          <w:sz w:val="20"/>
          <w:szCs w:val="20"/>
          <w:color w:val="auto"/>
        </w:rPr>
      </w:pPr>
    </w:p>
    <w:p>
      <w:pPr>
        <w:ind w:left="220" w:right="640" w:firstLine="648"/>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i w:val="1"/>
          <w:iCs w:val="1"/>
          <w:color w:val="auto"/>
        </w:rPr>
        <w:t>Captions.</w:t>
      </w:r>
      <w:r>
        <w:rPr>
          <w:rFonts w:ascii="Arial" w:cs="Arial" w:eastAsia="Arial" w:hAnsi="Arial"/>
          <w:sz w:val="18"/>
          <w:szCs w:val="18"/>
          <w:color w:val="auto"/>
        </w:rPr>
        <w:t xml:space="preserve"> The captions herein are included for convenience of reference only and shall be ignored in the construction or interpretation hereof.</w:t>
      </w:r>
    </w:p>
    <w:p>
      <w:pPr>
        <w:spacing w:after="0" w:line="170" w:lineRule="exact"/>
        <w:rPr>
          <w:sz w:val="20"/>
          <w:szCs w:val="20"/>
          <w:color w:val="auto"/>
        </w:rPr>
      </w:pPr>
    </w:p>
    <w:p>
      <w:pPr>
        <w:ind w:left="220" w:right="180" w:firstLine="648"/>
        <w:spacing w:after="0" w:line="297"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If any provision of this Agreement, or the application thereof, is for any reason held to any extent to be invalid, illegal or unenforceable, then the remainder of this Agreement and the application thereof will nevertheless remain in full force and effect so long as the economic and legal substance of the transactions contemplated by this Agreement are not affected in any manner materially adverse to any party hereto. Upon such determination that any provision is invalid, illegal or unenforceable, the parties agree to replace such provision with a valid, legal and enforceable provision that will achieve, to the maximum extent legally permissible, the economic, business and other purposes of such provision.</w:t>
      </w:r>
    </w:p>
    <w:p>
      <w:pPr>
        <w:spacing w:after="0" w:line="158" w:lineRule="exact"/>
        <w:rPr>
          <w:sz w:val="20"/>
          <w:szCs w:val="20"/>
          <w:color w:val="auto"/>
        </w:rPr>
      </w:pPr>
    </w:p>
    <w:p>
      <w:pPr>
        <w:ind w:left="220" w:right="20" w:firstLine="648"/>
        <w:spacing w:after="0" w:line="259"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Attorneys’ Fees.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should suit be brought to enforce or interpret any part of this Agreement, the prevailing party will be entitled to recover, as an element of the costs of suit and not as damages, reasonable attorneys’ fees to be fixed by the court (including costs, expenses and fees on any appeal). Subject to </w:t>
      </w:r>
      <w:r>
        <w:rPr>
          <w:rFonts w:ascii="Arial" w:cs="Arial" w:eastAsia="Arial" w:hAnsi="Arial"/>
          <w:sz w:val="18"/>
          <w:szCs w:val="18"/>
          <w:u w:val="single" w:color="auto"/>
          <w:color w:val="auto"/>
        </w:rPr>
        <w:t>Section 9.6</w:t>
      </w:r>
      <w:r>
        <w:rPr>
          <w:rFonts w:ascii="Arial" w:cs="Arial" w:eastAsia="Arial" w:hAnsi="Arial"/>
          <w:sz w:val="18"/>
          <w:szCs w:val="18"/>
          <w:color w:val="auto"/>
        </w:rPr>
        <w:t>, the prevailing party will be entitled to recover its costs of suit, regardless of whether such suit proceeds to final judgment.</w:t>
      </w:r>
    </w:p>
    <w:p>
      <w:pPr>
        <w:spacing w:after="0" w:line="187" w:lineRule="exact"/>
        <w:rPr>
          <w:sz w:val="20"/>
          <w:szCs w:val="20"/>
          <w:color w:val="auto"/>
        </w:rPr>
      </w:pPr>
    </w:p>
    <w:p>
      <w:pPr>
        <w:ind w:left="220" w:right="60" w:firstLine="648"/>
        <w:spacing w:after="0" w:line="273"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i w:val="1"/>
          <w:iCs w:val="1"/>
          <w:color w:val="auto"/>
        </w:rPr>
        <w:t>Construction.</w:t>
      </w:r>
      <w:r>
        <w:rPr>
          <w:rFonts w:ascii="Arial" w:cs="Arial" w:eastAsia="Arial" w:hAnsi="Arial"/>
          <w:sz w:val="17"/>
          <w:szCs w:val="17"/>
          <w:color w:val="auto"/>
        </w:rPr>
        <w:t xml:space="preserve"> The parties hereto agree that they have been represented by legal counsel during the negotiation and execution of this Agreement and the other agreements, certificates and documents contemplated by this Agreement and, therefore, waive the application of any law, regulation, holding or rule of construction providing that ambiguities in an agreement, certificate or document will be construed against the party drafting such agreement, certificate or document. Each reference herein to a law, statute, regulation, document, agreement or contract will be deemed in each case to include all amendments thereto. When a reference is made in this Agreement to Exhibits, Sections or Articles, such reference will be to an Exhibit, a Section or an Article, respectively, to this Agreement unless otherwise indicated.</w:t>
      </w:r>
    </w:p>
    <w:p>
      <w:pPr>
        <w:spacing w:after="0" w:line="178" w:lineRule="exact"/>
        <w:rPr>
          <w:sz w:val="20"/>
          <w:szCs w:val="20"/>
          <w:color w:val="auto"/>
        </w:rPr>
      </w:pPr>
    </w:p>
    <w:p>
      <w:pPr>
        <w:ind w:left="220" w:right="180" w:firstLine="648"/>
        <w:spacing w:after="0" w:line="297"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i w:val="1"/>
          <w:iCs w:val="1"/>
          <w:color w:val="auto"/>
        </w:rPr>
        <w:t>No Joint Venture.</w:t>
      </w:r>
      <w:r>
        <w:rPr>
          <w:rFonts w:ascii="Arial" w:cs="Arial" w:eastAsia="Arial" w:hAnsi="Arial"/>
          <w:sz w:val="16"/>
          <w:szCs w:val="16"/>
          <w:color w:val="auto"/>
        </w:rPr>
        <w:t xml:space="preserve"> Nothing contained in this Agreement will be deemed or construed as creating a joint venture or partnership between any of the parties hereto. Except as otherwise specified herein: (a) no party is by virtue of this Agreement authorized as an agent, employee or legal representative of any other party; (b) no party will have the power to control the activities and operations of any other and their status is, and at all times will continue to be, that of independent contractors with respect to each other; (c) no party will have any power or authority to bind or commit any other party; and (d) no party will hold itself out as having any authority or relationship in contravention of this </w:t>
      </w:r>
      <w:r>
        <w:rPr>
          <w:rFonts w:ascii="Arial" w:cs="Arial" w:eastAsia="Arial" w:hAnsi="Arial"/>
          <w:sz w:val="16"/>
          <w:szCs w:val="16"/>
          <w:u w:val="single" w:color="auto"/>
          <w:color w:val="auto"/>
        </w:rPr>
        <w:t>Section 9.13</w:t>
      </w:r>
      <w:r>
        <w:rPr>
          <w:rFonts w:ascii="Arial" w:cs="Arial" w:eastAsia="Arial" w:hAnsi="Arial"/>
          <w:sz w:val="16"/>
          <w:szCs w:val="16"/>
          <w:color w:val="auto"/>
        </w:rPr>
        <w:t>.</w:t>
      </w:r>
    </w:p>
    <w:p>
      <w:pPr>
        <w:spacing w:after="0" w:line="158" w:lineRule="exact"/>
        <w:rPr>
          <w:sz w:val="20"/>
          <w:szCs w:val="20"/>
          <w:color w:val="auto"/>
        </w:rPr>
      </w:pPr>
    </w:p>
    <w:p>
      <w:pPr>
        <w:ind w:left="220" w:right="420" w:firstLine="648"/>
        <w:spacing w:after="0" w:line="264"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Public Announcements</w:t>
      </w:r>
      <w:r>
        <w:rPr>
          <w:rFonts w:ascii="Arial" w:cs="Arial" w:eastAsia="Arial" w:hAnsi="Arial"/>
          <w:sz w:val="18"/>
          <w:szCs w:val="18"/>
          <w:color w:val="auto"/>
        </w:rPr>
        <w:t>. Subject to their respective legal obligations (including requirements of stock exchanges and other similar regulatory bodies), the parties will consult with one another regarding the timing and content of the initial public disclosure regarding this Agreement or the transactions contemplated hereby to the financial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 w:right="20"/>
        <w:spacing w:after="0" w:line="259" w:lineRule="auto"/>
        <w:rPr>
          <w:sz w:val="20"/>
          <w:szCs w:val="20"/>
          <w:color w:val="auto"/>
        </w:rPr>
      </w:pPr>
      <w:r>
        <w:rPr>
          <w:rFonts w:ascii="Arial" w:cs="Arial" w:eastAsia="Arial" w:hAnsi="Arial"/>
          <w:sz w:val="18"/>
          <w:szCs w:val="18"/>
          <w:color w:val="auto"/>
        </w:rPr>
        <w:t>governmental entities, employees, customers or the general public and will use reasonable efforts to agree upon the text of any such announcement prior to its release. Until the parties have issued a press release announcing this Agreement in accordance with the preceding sentence, no party will issue any announcement or make any public statement with respect to the transactions contemplated by this Agreement without the prior consent of the other party, except to the extent required by Law.</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REMAINDER OF PAGE INTENTIONALLY LEFT BLANK</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60" w:firstLine="648"/>
        <w:spacing w:after="0" w:line="275" w:lineRule="auto"/>
        <w:rPr>
          <w:sz w:val="20"/>
          <w:szCs w:val="20"/>
          <w:color w:val="auto"/>
        </w:rPr>
      </w:pPr>
      <w:r>
        <w:rPr>
          <w:rFonts w:ascii="Arial" w:cs="Arial" w:eastAsia="Arial" w:hAnsi="Arial"/>
          <w:sz w:val="18"/>
          <w:szCs w:val="18"/>
          <w:color w:val="auto"/>
        </w:rPr>
        <w:t xml:space="preserve">IN WITNESS WHEREOF, the parties hereto have caused this Agreement </w:t>
      </w:r>
      <w:r>
        <w:rPr>
          <w:rFonts w:ascii="Arial" w:cs="Arial" w:eastAsia="Arial" w:hAnsi="Arial"/>
          <w:sz w:val="17"/>
          <w:szCs w:val="17"/>
          <w:color w:val="auto"/>
        </w:rPr>
        <w:t>to be duly executed by their respective authorized officers as of the day</w:t>
      </w:r>
      <w:r>
        <w:rPr>
          <w:rFonts w:ascii="Arial" w:cs="Arial" w:eastAsia="Arial" w:hAnsi="Arial"/>
          <w:sz w:val="18"/>
          <w:szCs w:val="18"/>
          <w:color w:val="auto"/>
        </w:rPr>
        <w:t xml:space="preserve"> </w:t>
      </w:r>
      <w:r>
        <w:rPr>
          <w:rFonts w:ascii="Arial" w:cs="Arial" w:eastAsia="Arial" w:hAnsi="Arial"/>
          <w:sz w:val="17"/>
          <w:szCs w:val="17"/>
          <w:color w:val="auto"/>
        </w:rPr>
        <w:t>and year first above written.</w:t>
      </w:r>
    </w:p>
    <w:p>
      <w:pPr>
        <w:spacing w:after="0" w:line="39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LCC WIRELESS ENGINEERING SERVICES LIMITED</w:t>
      </w:r>
    </w:p>
    <w:p>
      <w:pPr>
        <w:spacing w:after="0" w:line="200" w:lineRule="exact"/>
        <w:rPr>
          <w:sz w:val="20"/>
          <w:szCs w:val="20"/>
          <w:color w:val="auto"/>
        </w:rPr>
      </w:pPr>
    </w:p>
    <w:p>
      <w:pPr>
        <w:spacing w:after="0" w:line="24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14605</wp:posOffset>
            </wp:positionV>
            <wp:extent cx="30956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400"/>
          </w:cols>
          <w:pgMar w:left="240" w:top="125" w:right="259" w:bottom="0" w:gutter="0" w:footer="0" w:header="0"/>
        </w:sectPr>
      </w:pPr>
    </w:p>
    <w:bookmarkStart w:id="135" w:name="page136"/>
    <w:bookmarkEnd w:id="135"/>
    <w:p>
      <w:pPr>
        <w:ind w:left="2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WIRELESS FACILITIES, INC.</w:t>
      </w:r>
    </w:p>
    <w:p>
      <w:pPr>
        <w:spacing w:after="0" w:line="200" w:lineRule="exact"/>
        <w:rPr>
          <w:sz w:val="20"/>
          <w:szCs w:val="20"/>
          <w:color w:val="auto"/>
        </w:rPr>
      </w:pPr>
    </w:p>
    <w:p>
      <w:pPr>
        <w:spacing w:after="0" w:line="24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14605</wp:posOffset>
            </wp:positionV>
            <wp:extent cx="30956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AGREEMENT</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Severance and Change of Control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July , 2007, between Wireless Facilities, Inc. (“</w:t>
      </w:r>
      <w:r>
        <w:rPr>
          <w:rFonts w:ascii="Arial" w:cs="Arial" w:eastAsia="Arial" w:hAnsi="Arial"/>
          <w:sz w:val="18"/>
          <w:szCs w:val="18"/>
          <w:u w:val="single" w:color="auto"/>
          <w:color w:val="auto"/>
        </w:rPr>
        <w:t>WFI</w:t>
      </w:r>
      <w:r>
        <w:rPr>
          <w:rFonts w:ascii="Arial" w:cs="Arial" w:eastAsia="Arial" w:hAnsi="Arial"/>
          <w:sz w:val="18"/>
          <w:szCs w:val="18"/>
          <w:color w:val="auto"/>
        </w:rPr>
        <w:t>”) and Laura Siegal (“</w:t>
      </w:r>
      <w:r>
        <w:rPr>
          <w:rFonts w:ascii="Arial" w:cs="Arial" w:eastAsia="Arial" w:hAnsi="Arial"/>
          <w:sz w:val="18"/>
          <w:szCs w:val="18"/>
          <w:u w:val="single" w:color="auto"/>
          <w:color w:val="auto"/>
        </w:rPr>
        <w:t>Siegal</w:t>
      </w:r>
      <w:r>
        <w:rPr>
          <w:rFonts w:ascii="Arial" w:cs="Arial" w:eastAsia="Arial" w:hAnsi="Arial"/>
          <w:sz w:val="18"/>
          <w:szCs w:val="18"/>
          <w:color w:val="auto"/>
        </w:rPr>
        <w:t>”), as approved by WFI’s Board Compensation Committee.</w:t>
      </w:r>
    </w:p>
    <w:p>
      <w:pPr>
        <w:spacing w:after="0" w:line="170" w:lineRule="exact"/>
        <w:rPr>
          <w:sz w:val="20"/>
          <w:szCs w:val="20"/>
          <w:color w:val="auto"/>
        </w:rPr>
      </w:pPr>
    </w:p>
    <w:p>
      <w:pPr>
        <w:ind w:left="1380" w:hanging="724"/>
        <w:spacing w:after="0"/>
        <w:tabs>
          <w:tab w:leader="none" w:pos="13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Siegal is presently employed as Vice President &amp; Controller of WFI.</w:t>
      </w:r>
    </w:p>
    <w:p>
      <w:pPr>
        <w:spacing w:after="0" w:line="225" w:lineRule="exact"/>
        <w:rPr>
          <w:rFonts w:ascii="Arial" w:cs="Arial" w:eastAsia="Arial" w:hAnsi="Arial"/>
          <w:sz w:val="18"/>
          <w:szCs w:val="18"/>
          <w:color w:val="auto"/>
        </w:rPr>
      </w:pPr>
    </w:p>
    <w:p>
      <w:pPr>
        <w:ind w:right="40" w:firstLine="656"/>
        <w:spacing w:after="0" w:line="286" w:lineRule="auto"/>
        <w:tabs>
          <w:tab w:leader="none" w:pos="135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As consideration for Siegal’s agreement to undertake and continue her duties and responsibilities in her role as Vice President &amp; Controller in light of the changing circumstances at the Company, WFI and Siegal desire to enter into this Agreement to (i) provide for the payment of severance compensation to Siegal upon a termination without Cause, or (ii) in the event of a Change of Control, as defined herein.</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Therefore, in consideration of the promises and the mutual covenants contained below, and for other good and valuable consideration, receipt of which is hereby acknowledged, the parties agree as follows:</w:t>
      </w:r>
    </w:p>
    <w:p>
      <w:pPr>
        <w:spacing w:after="0" w:line="170" w:lineRule="exact"/>
        <w:rPr>
          <w:sz w:val="20"/>
          <w:szCs w:val="20"/>
          <w:color w:val="auto"/>
        </w:rPr>
      </w:pPr>
    </w:p>
    <w:p>
      <w:pPr>
        <w:ind w:right="140" w:firstLine="656"/>
        <w:spacing w:after="0" w:line="255" w:lineRule="auto"/>
        <w:tabs>
          <w:tab w:leader="none" w:pos="1368"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Vesting Upon Change of Control. </w:t>
      </w:r>
      <w:r>
        <w:rPr>
          <w:rFonts w:ascii="Arial" w:cs="Arial" w:eastAsia="Arial" w:hAnsi="Arial"/>
          <w:sz w:val="18"/>
          <w:szCs w:val="18"/>
          <w:color w:val="auto"/>
        </w:rPr>
        <w:t>Upon the closing of a transaction that constitutes a Change of Control (as defined in paragraph 3(a)</w:t>
      </w:r>
      <w:r>
        <w:rPr>
          <w:rFonts w:ascii="Arial" w:cs="Arial" w:eastAsia="Arial" w:hAnsi="Arial"/>
          <w:sz w:val="18"/>
          <w:szCs w:val="18"/>
          <w:i w:val="1"/>
          <w:iCs w:val="1"/>
          <w:color w:val="auto"/>
        </w:rPr>
        <w:t xml:space="preserve"> </w:t>
      </w:r>
      <w:r>
        <w:rPr>
          <w:rFonts w:ascii="Arial" w:cs="Arial" w:eastAsia="Arial" w:hAnsi="Arial"/>
          <w:sz w:val="18"/>
          <w:szCs w:val="18"/>
          <w:color w:val="auto"/>
        </w:rPr>
        <w:t>below), the vesting of 50% of all stock options and stock appreciation rights granted to Siegal under WFI’s equity incentive plans that as of the date of such Change of Control remain unvested shall accelerate, to the extent permissible by law, notwithstanding and in addition to any existing vesting provisions set forth in such stock option, stock appreciation right and/or WFI equity incentive plan. On the one year anniversary of such Change of Control or upon a Triggering Event (as defined in paragraph 3(b) below), whichever occurs sooner, the remaining unvested portion of any stock options and stock appreciation rights shall immediately vest.</w:t>
      </w:r>
    </w:p>
    <w:p>
      <w:pPr>
        <w:spacing w:after="0" w:line="193" w:lineRule="exact"/>
        <w:rPr>
          <w:rFonts w:ascii="Arial" w:cs="Arial" w:eastAsia="Arial" w:hAnsi="Arial"/>
          <w:sz w:val="18"/>
          <w:szCs w:val="18"/>
          <w:color w:val="auto"/>
        </w:rPr>
      </w:pPr>
    </w:p>
    <w:p>
      <w:pPr>
        <w:ind w:right="40" w:firstLine="656"/>
        <w:spacing w:after="0" w:line="287" w:lineRule="auto"/>
        <w:tabs>
          <w:tab w:leader="none" w:pos="1368"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 xml:space="preserve">Severance Payments. </w:t>
      </w:r>
      <w:r>
        <w:rPr>
          <w:rFonts w:ascii="Arial" w:cs="Arial" w:eastAsia="Arial" w:hAnsi="Arial"/>
          <w:sz w:val="16"/>
          <w:szCs w:val="16"/>
          <w:color w:val="auto"/>
        </w:rPr>
        <w:t>If Siegal is (a) terminated without Cause (as defined in paragraph 3(c) below) or (b) voluntarily resigns from WFI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of a Triggering Event (as defined in paragraph 3(b) below) after a Change of Control (as defined in paragraph 3(a) below), then Siegal will be entitled to receive in satisfaction of all obligations (other than as provided in paragraph 1 above) that WFI may have to Siegal: (i) in the case of 2(a) hereof, severance compensation equal to nine (9) months of her base salary then in effect; or in the case of 2 (b) hereof, severance compensation equal to nine (9) months of her base salary plus her maximum potential bonus amount for nine (9) months; in either case, less applicable taxes and withholding; and, if needed by Siegal, (ii) her then-current health insurance coverage, at the then current employee cost, during the nine (9) month period following a termination in the case of 2 (a) or during the nine (9) month period following a resignation in the case of 2(b). In addition, in the event that Siegal is terminated without Cause, the vesting of 100% of all stock options and stock appreciation rights granted to Siegal under WFI’s equity incentive plans that as of the date of such termination remain unvested shall accelerate, to the extent permissible by law, notwithstanding and in addition to any existing vesting provisions set forth in such stock option, stock appreciation right and/or WFI equity incentive plan. The foregoing severance compensation, health insurance coverage and acceleration of vesting will be conditioned upon Siegal’s execution of a separation agreement with a release of claims reasonably satisfactory to WFI and such severance compensation shall be paid in a single lump sum payment promptly after Siegal’s execution of such separation agreement.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1" w:lineRule="exact"/>
        <w:rPr>
          <w:rFonts w:ascii="Arial" w:cs="Arial" w:eastAsia="Arial" w:hAnsi="Arial"/>
          <w:sz w:val="16"/>
          <w:szCs w:val="16"/>
          <w:color w:val="auto"/>
        </w:rPr>
      </w:pPr>
    </w:p>
    <w:p>
      <w:pPr>
        <w:ind w:left="1380" w:hanging="724"/>
        <w:spacing w:after="0"/>
        <w:tabs>
          <w:tab w:leader="none" w:pos="138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Definition of Change of Control and 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180" w:firstLine="656"/>
        <w:spacing w:after="0" w:line="255" w:lineRule="auto"/>
        <w:tabs>
          <w:tab w:leader="none" w:pos="134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Change of Control means: (i) the acquisition by an individual person or entity or a group of individuals or entities acting in concert, directly or indirectly, through one transaction or a series of transactions, of more than 50% of the outstanding voting securities of WFI; (ii) a merger or consolidation of WFI with or into another entity after which the stockholders of WFI immediately prior to such transaction hold less than 50% of the voting securities of the surviving entity; (iii) any action or event that results in the Board of Directors consisting of fewer than a majority of Incumbent Directors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shall mean directors who either (A) are directors of WFI as of the date hereof, or (B) are elected or nominated for election, to the Board with the affirmative votes of at least a majority of the Incumbent Directors at the time of such election or nomination); or (iv) a sale of all or substantially all of the assets of WFI.</w:t>
      </w:r>
    </w:p>
    <w:p>
      <w:pPr>
        <w:spacing w:after="0" w:line="189" w:lineRule="exact"/>
        <w:rPr>
          <w:rFonts w:ascii="Arial" w:cs="Arial" w:eastAsia="Arial" w:hAnsi="Arial"/>
          <w:sz w:val="18"/>
          <w:szCs w:val="18"/>
          <w:color w:val="auto"/>
        </w:rPr>
      </w:pPr>
    </w:p>
    <w:p>
      <w:pPr>
        <w:ind w:right="120" w:firstLine="656"/>
        <w:spacing w:after="0" w:line="279" w:lineRule="auto"/>
        <w:tabs>
          <w:tab w:leader="none" w:pos="135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 Triggering Event means (i) Siegal’s termination from employment; (ii) a material change in the nature of Siegal’s role or job responsibilities so that Siegal’s job duties and responsibilities after the Change of Control, when considered in their totality as a whole, are substantially different in nature from the job duties Siegal performed immediately prior to the Change of Control; or (iii) the relocation of Siegal’s principal place of work to a location of more that thirty (30) miles from the location Siegal was assigned to immediately prior to the Change of Control.</w:t>
      </w:r>
    </w:p>
    <w:p>
      <w:pPr>
        <w:spacing w:after="0" w:line="171" w:lineRule="exact"/>
        <w:rPr>
          <w:rFonts w:ascii="Arial" w:cs="Arial" w:eastAsia="Arial" w:hAnsi="Arial"/>
          <w:sz w:val="17"/>
          <w:szCs w:val="17"/>
          <w:color w:val="auto"/>
        </w:rPr>
      </w:pPr>
    </w:p>
    <w:p>
      <w:pPr>
        <w:ind w:right="40" w:firstLine="656"/>
        <w:spacing w:after="0" w:line="270" w:lineRule="auto"/>
        <w:tabs>
          <w:tab w:leader="none" w:pos="134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“Cause” means (i) acts or omissions constituting gross negligence, recklessness or willful misconduct on the part of Siegal with respect to Siegal’s obligations or otherwise relating to the business of WFI; (ii) Siegal’s material breach of this Agreement or WFI’s standard form of confidentiality agreement; (iii) Siegal’s conviction or entry of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for fraud, misappropriation or embezzlement, or any felony or crime of moral turpitude; (iv) Siegal’s failure to perform her duties and responsibilities as Vice President and Corporate Controller to the reasonable satisfaction of the Board after being provided with notice thereof and thirty (30) days opportunity to remedy such failure; and (v) Siegal’s willful neglect of duties or poor performance. Notwithstanding the foregoing, a termination under subsection (v) shall not constitute a termination for “Cause” unless WFI has first given Siegal written notice of the offending conduct (such notice shall include a description of remedial actions that WFI reasonably deems appropriate to cure such offending conduct) and a thirty (30) day opportunity to cure such offending conduct. In the event WFI terminates Siegal’s employment under subsection (v), WFI agrees to participate in binding arbitration, if requested by Siegal, to determine whether the cause for termination was willful neglect of duties or poor performance as opposed to some other reason that does not constitute Cause under this Agreement.</w:t>
      </w:r>
    </w:p>
    <w:p>
      <w:pPr>
        <w:spacing w:after="0" w:line="178" w:lineRule="exact"/>
        <w:rPr>
          <w:sz w:val="20"/>
          <w:szCs w:val="20"/>
          <w:color w:val="auto"/>
        </w:rPr>
      </w:pPr>
    </w:p>
    <w:p>
      <w:pPr>
        <w:ind w:right="80" w:firstLine="656"/>
        <w:spacing w:after="0" w:line="257" w:lineRule="auto"/>
        <w:tabs>
          <w:tab w:leader="none" w:pos="1368"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General Provisions. </w:t>
      </w:r>
      <w:r>
        <w:rPr>
          <w:rFonts w:ascii="Arial" w:cs="Arial" w:eastAsia="Arial" w:hAnsi="Arial"/>
          <w:sz w:val="18"/>
          <w:szCs w:val="18"/>
          <w:color w:val="auto"/>
        </w:rPr>
        <w:t>Except as set forth in this Agreement, the terms of the Offer Letter remain unchanged. Nothing in this Agreement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change the at-will nature of Siegal’s employment with WFI. This Agreement and the Offer Letter, including the Additional Terms and Conditions attached thereto and the Proprietary Information and Innovations Agreement signed by Siegal, constitute the entire agreement between Siegal and WFI with respect to Siegal’s employment with WFI. No amendment or modification of the terms or conditions of this Agreement shall be valid unless in writing and signed by the parties.</w:t>
      </w:r>
    </w:p>
    <w:p>
      <w:pPr>
        <w:spacing w:after="0" w:line="188" w:lineRule="exact"/>
        <w:rPr>
          <w:rFonts w:ascii="Arial" w:cs="Arial" w:eastAsia="Arial" w:hAnsi="Arial"/>
          <w:sz w:val="18"/>
          <w:szCs w:val="18"/>
          <w:color w:val="auto"/>
        </w:rPr>
      </w:pPr>
    </w:p>
    <w:p>
      <w:pPr>
        <w:ind w:right="120" w:firstLine="656"/>
        <w:spacing w:after="0" w:line="312" w:lineRule="auto"/>
        <w:tabs>
          <w:tab w:leader="none" w:pos="1368"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Compliance with Section 409A of the Code</w:t>
      </w:r>
      <w:r>
        <w:rPr>
          <w:rFonts w:ascii="Arial" w:cs="Arial" w:eastAsia="Arial" w:hAnsi="Arial"/>
          <w:sz w:val="16"/>
          <w:szCs w:val="16"/>
          <w:color w:val="auto"/>
        </w:rPr>
        <w:t>. This Agreement is intended to comply with Section 409A of the Code (or any regulations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rulings thereunder), and shall be construed and interpreted in accordance with such intent. Notwithstanding anything to the contrary in this Agreement, WFI, in the exercise of its sole discretion and without the consent of Siegal, (a) may amend or modify this Agreement in any manner in order to meet the</w:t>
      </w:r>
    </w:p>
    <w:p>
      <w:pPr>
        <w:sectPr>
          <w:pgSz w:w="11900" w:h="16838" w:orient="portrait"/>
          <w:cols w:equalWidth="0" w:num="1">
            <w:col w:w="11420"/>
          </w:cols>
          <w:pgMar w:left="240" w:top="121" w:right="239" w:bottom="0" w:gutter="0" w:footer="0" w:header="0"/>
        </w:sectPr>
      </w:pPr>
    </w:p>
    <w:bookmarkStart w:id="137" w:name="page138"/>
    <w:bookmarkEnd w:id="137"/>
    <w:p>
      <w:pPr>
        <w:ind w:right="620"/>
        <w:spacing w:after="0" w:line="277" w:lineRule="auto"/>
        <w:rPr>
          <w:sz w:val="20"/>
          <w:szCs w:val="20"/>
          <w:color w:val="auto"/>
        </w:rPr>
      </w:pPr>
      <w:r>
        <w:rPr>
          <w:rFonts w:ascii="Arial" w:cs="Arial" w:eastAsia="Arial" w:hAnsi="Arial"/>
          <w:sz w:val="18"/>
          <w:szCs w:val="18"/>
          <w:color w:val="auto"/>
        </w:rPr>
        <w:t>requirements of Section 409A of the Code as amplified by any Internal Revenue Service or U.S. Treasury Department guidance and (b) shall have the authority to delay the payment of any amounts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provision of any benefits under this Agreement to the extent it deems necessary or appropriate to comply with Section 409A(a)(2)(B)(i) of the Code (relating to payments made to certain “key employees” of certain publicly-traded companies) as amplified by any Internal Revenue Service or U.S. Treasury Department guidance as WFI deems appropriate or advisable. In such event, any amounts or benefits under this Agreement to which Siegal would otherwise be entitled during the six (6) month period following Siegal’s termination of employment will be paid on the first business day following the expiration of such six (6) month period. Any provision of this Agreement that would cause the payment of any benefit to fail to satisfy Section 409A of the Code shall have no force and effect until amended to comply with Code Section 409A (which amendment may be retroactive to the extent permitted by the Code or any regulations or rulings thereunder).</w:t>
      </w:r>
    </w:p>
    <w:p>
      <w:pPr>
        <w:spacing w:after="0" w:line="200" w:lineRule="exact"/>
        <w:rPr>
          <w:sz w:val="20"/>
          <w:szCs w:val="20"/>
          <w:color w:val="auto"/>
        </w:rPr>
      </w:pPr>
    </w:p>
    <w:p>
      <w:pPr>
        <w:spacing w:after="0" w:line="2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Laura Siegal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152400</wp:posOffset>
            </wp:positionV>
            <wp:extent cx="39878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Wireless Facilities, Inc.</w:t>
      </w:r>
    </w:p>
    <w:p>
      <w:pPr>
        <w:spacing w:after="0" w:line="229"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3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Eric DeMarco,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-130175</wp:posOffset>
            </wp:positionV>
            <wp:extent cx="37820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7820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ind w:left="740"/>
              <w:spacing w:after="0"/>
              <w:rPr>
                <w:sz w:val="20"/>
                <w:szCs w:val="20"/>
                <w:color w:val="auto"/>
              </w:rPr>
            </w:pPr>
            <w:r>
              <w:rPr>
                <w:rFonts w:ascii="Arial" w:cs="Arial" w:eastAsia="Arial" w:hAnsi="Arial"/>
                <w:sz w:val="18"/>
                <w:szCs w:val="18"/>
                <w:b w:val="1"/>
                <w:bCs w:val="1"/>
                <w:color w:val="auto"/>
                <w:w w:val="95"/>
              </w:rPr>
              <w:t>Exhibit 21.1</w:t>
            </w:r>
          </w:p>
        </w:tc>
      </w:tr>
      <w:tr>
        <w:trPr>
          <w:trHeight w:val="432"/>
        </w:trPr>
        <w:tc>
          <w:tcPr>
            <w:tcW w:w="9740" w:type="dxa"/>
            <w:vAlign w:val="bottom"/>
            <w:gridSpan w:val="2"/>
          </w:tcPr>
          <w:p>
            <w:pPr>
              <w:ind w:left="5020"/>
              <w:spacing w:after="0"/>
              <w:rPr>
                <w:sz w:val="20"/>
                <w:szCs w:val="20"/>
                <w:color w:val="auto"/>
              </w:rPr>
            </w:pPr>
            <w:r>
              <w:rPr>
                <w:rFonts w:ascii="Arial" w:cs="Arial" w:eastAsia="Arial" w:hAnsi="Arial"/>
                <w:sz w:val="18"/>
                <w:szCs w:val="18"/>
                <w:color w:val="auto"/>
              </w:rPr>
              <w:t>List of Subsidiaries</w:t>
            </w: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9740" w:type="dxa"/>
            <w:vAlign w:val="bottom"/>
            <w:gridSpan w:val="2"/>
          </w:tcPr>
          <w:p>
            <w:pPr>
              <w:spacing w:after="0"/>
              <w:rPr>
                <w:sz w:val="20"/>
                <w:szCs w:val="20"/>
                <w:color w:val="auto"/>
              </w:rPr>
            </w:pPr>
            <w:r>
              <w:rPr>
                <w:rFonts w:ascii="Arial" w:cs="Arial" w:eastAsia="Arial" w:hAnsi="Arial"/>
                <w:sz w:val="14"/>
                <w:szCs w:val="14"/>
                <w:b w:val="1"/>
                <w:bCs w:val="1"/>
                <w:color w:val="auto"/>
              </w:rPr>
              <w:t>Subsidiary Name</w:t>
            </w:r>
          </w:p>
        </w:tc>
        <w:tc>
          <w:tcPr>
            <w:tcW w:w="1720" w:type="dxa"/>
            <w:vAlign w:val="bottom"/>
            <w:gridSpan w:val="2"/>
          </w:tcPr>
          <w:p>
            <w:pPr>
              <w:ind w:left="560"/>
              <w:spacing w:after="0"/>
              <w:rPr>
                <w:sz w:val="20"/>
                <w:szCs w:val="20"/>
                <w:color w:val="auto"/>
              </w:rPr>
            </w:pPr>
            <w:r>
              <w:rPr>
                <w:rFonts w:ascii="Arial" w:cs="Arial" w:eastAsia="Arial" w:hAnsi="Arial"/>
                <w:sz w:val="14"/>
                <w:szCs w:val="14"/>
                <w:b w:val="1"/>
                <w:bCs w:val="1"/>
                <w:color w:val="auto"/>
              </w:rPr>
              <w:t>Domicile</w:t>
            </w:r>
          </w:p>
        </w:tc>
      </w:tr>
      <w:tr>
        <w:trPr>
          <w:trHeight w:val="210"/>
        </w:trPr>
        <w:tc>
          <w:tcPr>
            <w:tcW w:w="9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Wireless Facilities, Inc./Entel</w:t>
            </w:r>
          </w:p>
        </w:tc>
        <w:tc>
          <w:tcPr>
            <w:tcW w:w="2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Wireless Facilities International, Spain S.L.</w:t>
            </w:r>
          </w:p>
        </w:tc>
        <w:tc>
          <w:tcPr>
            <w:tcW w:w="1680" w:type="dxa"/>
            <w:vAlign w:val="bottom"/>
          </w:tcPr>
          <w:p>
            <w:pPr>
              <w:spacing w:after="0"/>
              <w:rPr>
                <w:sz w:val="20"/>
                <w:szCs w:val="20"/>
                <w:color w:val="auto"/>
              </w:rPr>
            </w:pPr>
            <w:r>
              <w:rPr>
                <w:rFonts w:ascii="Arial" w:cs="Arial" w:eastAsia="Arial" w:hAnsi="Arial"/>
                <w:sz w:val="18"/>
                <w:szCs w:val="18"/>
                <w:color w:val="auto"/>
              </w:rPr>
              <w:t>Spain</w:t>
            </w:r>
          </w:p>
        </w:tc>
        <w:tc>
          <w:tcPr>
            <w:tcW w:w="4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Wireless Facilities International Singapore PTE LTD.</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4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Wireless Facilities International Hong Kong Limited</w:t>
            </w:r>
          </w:p>
        </w:tc>
        <w:tc>
          <w:tcPr>
            <w:tcW w:w="1680" w:type="dxa"/>
            <w:vAlign w:val="bottom"/>
          </w:tcPr>
          <w:p>
            <w:pPr>
              <w:spacing w:after="0"/>
              <w:rPr>
                <w:sz w:val="20"/>
                <w:szCs w:val="20"/>
                <w:color w:val="auto"/>
              </w:rPr>
            </w:pPr>
            <w:r>
              <w:rPr>
                <w:rFonts w:ascii="Arial" w:cs="Arial" w:eastAsia="Arial" w:hAnsi="Arial"/>
                <w:sz w:val="18"/>
                <w:szCs w:val="18"/>
                <w:color w:val="auto"/>
              </w:rPr>
              <w:t>Hong Kong</w:t>
            </w:r>
          </w:p>
        </w:tc>
        <w:tc>
          <w:tcPr>
            <w:tcW w:w="4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Wireless Facilities California, Inc.</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WFI Uruguay S.A.</w:t>
            </w:r>
          </w:p>
        </w:tc>
        <w:tc>
          <w:tcPr>
            <w:tcW w:w="1680" w:type="dxa"/>
            <w:vAlign w:val="bottom"/>
          </w:tcPr>
          <w:p>
            <w:pPr>
              <w:spacing w:after="0"/>
              <w:rPr>
                <w:sz w:val="20"/>
                <w:szCs w:val="20"/>
                <w:color w:val="auto"/>
              </w:rPr>
            </w:pPr>
            <w:r>
              <w:rPr>
                <w:rFonts w:ascii="Arial" w:cs="Arial" w:eastAsia="Arial" w:hAnsi="Arial"/>
                <w:sz w:val="18"/>
                <w:szCs w:val="18"/>
                <w:color w:val="auto"/>
              </w:rPr>
              <w:t>Uruguay</w:t>
            </w:r>
          </w:p>
        </w:tc>
        <w:tc>
          <w:tcPr>
            <w:tcW w:w="4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WFI UK Limited</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WFI Texas, Inc.</w:t>
            </w:r>
          </w:p>
        </w:tc>
        <w:tc>
          <w:tcPr>
            <w:tcW w:w="1680" w:type="dxa"/>
            <w:vAlign w:val="bottom"/>
          </w:tcPr>
          <w:p>
            <w:pPr>
              <w:spacing w:after="0"/>
              <w:rPr>
                <w:sz w:val="20"/>
                <w:szCs w:val="20"/>
                <w:color w:val="auto"/>
              </w:rPr>
            </w:pPr>
            <w:r>
              <w:rPr>
                <w:rFonts w:ascii="Arial" w:cs="Arial" w:eastAsia="Arial" w:hAnsi="Arial"/>
                <w:sz w:val="18"/>
                <w:szCs w:val="18"/>
                <w:color w:val="auto"/>
              </w:rPr>
              <w:t>Texas</w:t>
            </w:r>
          </w:p>
        </w:tc>
        <w:tc>
          <w:tcPr>
            <w:tcW w:w="4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WFI Southwest L.P.</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4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WFI NMC L.P.</w:t>
            </w:r>
          </w:p>
        </w:tc>
        <w:tc>
          <w:tcPr>
            <w:tcW w:w="1680" w:type="dxa"/>
            <w:vAlign w:val="bottom"/>
          </w:tcPr>
          <w:p>
            <w:pPr>
              <w:spacing w:after="0"/>
              <w:rPr>
                <w:sz w:val="20"/>
                <w:szCs w:val="20"/>
                <w:color w:val="auto"/>
              </w:rPr>
            </w:pPr>
            <w:r>
              <w:rPr>
                <w:rFonts w:ascii="Arial" w:cs="Arial" w:eastAsia="Arial" w:hAnsi="Arial"/>
                <w:sz w:val="18"/>
                <w:szCs w:val="18"/>
                <w:color w:val="auto"/>
              </w:rPr>
              <w:t>Texas</w:t>
            </w:r>
          </w:p>
        </w:tc>
        <w:tc>
          <w:tcPr>
            <w:tcW w:w="4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WFI NMC Corp.</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WFI India Private Limited</w:t>
            </w:r>
          </w:p>
        </w:tc>
        <w:tc>
          <w:tcPr>
            <w:tcW w:w="1680" w:type="dxa"/>
            <w:vAlign w:val="bottom"/>
          </w:tcPr>
          <w:p>
            <w:pPr>
              <w:spacing w:after="0"/>
              <w:rPr>
                <w:sz w:val="20"/>
                <w:szCs w:val="20"/>
                <w:color w:val="auto"/>
              </w:rPr>
            </w:pPr>
            <w:r>
              <w:rPr>
                <w:rFonts w:ascii="Arial" w:cs="Arial" w:eastAsia="Arial" w:hAnsi="Arial"/>
                <w:sz w:val="18"/>
                <w:szCs w:val="18"/>
                <w:color w:val="auto"/>
              </w:rPr>
              <w:t>India</w:t>
            </w:r>
          </w:p>
        </w:tc>
        <w:tc>
          <w:tcPr>
            <w:tcW w:w="4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WFI Government Services, Inc.</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WFI Georgia Inc.</w:t>
            </w:r>
          </w:p>
        </w:tc>
        <w:tc>
          <w:tcPr>
            <w:tcW w:w="1680" w:type="dxa"/>
            <w:vAlign w:val="bottom"/>
          </w:tcPr>
          <w:p>
            <w:pPr>
              <w:spacing w:after="0"/>
              <w:rPr>
                <w:sz w:val="20"/>
                <w:szCs w:val="20"/>
                <w:color w:val="auto"/>
              </w:rPr>
            </w:pPr>
            <w:r>
              <w:rPr>
                <w:rFonts w:ascii="Arial" w:cs="Arial" w:eastAsia="Arial" w:hAnsi="Arial"/>
                <w:sz w:val="18"/>
                <w:szCs w:val="18"/>
                <w:color w:val="auto"/>
              </w:rPr>
              <w:t>Georgia</w:t>
            </w:r>
          </w:p>
        </w:tc>
        <w:tc>
          <w:tcPr>
            <w:tcW w:w="4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WFI Delaware Inc.</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Secure Planet, Inc.</w:t>
            </w: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Posinet, Inc.</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Madison Research Corporation</w:t>
            </w:r>
          </w:p>
        </w:tc>
        <w:tc>
          <w:tcPr>
            <w:tcW w:w="1680" w:type="dxa"/>
            <w:vAlign w:val="bottom"/>
          </w:tcPr>
          <w:p>
            <w:pPr>
              <w:spacing w:after="0"/>
              <w:rPr>
                <w:sz w:val="20"/>
                <w:szCs w:val="20"/>
                <w:color w:val="auto"/>
              </w:rPr>
            </w:pPr>
            <w:r>
              <w:rPr>
                <w:rFonts w:ascii="Arial" w:cs="Arial" w:eastAsia="Arial" w:hAnsi="Arial"/>
                <w:sz w:val="18"/>
                <w:szCs w:val="18"/>
                <w:color w:val="auto"/>
              </w:rPr>
              <w:t>Alabama</w:t>
            </w:r>
          </w:p>
        </w:tc>
        <w:tc>
          <w:tcPr>
            <w:tcW w:w="4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JMA Associates, Inc (dba TLA Associates)</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EyeVelocity, Inc.</w:t>
            </w:r>
          </w:p>
        </w:tc>
        <w:tc>
          <w:tcPr>
            <w:tcW w:w="1680" w:type="dxa"/>
            <w:vAlign w:val="bottom"/>
          </w:tcPr>
          <w:p>
            <w:pPr>
              <w:spacing w:after="0"/>
              <w:rPr>
                <w:sz w:val="20"/>
                <w:szCs w:val="20"/>
                <w:color w:val="auto"/>
              </w:rPr>
            </w:pPr>
            <w:r>
              <w:rPr>
                <w:rFonts w:ascii="Arial" w:cs="Arial" w:eastAsia="Arial" w:hAnsi="Arial"/>
                <w:sz w:val="18"/>
                <w:szCs w:val="18"/>
                <w:color w:val="auto"/>
              </w:rPr>
              <w:t>Washington</w:t>
            </w:r>
          </w:p>
        </w:tc>
        <w:tc>
          <w:tcPr>
            <w:tcW w:w="4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Defense Systems, Incorporated</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Virginia</w:t>
            </w:r>
          </w:p>
        </w:tc>
        <w:tc>
          <w:tcPr>
            <w:tcW w:w="40" w:type="dxa"/>
            <w:vAlign w:val="bottom"/>
          </w:tcPr>
          <w:p>
            <w:pPr>
              <w:spacing w:after="0"/>
              <w:rPr>
                <w:sz w:val="18"/>
                <w:szCs w:val="18"/>
                <w:color w:val="auto"/>
              </w:rPr>
            </w:pPr>
          </w:p>
        </w:tc>
      </w:tr>
      <w:tr>
        <w:trPr>
          <w:trHeight w:val="230"/>
        </w:trPr>
        <w:tc>
          <w:tcPr>
            <w:tcW w:w="9740" w:type="dxa"/>
            <w:vAlign w:val="bottom"/>
            <w:gridSpan w:val="2"/>
          </w:tcPr>
          <w:p>
            <w:pPr>
              <w:spacing w:after="0"/>
              <w:rPr>
                <w:sz w:val="20"/>
                <w:szCs w:val="20"/>
                <w:color w:val="auto"/>
              </w:rPr>
            </w:pPr>
            <w:r>
              <w:rPr>
                <w:rFonts w:ascii="Arial" w:cs="Arial" w:eastAsia="Arial" w:hAnsi="Arial"/>
                <w:sz w:val="18"/>
                <w:szCs w:val="18"/>
                <w:color w:val="auto"/>
              </w:rPr>
              <w:t>Bejing Wanfeng United Wireless Technology Consulting Co. (dba WFI China)</w:t>
            </w:r>
          </w:p>
        </w:tc>
        <w:tc>
          <w:tcPr>
            <w:tcW w:w="1680" w:type="dxa"/>
            <w:vAlign w:val="bottom"/>
          </w:tcPr>
          <w:p>
            <w:pPr>
              <w:spacing w:after="0"/>
              <w:rPr>
                <w:sz w:val="20"/>
                <w:szCs w:val="20"/>
                <w:color w:val="auto"/>
              </w:rPr>
            </w:pPr>
            <w:r>
              <w:rPr>
                <w:rFonts w:ascii="Arial" w:cs="Arial" w:eastAsia="Arial" w:hAnsi="Arial"/>
                <w:sz w:val="18"/>
                <w:szCs w:val="18"/>
                <w:color w:val="auto"/>
              </w:rPr>
              <w:t>China</w:t>
            </w:r>
          </w:p>
        </w:tc>
        <w:tc>
          <w:tcPr>
            <w:tcW w:w="40" w:type="dxa"/>
            <w:vAlign w:val="bottom"/>
          </w:tcPr>
          <w:p>
            <w:pPr>
              <w:spacing w:after="0"/>
              <w:rPr>
                <w:sz w:val="20"/>
                <w:szCs w:val="20"/>
                <w:color w:val="auto"/>
              </w:rPr>
            </w:pPr>
          </w:p>
        </w:tc>
      </w:tr>
      <w:tr>
        <w:trPr>
          <w:trHeight w:val="631"/>
        </w:trPr>
        <w:tc>
          <w:tcPr>
            <w:tcW w:w="94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We have issued our reports dated September 10, 2007, accompanying the consolidated financial statements and management’s assessment of the effectiveness of internal control over financial reporting included in the Annual Report of Wireless Facilities, Inc. on Form 10-K for the year ended December 31, 2006. We hereby consent to the incorporation by reference of said reports in the Registration Statements of Wireless Facilities, Inc. on Forms S-3 (File No. 333-53014, No. 333-71618, No. 333-74108 and No. 333-112956), on Form S-4 (File No. 333-112957) and on Forms S-8 (File No. 333-90455, No. 333-54818, No. 333-71702, No. 333-91852, No. 333-116903, No. 333-124957 and No. 333-127060).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103" w:lineRule="exact"/>
        <w:rPr>
          <w:sz w:val="20"/>
          <w:szCs w:val="20"/>
          <w:color w:val="auto"/>
        </w:rPr>
      </w:pPr>
    </w:p>
    <w:p>
      <w:pPr>
        <w:ind w:right="120" w:firstLine="360"/>
        <w:spacing w:after="0" w:line="297" w:lineRule="auto"/>
        <w:rPr>
          <w:sz w:val="20"/>
          <w:szCs w:val="20"/>
          <w:color w:val="auto"/>
        </w:rPr>
      </w:pPr>
      <w:r>
        <w:rPr>
          <w:rFonts w:ascii="Arial" w:cs="Arial" w:eastAsia="Arial" w:hAnsi="Arial"/>
          <w:sz w:val="16"/>
          <w:szCs w:val="16"/>
          <w:color w:val="auto"/>
        </w:rPr>
        <w:t>We consent to incorporation by reference in registration statements No. 333-53014, No. 333-71618, No. 333-74108, and No. 333-112956 on Form S-3; No. 333-112957 on Form S-4; and No. 333-90455, No. 333-54818, No. 333-71702, No. 333-91852, No. 333-116903, No. 333-124957, and No. 333-127060 on Form S-8 of Wireless Facilities, Inc. of our report dated March 24, 2005, except for the 2004 related information in Notes 2 and 4, which is as of September 10, 2007, with respect to the consolidated statements of operations, stockholders’ equity, and cash flows of Wireless Facilities, Inc. and subsidiaries for the year ended December 31, 2004, which report appears in the December 31, 2006 Annual Report on Form 10-K of Wireless Facilities, Inc.</w:t>
      </w:r>
    </w:p>
    <w:p>
      <w:pPr>
        <w:spacing w:after="0" w:line="50"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As discussed in Note 2 to the consolidated financial statements, the consolidated financial statements for the year ended December 31, 2004 have been restated.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2311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CERTIFICATION OF CHIEF EXECUTIVE OFFICERPURSUANT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117" w:lineRule="exact"/>
        <w:rPr>
          <w:sz w:val="20"/>
          <w:szCs w:val="20"/>
          <w:color w:val="auto"/>
        </w:rPr>
      </w:pPr>
    </w:p>
    <w:p>
      <w:pPr>
        <w:ind w:left="720" w:hanging="352"/>
        <w:spacing w:after="0"/>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Wireless Facilities, Inc.;</w:t>
      </w:r>
    </w:p>
    <w:p>
      <w:pPr>
        <w:spacing w:after="0" w:line="117" w:lineRule="exact"/>
        <w:rPr>
          <w:rFonts w:ascii="Arial" w:cs="Arial" w:eastAsia="Arial" w:hAnsi="Arial"/>
          <w:sz w:val="18"/>
          <w:szCs w:val="18"/>
          <w:color w:val="auto"/>
        </w:rPr>
      </w:pPr>
    </w:p>
    <w:p>
      <w:pPr>
        <w:ind w:right="220" w:firstLine="368"/>
        <w:spacing w:after="0" w:line="342" w:lineRule="auto"/>
        <w:tabs>
          <w:tab w:leader="none" w:pos="7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80" w:firstLine="368"/>
        <w:spacing w:after="0" w:line="277" w:lineRule="auto"/>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20" w:firstLine="368"/>
        <w:spacing w:after="0" w:line="264" w:lineRule="auto"/>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0" w:right="100" w:firstLine="368"/>
        <w:spacing w:after="0" w:line="264" w:lineRule="auto"/>
        <w:tabs>
          <w:tab w:leader="none" w:pos="11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360" w:right="540" w:firstLine="368"/>
        <w:spacing w:after="0" w:line="264" w:lineRule="auto"/>
        <w:tabs>
          <w:tab w:leader="none" w:pos="106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600" w:firstLine="368"/>
        <w:spacing w:after="0" w:line="342" w:lineRule="auto"/>
        <w:tabs>
          <w:tab w:leader="none" w:pos="11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360" w:right="140" w:firstLine="368"/>
        <w:spacing w:after="0" w:line="264" w:lineRule="auto"/>
        <w:tabs>
          <w:tab w:leader="none" w:pos="106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80" w:firstLine="368"/>
        <w:spacing w:after="0" w:line="308" w:lineRule="auto"/>
        <w:tabs>
          <w:tab w:leader="none" w:pos="7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38" w:lineRule="exact"/>
        <w:rPr>
          <w:rFonts w:ascii="Arial" w:cs="Arial" w:eastAsia="Arial" w:hAnsi="Arial"/>
          <w:sz w:val="17"/>
          <w:szCs w:val="17"/>
          <w:color w:val="auto"/>
        </w:rPr>
      </w:pPr>
    </w:p>
    <w:p>
      <w:pPr>
        <w:ind w:left="360" w:firstLine="368"/>
        <w:spacing w:after="0" w:line="277" w:lineRule="auto"/>
        <w:tabs>
          <w:tab w:leader="none" w:pos="11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560" w:firstLine="368"/>
        <w:spacing w:after="0" w:line="277" w:lineRule="auto"/>
        <w:tabs>
          <w:tab w:leader="none" w:pos="106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11,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De 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23113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117" w:lineRule="exact"/>
        <w:rPr>
          <w:sz w:val="20"/>
          <w:szCs w:val="20"/>
          <w:color w:val="auto"/>
        </w:rPr>
      </w:pPr>
    </w:p>
    <w:p>
      <w:pPr>
        <w:ind w:left="720" w:hanging="352"/>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Wireless Facilities, Inc.;</w:t>
      </w:r>
    </w:p>
    <w:p>
      <w:pPr>
        <w:spacing w:after="0" w:line="117" w:lineRule="exact"/>
        <w:rPr>
          <w:rFonts w:ascii="Arial" w:cs="Arial" w:eastAsia="Arial" w:hAnsi="Arial"/>
          <w:sz w:val="18"/>
          <w:szCs w:val="18"/>
          <w:color w:val="auto"/>
        </w:rPr>
      </w:pPr>
    </w:p>
    <w:p>
      <w:pPr>
        <w:ind w:right="220" w:firstLine="368"/>
        <w:spacing w:after="0" w:line="342" w:lineRule="auto"/>
        <w:tabs>
          <w:tab w:leader="none" w:pos="7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80" w:firstLine="368"/>
        <w:spacing w:after="0" w:line="277" w:lineRule="auto"/>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20" w:firstLine="368"/>
        <w:spacing w:after="0" w:line="264" w:lineRule="auto"/>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15d-(f))for the registrant and have:</w:t>
      </w:r>
    </w:p>
    <w:p>
      <w:pPr>
        <w:spacing w:after="0" w:line="73" w:lineRule="exact"/>
        <w:rPr>
          <w:rFonts w:ascii="Arial" w:cs="Arial" w:eastAsia="Arial" w:hAnsi="Arial"/>
          <w:sz w:val="18"/>
          <w:szCs w:val="18"/>
          <w:color w:val="auto"/>
        </w:rPr>
      </w:pPr>
    </w:p>
    <w:p>
      <w:pPr>
        <w:ind w:left="360" w:right="100" w:firstLine="368"/>
        <w:spacing w:after="0" w:line="264" w:lineRule="auto"/>
        <w:tabs>
          <w:tab w:leader="none" w:pos="11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360" w:right="540" w:firstLine="368"/>
        <w:spacing w:after="0" w:line="264" w:lineRule="auto"/>
        <w:tabs>
          <w:tab w:leader="none" w:pos="106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600" w:firstLine="368"/>
        <w:spacing w:after="0" w:line="342" w:lineRule="auto"/>
        <w:tabs>
          <w:tab w:leader="none" w:pos="11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360" w:right="80" w:firstLine="368"/>
        <w:spacing w:after="0" w:line="264" w:lineRule="auto"/>
        <w:tabs>
          <w:tab w:leader="none" w:pos="106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80" w:firstLine="368"/>
        <w:spacing w:after="0" w:line="277" w:lineRule="auto"/>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similar functions):</w:t>
      </w:r>
    </w:p>
    <w:p>
      <w:pPr>
        <w:spacing w:after="0" w:line="62" w:lineRule="exact"/>
        <w:rPr>
          <w:rFonts w:ascii="Arial" w:cs="Arial" w:eastAsia="Arial" w:hAnsi="Arial"/>
          <w:sz w:val="18"/>
          <w:szCs w:val="18"/>
          <w:color w:val="auto"/>
        </w:rPr>
      </w:pPr>
    </w:p>
    <w:p>
      <w:pPr>
        <w:ind w:left="360" w:firstLine="368"/>
        <w:spacing w:after="0" w:line="277" w:lineRule="auto"/>
        <w:tabs>
          <w:tab w:leader="none" w:pos="11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260" w:firstLine="368"/>
        <w:spacing w:after="0" w:line="277" w:lineRule="auto"/>
        <w:tabs>
          <w:tab w:leader="none" w:pos="105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11,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2400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220" w:firstLine="360"/>
        <w:spacing w:after="0" w:line="286" w:lineRule="auto"/>
        <w:rPr>
          <w:sz w:val="20"/>
          <w:szCs w:val="20"/>
          <w:color w:val="auto"/>
        </w:rPr>
      </w:pPr>
      <w:r>
        <w:rPr>
          <w:rFonts w:ascii="Arial" w:cs="Arial" w:eastAsia="Arial" w:hAnsi="Arial"/>
          <w:sz w:val="17"/>
          <w:szCs w:val="17"/>
          <w:color w:val="auto"/>
        </w:rPr>
        <w:t>In connection with the Annual Report of Wireless Facilities, Inc. (the “Company”) on Form 10-K for the fiscal year ended December 31, 2006 as filed with the Securities and Exchange Commission on the date hereof (the “Report”), I, Eric M. DeMarco, Chief Executive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1140" w:hanging="412"/>
        <w:spacing w:after="0"/>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40" w:hanging="412"/>
        <w:spacing w:after="0"/>
        <w:tabs>
          <w:tab w:leader="none" w:pos="11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That 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11, 2007</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WIRELESS FACILITIES, INC.</w:t>
      </w:r>
    </w:p>
    <w:p>
      <w:pPr>
        <w:spacing w:after="0" w:line="200" w:lineRule="exact"/>
        <w:rPr>
          <w:sz w:val="20"/>
          <w:szCs w:val="20"/>
          <w:color w:val="auto"/>
        </w:rPr>
      </w:pPr>
    </w:p>
    <w:p>
      <w:pPr>
        <w:spacing w:after="0" w:line="24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-130810</wp:posOffset>
            </wp:positionV>
            <wp:extent cx="261556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6155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In connection with the Annual Report of Wireless Facilities, Inc. (the “Company”) on Form 10-K for the fiscal year ended December 31, 2006 as filed with the Securities and Exchange Commission on the date hereof (the “Report”), I, Deanna H. Lund, Chief Financial Officer of the Company, certify, pursuant to 18 U.S.C. Section 1350, as adopted pursuant to Section 906 of the Sarbanes-Oxley Act of 2002, that:</w:t>
      </w:r>
    </w:p>
    <w:p>
      <w:pPr>
        <w:spacing w:after="0" w:line="73" w:lineRule="exact"/>
        <w:rPr>
          <w:sz w:val="20"/>
          <w:szCs w:val="20"/>
          <w:color w:val="auto"/>
        </w:rPr>
      </w:pPr>
    </w:p>
    <w:p>
      <w:pPr>
        <w:ind w:left="1140" w:hanging="412"/>
        <w:spacing w:after="0"/>
        <w:tabs>
          <w:tab w:leader="none" w:pos="11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40" w:hanging="412"/>
        <w:spacing w:after="0"/>
        <w:tabs>
          <w:tab w:leader="none" w:pos="11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That 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11, 2007</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WIRELESS FACILITIES, INC.</w:t>
      </w:r>
    </w:p>
    <w:p>
      <w:pPr>
        <w:spacing w:after="0" w:line="200" w:lineRule="exact"/>
        <w:rPr>
          <w:sz w:val="20"/>
          <w:szCs w:val="20"/>
          <w:color w:val="auto"/>
        </w:rPr>
      </w:pPr>
    </w:p>
    <w:p>
      <w:pPr>
        <w:spacing w:after="0" w:line="24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-130810</wp:posOffset>
            </wp:positionV>
            <wp:extent cx="261556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6155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x"/>
      <w:numFmt w:val="bullet"/>
      <w:start w:val="1"/>
    </w:lvl>
  </w:abstractNum>
  <w:abstractNum w:abstractNumId="1">
    <w:nsid w:val="5FF87E05"/>
    <w:multiLevelType w:val="hybridMultilevel"/>
    <w:lvl w:ilvl="0">
      <w:lvlJc w:val="left"/>
      <w:lvlText w:val="o"/>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1)"/>
      <w:numFmt w:val="decimal"/>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1)"/>
      <w:numFmt w:val="lowerLetter"/>
      <w:start w:val="1"/>
    </w:lvl>
  </w:abstractNum>
  <w:abstractNum w:abstractNumId="22">
    <w:nsid w:val="7BD3EE7B"/>
    <w:multiLevelType w:val="hybridMultilevel"/>
    <w:lvl w:ilvl="0">
      <w:lvlJc w:val="left"/>
      <w:lvlText w:val="(%1)"/>
      <w:numFmt w:val="lowerLetter"/>
      <w:start w:val="1"/>
    </w:lvl>
  </w:abstractNum>
  <w:abstractNum w:abstractNumId="23">
    <w:nsid w:val="51D9C564"/>
    <w:multiLevelType w:val="hybridMultilevel"/>
    <w:lvl w:ilvl="0">
      <w:lvlJc w:val="left"/>
      <w:lvlText w:val="(%1)"/>
      <w:numFmt w:val="lowerLetter"/>
      <w:start w:val="2"/>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1)"/>
      <w:numFmt w:val="decimal"/>
      <w:start w:val="1"/>
    </w:lvl>
  </w:abstractNum>
  <w:abstractNum w:abstractNumId="27">
    <w:nsid w:val="42963E5A"/>
    <w:multiLevelType w:val="hybridMultilevel"/>
    <w:lvl w:ilvl="0">
      <w:lvlJc w:val="left"/>
      <w:lvlText w:val="(%1)"/>
      <w:numFmt w:val="decimal"/>
      <w:start w:val="1"/>
    </w:lvl>
  </w:abstractNum>
  <w:abstractNum w:abstractNumId="28">
    <w:nsid w:val="A0382C5"/>
    <w:multiLevelType w:val="hybridMultilevel"/>
    <w:lvl w:ilvl="0">
      <w:lvlJc w:val="left"/>
      <w:lvlText w:val="(%1)"/>
      <w:numFmt w:val="decimal"/>
      <w:start w:val="3"/>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1)"/>
      <w:numFmt w:val="decimal"/>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1)"/>
      <w:numFmt w:val="decimal"/>
      <w:start w:val="1"/>
    </w:lvl>
  </w:abstractNum>
  <w:abstractNum w:abstractNumId="37">
    <w:nsid w:val="7FFFCA11"/>
    <w:multiLevelType w:val="hybridMultilevel"/>
    <w:lvl w:ilvl="0">
      <w:lvlJc w:val="left"/>
      <w:lvlText w:val="%1)"/>
      <w:numFmt w:val="decimal"/>
      <w:start w:val="2"/>
    </w:lvl>
  </w:abstractNum>
  <w:abstractNum w:abstractNumId="38">
    <w:nsid w:val="1A27709E"/>
    <w:multiLevelType w:val="hybridMultilevel"/>
    <w:lvl w:ilvl="0">
      <w:lvlJc w:val="left"/>
      <w:lvlText w:val="%1)"/>
      <w:numFmt w:val="decimal"/>
      <w:start w:val="3"/>
    </w:lvl>
  </w:abstractNum>
  <w:abstractNum w:abstractNumId="39">
    <w:nsid w:val="71EA1109"/>
    <w:multiLevelType w:val="hybridMultilevel"/>
    <w:lvl w:ilvl="0">
      <w:lvlJc w:val="left"/>
      <w:lvlText w:val="%1)"/>
      <w:numFmt w:val="decimal"/>
      <w:start w:val="4"/>
    </w:lvl>
  </w:abstractNum>
  <w:abstractNum w:abstractNumId="40">
    <w:nsid w:val="100F59DC"/>
    <w:multiLevelType w:val="hybridMultilevel"/>
    <w:lvl w:ilvl="0">
      <w:lvlJc w:val="left"/>
      <w:lvlText w:val="%1)"/>
      <w:numFmt w:val="decimal"/>
      <w:start w:val="5"/>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1)"/>
      <w:numFmt w:val="decimal"/>
      <w:start w:val="1"/>
    </w:lvl>
  </w:abstractNum>
  <w:abstractNum w:abstractNumId="47">
    <w:nsid w:val="4C04A8AF"/>
    <w:multiLevelType w:val="hybridMultilevel"/>
    <w:lvl w:ilvl="0">
      <w:lvlJc w:val="left"/>
      <w:lvlText w:val="(%1)"/>
      <w:numFmt w:val="decimal"/>
      <w:start w:val="1"/>
    </w:lvl>
  </w:abstractNum>
  <w:abstractNum w:abstractNumId="48">
    <w:nsid w:val="1716703B"/>
    <w:multiLevelType w:val="hybridMultilevel"/>
    <w:lvl w:ilvl="0">
      <w:lvlJc w:val="left"/>
      <w:lvlText w:val="(%1)"/>
      <w:numFmt w:val="decimal"/>
      <w:start w:val="1"/>
    </w:lvl>
  </w:abstractNum>
  <w:abstractNum w:abstractNumId="49">
    <w:nsid w:val="14E17E33"/>
    <w:multiLevelType w:val="hybridMultilevel"/>
    <w:lvl w:ilvl="0">
      <w:lvlJc w:val="left"/>
      <w:lvlText w:val="(%1)"/>
      <w:numFmt w:val="decimal"/>
      <w:start w:val="5"/>
    </w:lvl>
  </w:abstractNum>
  <w:abstractNum w:abstractNumId="50">
    <w:nsid w:val="3222E7CD"/>
    <w:multiLevelType w:val="hybridMultilevel"/>
    <w:lvl w:ilvl="0">
      <w:lvlJc w:val="left"/>
      <w:lvlText w:val="(%1)"/>
      <w:numFmt w:val="decimal"/>
      <w:start w:val="1"/>
    </w:lvl>
  </w:abstractNum>
  <w:abstractNum w:abstractNumId="51">
    <w:nsid w:val="74DE0EE3"/>
    <w:multiLevelType w:val="hybridMultilevel"/>
    <w:lvl w:ilvl="0">
      <w:lvlJc w:val="left"/>
      <w:lvlText w:val="(%1)"/>
      <w:numFmt w:val="lowerRoman"/>
      <w:start w:val="3"/>
    </w:lvl>
  </w:abstractNum>
  <w:abstractNum w:abstractNumId="52">
    <w:nsid w:val="68EBC550"/>
    <w:multiLevelType w:val="hybridMultilevel"/>
    <w:lvl w:ilvl="0">
      <w:lvlJc w:val="left"/>
      <w:lvlText w:val="(%1)"/>
      <w:numFmt w:val="lowerRoman"/>
      <w:start w:val="2"/>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1)"/>
      <w:numFmt w:val="decimal"/>
      <w:start w:val="1"/>
    </w:lvl>
    <w:lvl w:ilvl="1">
      <w:lvlJc w:val="left"/>
      <w:lvlText w:val="%2."/>
      <w:numFmt w:val="lowerLetter"/>
      <w:start w:val="1"/>
    </w:lvl>
  </w:abstractNum>
  <w:abstractNum w:abstractNumId="55">
    <w:nsid w:val="4A2AC315"/>
    <w:multiLevelType w:val="hybridMultilevel"/>
    <w:lvl w:ilvl="0">
      <w:lvlJc w:val="left"/>
      <w:lvlText w:val="(%1)"/>
      <w:numFmt w:val="decimal"/>
      <w:start w:val="1"/>
    </w:lvl>
  </w:abstractNum>
  <w:abstractNum w:abstractNumId="56">
    <w:nsid w:val="39EE015C"/>
    <w:multiLevelType w:val="hybridMultilevel"/>
    <w:lvl w:ilvl="0">
      <w:lvlJc w:val="left"/>
      <w:lvlText w:val="(%1)"/>
      <w:numFmt w:val="decimal"/>
      <w:start w:val="2"/>
    </w:lvl>
  </w:abstractNum>
  <w:abstractNum w:abstractNumId="57">
    <w:nsid w:val="57FC4FBB"/>
    <w:multiLevelType w:val="hybridMultilevel"/>
    <w:lvl w:ilvl="0">
      <w:lvlJc w:val="left"/>
      <w:lvlText w:val="(%1)"/>
      <w:numFmt w:val="lowerRoman"/>
      <w:start w:val="2"/>
    </w:lvl>
  </w:abstractNum>
  <w:abstractNum w:abstractNumId="58">
    <w:nsid w:val="CC1016F"/>
    <w:multiLevelType w:val="hybridMultilevel"/>
    <w:lvl w:ilvl="0">
      <w:lvlJc w:val="left"/>
      <w:lvlText w:val="(%1)"/>
      <w:numFmt w:val="decimal"/>
      <w:start w:val="1"/>
    </w:lvl>
  </w:abstractNum>
  <w:abstractNum w:abstractNumId="59">
    <w:nsid w:val="43F18422"/>
    <w:multiLevelType w:val="hybridMultilevel"/>
    <w:lvl w:ilvl="0">
      <w:lvlJc w:val="left"/>
      <w:lvlText w:val="%1"/>
      <w:numFmt w:val="decimal"/>
      <w:start w:val="1"/>
    </w:lvl>
    <w:lvl w:ilvl="1">
      <w:lvlJc w:val="left"/>
      <w:lvlText w:val="(%2)"/>
      <w:numFmt w:val="decimal"/>
      <w:start w:val="4"/>
    </w:lvl>
  </w:abstractNum>
  <w:abstractNum w:abstractNumId="60">
    <w:nsid w:val="60EF0119"/>
    <w:multiLevelType w:val="hybridMultilevel"/>
    <w:lvl w:ilvl="0">
      <w:lvlJc w:val="left"/>
      <w:lvlText w:val="(%1)"/>
      <w:numFmt w:val="decimal"/>
      <w:start w:val="11"/>
    </w:lvl>
    <w:lvl w:ilvl="1">
      <w:lvlJc w:val="left"/>
      <w:lvlText w:val="%2"/>
      <w:numFmt w:val="decimal"/>
      <w:start w:val="1"/>
    </w:lvl>
  </w:abstractNum>
  <w:abstractNum w:abstractNumId="61">
    <w:nsid w:val="26F324BA"/>
    <w:multiLevelType w:val="hybridMultilevel"/>
    <w:lvl w:ilvl="0">
      <w:lvlJc w:val="left"/>
      <w:lvlText w:val="(%1)"/>
      <w:numFmt w:val="decimal"/>
      <w:start w:val="1"/>
    </w:lvl>
  </w:abstractNum>
  <w:abstractNum w:abstractNumId="62">
    <w:nsid w:val="7F01579B"/>
    <w:multiLevelType w:val="hybridMultilevel"/>
    <w:lvl w:ilvl="0">
      <w:lvlJc w:val="left"/>
      <w:lvlText w:val="(%1)"/>
      <w:numFmt w:val="lowerLetter"/>
      <w:start w:val="1"/>
    </w:lvl>
    <w:lvl w:ilvl="1">
      <w:lvlJc w:val="left"/>
      <w:lvlText w:val="(%2)"/>
      <w:numFmt w:val="decimal"/>
      <w:start w:val="1"/>
    </w:lvl>
  </w:abstractNum>
  <w:abstractNum w:abstractNumId="63">
    <w:nsid w:val="49DA307D"/>
    <w:multiLevelType w:val="hybridMultilevel"/>
    <w:lvl w:ilvl="0">
      <w:lvlJc w:val="left"/>
      <w:lvlText w:val="(%1)"/>
      <w:numFmt w:val="decimal"/>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1)"/>
      <w:numFmt w:val="lowerLetter"/>
      <w:start w:val="1"/>
    </w:lvl>
  </w:abstractNum>
  <w:abstractNum w:abstractNumId="68">
    <w:nsid w:val="5FB8011C"/>
    <w:multiLevelType w:val="hybridMultilevel"/>
    <w:lvl w:ilvl="0">
      <w:lvlJc w:val="left"/>
      <w:lvlText w:val="(%1)"/>
      <w:numFmt w:val="lowerLetter"/>
      <w:start w:val="1"/>
    </w:lvl>
  </w:abstractNum>
  <w:abstractNum w:abstractNumId="69">
    <w:nsid w:val="6AA78F7F"/>
    <w:multiLevelType w:val="hybridMultilevel"/>
    <w:lvl w:ilvl="0">
      <w:lvlJc w:val="left"/>
      <w:lvlText w:val="(%1)"/>
      <w:numFmt w:val="lowerLetter"/>
      <w:start w:val="2"/>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1)"/>
      <w:numFmt w:val="lowerRoman"/>
      <w:start w:val="2"/>
    </w:lvl>
  </w:abstractNum>
  <w:abstractNum w:abstractNumId="72">
    <w:nsid w:val="6A5F7029"/>
    <w:multiLevelType w:val="hybridMultilevel"/>
    <w:lvl w:ilvl="0">
      <w:lvlJc w:val="left"/>
      <w:lvlText w:val="(%1)"/>
      <w:numFmt w:val="decimal"/>
      <w:start w:val="1"/>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1."/>
      <w:numFmt w:val="lowerLetter"/>
      <w:start w:val="3"/>
    </w:lvl>
    <w:lvl w:ilvl="1">
      <w:lvlJc w:val="left"/>
      <w:lvlText w:val="·"/>
      <w:numFmt w:val="bullet"/>
      <w:start w:val="1"/>
    </w:lvl>
  </w:abstractNum>
  <w:abstractNum w:abstractNumId="77">
    <w:nsid w:val="555C55B5"/>
    <w:multiLevelType w:val="hybridMultilevel"/>
    <w:lvl w:ilvl="0">
      <w:lvlJc w:val="left"/>
      <w:lvlText w:val="(%1)"/>
      <w:numFmt w:val="upperLetter"/>
      <w:start w:val="1"/>
    </w:lvl>
  </w:abstractNum>
  <w:abstractNum w:abstractNumId="78">
    <w:nsid w:val="3FA62ACA"/>
    <w:multiLevelType w:val="hybridMultilevel"/>
    <w:lvl w:ilvl="0">
      <w:lvlJc w:val="left"/>
      <w:lvlText w:val="(%1)"/>
      <w:numFmt w:val="lowerLetter"/>
      <w:start w:val="1"/>
    </w:lvl>
  </w:abstractNum>
  <w:abstractNum w:abstractNumId="79">
    <w:nsid w:val="14FCE74E"/>
    <w:multiLevelType w:val="hybridMultilevel"/>
    <w:lvl w:ilvl="0">
      <w:lvlJc w:val="left"/>
      <w:lvlText w:val="(%1)"/>
      <w:numFmt w:val="lowerRoman"/>
      <w:start w:val="3"/>
    </w:lvl>
  </w:abstractNum>
  <w:abstractNum w:abstractNumId="80">
    <w:nsid w:val="6A3DD3E8"/>
    <w:multiLevelType w:val="hybridMultilevel"/>
    <w:lvl w:ilvl="0">
      <w:lvlJc w:val="left"/>
      <w:lvlText w:val="(%1)"/>
      <w:numFmt w:val="lowerLetter"/>
      <w:start w:val="1"/>
    </w:lvl>
  </w:abstractNum>
  <w:abstractNum w:abstractNumId="81">
    <w:nsid w:val="71C91298"/>
    <w:multiLevelType w:val="hybridMultilevel"/>
    <w:lvl w:ilvl="0">
      <w:lvlJc w:val="left"/>
      <w:lvlText w:val="(%1)"/>
      <w:numFmt w:val="lowerLetter"/>
      <w:start w:val="1"/>
    </w:lvl>
  </w:abstractNum>
  <w:abstractNum w:abstractNumId="82">
    <w:nsid w:val="9DAF632"/>
    <w:multiLevelType w:val="hybridMultilevel"/>
    <w:lvl w:ilvl="0">
      <w:lvlJc w:val="left"/>
      <w:lvlText w:val="(%1)"/>
      <w:numFmt w:val="lowerLetter"/>
      <w:start w:val="2"/>
    </w:lvl>
  </w:abstractNum>
  <w:abstractNum w:abstractNumId="83">
    <w:nsid w:val="53299938"/>
    <w:multiLevelType w:val="hybridMultilevel"/>
    <w:lvl w:ilvl="0">
      <w:lvlJc w:val="left"/>
      <w:lvlText w:val="(%1)"/>
      <w:numFmt w:val="lowerLetter"/>
      <w:start w:val="1"/>
    </w:lvl>
  </w:abstractNum>
  <w:abstractNum w:abstractNumId="84">
    <w:nsid w:val="1FBFE8E0"/>
    <w:multiLevelType w:val="hybridMultilevel"/>
    <w:lvl w:ilvl="0">
      <w:lvlJc w:val="left"/>
      <w:lvlText w:val="(%1)"/>
      <w:numFmt w:val="lowerLetter"/>
      <w:start w:val="3"/>
    </w:lvl>
  </w:abstractNum>
  <w:abstractNum w:abstractNumId="85">
    <w:nsid w:val="5092CA79"/>
    <w:multiLevelType w:val="hybridMultilevel"/>
    <w:lvl w:ilvl="0">
      <w:lvlJc w:val="left"/>
      <w:lvlText w:val="(%1)"/>
      <w:numFmt w:val="lowerLetter"/>
      <w:start w:val="2"/>
    </w:lvl>
  </w:abstractNum>
  <w:abstractNum w:abstractNumId="86">
    <w:nsid w:val="1D545C4D"/>
    <w:multiLevelType w:val="hybridMultilevel"/>
    <w:lvl w:ilvl="0">
      <w:lvlJc w:val="left"/>
      <w:lvlText w:val="(%1)"/>
      <w:numFmt w:val="lowerLetter"/>
      <w:start w:val="9"/>
    </w:lvl>
  </w:abstractNum>
  <w:abstractNum w:abstractNumId="87">
    <w:nsid w:val="59ADEA3D"/>
    <w:multiLevelType w:val="hybridMultilevel"/>
    <w:lvl w:ilvl="0">
      <w:lvlJc w:val="left"/>
      <w:lvlText w:val="(%1)"/>
      <w:numFmt w:val="lowerLetter"/>
      <w:start w:val="12"/>
    </w:lvl>
  </w:abstractNum>
  <w:abstractNum w:abstractNumId="88">
    <w:nsid w:val="288F1A34"/>
    <w:multiLevelType w:val="hybridMultilevel"/>
    <w:lvl w:ilvl="0">
      <w:lvlJc w:val="left"/>
      <w:lvlText w:val="(%1)"/>
      <w:numFmt w:val="lowerLetter"/>
      <w:start w:val="1"/>
    </w:lvl>
  </w:abstractNum>
  <w:abstractNum w:abstractNumId="89">
    <w:nsid w:val="2A155DBC"/>
    <w:multiLevelType w:val="hybridMultilevel"/>
    <w:lvl w:ilvl="0">
      <w:lvlJc w:val="left"/>
      <w:lvlText w:val="(%1)"/>
      <w:numFmt w:val="lowerLetter"/>
      <w:start w:val="1"/>
    </w:lvl>
  </w:abstractNum>
  <w:abstractNum w:abstractNumId="90">
    <w:nsid w:val="1D9F6E5F"/>
    <w:multiLevelType w:val="hybridMultilevel"/>
    <w:lvl w:ilvl="0">
      <w:lvlJc w:val="left"/>
      <w:lvlText w:val="(%1)"/>
      <w:numFmt w:val="lowerLetter"/>
      <w:start w:val="3"/>
    </w:lvl>
  </w:abstractNum>
  <w:abstractNum w:abstractNumId="91">
    <w:nsid w:val="97E1B4E"/>
    <w:multiLevelType w:val="hybridMultilevel"/>
    <w:lvl w:ilvl="0">
      <w:lvlJc w:val="left"/>
      <w:lvlText w:val="(%1)"/>
      <w:numFmt w:val="lowerLetter"/>
      <w:start w:val="1"/>
    </w:lvl>
  </w:abstractNum>
  <w:abstractNum w:abstractNumId="92">
    <w:nsid w:val="51088277"/>
    <w:multiLevelType w:val="hybridMultilevel"/>
    <w:lvl w:ilvl="0">
      <w:lvlJc w:val="left"/>
      <w:lvlText w:val="(%1)"/>
      <w:numFmt w:val="lowerLetter"/>
      <w:start w:val="2"/>
    </w:lvl>
    <w:lvl w:ilvl="1">
      <w:lvlJc w:val="left"/>
      <w:lvlText w:val="(%2)"/>
      <w:numFmt w:val="lowerRoman"/>
      <w:start w:val="1"/>
    </w:lvl>
  </w:abstractNum>
  <w:abstractNum w:abstractNumId="93">
    <w:nsid w:val="1CA0C5FA"/>
    <w:multiLevelType w:val="hybridMultilevel"/>
    <w:lvl w:ilvl="0">
      <w:lvlJc w:val="left"/>
      <w:lvlText w:val="(%1)"/>
      <w:numFmt w:val="lowerLetter"/>
      <w:start w:val="4"/>
    </w:lvl>
  </w:abstractNum>
  <w:abstractNum w:abstractNumId="94">
    <w:nsid w:val="53584BCB"/>
    <w:multiLevelType w:val="hybridMultilevel"/>
    <w:lvl w:ilvl="0">
      <w:lvlJc w:val="left"/>
      <w:lvlText w:val="(%1)"/>
      <w:numFmt w:val="lowerLetter"/>
      <w:start w:val="8"/>
    </w:lvl>
  </w:abstractNum>
  <w:abstractNum w:abstractNumId="95">
    <w:nsid w:val="415E286C"/>
    <w:multiLevelType w:val="hybridMultilevel"/>
    <w:lvl w:ilvl="0">
      <w:lvlJc w:val="left"/>
      <w:lvlText w:val="(%1)"/>
      <w:numFmt w:val="lowerLetter"/>
      <w:start w:val="1"/>
    </w:lvl>
  </w:abstractNum>
  <w:abstractNum w:abstractNumId="96">
    <w:nsid w:val="7C58FD05"/>
    <w:multiLevelType w:val="hybridMultilevel"/>
    <w:lvl w:ilvl="0">
      <w:lvlJc w:val="left"/>
      <w:lvlText w:val="(%1)"/>
      <w:numFmt w:val="lowerLetter"/>
      <w:start w:val="2"/>
    </w:lvl>
  </w:abstractNum>
  <w:abstractNum w:abstractNumId="97">
    <w:nsid w:val="23D86AAC"/>
    <w:multiLevelType w:val="hybridMultilevel"/>
    <w:lvl w:ilvl="0">
      <w:lvlJc w:val="left"/>
      <w:lvlText w:val="(%1)"/>
      <w:numFmt w:val="lowerLetter"/>
      <w:start w:val="1"/>
    </w:lvl>
  </w:abstractNum>
  <w:abstractNum w:abstractNumId="98">
    <w:nsid w:val="45E6D486"/>
    <w:multiLevelType w:val="hybridMultilevel"/>
    <w:lvl w:ilvl="0">
      <w:lvlJc w:val="left"/>
      <w:lvlText w:val="(%1)"/>
      <w:numFmt w:val="lowerLetter"/>
      <w:start w:val="1"/>
    </w:lvl>
  </w:abstractNum>
  <w:abstractNum w:abstractNumId="99">
    <w:nsid w:val="5C10FE21"/>
    <w:multiLevelType w:val="hybridMultilevel"/>
    <w:lvl w:ilvl="0">
      <w:lvlJc w:val="left"/>
      <w:lvlText w:val="(%1)"/>
      <w:numFmt w:val="decimal"/>
      <w:start w:val="3"/>
    </w:lvl>
    <w:lvl w:ilvl="1">
      <w:lvlJc w:val="left"/>
      <w:lvlText w:val="(%2)"/>
      <w:numFmt w:val="lowerLetter"/>
      <w:start w:val="2"/>
    </w:lvl>
  </w:abstractNum>
  <w:abstractNum w:abstractNumId="100">
    <w:nsid w:val="E7FFA2B"/>
    <w:multiLevelType w:val="hybridMultilevel"/>
    <w:lvl w:ilvl="0">
      <w:lvlJc w:val="left"/>
      <w:lvlText w:val="(%1)"/>
      <w:numFmt w:val="lowerLetter"/>
      <w:start w:val="1"/>
    </w:lvl>
  </w:abstractNum>
  <w:abstractNum w:abstractNumId="101">
    <w:nsid w:val="3C5991AA"/>
    <w:multiLevelType w:val="hybridMultilevel"/>
    <w:lvl w:ilvl="0">
      <w:lvlJc w:val="left"/>
      <w:lvlText w:val="(%1)"/>
      <w:numFmt w:val="lowerLetter"/>
      <w:start w:val="3"/>
    </w:lvl>
  </w:abstractNum>
  <w:abstractNum w:abstractNumId="102">
    <w:nsid w:val="4BD8591A"/>
    <w:multiLevelType w:val="hybridMultilevel"/>
    <w:lvl w:ilvl="0">
      <w:lvlJc w:val="left"/>
      <w:lvlText w:val="(%1)"/>
      <w:numFmt w:val="lowerLetter"/>
      <w:start w:val="5"/>
    </w:lvl>
  </w:abstractNum>
  <w:abstractNum w:abstractNumId="103">
    <w:nsid w:val="78DF6A55"/>
    <w:multiLevelType w:val="hybridMultilevel"/>
    <w:lvl w:ilvl="0">
      <w:lvlJc w:val="left"/>
      <w:lvlText w:val="(%1)"/>
      <w:numFmt w:val="lowerLetter"/>
      <w:start w:val="1"/>
    </w:lvl>
  </w:abstractNum>
  <w:abstractNum w:abstractNumId="104">
    <w:nsid w:val="39B7AAA2"/>
    <w:multiLevelType w:val="hybridMultilevel"/>
    <w:lvl w:ilvl="0">
      <w:lvlJc w:val="left"/>
      <w:lvlText w:val="(%1)"/>
      <w:numFmt w:val="lowerLetter"/>
      <w:start w:val="1"/>
    </w:lvl>
  </w:abstractNum>
  <w:abstractNum w:abstractNumId="105">
    <w:nsid w:val="2B0D8DBE"/>
    <w:multiLevelType w:val="hybridMultilevel"/>
    <w:lvl w:ilvl="0">
      <w:lvlJc w:val="left"/>
      <w:lvlText w:val="(%1)"/>
      <w:numFmt w:val="lowerLetter"/>
      <w:start w:val="1"/>
    </w:lvl>
  </w:abstractNum>
  <w:abstractNum w:abstractNumId="106">
    <w:nsid w:val="6C80EC70"/>
    <w:multiLevelType w:val="hybridMultilevel"/>
    <w:lvl w:ilvl="0">
      <w:lvlJc w:val="left"/>
      <w:lvlText w:val="(%1)"/>
      <w:numFmt w:val="lowerLetter"/>
      <w:start w:val="1"/>
    </w:lvl>
  </w:abstractNum>
  <w:abstractNum w:abstractNumId="107">
    <w:nsid w:val="379E21B5"/>
    <w:multiLevelType w:val="hybridMultilevel"/>
    <w:lvl w:ilvl="0">
      <w:lvlJc w:val="left"/>
      <w:lvlText w:val="(%1)"/>
      <w:numFmt w:val="lowerLetter"/>
      <w:start w:val="10"/>
    </w:lvl>
  </w:abstractNum>
  <w:abstractNum w:abstractNumId="108">
    <w:nsid w:val="69E373"/>
    <w:multiLevelType w:val="hybridMultilevel"/>
    <w:lvl w:ilvl="0">
      <w:lvlJc w:val="left"/>
      <w:lvlText w:val="(%1)"/>
      <w:numFmt w:val="lowerLetter"/>
      <w:start w:val="1"/>
    </w:lvl>
  </w:abstractNum>
  <w:abstractNum w:abstractNumId="109">
    <w:nsid w:val="2C27173B"/>
    <w:multiLevelType w:val="hybridMultilevel"/>
    <w:lvl w:ilvl="0">
      <w:lvlJc w:val="left"/>
      <w:lvlText w:val="(%1)"/>
      <w:numFmt w:val="lowerLetter"/>
      <w:start w:val="1"/>
    </w:lvl>
  </w:abstractNum>
  <w:abstractNum w:abstractNumId="110">
    <w:nsid w:val="4C9B0904"/>
    <w:multiLevelType w:val="hybridMultilevel"/>
    <w:lvl w:ilvl="0">
      <w:lvlJc w:val="left"/>
      <w:lvlText w:val="(%1)"/>
      <w:numFmt w:val="lowerLetter"/>
      <w:start w:val="5"/>
    </w:lvl>
  </w:abstractNum>
  <w:abstractNum w:abstractNumId="111">
    <w:nsid w:val="6AA7B75C"/>
    <w:multiLevelType w:val="hybridMultilevel"/>
    <w:lvl w:ilvl="0">
      <w:lvlJc w:val="left"/>
      <w:lvlText w:val="(%1)"/>
      <w:numFmt w:val="lowerLetter"/>
      <w:start w:val="1"/>
    </w:lvl>
  </w:abstractNum>
  <w:abstractNum w:abstractNumId="112">
    <w:nsid w:val="1DF029D3"/>
    <w:multiLevelType w:val="hybridMultilevel"/>
    <w:lvl w:ilvl="0">
      <w:lvlJc w:val="left"/>
      <w:lvlText w:val="(%1)"/>
      <w:numFmt w:val="lowerLetter"/>
      <w:start w:val="1"/>
    </w:lvl>
  </w:abstractNum>
  <w:abstractNum w:abstractNumId="113">
    <w:nsid w:val="5675FF36"/>
    <w:multiLevelType w:val="hybridMultilevel"/>
    <w:lvl w:ilvl="0">
      <w:lvlJc w:val="left"/>
      <w:lvlText w:val="(%1)"/>
      <w:numFmt w:val="lowerLetter"/>
      <w:start w:val="2"/>
    </w:lvl>
  </w:abstractNum>
  <w:abstractNum w:abstractNumId="114">
    <w:nsid w:val="3DD15094"/>
    <w:multiLevelType w:val="hybridMultilevel"/>
    <w:lvl w:ilvl="0">
      <w:lvlJc w:val="left"/>
      <w:lvlText w:val="(%1)"/>
      <w:numFmt w:val="lowerLetter"/>
      <w:start w:val="1"/>
    </w:lvl>
  </w:abstractNum>
  <w:abstractNum w:abstractNumId="115">
    <w:nsid w:val="3DB012B3"/>
    <w:multiLevelType w:val="hybridMultilevel"/>
    <w:lvl w:ilvl="0">
      <w:lvlJc w:val="left"/>
      <w:lvlText w:val="(%1)"/>
      <w:numFmt w:val="lowerLetter"/>
      <w:start w:val="1"/>
    </w:lvl>
  </w:abstractNum>
  <w:abstractNum w:abstractNumId="116">
    <w:nsid w:val="2708C9AF"/>
    <w:multiLevelType w:val="hybridMultilevel"/>
    <w:lvl w:ilvl="0">
      <w:lvlJc w:val="left"/>
      <w:lvlText w:val="%1"/>
      <w:numFmt w:val="lowerLetter"/>
      <w:start w:val="1"/>
    </w:lvl>
    <w:lvl w:ilvl="1">
      <w:lvlJc w:val="left"/>
      <w:lvlText w:val="(%2)"/>
      <w:numFmt w:val="lowerLetter"/>
      <w:start w:val="2"/>
    </w:lvl>
  </w:abstractNum>
  <w:abstractNum w:abstractNumId="117">
    <w:nsid w:val="5B25ACE2"/>
    <w:multiLevelType w:val="hybridMultilevel"/>
    <w:lvl w:ilvl="0">
      <w:lvlJc w:val="left"/>
      <w:lvlText w:val="(%1)"/>
      <w:numFmt w:val="lowerLetter"/>
      <w:start w:val="35"/>
    </w:lvl>
    <w:lvl w:ilvl="1">
      <w:lvlJc w:val="left"/>
      <w:lvlText w:val="(%2)"/>
      <w:numFmt w:val="lowerLetter"/>
      <w:start w:val="3"/>
    </w:lvl>
  </w:abstractNum>
  <w:abstractNum w:abstractNumId="118">
    <w:nsid w:val="175DFCF0"/>
    <w:multiLevelType w:val="hybridMultilevel"/>
    <w:lvl w:ilvl="0">
      <w:lvlJc w:val="left"/>
      <w:lvlText w:val="(%1)"/>
      <w:numFmt w:val="lowerRoman"/>
      <w:start w:val="2"/>
    </w:lvl>
  </w:abstractNum>
  <w:abstractNum w:abstractNumId="119">
    <w:nsid w:val="4F97E3E4"/>
    <w:multiLevelType w:val="hybridMultilevel"/>
    <w:lvl w:ilvl="0">
      <w:lvlJc w:val="left"/>
      <w:lvlText w:val="%1."/>
      <w:numFmt w:val="upperLetter"/>
      <w:start w:val="1"/>
    </w:lvl>
  </w:abstractNum>
  <w:abstractNum w:abstractNumId="120">
    <w:nsid w:val="53B0A9E"/>
    <w:multiLevelType w:val="hybridMultilevel"/>
    <w:lvl w:ilvl="0">
      <w:lvlJc w:val="left"/>
      <w:lvlText w:val="%1."/>
      <w:numFmt w:val="decimal"/>
      <w:start w:val="1"/>
    </w:lvl>
  </w:abstractNum>
  <w:abstractNum w:abstractNumId="121">
    <w:nsid w:val="34FD6B4F"/>
    <w:multiLevelType w:val="hybridMultilevel"/>
    <w:lvl w:ilvl="0">
      <w:lvlJc w:val="left"/>
      <w:lvlText w:val="(%1)"/>
      <w:numFmt w:val="lowerLetter"/>
      <w:start w:val="1"/>
    </w:lvl>
  </w:abstractNum>
  <w:abstractNum w:abstractNumId="122">
    <w:nsid w:val="5915FF32"/>
    <w:multiLevelType w:val="hybridMultilevel"/>
    <w:lvl w:ilvl="0">
      <w:lvlJc w:val="left"/>
      <w:lvlText w:val="%1."/>
      <w:numFmt w:val="decimal"/>
      <w:start w:val="4"/>
    </w:lvl>
  </w:abstractNum>
  <w:abstractNum w:abstractNumId="123">
    <w:nsid w:val="56438D15"/>
    <w:multiLevelType w:val="hybridMultilevel"/>
    <w:lvl w:ilvl="0">
      <w:lvlJc w:val="left"/>
      <w:lvlText w:val="%1."/>
      <w:numFmt w:val="decimal"/>
      <w:start w:val="1"/>
    </w:lvl>
    <w:lvl w:ilvl="1">
      <w:lvlJc w:val="left"/>
      <w:lvlText w:val="(%2)"/>
      <w:numFmt w:val="lowerLetter"/>
      <w:start w:val="1"/>
    </w:lvl>
  </w:abstractNum>
  <w:abstractNum w:abstractNumId="124">
    <w:nsid w:val="519E3149"/>
    <w:multiLevelType w:val="hybridMultilevel"/>
    <w:lvl w:ilvl="0">
      <w:lvlJc w:val="left"/>
      <w:lvlText w:val="%1."/>
      <w:numFmt w:val="decimal"/>
      <w:start w:val="1"/>
    </w:lvl>
    <w:lvl w:ilvl="1">
      <w:lvlJc w:val="left"/>
      <w:lvlText w:val="(%2)"/>
      <w:numFmt w:val="lowerLetter"/>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2019-12-14T21:58:44Z</dcterms:created>
  <dcterms:modified xsi:type="dcterms:W3CDTF">2019-12-14T21:58:44Z</dcterms:modified>
</cp:coreProperties>
</file>