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5">
        <w:r>
          <w:rPr>
            <w:rFonts w:ascii="Arial" w:cs="Arial" w:eastAsia="Arial" w:hAnsi="Arial"/>
            <w:sz w:val="22"/>
            <w:szCs w:val="22"/>
            <w:u w:val="single" w:color="auto"/>
            <w:color w:val="0000EE"/>
          </w:rPr>
          <w:t>INDEX TO CONSOLIDATED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760" w:right="40" w:hanging="549"/>
        <w:spacing w:after="0" w:line="256" w:lineRule="auto"/>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25, 2011</w:t>
      </w:r>
    </w:p>
    <w:p>
      <w:pPr>
        <w:spacing w:after="0" w:line="190" w:lineRule="exact"/>
        <w:rPr>
          <w:sz w:val="24"/>
          <w:szCs w:val="24"/>
          <w:color w:val="auto"/>
        </w:rPr>
      </w:pPr>
    </w:p>
    <w:p>
      <w:pPr>
        <w:ind w:left="760" w:right="420" w:hanging="509"/>
        <w:spacing w:after="0" w:line="256"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KRATOS DEFENSE &amp; SECURITY SOLUTIONS, INC.</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13-3818604</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4820 Eastgate Mall, Suite 200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of registrant's principal executive offices)</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400" w:type="dxa"/>
        <w:tblCellMar>
          <w:top w:w="0" w:type="dxa"/>
          <w:left w:w="0" w:type="dxa"/>
          <w:bottom w:w="0" w:type="dxa"/>
          <w:right w:w="0" w:type="dxa"/>
        </w:tblCellMar>
      </w:tblPr>
      <w:tr>
        <w:trPr>
          <w:trHeight w:val="229"/>
        </w:trPr>
        <w:tc>
          <w:tcPr>
            <w:tcW w:w="760" w:type="dxa"/>
            <w:vAlign w:val="bottom"/>
          </w:tcPr>
          <w:p>
            <w:pPr>
              <w:spacing w:after="0"/>
              <w:rPr>
                <w:sz w:val="19"/>
                <w:szCs w:val="19"/>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60" w:type="dxa"/>
            <w:vAlign w:val="bottom"/>
          </w:tcPr>
          <w:p>
            <w:pPr>
              <w:spacing w:after="0"/>
              <w:rPr>
                <w:sz w:val="19"/>
                <w:szCs w:val="19"/>
                <w:color w:val="auto"/>
              </w:rPr>
            </w:pPr>
          </w:p>
        </w:tc>
        <w:tc>
          <w:tcPr>
            <w:tcW w:w="3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2"/>
        </w:trPr>
        <w:tc>
          <w:tcPr>
            <w:tcW w:w="760" w:type="dxa"/>
            <w:vAlign w:val="bottom"/>
          </w:tcPr>
          <w:p>
            <w:pPr>
              <w:spacing w:after="0"/>
              <w:rPr>
                <w:sz w:val="17"/>
                <w:szCs w:val="17"/>
                <w:color w:val="auto"/>
              </w:rPr>
            </w:pPr>
          </w:p>
        </w:tc>
        <w:tc>
          <w:tcPr>
            <w:tcW w:w="3720" w:type="dxa"/>
            <w:vAlign w:val="bottom"/>
          </w:tcPr>
          <w:p>
            <w:pPr>
              <w:jc w:val="center"/>
              <w:spacing w:after="0" w:line="202" w:lineRule="exact"/>
              <w:rPr>
                <w:sz w:val="20"/>
                <w:szCs w:val="20"/>
                <w:color w:val="auto"/>
              </w:rPr>
            </w:pPr>
            <w:r>
              <w:rPr>
                <w:rFonts w:ascii="Arial" w:cs="Arial" w:eastAsia="Arial" w:hAnsi="Arial"/>
                <w:sz w:val="18"/>
                <w:szCs w:val="18"/>
                <w:color w:val="auto"/>
                <w:w w:val="88"/>
              </w:rPr>
              <w:t>Common Stock, par value $0.001</w:t>
            </w:r>
          </w:p>
        </w:tc>
        <w:tc>
          <w:tcPr>
            <w:tcW w:w="1660" w:type="dxa"/>
            <w:vAlign w:val="bottom"/>
          </w:tcPr>
          <w:p>
            <w:pPr>
              <w:spacing w:after="0"/>
              <w:rPr>
                <w:sz w:val="17"/>
                <w:szCs w:val="17"/>
                <w:color w:val="auto"/>
              </w:rPr>
            </w:pPr>
          </w:p>
        </w:tc>
        <w:tc>
          <w:tcPr>
            <w:tcW w:w="37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The NASDAQ Global Select Market</w:t>
            </w:r>
          </w:p>
        </w:tc>
      </w:tr>
      <w:tr>
        <w:trPr>
          <w:trHeight w:val="216"/>
        </w:trPr>
        <w:tc>
          <w:tcPr>
            <w:tcW w:w="7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6"/>
              </w:rPr>
              <w:t>Right to Purchase Shares of Series C Preferred</w:t>
            </w:r>
          </w:p>
        </w:tc>
        <w:tc>
          <w:tcPr>
            <w:tcW w:w="1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76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6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0"/>
        </w:trPr>
        <w:tc>
          <w:tcPr>
            <w:tcW w:w="760" w:type="dxa"/>
            <w:vAlign w:val="bottom"/>
          </w:tcPr>
          <w:p>
            <w:pPr>
              <w:spacing w:after="0"/>
              <w:rPr>
                <w:sz w:val="24"/>
                <w:szCs w:val="24"/>
                <w:color w:val="auto"/>
              </w:rPr>
            </w:pPr>
          </w:p>
        </w:tc>
        <w:tc>
          <w:tcPr>
            <w:tcW w:w="8080" w:type="dxa"/>
            <w:vAlign w:val="bottom"/>
            <w:gridSpan w:val="3"/>
          </w:tcPr>
          <w:p>
            <w:pPr>
              <w:jc w:val="center"/>
              <w:ind w:left="932"/>
              <w:spacing w:after="0"/>
              <w:rPr>
                <w:sz w:val="20"/>
                <w:szCs w:val="20"/>
                <w:color w:val="auto"/>
              </w:rPr>
            </w:pPr>
            <w:r>
              <w:rPr>
                <w:rFonts w:ascii="Arial" w:cs="Arial" w:eastAsia="Arial" w:hAnsi="Arial"/>
                <w:sz w:val="18"/>
                <w:szCs w:val="18"/>
                <w:color w:val="auto"/>
                <w:w w:val="92"/>
              </w:rPr>
              <w:t>SECURITIES REGISTERED PURSUANT TO SECTION 12(g) OF THE ACT:</w:t>
            </w:r>
          </w:p>
        </w:tc>
        <w:tc>
          <w:tcPr>
            <w:tcW w:w="1020" w:type="dxa"/>
            <w:vAlign w:val="bottom"/>
          </w:tcPr>
          <w:p>
            <w:pPr>
              <w:spacing w:after="0"/>
              <w:rPr>
                <w:sz w:val="24"/>
                <w:szCs w:val="24"/>
                <w:color w:val="auto"/>
              </w:rPr>
            </w:pPr>
          </w:p>
        </w:tc>
      </w:tr>
      <w:tr>
        <w:trPr>
          <w:trHeight w:val="228"/>
        </w:trPr>
        <w:tc>
          <w:tcPr>
            <w:tcW w:w="7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360" w:type="dxa"/>
            <w:vAlign w:val="bottom"/>
            <w:gridSpan w:val="2"/>
          </w:tcPr>
          <w:p>
            <w:pPr>
              <w:jc w:val="center"/>
              <w:ind w:right="2612"/>
              <w:spacing w:after="0"/>
              <w:rPr>
                <w:sz w:val="20"/>
                <w:szCs w:val="20"/>
                <w:color w:val="auto"/>
              </w:rPr>
            </w:pPr>
            <w:r>
              <w:rPr>
                <w:rFonts w:ascii="Arial" w:cs="Arial" w:eastAsia="Arial" w:hAnsi="Arial"/>
                <w:sz w:val="18"/>
                <w:szCs w:val="18"/>
                <w:b w:val="1"/>
                <w:bCs w:val="1"/>
                <w:color w:val="auto"/>
                <w:w w:val="84"/>
              </w:rPr>
              <w:t>None</w:t>
            </w:r>
          </w:p>
        </w:tc>
        <w:tc>
          <w:tcPr>
            <w:tcW w:w="1020" w:type="dxa"/>
            <w:vAlign w:val="bottom"/>
          </w:tcPr>
          <w:p>
            <w:pPr>
              <w:spacing w:after="0"/>
              <w:rPr>
                <w:sz w:val="19"/>
                <w:szCs w:val="19"/>
                <w:color w:val="auto"/>
              </w:rPr>
            </w:pPr>
          </w:p>
        </w:tc>
      </w:tr>
      <w:tr>
        <w:trPr>
          <w:trHeight w:val="452"/>
        </w:trPr>
        <w:tc>
          <w:tcPr>
            <w:tcW w:w="884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102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4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10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90" w:lineRule="exact"/>
        <w:rPr>
          <w:sz w:val="24"/>
          <w:szCs w:val="24"/>
          <w:color w:val="auto"/>
        </w:rPr>
      </w:pPr>
    </w:p>
    <w:p>
      <w:pPr>
        <w:ind w:right="2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95"/>
        <w:spacing w:after="0" w:line="225" w:lineRule="exact"/>
        <w:rPr>
          <w:sz w:val="20"/>
          <w:szCs w:val="20"/>
          <w:color w:val="auto"/>
        </w:rPr>
      </w:pPr>
      <w:r>
        <w:rPr>
          <w:rFonts w:ascii="Arial" w:cs="Arial" w:eastAsia="Arial" w:hAnsi="Arial"/>
          <w:sz w:val="18"/>
          <w:szCs w:val="18"/>
          <w:color w:val="auto"/>
        </w:rPr>
        <w:t xml:space="preserve">Indicate by check mark whether the issuer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92" w:lineRule="exact"/>
        <w:rPr>
          <w:sz w:val="24"/>
          <w:szCs w:val="24"/>
          <w:color w:val="auto"/>
        </w:rPr>
      </w:pPr>
    </w:p>
    <w:p>
      <w:pPr>
        <w:jc w:val="both"/>
        <w:ind w:right="200"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380"/>
        <w:spacing w:after="0" w:line="207" w:lineRule="exact"/>
        <w:tabs>
          <w:tab w:leader="none" w:pos="3480" w:val="left"/>
          <w:tab w:leader="none" w:pos="5920" w:val="left"/>
          <w:tab w:leader="none" w:pos="88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ectPr>
          <w:pgSz w:w="11900" w:h="16838" w:orient="portrait"/>
          <w:cols w:equalWidth="0" w:num="1">
            <w:col w:w="11360"/>
          </w:cols>
          <w:pgMar w:left="240" w:top="685" w:right="299" w:bottom="0" w:gutter="0" w:footer="0" w:header="0"/>
        </w:sectPr>
      </w:pPr>
    </w:p>
    <w:bookmarkStart w:id="1" w:name="page2"/>
    <w:bookmarkEnd w:id="1"/>
    <w:p>
      <w:pPr>
        <w:jc w:val="center"/>
        <w:ind w:left="2180"/>
        <w:spacing w:after="0"/>
        <w:rPr>
          <w:sz w:val="20"/>
          <w:szCs w:val="20"/>
          <w:color w:val="auto"/>
        </w:rPr>
      </w:pPr>
      <w:r>
        <w:rPr>
          <w:rFonts w:ascii="Arial" w:cs="Arial" w:eastAsia="Arial" w:hAnsi="Arial"/>
          <w:sz w:val="14"/>
          <w:szCs w:val="14"/>
          <w:color w:val="auto"/>
        </w:rPr>
        <w:t>(Do not check if a</w:t>
      </w:r>
    </w:p>
    <w:p>
      <w:pPr>
        <w:jc w:val="center"/>
        <w:ind w:left="2180"/>
        <w:spacing w:after="0"/>
        <w:rPr>
          <w:sz w:val="20"/>
          <w:szCs w:val="20"/>
          <w:color w:val="auto"/>
        </w:rPr>
      </w:pPr>
      <w:r>
        <w:rPr>
          <w:rFonts w:ascii="Arial" w:cs="Arial" w:eastAsia="Arial" w:hAnsi="Arial"/>
          <w:sz w:val="14"/>
          <w:szCs w:val="14"/>
          <w:color w:val="auto"/>
        </w:rPr>
        <w:t>smaller reporting company)</w:t>
      </w:r>
    </w:p>
    <w:p>
      <w:pPr>
        <w:spacing w:after="0" w:line="162" w:lineRule="exact"/>
        <w:rPr>
          <w:sz w:val="20"/>
          <w:szCs w:val="20"/>
          <w:color w:val="auto"/>
        </w:rPr>
      </w:pPr>
    </w:p>
    <w:p>
      <w:pPr>
        <w:ind w:left="400"/>
        <w:spacing w:after="0" w:line="184" w:lineRule="exact"/>
        <w:tabs>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0"/>
          <w:szCs w:val="20"/>
          <w:color w:val="auto"/>
        </w:rPr>
      </w:pPr>
    </w:p>
    <w:p>
      <w:pPr>
        <w:ind w:firstLine="392"/>
        <w:spacing w:after="0" w:line="294" w:lineRule="auto"/>
        <w:rPr>
          <w:sz w:val="20"/>
          <w:szCs w:val="20"/>
          <w:color w:val="auto"/>
        </w:rPr>
      </w:pPr>
      <w:r>
        <w:rPr>
          <w:rFonts w:ascii="Arial" w:cs="Arial" w:eastAsia="Arial" w:hAnsi="Arial"/>
          <w:sz w:val="16"/>
          <w:szCs w:val="16"/>
          <w:color w:val="auto"/>
        </w:rPr>
        <w:t>The aggregate market value of the registrant's voting and non-voting common stock held by non-affiliates as of June 26, 2011, the last business day of the registrant's most recently completed second fiscal quarter, was approximately $269.2 million,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26, 2011 because such persons may be deemed to be affiliates. This determination of affiliate status is not necessarily a conclusive determination for any other purpose.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outstanding of the registrant's common stock, par value $0.001 per share, was 32,479,950 as of March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Portions of Part II of this annual report on Form 10-K and Items 10, 11, 12, 13 and 14 of Part III of this annual report on Form 10-K incorporate information by reference from the registrant's definitive proxy statement filed pursuant to Regulation 14A in connection with the registrant's 2012 Annual Meeting of Stockholders or an amendment to this annual report on Form 10-K to be filed with the Securities and Exchange Commission within 120 days after the close of the fiscal year covered by this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25, 2011</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gridSpan w:val="2"/>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380" w:type="dxa"/>
            <w:vAlign w:val="bottom"/>
            <w:gridSpan w:val="5"/>
            <w:vMerge w:val="restart"/>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40" w:type="dxa"/>
            <w:vAlign w:val="bottom"/>
            <w:tcBorders>
              <w:bottom w:val="single" w:sz="8" w:color="0000EE"/>
            </w:tcBorders>
            <w:gridSpan w:val="2"/>
            <w:vMerge w:val="continue"/>
          </w:tcPr>
          <w:p>
            <w:pPr>
              <w:spacing w:after="0"/>
              <w:rPr>
                <w:sz w:val="14"/>
                <w:szCs w:val="14"/>
                <w:color w:val="auto"/>
              </w:rPr>
            </w:pPr>
          </w:p>
        </w:tc>
        <w:tc>
          <w:tcPr>
            <w:tcW w:w="3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Item 1A.</w:t>
              </w:r>
            </w:hyperlink>
          </w:p>
        </w:tc>
        <w:tc>
          <w:tcPr>
            <w:tcW w:w="280" w:type="dxa"/>
            <w:vAlign w:val="bottom"/>
            <w:gridSpan w:val="2"/>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69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1B.</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300" w:type="dxa"/>
            <w:vAlign w:val="bottom"/>
            <w:gridSpan w:val="3"/>
          </w:tcPr>
          <w:p>
            <w:pPr>
              <w:spacing w:after="0"/>
              <w:rPr>
                <w:sz w:val="17"/>
                <w:szCs w:val="17"/>
                <w:color w:val="auto"/>
              </w:rPr>
            </w:pPr>
          </w:p>
        </w:tc>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588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PART II</w:t>
              </w:r>
            </w:hyperlink>
          </w:p>
        </w:tc>
        <w:tc>
          <w:tcPr>
            <w:tcW w:w="3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7880" w:type="dxa"/>
            <w:vAlign w:val="bottom"/>
            <w:gridSpan w:val="20"/>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Market for the Registrant's Common Equity, Related Stockholder Matters and Issuer Purchases of Equity</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Securities</w:t>
              </w:r>
            </w:hyperlink>
          </w:p>
        </w:tc>
        <w:tc>
          <w:tcPr>
            <w:tcW w:w="6520" w:type="dxa"/>
            <w:vAlign w:val="bottom"/>
            <w:tcBorders>
              <w:top w:val="single" w:sz="8" w:color="0000EE"/>
            </w:tcBorders>
            <w:gridSpan w:val="1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7.</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7A.</w:t>
              </w:r>
            </w:hyperlink>
          </w:p>
        </w:tc>
        <w:tc>
          <w:tcPr>
            <w:tcW w:w="280" w:type="dxa"/>
            <w:vAlign w:val="bottom"/>
            <w:gridSpan w:val="2"/>
          </w:tcPr>
          <w:p>
            <w:pPr>
              <w:spacing w:after="0"/>
              <w:rPr>
                <w:sz w:val="17"/>
                <w:szCs w:val="17"/>
                <w:color w:val="auto"/>
              </w:rPr>
            </w:pPr>
          </w:p>
        </w:tc>
        <w:tc>
          <w:tcPr>
            <w:tcW w:w="42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Quantitative and Qualitative Disclosures About Market Risk</w:t>
              </w:r>
            </w:hyperlink>
          </w:p>
        </w:tc>
        <w:tc>
          <w:tcPr>
            <w:tcW w:w="36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8.</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9.</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Item 9A.</w:t>
              </w:r>
            </w:hyperlink>
          </w:p>
        </w:tc>
        <w:tc>
          <w:tcPr>
            <w:tcW w:w="280" w:type="dxa"/>
            <w:vAlign w:val="bottom"/>
            <w:gridSpan w:val="2"/>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2"/>
              </w:rPr>
            </w:pPr>
            <w:hyperlink w:anchor="page70">
              <w:r>
                <w:rPr>
                  <w:rFonts w:ascii="Arial" w:cs="Arial" w:eastAsia="Arial" w:hAnsi="Arial"/>
                  <w:sz w:val="18"/>
                  <w:szCs w:val="18"/>
                  <w:color w:val="0000EE"/>
                  <w:w w:val="82"/>
                </w:rPr>
                <w:t>Controls and Procedures</w:t>
              </w:r>
            </w:hyperlink>
          </w:p>
        </w:tc>
        <w:tc>
          <w:tcPr>
            <w:tcW w:w="620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9B.</w:t>
              </w:r>
            </w:hyperlink>
          </w:p>
        </w:tc>
        <w:tc>
          <w:tcPr>
            <w:tcW w:w="788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PART III</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Item 10.</w:t>
              </w:r>
            </w:hyperlink>
          </w:p>
        </w:tc>
        <w:tc>
          <w:tcPr>
            <w:tcW w:w="20" w:type="dxa"/>
            <w:vAlign w:val="bottom"/>
            <w:tcBorders>
              <w:top w:val="single" w:sz="8" w:color="0000EE"/>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788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Item 11.</w:t>
              </w:r>
            </w:hyperlink>
          </w:p>
        </w:tc>
        <w:tc>
          <w:tcPr>
            <w:tcW w:w="300" w:type="dxa"/>
            <w:vAlign w:val="bottom"/>
            <w:gridSpan w:val="3"/>
          </w:tcPr>
          <w:p>
            <w:pPr>
              <w:spacing w:after="0"/>
              <w:rPr>
                <w:sz w:val="17"/>
                <w:szCs w:val="17"/>
                <w:color w:val="auto"/>
              </w:rPr>
            </w:pP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38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Item 12.</w:t>
              </w:r>
            </w:hyperlink>
          </w:p>
        </w:tc>
        <w:tc>
          <w:tcPr>
            <w:tcW w:w="300" w:type="dxa"/>
            <w:vAlign w:val="bottom"/>
            <w:gridSpan w:val="3"/>
          </w:tcPr>
          <w:p>
            <w:pPr>
              <w:spacing w:after="0"/>
              <w:rPr>
                <w:sz w:val="17"/>
                <w:szCs w:val="17"/>
                <w:color w:val="auto"/>
              </w:rPr>
            </w:pPr>
          </w:p>
        </w:tc>
        <w:tc>
          <w:tcPr>
            <w:tcW w:w="7880" w:type="dxa"/>
            <w:vAlign w:val="bottom"/>
            <w:gridSpan w:val="20"/>
          </w:tcPr>
          <w:p>
            <w:pPr>
              <w:spacing w:after="0" w:line="196"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Security Ownership of Certain Beneficial Owners and Management and Related Stockholder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Item 13.</w:t>
              </w:r>
            </w:hyperlink>
          </w:p>
        </w:tc>
        <w:tc>
          <w:tcPr>
            <w:tcW w:w="300" w:type="dxa"/>
            <w:vAlign w:val="bottom"/>
            <w:gridSpan w:val="3"/>
          </w:tcPr>
          <w:p>
            <w:pPr>
              <w:spacing w:after="0"/>
              <w:rPr>
                <w:sz w:val="17"/>
                <w:szCs w:val="17"/>
                <w:color w:val="auto"/>
              </w:rPr>
            </w:pP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7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Item 14.</w:t>
              </w:r>
            </w:hyperlink>
          </w:p>
        </w:tc>
        <w:tc>
          <w:tcPr>
            <w:tcW w:w="300" w:type="dxa"/>
            <w:vAlign w:val="bottom"/>
            <w:gridSpan w:val="3"/>
          </w:tcPr>
          <w:p>
            <w:pPr>
              <w:spacing w:after="0"/>
              <w:rPr>
                <w:sz w:val="17"/>
                <w:szCs w:val="17"/>
                <w:color w:val="auto"/>
              </w:rPr>
            </w:pPr>
          </w:p>
        </w:tc>
        <w:tc>
          <w:tcPr>
            <w:tcW w:w="2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Principal Accountant Fees and Services</w:t>
              </w:r>
            </w:hyperlink>
          </w:p>
        </w:tc>
        <w:tc>
          <w:tcPr>
            <w:tcW w:w="2520" w:type="dxa"/>
            <w:vAlign w:val="bottom"/>
            <w:tcBorders>
              <w:top w:val="single" w:sz="8" w:color="0000EE"/>
            </w:tcBorders>
            <w:gridSpan w:val="5"/>
          </w:tcPr>
          <w:p>
            <w:pPr>
              <w:spacing w:after="0"/>
              <w:rPr>
                <w:sz w:val="17"/>
                <w:szCs w:val="17"/>
                <w:color w:val="auto"/>
              </w:rPr>
            </w:pPr>
          </w:p>
        </w:tc>
        <w:tc>
          <w:tcPr>
            <w:tcW w:w="25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PART IV</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Item 15.</w:t>
              </w:r>
            </w:hyperlink>
          </w:p>
        </w:tc>
        <w:tc>
          <w:tcPr>
            <w:tcW w:w="300" w:type="dxa"/>
            <w:vAlign w:val="bottom"/>
            <w:gridSpan w:val="3"/>
          </w:tcPr>
          <w:p>
            <w:pPr>
              <w:spacing w:after="0"/>
              <w:rPr>
                <w:sz w:val="17"/>
                <w:szCs w:val="17"/>
                <w:color w:val="auto"/>
              </w:rPr>
            </w:pPr>
          </w:p>
        </w:tc>
        <w:tc>
          <w:tcPr>
            <w:tcW w:w="28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Exhibits, Financial Statement Schedules</w:t>
              </w:r>
            </w:hyperlink>
          </w:p>
        </w:tc>
        <w:tc>
          <w:tcPr>
            <w:tcW w:w="504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gridSpan w:val="13"/>
          </w:tcPr>
          <w:p>
            <w:pPr>
              <w:ind w:left="36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All references to "us," "we," "our," the "Company" and "Kratos" refer to Kratos Defense &amp; Security Solutions, Inc., a Delaware Corporation, and its subsidiaries.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This Annual Report on Form 10-K (this "Annual Report") contains "forward-looking statements" that involve risks and uncertainties, as well as assumptions that, if they never materialize or prove incorrect, could cause our results to differ materially and adversely from those expressed or implied by such forward-looking statements. These statements involve known and unknown risks, uncertainties and other important factors that may cause our actual results, performance or achievements to be materially different from any future results, performances or achievements expressed or implied by the forward looking statements. Forward looking statements may include, but are not limited to, statements relating to our future financial performance, the growth of the market for our services, expansion plans, and opportunities. In some cases, you can identify forward looking statements by terminology such as "may," "will," "should," "expect," "plan," "anticipate," "believe," "estimate," "predict," "potential," or "continue," the negative of such terms or other comparable terminology.</w:t>
      </w:r>
    </w:p>
    <w:p>
      <w:pPr>
        <w:spacing w:after="0" w:line="17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Forward looking statements reflect our current views about future events, are based on assumptions, and are subject to known and unknown risks and uncertainties. Many important factors could cause actual results or achievements to differ materially from any future results or achievements expressed in or implied by our forward-looking statements. Many of the factors that will determine future events or achievements are beyond our ability to control or predict. Certain of these are important factors that could cause actual results or achievements to differ materially from the results or achievements reflected in our forward looking statements, including, but not limited to those specifically addressed in Item 1A "Risk Factors" in this Annual Report, as well as those discussed elsewhere in this Annual Report.</w:t>
      </w:r>
    </w:p>
    <w:p>
      <w:pPr>
        <w:spacing w:after="0" w:line="198"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i w:val="1"/>
          <w:iCs w:val="1"/>
          <w:color w:val="auto"/>
        </w:rPr>
        <w:t>These forward looking statements reflect our views and assumptions only as of the date such forward-looking statements are made. You should not place undue reliance on forward looking statements. Except as required by law, we assume no responsibility for updating any forward looking statements nor do we intend to do so. Our actual results, performance or achievements could differ materially from the results expressed in, or implied by, these forward looking statements</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are a specialized national security technology business providing mission critical products, services and solutions for U.S. national security priorities.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97"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manufacture and design specialized electronic defense components subsystems and systems for electronic attack, electronic warfare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("IT") services; weapons systems lifecycle support and sustainment; military weapon range operations and technical services; and public safety, critical infrastructure security and surveillance systems. We believe our stable client base, strong client relationships, broad array of contract vehicles, large employee base possessing national security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clearances, extensive list of past performance qualifications, and significant management and operational capabilities position us for continued growth.</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Prior to 2008, we were also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U.S. Government, primarily the U.S. Department of Defense ("DoD"), through strategic acquisitions. On September 12, 2007, we changed our name from Wireless Facilities, Inc. to Kratos Defense &amp; Security Solutions, Inc. Our new name reflects our revised focus as a defense contractor and security systems integrator for the U.S. Government, state and local agencies and commercial customers. In connection with our name change, we changed our NASDAQ Global Select Market trading symbol to "KTOS."</w:t>
      </w:r>
    </w:p>
    <w:p>
      <w:pPr>
        <w:spacing w:after="0" w:line="20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operate in two principal business segments: Kratos Government Solutions ("KGS") and Public Safety and Security ("PSS"). We organize our business segments based on the nature of the products and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are presented in a manner consistent with our operating structure. For additional information regarding our operating segments, see Note 14 of the Notes to Consolidated Financial Statements contained within this Annual Report on Form 10-K. From a customer and solutions perspective, we view our business as an integrated whole, leveraging skills and assets wherever possible.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Kratos Government Solutions Segment</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KGS segment provides C5ISR products, solutions and services primarily for mission critical national security priorities. Our primary end customers in the KGS segment are U.S. Government agencies, including the DoD, classified agencies, intelligence agencies, civil agencies, other national security agencies and homeland security related agencies. Our C5ISR products, solutions, and services include the following:</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Electronic Warfare/Attack and Intelligence, Reconnaissance and Surveillance. </w:t>
      </w:r>
      <w:r>
        <w:rPr>
          <w:rFonts w:ascii="Arial" w:cs="Arial" w:eastAsia="Arial" w:hAnsi="Arial"/>
          <w:sz w:val="16"/>
          <w:szCs w:val="16"/>
          <w:color w:val="auto"/>
        </w:rPr>
        <w:t>We design and manufacture a wide variety of radio frequency ("RF") and</w:t>
      </w:r>
      <w:r>
        <w:rPr>
          <w:rFonts w:ascii="Arial" w:cs="Arial" w:eastAsia="Arial" w:hAnsi="Arial"/>
          <w:sz w:val="16"/>
          <w:szCs w:val="16"/>
          <w:i w:val="1"/>
          <w:iCs w:val="1"/>
          <w:color w:val="auto"/>
        </w:rPr>
        <w:t xml:space="preserve"> </w:t>
      </w:r>
      <w:r>
        <w:rPr>
          <w:rFonts w:ascii="Arial" w:cs="Arial" w:eastAsia="Arial" w:hAnsi="Arial"/>
          <w:sz w:val="16"/>
          <w:szCs w:val="16"/>
          <w:color w:val="auto"/>
        </w:rPr>
        <w:t>microwave component subsystems and systems for use in command and control systems, flight instrumentation, weapons sensors, radar, communication systems, electronic warfare and electronic attack systems. Our products are integrated into many of the DoD's ground, air, and sea-based electronic warfare platforms. Certain key programs include the Trident II D5 Missile, EA-18G Growler, P-8 Poseidon, E-2D Hawkeye, RC-135 Rivet Joint, F-15 Eagle, Gripen, F-16 Falcon, Eurofighter Typhoon, F-18 E/F Super Hornet and Firefinder Radar.</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Satellite Command and Control, Satellite Communications Support, Signal Monitoring, Interference Detection, and Geolocation. </w:t>
      </w:r>
      <w:r>
        <w:rPr>
          <w:rFonts w:ascii="Arial" w:cs="Arial" w:eastAsia="Arial" w:hAnsi="Arial"/>
          <w:sz w:val="16"/>
          <w:szCs w:val="16"/>
          <w:color w:val="auto"/>
        </w:rPr>
        <w:t>We provide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for the satellite communications and reconnaissance markets. Our products encompass satellite ground systems, including specialized equipment and proprietary software for satellite command and control. Our products and services are also focused on assured command and control of satellite links, including monitoring links between satellites, base stations, and mobile assets such as unmanned vehicles; assuring quality of service; and detecting, locating and defending against interference and cyber attacks. Our solutions are also deployed in support of many next-generation military, national security related and civilian satellite systems including GPS (OCX), environmental systems (GOES-R, NPP, NPOESS), strategic warning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(SBIRS), communication systems (AEHF, WGS, MUOS, TDRSS, Iridium) and a majority of global commercial SATCOM systems.</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Unmanned Aerial Vehicles ("UAV"). </w:t>
      </w:r>
      <w:r>
        <w:rPr>
          <w:rFonts w:ascii="Arial" w:cs="Arial" w:eastAsia="Arial" w:hAnsi="Arial"/>
          <w:sz w:val="16"/>
          <w:szCs w:val="16"/>
          <w:color w:val="auto"/>
        </w:rPr>
        <w:t>We supply UAV platforms with sensors, avionics and electronic components including electro-optical/infrared</w:t>
      </w:r>
      <w:r>
        <w:rPr>
          <w:rFonts w:ascii="Arial" w:cs="Arial" w:eastAsia="Arial" w:hAnsi="Arial"/>
          <w:sz w:val="16"/>
          <w:szCs w:val="16"/>
          <w:i w:val="1"/>
          <w:iCs w:val="1"/>
          <w:color w:val="auto"/>
        </w:rPr>
        <w:t xml:space="preserve"> </w:t>
      </w:r>
      <w:r>
        <w:rPr>
          <w:rFonts w:ascii="Arial" w:cs="Arial" w:eastAsia="Arial" w:hAnsi="Arial"/>
          <w:sz w:val="16"/>
          <w:szCs w:val="16"/>
          <w:color w:val="auto"/>
        </w:rPr>
        <w:t>sensors, training systems and ground shelters. We also manufacture and provide avionics systems and ground flight control systems for certain UAV platforms. These products and solutions are used on UAV platforms such as the MQ 1C Gray Eagle, MQ-1C Sky Warrior, Gorgon Stare, MQ-8 Fire Scout, RQ-4B Broad Area Maritime Surveillance and the Persistent Threat Detection System ISR platform.</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Cyber and IT</w:t>
      </w:r>
      <w:r>
        <w:rPr>
          <w:rFonts w:ascii="Arial" w:cs="Arial" w:eastAsia="Arial" w:hAnsi="Arial"/>
          <w:sz w:val="16"/>
          <w:szCs w:val="16"/>
          <w:color w:val="auto"/>
        </w:rPr>
        <w:t>—We provide a variety of cybersecurity products and services to the DoD and Intel Community. We offer NeuralStar® and dopplerVUE® our</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software based network management products, via software license and maintenance sales, which also serve as a platform for incremental network-based services work. We have extensive experience building complex and secure networks for the U.S. Government and possess in-depth experience with network operations centers. We also scan our customers' networks for cyber threats. We are involved in a wide range of services, including installation, upgrade and maintenance of command, control, computing, and surveillance systems for customers such as the Department of Homeland Security ("DHS"), U.S. State Department and the Space and Naval Warfare Systems Center.</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Ballistic Missile Defense Test and Evaluation. </w:t>
      </w:r>
      <w:r>
        <w:rPr>
          <w:rFonts w:ascii="Arial" w:cs="Arial" w:eastAsia="Arial" w:hAnsi="Arial"/>
          <w:sz w:val="16"/>
          <w:szCs w:val="16"/>
          <w:color w:val="auto"/>
        </w:rPr>
        <w:t>We have expertise in the area of ballistic missile test and evaluation services, primarily dedicated to AEGIS</w:t>
      </w:r>
      <w:r>
        <w:rPr>
          <w:rFonts w:ascii="Arial" w:cs="Arial" w:eastAsia="Arial" w:hAnsi="Arial"/>
          <w:sz w:val="16"/>
          <w:szCs w:val="16"/>
          <w:i w:val="1"/>
          <w:iCs w:val="1"/>
          <w:color w:val="auto"/>
        </w:rPr>
        <w:t xml:space="preserve"> </w:t>
      </w:r>
      <w:r>
        <w:rPr>
          <w:rFonts w:ascii="Arial" w:cs="Arial" w:eastAsia="Arial" w:hAnsi="Arial"/>
          <w:sz w:val="16"/>
          <w:szCs w:val="16"/>
          <w:color w:val="auto"/>
        </w:rPr>
        <w:t>Ballistic Missile Defense missions. This includes exclusive rights to the marketing of the Oriole Rocket System for target services, sounding rockets and suborbital research. We possess both the intellectual property and subject matter expertise in sensors modeling and simulation associated with a wide range of missile technologies. This area of our business develops and produces low-cost ballistic missile defense targets. These ballistic missile targets or AEGIS Readiness Assessment Vehicles are a key test and evaluation component for the U.S. AEGIS based Ballistic Missile Defense forces.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Missile Range Operations and Technical Services. </w:t>
      </w:r>
      <w:r>
        <w:rPr>
          <w:rFonts w:ascii="Arial" w:cs="Arial" w:eastAsia="Arial" w:hAnsi="Arial"/>
          <w:sz w:val="16"/>
          <w:szCs w:val="16"/>
          <w:color w:val="auto"/>
        </w:rPr>
        <w:t>A key area of differentiation for us is within the missile and gun range and technical service areas.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resources stationed at many major range locations throughout the U.S., including Naval Air Warfare Center Pt. Mugu; Hawaii Pacific Missile Range Facility; Fort Bliss, Texas; White Sands Missile Range, New Mexico and Naval Service Warfare Center Dahlgren Division. Our services include aerial target operations and maintenance, surface and undersea target operations and maintenance, missile systems operations and maintenance, range operations planning and support, test and evaluation target launch operations, hazardous materials management, supply and logistics support, and manufacturing.</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Weapon Systems Lifecycle Sustainment, Support and Extension. </w:t>
      </w:r>
      <w:r>
        <w:rPr>
          <w:rFonts w:ascii="Arial" w:cs="Arial" w:eastAsia="Arial" w:hAnsi="Arial"/>
          <w:sz w:val="18"/>
          <w:szCs w:val="18"/>
          <w:color w:val="auto"/>
        </w:rPr>
        <w:t>We provide weapons systems lifecycle sustainment, support, and extension services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DoD and foreign governments. These services focus on maintaining, testing and repairing certain weapons systems such as the Chaparral and HAWK missile systems and the OH-58 Kiowa helicopter for the Warfighter.</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Learning, Performance and Training Solutions. </w:t>
      </w:r>
      <w:r>
        <w:rPr>
          <w:rFonts w:ascii="Arial" w:cs="Arial" w:eastAsia="Arial" w:hAnsi="Arial"/>
          <w:sz w:val="18"/>
          <w:szCs w:val="18"/>
          <w:color w:val="auto"/>
        </w:rPr>
        <w:t>Our learning, performance and training solutions consist of a broad range of products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We design, manufacture and market full-scale training simulators for fixed-wing aircraft (Gray Eagle, Harrier, and Prowler), rotary-wing aircraft (UH-60 Blackhawk, CH-47 Chinook, and CH-53 Sea Stallion) and ground combat vehicles (M1 Abrams Main Battle Tank, M2/M3 Bradley fighting vehicles and High Mobility Artillery Rocket Systems or HIMARS). We deliver training solutions and web-enabled or satellite-based interactive distance learning for customers in the DoD, other government agencies, universities and commercial organizations. Our training solutions include services, product development, and tools addressing a wide range of related disciplines that include deep human performance and competency-based needs analysis. We specialize in delivering full lifecycle manpower, personnel and training support for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acquisition programs and a cross-domain analysis program supporting program systems integration requirements. Our innovative design and development group delivers training solutions that span classroom, field, e-learning, simulation, mobile and serious gaming delivery modalities as well as incorporating learning management services in our own learning management platform or client-based solutions.</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Manufacturing of Specialized Tactical Combat Products, Shelters and Enclosures for C5ISR Systems, UAVs, Weapons Systems and Warfighters.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tactical combat vehicle shelters for C5ISR systems, UAVs, weapons systems and Warfighters. Our tactical military facilities and products include lightweight, high-strength enclosures for widely recognized military programs and platforms such as the Littoral Combat Ship and the DDG-1000 Destroyer, as well as ruggedized and readily transported enclosures. Many of our products include High Altitude Electromagnetic Pulse protection and other types of electromagnetic, electronic warfare and other protections. Our product design approach focuses on highly engineered enclosures and facilities that have the flexibility to be modified to very unique customer specifications. We routinely design, integrate and install other components and systems into our standard products, such as command, control and communication systems infrastructure, racks and cabinets and power distribution and lighting.</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Public Safety &amp; Security Segment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PSS segment provides independent integrated solutions for advanced homeland security, public safety, critical infrastructure, and security and surveillance systems for government, industrial and commercial customers. Our solutions include designing, engineering, installing and servicing physical security systems and technologies that protect people, critical infrastructure, strategic assets,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and services and product support services.</w:t>
      </w:r>
    </w:p>
    <w:p>
      <w:pPr>
        <w:spacing w:after="0" w:line="19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provide solutions for customers in the critical infrastructure, power generation, power transport, nuclear energy, financial, IT,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w:t>
      </w:r>
      <w:r>
        <w:rPr>
          <w:rFonts w:ascii="Arial" w:cs="Arial" w:eastAsia="Arial" w:hAnsi="Arial"/>
          <w:sz w:val="16"/>
          <w:szCs w:val="16"/>
          <w:i w:val="1"/>
          <w:iCs w:val="1"/>
          <w:color w:val="auto"/>
        </w:rPr>
        <w:t>s.</w:t>
      </w:r>
      <w:r>
        <w:rPr>
          <w:rFonts w:ascii="Arial" w:cs="Arial" w:eastAsia="Arial" w:hAnsi="Arial"/>
          <w:sz w:val="16"/>
          <w:szCs w:val="16"/>
          <w:color w:val="auto"/>
        </w:rPr>
        <w:t xml:space="preserve"> We have comprehensive experience providing engineering and design services at any phase of a project lifecycle, including program management, engineering design, system engineering, operations and maintenance, and integrated telecommunications.</w:t>
      </w:r>
    </w:p>
    <w:p>
      <w:pPr>
        <w:spacing w:after="0" w:line="170"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i w:val="1"/>
          <w:iCs w:val="1"/>
          <w:color w:val="auto"/>
        </w:rPr>
        <w:t xml:space="preserve">Security Systems Integration. </w:t>
      </w:r>
      <w:r>
        <w:rPr>
          <w:rFonts w:ascii="Arial" w:cs="Arial" w:eastAsia="Arial" w:hAnsi="Arial"/>
          <w:sz w:val="16"/>
          <w:szCs w:val="16"/>
          <w:color w:val="auto"/>
        </w:rPr>
        <w:t>We have broad experience integrating security services and solutions across a number of network and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In particular, our non-federal business has extensive experience and has developed significant customer relationships by providing best-in-class systems integration services on a variety of platforms including digital (IP) surveillance and security, building automation systems and controls, fire and life safety systems, access control and perimeter protection, and service and maintenance of the aforementioned systems.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we have robust capabilities, customer relationships and past performance qualifications in our respective business areas, including a work force that is experienced with the various programs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service and the customers we serve. We believe the following key strengths distinguish us competitively:</w:t>
      </w:r>
    </w:p>
    <w:p>
      <w:pPr>
        <w:spacing w:after="0" w:line="239" w:lineRule="exact"/>
        <w:rPr>
          <w:sz w:val="20"/>
          <w:szCs w:val="20"/>
          <w:color w:val="auto"/>
        </w:rPr>
      </w:pPr>
    </w:p>
    <w:p>
      <w:pPr>
        <w:ind w:left="1080" w:hanging="532"/>
        <w:spacing w:after="0" w:line="287"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Significant and highly specialized experience. </w:t>
      </w:r>
      <w:r>
        <w:rPr>
          <w:rFonts w:ascii="Arial" w:cs="Arial" w:eastAsia="Arial" w:hAnsi="Arial"/>
          <w:sz w:val="16"/>
          <w:szCs w:val="16"/>
          <w:color w:val="auto"/>
        </w:rPr>
        <w:t>Through existing customer engagements and the government-focused acquisitions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over the past several years, we have amassed significant and highly specialized experience in areas directly related to C5ISR, including cybersecurity, cyberwarfare, information assurance and situational awareness; military range operations and technical services; missile, rocket, and weapons systems test and evaluation; mission launch services; modeling and simulation, UAV products and technology, advanced network engineering and IT services; and public safety, security and surveillance systems integration. We also produce products and provide solutions and services related to certain C5ISR platforms, unmanned system platforms, weapons systems, national security related assets and Warfighter systems, including electronic attack and electronic warfare systems. This collective experience, or past performance qualifications, is a requirement for the majority of our contract vehicles and customer engagements. Further enhancing our specialized expertise, many of our approximately 4,000 employees have national security clearances, including top secret and higher. We believe these characteristics represent a significant competitive strength and position us to win renewal or follow-on business.</w:t>
      </w:r>
    </w:p>
    <w:p>
      <w:pPr>
        <w:spacing w:after="0" w:line="203" w:lineRule="exact"/>
        <w:rPr>
          <w:rFonts w:ascii="Arial" w:cs="Arial" w:eastAsia="Arial" w:hAnsi="Arial"/>
          <w:sz w:val="16"/>
          <w:szCs w:val="16"/>
          <w:color w:val="auto"/>
        </w:rPr>
      </w:pPr>
    </w:p>
    <w:p>
      <w:pPr>
        <w:ind w:left="1080" w:right="120" w:hanging="532"/>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Specialized national security focus aligned with mission-critical national security priorities. </w:t>
      </w:r>
      <w:r>
        <w:rPr>
          <w:rFonts w:ascii="Arial" w:cs="Arial" w:eastAsia="Arial" w:hAnsi="Arial"/>
          <w:sz w:val="18"/>
          <w:szCs w:val="18"/>
          <w:color w:val="auto"/>
        </w:rPr>
        <w:t>Continued concerns related to the threats 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foreign nations and terrorists have caused the U.S. Government to identify national security as an area of functional and spending priority. Budget pressures, particularly related to DoD spending, have placed a premium on developing and fielding relatively low-cost, high-technology solutions to assist in national security missions. Our primary capabilities and areas of focus, listed below, are strongly aligned with the objectives of the U.S. Government: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hanging="53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Intelligence, surveillance and reconnaissance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Command, control and combat systems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Unmanned systems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Ballistic missile defense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Cybersecurity and information assurance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Satellite communications and radio frequency detection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Diverse base of key contracts with low concentration. </w:t>
      </w:r>
      <w:r>
        <w:rPr>
          <w:rFonts w:ascii="Arial" w:cs="Arial" w:eastAsia="Arial" w:hAnsi="Arial"/>
          <w:sz w:val="16"/>
          <w:szCs w:val="16"/>
          <w:color w:val="auto"/>
        </w:rPr>
        <w:t>Many of our contracts are single-award, where Kratos is the only awardee by the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as a result of our business development focus on securing key contracts, we are also a preferred contractor on numerous multi-year, government-wide acquisition contracts ("GWACs") and multiple award contracts. Our preferred contractor status provides us with the opportunity to bid on billions of dollars of business each year against a discrete number of other pre-qualified companies. We have a highly diverse base of contracts with no contract representing more than 3% of 2011 revenue. Our fixed-price contracts, almost all of which are production contracts, represent approximately 75% of our 2011 revenue. Our cost-plus-fee contracts and time and materials contracts represent approximately 14% and 11%, respectively, of our 2011 revenue. We believe our diverse base of key contracts and low reliance on any one contract provides us with a stable, balanced revenue stream.</w:t>
      </w:r>
    </w:p>
    <w:p>
      <w:pPr>
        <w:spacing w:after="0" w:line="185"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In-depth understanding of client missions. </w:t>
      </w:r>
      <w:r>
        <w:rPr>
          <w:rFonts w:ascii="Arial" w:cs="Arial" w:eastAsia="Arial" w:hAnsi="Arial"/>
          <w:sz w:val="18"/>
          <w:szCs w:val="18"/>
          <w:color w:val="auto"/>
        </w:rPr>
        <w:t>We have a reputation for providing mission-critical products, services and solutions to our clients. Our</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relationships with the U.S. Army, U.S. Navy and U.S. Air Force and other national security related customers enable us to develop an in-depth understanding of their missions and technical needs. In addition, the majority of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98" w:lineRule="auto"/>
        <w:rPr>
          <w:sz w:val="20"/>
          <w:szCs w:val="20"/>
          <w:color w:val="auto"/>
        </w:rPr>
      </w:pPr>
      <w:r>
        <w:rPr>
          <w:rFonts w:ascii="Arial" w:cs="Arial" w:eastAsia="Arial" w:hAnsi="Arial"/>
          <w:sz w:val="16"/>
          <w:szCs w:val="16"/>
          <w:color w:val="auto"/>
        </w:rPr>
        <w:t>employees are located at our customer sites, at secure manufacturing facilities or at critical infrastructure locations, all of which provides valuable strategic insight into our clients' ongoing missions and future program requirements. This understanding of our clients' missions, in conjunction with the strategic location of our employees, enables us to offer technical solutions tailored to our clients' specific requirements and evolving mission objectives. In addition, once we are on-site with a customer, we have historically been successful in winning recompete business.</w:t>
      </w:r>
    </w:p>
    <w:p>
      <w:pPr>
        <w:spacing w:after="0" w:line="180" w:lineRule="exact"/>
        <w:rPr>
          <w:sz w:val="20"/>
          <w:szCs w:val="20"/>
          <w:color w:val="auto"/>
        </w:rPr>
      </w:pPr>
    </w:p>
    <w:p>
      <w:pPr>
        <w:ind w:left="10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25, 2011, our total backlog was approximately $1.1 billion,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$472 million was funded backlog. The majority of our sales are from orders issued under long-term contracts, typically three to five years in duration. Our contract backlog provides visibility into stable future revenue and cash flow over a diverse set of contracts.</w:t>
      </w:r>
    </w:p>
    <w:p>
      <w:pPr>
        <w:spacing w:after="0" w:line="187" w:lineRule="exact"/>
        <w:rPr>
          <w:rFonts w:ascii="Arial" w:cs="Arial" w:eastAsia="Arial" w:hAnsi="Arial"/>
          <w:sz w:val="16"/>
          <w:szCs w:val="16"/>
          <w:color w:val="auto"/>
        </w:rPr>
      </w:pPr>
    </w:p>
    <w:p>
      <w:pPr>
        <w:ind w:left="1080" w:right="6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Highly skilled employees and an experienced management team. </w:t>
      </w:r>
      <w:r>
        <w:rPr>
          <w:rFonts w:ascii="Arial" w:cs="Arial" w:eastAsia="Arial" w:hAnsi="Arial"/>
          <w:sz w:val="16"/>
          <w:szCs w:val="16"/>
          <w:color w:val="auto"/>
        </w:rPr>
        <w:t>We deliver our services through a skilled workforce of approximately 4,000</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Our senior managers have significant experience with U.S. Government agencies, the U.S. military and U.S. Government contractors. Members of our management team have experience growing businesses both organically and through acquisitions. We believe that the cumulative experience and differentiated expertise of our personnel in our core focus areas, coupled with our sizable employee base, many of whom hold national security clearances, allows us to qualify for and bid on larger projects in a prime contracting role.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strategy is to aggressively grow our business as a leading provider of highly differentiated products, solutions and services in our core areas of focus, as noted above, by delivering comprehensive, high-end engineering services, technical solutions, product manufacturing, and IT solutions to U.S. Government agencies while improving our margin rates and overall profitability. To achieve our objective, we intend to accelerate internal growth and pursue strategic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 Internal Growth</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are focused on accelerating our internal growth rate by capitalizing on our current contract base and customer relationships, expanding product, solution and service offerings provided to our existing clients, and expanding our client and contract base.</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Expand Product, Solution and Service Offerings Provided to Existing Clients. </w:t>
      </w:r>
      <w:r>
        <w:rPr>
          <w:rFonts w:ascii="Arial" w:cs="Arial" w:eastAsia="Arial" w:hAnsi="Arial"/>
          <w:sz w:val="16"/>
          <w:szCs w:val="16"/>
          <w:color w:val="auto"/>
        </w:rPr>
        <w:t>We are focused on expanding the products, solutions and services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to our current clients by leveraging our strong relationships, technical capabilities and past performance record, and by offering a wider range of comprehensive products and solutions as we continue to acquire companies with new areas of specialization. In regard to new areas of specialization, our recent acquisitions have expanded our product and service offerings to include manufacturing of specialized defense electronics products and integrated technology solutions for satellite communications. We believe our understanding of client missions, processes and needs, in conjunction with our C5ISR offerings, including cybersecurity, cyberwarfare and situational awareness, positions us to capture new work from existing clients. Moreover, we believe our strong past performance record positions us to expand the level of services we provide to our clients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pursuing new program and contract opportunities and awards as we build the business with our expanding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base, contract portfolio, and product, solution and service offerings. We are aggressively pursuing task orders under existing contract vehicles to maximize our revenue and strengthen our client relationships. We have developed several internal tools that facilitate our ability to track, prioritize and win task orders under these vehicles. Combining these tools with our technical expertise, our strong past performance record and our knowledge of our clients' needs should position us to win additional task orders.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Expand Client and Contract Base. </w:t>
      </w:r>
      <w:r>
        <w:rPr>
          <w:rFonts w:ascii="Arial" w:cs="Arial" w:eastAsia="Arial" w:hAnsi="Arial"/>
          <w:sz w:val="18"/>
          <w:szCs w:val="18"/>
          <w:color w:val="auto"/>
        </w:rPr>
        <w:t>We are also focused on expanding our client base into areas with significant growth opportunities by leveraging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industry reputation, long-term client relationships and diverse contract base. We anticipate that this expansion will enable us both to pursue additional higher value work and to further diversify our revenue base across the U.S. Government.</w:t>
      </w:r>
    </w:p>
    <w:p>
      <w:pPr>
        <w:spacing w:after="0" w:line="194"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Improve Operating Margins. </w:t>
      </w:r>
      <w:r>
        <w:rPr>
          <w:rFonts w:ascii="Arial" w:cs="Arial" w:eastAsia="Arial" w:hAnsi="Arial"/>
          <w:sz w:val="18"/>
          <w:szCs w:val="18"/>
          <w:color w:val="auto"/>
        </w:rPr>
        <w:t>We believe that we have opportunities to increase our operating margins and improve profitability by capitalizing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infrastructure investments and internally developed tools, improving efficiencies and reducing costs, and concentrating our efforts on increasing the percentage of revenues generated from high value-added contracts.</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Capitalize on Corporate Infrastructure Investments. </w:t>
      </w:r>
      <w:r>
        <w:rPr>
          <w:rFonts w:ascii="Arial" w:cs="Arial" w:eastAsia="Arial" w:hAnsi="Arial"/>
          <w:sz w:val="16"/>
          <w:szCs w:val="16"/>
          <w:color w:val="auto"/>
        </w:rPr>
        <w:t>In recent periods, we have made significant investments in our senior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in anticipation of future revenue growth. These investments included hiring senior executives with significant experience in the national security industry, strengthening our internal controls over financial reporting and accounting staff in support of public company reporting requirements, expanding our Sensitive Compartmented Information Facilities and other corporate facilities, and expanding our backlog and bid and proposal pipeline. We will be allocating additional resources in our pursuit of new and larger contract opportunities, leveraging our increased scale and robust past performance qualifications. We believe our management experience and corporate infrastructure are more typical of a company with a much larger revenue base than ours. We therefore anticipate that, to the extent our revenue grows, we will be able to leverage this infrastructure base and increase our operating margins.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Strategic Acquisitions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intend to supplement our organic growth by identifying, acquiring and integrating businesses that meet our primary strategic objectives of expanding our customer relationships, enhancing our current portfolio, increasing our overall past performance qualifications and furthering our strategic positioning on national security priority programs. Our senior management team has significant acquisition experience. See Note 3 of the Notes to Consolidated Financial Statements contained within this Annual Report for further information regarding our acquisitions.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Acquisitions in the KGS segment</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On November 15, 2011, we acquired SecureInfo Corporation ("SecureInfo) for $18.7 million in cash, which does not include an estimated $1.5 million in potential earn-outs to be paid in the first half of 2012. Based in northern Virginia, SecureInfo is a leading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DoD, the DHS and large commercial customers, including market-leading cloud computing service providers.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302" w:lineRule="auto"/>
        <w:rPr>
          <w:sz w:val="20"/>
          <w:szCs w:val="20"/>
          <w:color w:val="auto"/>
        </w:rPr>
      </w:pPr>
      <w:r>
        <w:rPr>
          <w:rFonts w:ascii="Arial" w:cs="Arial" w:eastAsia="Arial" w:hAnsi="Arial"/>
          <w:sz w:val="15"/>
          <w:szCs w:val="15"/>
          <w:color w:val="auto"/>
        </w:rPr>
        <w:t>On July 27, 2011, we acquired Integral Systems, Inc. ("Integral") in a cash and stock transaction valued at $241.0 million. As consideration for the acquisition of Integral, each Integral stockholder (i) received $5.00 per share of Integral common stock, in cash, for an aggregate payment of approximately $131.4 million and (ii) was issued 0.588 shares of our common stock for each share of Integral common stock, for an aggregate of approximately 10.4 million shares of our common stock valued at $108.7 million. The cash portion of the acquisition was substantially funded with the gross proceeds from the sale of our 10% Senior Secured Notes due 2017 in the aggregate principal amount of $115.0 million issued on July 27, 2011. In addition, upon completion of the merger</w:t>
      </w:r>
    </w:p>
    <w:p>
      <w:pPr>
        <w:spacing w:after="0" w:line="2" w:lineRule="exact"/>
        <w:rPr>
          <w:sz w:val="20"/>
          <w:szCs w:val="20"/>
          <w:color w:val="auto"/>
        </w:rPr>
      </w:pPr>
    </w:p>
    <w:p>
      <w:pPr>
        <w:ind w:firstLine="8"/>
        <w:spacing w:after="0" w:line="285"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outstanding Integral stock option with an exercise price less than $13.00 per share was, if the holder thereof had so elected in writing, cancelled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Company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 0.9559, rounded up to the nearest whole cent, and (iii) each outstanding share of restricted stock granted under an Integral equity plan or otherwise, whether vested or unvested, was cancelled and converted into the right to receive $13.00, less the amount of any tax withholding. 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RF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w:t>
      </w:r>
    </w:p>
    <w:p>
      <w:pPr>
        <w:spacing w:after="0" w:line="17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March 25, 2011, we acquired Herley Industries, Inc. ("Herley") in a cash tender offer to purchase all of the outstanding shares of Herley common stock. The shares of Herley common stock were purchased at a price of $19.00 per share. Accordingly, we paid total aggregate cash consideration of $270.7 million in respect of the shares of Herley common stock and certain in-the-money options, which were exercised upon the change in control of Herley. In addition, upon completion of the merger, all unexercised options to purchase Herley common stock were assumed by us and converted into options to purchase our common stock, entitling the holders thereof to receive 1.3495 shares of our common stock for each share of Herley common stock underlying the options. 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 critical electronic warfare, electronic attack, electronic warfare threat and radar simulation, command and control network, and cyber warfare/cybersecurity applications.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December 15, 2010, we acquired Henry Bros. Electronics, Inc. ("HBE") in a cash merger for a purchase price of $56.6 million, of which $54.9 million was paid in cash and $1.7 million reflects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fair value of options to purchase common stock of HBE that were assumed by us and converted into options to purchase our common stock upon completion of the merger. HBE is a leading provider of homeland security solutions, products, and system integration services, including the design, engineering and operation of command and control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DoD agencies, nuclear power generation facilities, state government and municipality related agencies, major national airports, major harbors, railways, tunnel systems, energy centers, power plants, and related infrastructure.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representative list of our customers in our KGS segment during 2011 included the U.S. Air Force, U.S. Army, U.S. Navy, U.S. Marines, Missile Defense Agency, the DHS, NASA, Foreign Military Sales ("FMS"), the U.S. Southern Command, U.S. Intel Community and certain classified customers. In 2011, representative customers in the PSS segment included Port of Long Beach, Port Authority of New York &amp; New Jersey, Prudential, New York University, Fidelity, Scripps Clinic, PNC Bank, Halliburton, AT&amp;T, Chevron, Mellon Bank, Calpine Power Plants, Capital Health, DuPont Fabros, BP America, University of Houston, Meridian Health and Memorial Hermann Hospital System.</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86%, 87% and 74% of total revenues in 2009, 2010, and 2011,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of December 25, 2011 and December 26, 2010, our total backlog was approximately $1.1 billion and $674 million, respectively, of which $472 million was funded as of December 25, 2011 and $292 million was funded as of December 26, 2010.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 Unfunded backlog reflects our estimate of future revenue under awarded government contracts and task orders for which either funding has not yet been appropriated or expenditure has not yet been authorized. Our total backlog does not include estimates of revenue from GWACs or General Services Administration ("GSA")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December 25, 2011, we had a work force of approximately 4,000 full-time, part-time and on-call employees, many of whom hold an active national security clearance.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market is competitive and includes the full range of companies in the U.S. defense industry and the information, services and security integration industries. Many of the companies that we compete against have significantly greater financial, technical and marketing resources and generate greater revenues than we do. Competition in the federal business segment includes tier one, large U.S. Government contractors such as Northrop Grumman, Lockheed Martin, General Dynamics, SAIC, ITT Systems, Computer Sciences Corporation, ARINC, Raytheon, BAE Systems, and CACI. While we view government contractors as competitors, we often team with these companies in joint proposals or in the delivery of our services for customers. Tier two competitors include smaller and mid-tier government contractors such as Mercury Computer Systems, Anaren, Ducommun, VSE Corporation, and Dynamics Research Corporation. Intense competition and long operating cycles are both key characteristics of our business within the defense industry. It is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 Competition in the PSS segment includes Siemens Building Technology, Johnson Controls, Diebold, and Convergent Technologies.</w:t>
      </w:r>
    </w:p>
    <w:p>
      <w:pPr>
        <w:spacing w:after="0" w:line="17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believe that the principal competitive factors in our ability to win new business include past performance qualifications, domain and technology expertise, the ability to replace contract vehicles, the ability to deliver results within budget (time and cost), reputation, accountability, staffing flexibility, including the large number of personnel with government security clearances, and project management expertise. We believe our ability to compete also depends on a number of additional factors, including the ability of our customers to perform the services themselves and competitive pricing for similar services. There is intense competition among many companies in the IT and services markets, which are generally more labor intensive with highly competitive margin rates and contract performance periods of shorter duration. Competitors in the IT and services markets include the defense industry participants mentioned above as well as many other large and small entities with specialized expertise.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Our ability to successfully compete in the IT and services markets depends on a number of factors. The most important factor is the ability to deploy skilled professionals, many of whom require national security clearances, at competitive prices across the diverse spectrum of these markets.</w:t>
      </w:r>
    </w:p>
    <w:p>
      <w:pPr>
        <w:spacing w:after="0" w:line="13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the U.S. defense industry, IT, and services markets, the U.S. Government has stressed competition and affordability in connection with its future procurement of products and services. This may lead to fewer sole source awards, as well as more emphasis on cost competitiveness. In addition, the DoD has announced several initiatives to improve efficiency, refocus priorities, modify contract terms, and enhance DoD best practices including those used to procure goods and services from defense contractors. See the Industry Background section in Item 7 "Management's Discussion and Analysis of Financial Condition and Results of Operations" and Item 1A "Risk Factors" contained within this Annual Report. These initiatives, when implemented, together with planned reductions in defense spending levels, are likely to result in fewer new opportunities for our industry as a whole with more demanding terms. A reduced opportunity set is likely to intensify competition within the industry as companies compete for a more limited set of new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 xml:space="preserve">We file reports with the Securities and Exchange Commission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6"/>
          <w:szCs w:val="16"/>
          <w:i w:val="1"/>
          <w:iCs w:val="1"/>
          <w:color w:val="auto"/>
        </w:rPr>
        <w:t>www.kratosdefense.com</w:t>
      </w:r>
      <w:r>
        <w:rPr>
          <w:rFonts w:ascii="Arial" w:cs="Arial" w:eastAsia="Arial" w:hAnsi="Arial"/>
          <w:sz w:val="16"/>
          <w:szCs w:val="16"/>
          <w:color w:val="auto"/>
        </w:rPr>
        <w:t>.</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related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U.S. Government and governmental entities.</w:t>
      </w:r>
    </w:p>
    <w:p>
      <w:pPr>
        <w:spacing w:after="0" w:line="24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derive a significant portion of our revenue from contracts with the U.S. Government and government agencies and subcontracts under U.S. Government prime contracts, and the continued success and growth of our business will continue to depend on our successful procurement of government contracts, either directly or through prime contractors. With the passage of the Budget Control Act of 2011 ("Budget Control Act"), current projections of the DoD indicate that government spending is expected to decrease. Any such reductions or other government budgetary constraints and any changes in government contracting policies could directly affect our financial performance. Among the factors that could adversely affect our business are:</w:t>
      </w:r>
    </w:p>
    <w:p>
      <w:pPr>
        <w:spacing w:after="0" w:line="183" w:lineRule="exact"/>
        <w:rPr>
          <w:sz w:val="20"/>
          <w:szCs w:val="20"/>
          <w:color w:val="auto"/>
        </w:rPr>
      </w:pPr>
    </w:p>
    <w:p>
      <w:pPr>
        <w:ind w:left="1080" w:right="3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U.S.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U.S. Government initiatives related to in-sourcing;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delays related to U.S.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39"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The funding of U.S. Government programs is subject to an annual congressional budget authorization and appropriation process. For many programs, Congress appropriates funds on a fiscal year basis even though the program performance period may extend over several fiscal years. Consequently, programs are often partially funded initially and additional funds are committed only as Congress makes further appropriations. If we incur costs in excess of funds committed on a contract, we are at risk for reimbursement of those costs until additional funds are appropriated. We cannot predict the extent to which total funding and/or funding for individual programs will be included, increased or reduced as part of the recently enacted Consolidated Appropriations Act of 2012, which decreased DoD funding by 3.3% from 2011 levels. The impact, severity and duration of the current U.S. economic situation and sweeping economic plans adopted or to be adopted by the U.S. Government could adversely affect the funding for individual programs and delay purchasing or payment decisions by our customers. In the event that government funding for any of our programs becomes unavailable, or is reduced or delayed, our contract or subcontract under such program may be terminated or adjusted by the U.S. Government, which could have a material adverse effect on our financial position, results of operations, and/or cash flows.</w:t>
      </w:r>
    </w:p>
    <w:p>
      <w:pPr>
        <w:spacing w:after="0" w:line="16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August 2011, Congress passed the Budget Control Act which, while raising the existing statutory limit on the amount of permissible federal debt, also committed the U.S. Government to significantly reducing the federal deficit over ten years. The Budget Control Act caps discretionary spending through 2021, reducing federal spending by approximately $900 billion relative to the fiscal year 2012 Presidential Submission, and also establishes a Bi-Partisan Congressional Joint Select Committee on Deficit Reduction ("the Joint Committee") for identifying an additional $1.2 trillion to $1.5 trillion in deficit reductions. The Joint Committee was unable to identify the additional deficit reductions by the deadline thereby triggering a second provision of the Budget Control Act called "sequestration," which calls for substantial automatic spending cuts split between defense and non-defense programs beginning in 2013 and continuing over a nine-year period. While we believe efforts may be underway to prevent the automatic spending cuts scheduled to begin in 2013, the outcome is uncertain and we are unable to predict whether the automatic cuts required by the Budget Control Act will have an adverse effect on funding for our individual programs. Long-term funding for various programs in which we participate could be reduced, delayed or cancelled. In addition, these cuts could adversely affect the viability of the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suppliers and subcontractors under our programs. While we believe that our business is well-positioned in areas that the DoD has previously indicated remain areas of focus for future defense spending, the impact of the Budget Control Act remains unknown and our business and industry could be materially adversely affected.</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U.S.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depend on U.S. Government agencies as our primary customer, and if our reputation or relationships with these agencies were harmed, our future revenues and growth prospects would be adversely affected.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fiscal 2009, 2010 and 2011, we generated 86%, 87% and 74%, respectively, of our total revenues from contracts with the U.S. Government (including all branches of the U.S. military), either as a prime contractor or a subcontractor. We expect to continue to derive most of our revenues from work performed under U.S. Government contracts. Our reputation and relationship with the U.S. Government, and in particular with the agencies of the DoD and the U.S. intelligence community, are key factors in maintaining and growing these revenues. Negative press reports regarding conflicts of interest, poor contract performance, employee misconduct, information security breaches or other aspects of our business, regardless of accuracy, could harm our reputation, particularly with these agencies. If our reputation is negatively affected, or if we are suspended or debarred (or proposed for suspension or debarment) from contracting with government agencies for any reason, the amount of business with the U.S. Government would decrease and our future revenues and growth prospects would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15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U.S. Government or with any specific government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86"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of December 25, 2011 and December 26, 2010, our total backlog was approximately $1.1 billion and $674 million, respectively, of which $472 million was funded as of December 25, 2011 and $292 million was funded as of December 26, 2010.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occur. The remaining $592 million of our total backlog as of December 25, 2011 is unfunded. Unfunded backlog reflects our estimate of future revenue under awarded government contracts and task orders for which either funding has not yet been appropriated or expenditure has not yet been authorized. Unfunded backlog does not include estimates of revenue from GWAC or GSA schedules beyond awarded or funded task orders but does include estimates of revenue beyond awarded or funded task orders for other types of indefinite delivery, indefinite quantity contracts. The amount of unfunded backlog is not exact or guaranteed and is based upon, among other things, management's experience under such contracts and similar contracts, the particular clients, the type of work and budgetary expectations. Our management may not accurately assess these factors or estimate the revenue we will realize from these contracts, and our unfunded and total backlog may not reflect the actual revenue ultimately received from these contracts.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and total backlog as of any particular date may not be an accurate indicator of our future earnings.</w:t>
      </w:r>
    </w:p>
    <w:p>
      <w:pPr>
        <w:spacing w:after="0" w:line="17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significantly increased our leverage in connection with the financing of recent acquisitions and we have substantial indebtedness, which could have a negative impact on our financing options and liquidity position and have adverse effects on our business.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connection with the acquisition of Herley and Integral, we incurred $285.0 million and $115.0 million of indebtedness, respectively. As of December 25, 2011, we had approximately $655.9 million of total indebtedness outstanding, which includes $22.8 million of unamortized debt premium, and $1.3 million of capital lease obligations. As a result of this increased indebtedness, our interest payment obligations have increased significantly. The degree to which we are leveraged could have adverse effects on our business, including the following:</w:t>
      </w:r>
    </w:p>
    <w:p>
      <w:pPr>
        <w:spacing w:after="0" w:line="211" w:lineRule="exact"/>
        <w:rPr>
          <w:sz w:val="20"/>
          <w:szCs w:val="20"/>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may make it difficult for us to satisfy our obligations under our outstanding Notes (as defined below), other indebtedness and contractual and commercial commitments;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our outstanding Notes tendered to us if there is a change of control, which would constitute a default under the indenture governing such notes and under our credit facility;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ability to meet our debt service obligations will depend upon our future performance, which may be subject to financial, business and other factors affecting our operations, many of which are beyond our control.</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Despite our current indebtedness level, we and our subsidiaries may incur substantially more debt, which could exacerbate the risks associated with our substantial leverage.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may incur substantial additional indebtedness in the future. Although the indenture and the amended credit and security agreement governing our credit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facility will limit our ability and the ability of our subsidiaries to incur additional indebtedness, these restrictions are subject to a number of qualifications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exceptions and, under certain circumstances, debt incurred in compliance with these restrictions could be substantial. For example, indebtedness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may be incurred under our credit facility in reliance on the $15.0 million general debt basket as well as the fixed charge debt incurrence test 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which additional indebtedness may be secured subject to certain conditions. In addition, the indenture and the amended credit and security agreement governing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facility will not prevent us from incurring obligations that do not constitute indebtedness. To the extent that we incur additional indebtedness 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obligations, the risks associated with our substantial leverage described above, including our possible inability to service our debt, would increase.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service obligations may adversely affect our cash flow.</w:t>
      </w:r>
    </w:p>
    <w:p>
      <w:pPr>
        <w:spacing w:after="0" w:line="225"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 higher level of indebtedness increases the risk that we may default on our debt obligations. We may not be able to generate sufficient cash flow to pay the interest on our debt, and future working capital, borrowings or equity financing may not be available to pay or refinance such debt. If we are unable to generate sufficient cash flow to pay the interest on our debt, we may have to delay or curtail our operations.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ability to generate cash flows from operations and to make scheduled payments on our indebtedness will depend on our future financial performance. Our future financial performance will be affected by a range of economic, competitive and business factors that we cannot control. A significant reduction in operating cash flows resulting from changes in economic conditions, increased competition or other events beyond our control could increase the need for additional or alternative sources of liquidity and could have a material adverse effect on our business, financial condition, results of operations, prospects and our ability to service our debt and other obligations. If we are unable to service our indebtedness, we will be forced to adopt an alternative strategy that may include actions such as reducing capital expenditures,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72"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cross-acceleration or cross-default rights between the relevant agreements. In addition,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39"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of December 25, 2011, approximately 3.9% of our consolidated assets were held by foreign subsidiaries.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Dividends and other distributions from our foreign subsidiaries may also be subject to fluctuations in currency exchange rates and legal and other restrictions on repatriation, which could further reduce the amount of funds we receive from such foreign subsidiaries. In general, when an entity in a foreign jurisdiction repatriates cash to the U.S., the amount of such cash is treated as a dividend taxable at current U.S. tax rates. Accordingly, upon the distribution of cash to us from our foreign subsidiaries, we will be subject to U.S. income taxes. Although foreign tax credits may be available to reduce the amount of the additional tax liability, these credits may be limited and only offset the tax paid in the foreign jurisdiction, not the excess of the U.S. tax rate over the foreign tax rate. Therefore, to the extent that we must use cash generated in foreign jurisdictions to make principal or interest payments on our indebtedness, there may be a cost associated with repatriating the cash to the U.S.</w:t>
      </w:r>
    </w:p>
    <w:p>
      <w:pPr>
        <w:spacing w:after="0" w:line="177"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The indenture and the amended credit and security agreement governing our credit facility impose significant operating and financial restrictions on us and our subsidiaries that may prevent us and our subsidiaries from pursuing certain business opportunities and restrict our ability to operate our business.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and the amended credit and security agreement governing our credit facility contain covenants that restrict our and our subsidiaries' ability to:</w:t>
      </w:r>
    </w:p>
    <w:p>
      <w:pPr>
        <w:spacing w:after="0" w:line="26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certain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redeem or purchase, any equity interests or make other 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acquisitions or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restrictions on the payments of dividends or other distributions from our restricted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consummate a merger or consolidation or sell, assign, transfer, lease or otherwise dispose of all or substantially all of our assets.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credit facility also requires us to comply with specified financial ratios, including a borrowing base availability and minimum fixed charge coverage ratio. Our ability to comply with these covenants will likely be affected by many factors, including events beyond our control, and we may not be able to satisfy those requirements. Our failure to comply with our debt-related obligations of our credit facility could result in an event of default under our other indebtedness and the acceleration of such indebtedness, in whole or in part, could result in an event of default under the indenture.</w:t>
      </w:r>
    </w:p>
    <w:p>
      <w:pPr>
        <w:spacing w:after="0" w:line="16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restrictions contained in the indenture and in the amended credit and security agreement governing our credit facility will also limit our ability and the ability of our subsidiaries to plan for or react to market conditions and meet capital needs or otherwise restrict our respective activities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business plans and adversely affect our ability to finance our respective operations, enter into acquisitions or engage in other business activities that would be in our respective interests.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 will be sufficient to meet our expected working capital and capital expenditure requirements for at least the next 12 months. However, such resources may not be sufficient to fund the long-term growth of our business. If we determine that it is necessary to raise additional funds, either through an expansion or refinancing of our credit facility or through public or private debt or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 credit facility may limit our access to capital, and we could fall out of compliance with financial and other covenants contained in our credit facility which, if not waived, would restrict our access to capital and could require us to pay down our existing debt under the credit facility. Our lenders may not agree to extend additional or continuing credit under our credit facility or waive restrictions on our access to capital. If we were to conduct a public or private offering of securities, any new offering would be likely to dilute our stockholders' equity ownership.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may continue to incur goodwill impairment charges in our reporting entities, which could harm our profitability.</w:t>
      </w:r>
    </w:p>
    <w:p>
      <w:pPr>
        <w:spacing w:after="0" w:line="24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 xml:space="preserve">As of December 25, 2011, goodwill represented approximately 47% of our total assets. In accordance with </w:t>
      </w:r>
      <w:r>
        <w:rPr>
          <w:rFonts w:ascii="Arial" w:cs="Arial" w:eastAsia="Arial" w:hAnsi="Arial"/>
          <w:sz w:val="16"/>
          <w:szCs w:val="16"/>
          <w:i w:val="1"/>
          <w:iCs w:val="1"/>
          <w:color w:val="auto"/>
        </w:rPr>
        <w:t>Financial Accounting Standards Board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Standards Codification ("ASC") Topic 350 Intangibles—Goodwill and Other ("Topic 350") </w:t>
      </w:r>
      <w:r>
        <w:rPr>
          <w:rFonts w:ascii="Arial" w:cs="Arial" w:eastAsia="Arial" w:hAnsi="Arial"/>
          <w:sz w:val="16"/>
          <w:szCs w:val="16"/>
          <w:color w:val="auto"/>
        </w:rPr>
        <w:t>we periodically review the carrying values of our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70"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The identification and measurement of impairment involves the estimation of the fair value of reporting units. Accounting for impairment contains uncertainty because management must use judgment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 Our annual goodwill impairment assessment for 2011 resulted in an estimated fair value over net carrying value of our KGS reporting unit of approximately 3.5%. Given the current market conditions and continued economic uncertainty in the U.S. defense industry as a result of the Budget Control Act, the fair value of our KGS reporting unit may deteriorate, resulting in an impairment of our goodwill within that unit.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acquisitions and potential future acquisitions could prove difficult to integrate, disrupt our business, dilute stockholder value and strain our resources.</w:t>
      </w:r>
    </w:p>
    <w:p>
      <w:pPr>
        <w:spacing w:after="0" w:line="26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During 2010 and 2011, we acquired seven companies. We continually evaluate opportunities to acquire new businesses as part of our ongoing strategy, and we may in the future acquire additional businesses that we believe could complement or expand our business or increase our customer base.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18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spacing w:after="0" w:line="21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or delays in transitioning U.S. Government contracts pursuant to federal acquisition regulations;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acquired businesses that the acquisition will not result in adverse changes in customer service standards or business focus;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right="100" w:firstLine="341"/>
        <w:spacing w:after="0" w:line="287" w:lineRule="auto"/>
        <w:rPr>
          <w:sz w:val="20"/>
          <w:szCs w:val="20"/>
          <w:color w:val="auto"/>
        </w:rPr>
      </w:pPr>
      <w:r>
        <w:rPr>
          <w:rFonts w:ascii="Arial" w:cs="Arial" w:eastAsia="Arial" w:hAnsi="Arial"/>
          <w:sz w:val="16"/>
          <w:szCs w:val="16"/>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U.S.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and/or the related equity financings could also impact our ability to utilize our net operating loss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otherwise to realize any of the anticipated benefits of the acquisition could seriously harm our 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and financial results could suffer.</w:t>
      </w:r>
    </w:p>
    <w:p>
      <w:pPr>
        <w:spacing w:after="0" w:line="225"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auto"/>
        </w:rPr>
        <w:t>Additionally, our future financial results depend in part on our ability to profitably manage our growth on a combined basis with the businesses we acquire. Management will need to maintain existing customers and attract new customers, recruit, retain and effectively manage employees, as well as expand operations and integrate customer support and financial control systems. If the integration-related expenses and capital expenditure requirements are greater than anticipated or if we are unable to manage our growth profitably after business acquisitions, our financial condition and results of operations may suffer.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In March 2010, an "ownership change" occurred and as a result, our ability to utilize NOL carryforwards will be limited to $28.1 million a year for the five years succeeding the ownership change and $11.6 million per year thereafter. If the entire limitation amount is not utilized in a year, any excess can be carried forward and utilized in future years. For the fiscal year ended December 25, 2011,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3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payments due to us from U.S. Government agencies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clients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21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GWACs, blanket purchase agreements and other indefinite delivery/indefinite quantity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19% and 67%, respectively, of our federal business revenues for the year ended December 25, 2011.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provide various professional services, specialized products, and sometimes procure equipment and materials on behalf of our U.S.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 See the Critical Accounting Policies and Estimates section in Item 7 "Management's Discussion and Analysis of Financial Condition and Results of Operations" contained within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any member of our senior management could impair our relationships with U.S. Government clients and disrupt the management of our business.</w:t>
      </w:r>
    </w:p>
    <w:p>
      <w:pPr>
        <w:spacing w:after="0" w:line="260"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86"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IT and/or engineering skills. These employees are in great demand and are likely to remain a limited resource in the foreseeable future.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prime contractor, we often rely upon other companies as subcontractors to perform work we are obligated to perform for our clients.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U.S.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97" w:lineRule="exact"/>
        <w:rPr>
          <w:sz w:val="20"/>
          <w:szCs w:val="20"/>
          <w:color w:val="auto"/>
        </w:rPr>
      </w:pPr>
    </w:p>
    <w:p>
      <w:pPr>
        <w:ind w:right="280" w:firstLine="348"/>
        <w:spacing w:after="0" w:line="370" w:lineRule="auto"/>
        <w:rPr>
          <w:sz w:val="20"/>
          <w:szCs w:val="20"/>
          <w:color w:val="auto"/>
        </w:rPr>
      </w:pPr>
      <w:r>
        <w:rPr>
          <w:rFonts w:ascii="Arial" w:cs="Arial" w:eastAsia="Arial" w:hAnsi="Arial"/>
          <w:sz w:val="15"/>
          <w:szCs w:val="15"/>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control environment and overall accounting system, general IT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w:t>
      </w:r>
    </w:p>
    <w:p>
      <w:pPr>
        <w:spacing w:after="0" w:line="172"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While we have submitted all applicable incurred cost claims, the actual indirect cost audits by the DCAA have not been completed for fiscal 2005 and subsequent fiscal years. Although we have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recorded contract revenues subsequent to fiscal 2004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U.S. Government contracts, which affect how we do business with our clients, prime contractors, subcontractors and vendors and may impose added costs on us. New regulations or procurement requirements (including, for example regulations regarding counterfeit parts)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248"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ensure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U.S. Government systems could result in the loss of clients and negative publicity.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Many of the systems we develop, install and maintain involve managing and protecting information involved in intelligence, national security and other sensitive or classified U.S. Government functions. A security breach in one of these systems could cause serious harm to our business, damage our reputation and prevent us from being eligible for further work on sensitive or classified systems for U.S.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exposed to the risk that employee fraud or other misconduct could occur. Misconduct by employees could include intentional failures to comply with U.S.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 In addition, alleged or actual employee misconduct could result in investigations or prosecutions of employees engaged in the subject activities, which could result in unanticipated consequences or expenses and management distraction for us regardless of whether we are alleged to have any responsibility.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Some of the technology that is developed by us is developed under contract for our DoD customers. Accordingly, such intellectual property and rights to technology development are owned by the U.S. Government.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25, 2011.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derive a portion of our revenues from programs with the U.S. Government that are subject to security restrictions (classified programs), which preclude the dissemination of information that is classified for national security purposes. We are limited in our ability to provide details about these classified programs, their risks or any disputes or claims relating to such programs. As a result, you</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might have less insight into our classified programs than our other businesses and therefore less ability to fully evaluate the risks related to our classified business.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225"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a defense contractor, we face various security threats, including cybersecurity threats to gain unauthorized access to sensitive information;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could have a material adverse effect on our reputation, financial position, results of operations, or cash flows.</w:t>
      </w:r>
    </w:p>
    <w:p>
      <w:pPr>
        <w:spacing w:after="0" w:line="198"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These events could damage our reputation and lead to financial losses from remedial actions, loss of business or potential liability.</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86"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As a result of the acquisition of Gichner Holdings, Inc. ("Gichner"), we use hazardous materials common to the industry in which Gichner operates.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cleanup laws at our current or former facilities, adjacent or nearby properties or offsite disposal locations. The costs associated with future cleanup activities that we may be required to conduct or finance may be material. The presence of, or failure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remediate properly, petroleum products or other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distract us from operating our business.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your investment in our stock could suffer a decline in value.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stock market in general and the stock prices of government services companies in particular have experienced volatility that has often been unrelated to or disproportionate to the operating performance of those companies. These broad market fluctuations may negatively affect the market price of our common stock. From December 26, 2010 to December 25, 2011, our closing stock price ranged from $4.65 to $14.52. You may not be able to resell your shares at or above the price you paid for them due to fluctuations in the market price of our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which could have a significant impact on the market price of our common stock include, but are not limited to, the following:</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and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These and other external factors may cause the market price and demand for our common stock to fluctuate substantially, which may limit or prevent investors from readily selling their shares of common stock and may otherwise negatively affect the liquidity of our common stock. Volatility in the market price of our common stock could also subject us to securities class action litigation.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agreements with a number of our executives entitle them to payments in certain circumstances following a change in control.</w:t>
      </w:r>
    </w:p>
    <w:p>
      <w:pPr>
        <w:spacing w:after="0" w:line="225"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Enacted and proposed changes in securities laws and regulations have increased our costs and may continue to increase our costs in the future.</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recent years, there have been several changes in laws, rules, regulations and standards relating to corporate governance and public disclosure, including the Dodd-Frank Wall Street Reform and Consumer Protection Act (the "Dodd-Frank Act"), the Sarbanes-Oxley Act of 2002 ("Sarbanes-Oxley") and various other new regulations promulgated by the SEC and rules promulgated by the national securities exchanges.</w:t>
      </w:r>
    </w:p>
    <w:p>
      <w:pPr>
        <w:spacing w:after="0" w:line="194"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Dodd-Frank Act, enacted in July 2010, expands federal regulation of corporate governance matters and imposes requirements on publicly held companies, including us, to, among other things, provide stockholders with a periodic advisory vote on executive compensation and also adds compensation committee reforms and enhanced pay-for-performance disclosures. While some provisions of the Dodd-Frank Act are effective upon enactment, others will be implemented upon the SEC's adoption of related rules and regulations. The scope and timing of the adoption of such rules and regulations is uncertain and accordingly, the cost of compliance with the Dodd-Frank Act is also uncertain.</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Sarbanes-Oxley Act required changes in some of our corporate governance and securities disclosure and compliance practices. Under Sarbanes-Oxley, publicly held companies, including us, are required to, among other things, furnish independent annual audit reports regarding the existence and reliability of their internal control over financial reporting and have their chief executive officer and chief financial officer certify as to the accuracy and completeness of their financial reports.</w:t>
      </w:r>
    </w:p>
    <w:p>
      <w:pPr>
        <w:spacing w:after="0" w:line="197"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These and other new or changed laws, rules, regulations and standards are, or will be, subject to varying interpretations in many cases due to their lack of specificity.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Our efforts to comply with evolving laws, regulations and standards are likely to continue to result in increased general and administrative expenses and a diversion of management time and attention from revenue-generating activities to compliance activities. Further, compliance with new and existing laws, rules, regulations and standards may make it more difficult and expensive for us to maintain director and officer liability insurance, and we may be required to accept reduced coverage or incur substantially higher costs to obtain coverage. Members of our board of directors and our principal executive officer and principal financial officer could face an increased risk of personal liability in connection with the performance of their duties. As a result, we may have difficulty attracting and retaining qualified directors and executive officers, which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could harm our business. We continually evaluate and monitor regulatory developments and cannot estimate the timing or magnitude of additional costs we may incur as a result.</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At December 25, 2011, we owned or leased approximately 2.1 million square feet of floor space at approximately 81 separate locations, primarily in the U.S., for manufacturing, warehousing, research and development, administration and various other uses. At December 25, 2011, we leased to third parties approximately 168,000 square feet of our leased facilities, and had vacant floor space of approximately 45,000 square feet.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major operations at the following locations:</w:t>
      </w:r>
    </w:p>
    <w:p>
      <w:pPr>
        <w:spacing w:after="0" w:line="219"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6"/>
          <w:szCs w:val="16"/>
          <w:b w:val="1"/>
          <w:bCs w:val="1"/>
          <w:color w:val="auto"/>
        </w:rPr>
        <w:t>Kratos Government Solutions</w:t>
      </w:r>
      <w:r>
        <w:rPr>
          <w:rFonts w:ascii="Arial" w:cs="Arial" w:eastAsia="Arial" w:hAnsi="Arial"/>
          <w:sz w:val="16"/>
          <w:szCs w:val="16"/>
          <w:color w:val="auto"/>
        </w:rPr>
        <w:t>—Huntsville, AL; San Diego, CA; Colorado Springs, CO; Fort Walton Beach and Orlando, FL; Lancaster and Dallastown,</w:t>
      </w:r>
      <w:r>
        <w:rPr>
          <w:rFonts w:ascii="Arial" w:cs="Arial" w:eastAsia="Arial" w:hAnsi="Arial"/>
          <w:sz w:val="16"/>
          <w:szCs w:val="16"/>
          <w:b w:val="1"/>
          <w:bCs w:val="1"/>
          <w:color w:val="auto"/>
        </w:rPr>
        <w:t xml:space="preserve"> </w:t>
      </w:r>
      <w:r>
        <w:rPr>
          <w:rFonts w:ascii="Arial" w:cs="Arial" w:eastAsia="Arial" w:hAnsi="Arial"/>
          <w:sz w:val="16"/>
          <w:szCs w:val="16"/>
          <w:color w:val="auto"/>
        </w:rPr>
        <w:t>PA; Charleston and Walterboro, SC; and Dahlgren, Alexandria and Chantilly, VA. Locations outside the U.S. include France, Israel and the United Kingdom.</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Public Safety and Security</w:t>
      </w:r>
      <w:r>
        <w:rPr>
          <w:rFonts w:ascii="Arial" w:cs="Arial" w:eastAsia="Arial" w:hAnsi="Arial"/>
          <w:sz w:val="18"/>
          <w:szCs w:val="18"/>
          <w:color w:val="auto"/>
        </w:rPr>
        <w:t>—Fullerton, CA; Newport, DE; Indianapolis, IN; Fairlawn, NJ and Houston, TX.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and other locations</w:t>
      </w:r>
      <w:r>
        <w:rPr>
          <w:rFonts w:ascii="Arial" w:cs="Arial" w:eastAsia="Arial" w:hAnsi="Arial"/>
          <w:sz w:val="18"/>
          <w:szCs w:val="18"/>
          <w:color w:val="auto"/>
        </w:rPr>
        <w:t>—San Diego, CA.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our floor space at December 25, 2011:</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Square feet (in thousands)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Owned</w:t>
            </w: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Leased</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1,284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Public Safety and Security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177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(includes San Diego operations of KGS and PSS segments)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60" w:type="dxa"/>
            <w:vAlign w:val="bottom"/>
            <w:gridSpan w:val="3"/>
            <w:vMerge w:val="continue"/>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6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See Note 6 of the Notes to Consolidated Financial Statements contained within this Annual Report on Form 10-K for information regarding commitments under leases.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 xml:space="preserve">Kratos and certain of our officers and directors were previously defendants in several parallel class action shareholder complaints filed in the U.S. District Court for the Southern District of New York, consolidated under the caption </w:t>
      </w:r>
      <w:r>
        <w:rPr>
          <w:rFonts w:ascii="Arial" w:cs="Arial" w:eastAsia="Arial" w:hAnsi="Arial"/>
          <w:sz w:val="16"/>
          <w:szCs w:val="16"/>
          <w:i w:val="1"/>
          <w:iCs w:val="1"/>
          <w:color w:val="auto"/>
        </w:rPr>
        <w:t>In re Wireless Facilities, Inc. Initial Public Offering Securities Litigation,</w:t>
      </w:r>
      <w:r>
        <w:rPr>
          <w:rFonts w:ascii="Arial" w:cs="Arial" w:eastAsia="Arial" w:hAnsi="Arial"/>
          <w:sz w:val="16"/>
          <w:szCs w:val="16"/>
          <w:color w:val="auto"/>
        </w:rPr>
        <w:t xml:space="preserve"> Case 01-CV-4779. These complaints were consolidated into an action captioned </w:t>
      </w:r>
      <w:r>
        <w:rPr>
          <w:rFonts w:ascii="Arial" w:cs="Arial" w:eastAsia="Arial" w:hAnsi="Arial"/>
          <w:sz w:val="16"/>
          <w:szCs w:val="16"/>
          <w:i w:val="1"/>
          <w:iCs w:val="1"/>
          <w:color w:val="auto"/>
        </w:rPr>
        <w:t>In re Initial Public Offering Securities Litigation,</w:t>
      </w:r>
      <w:r>
        <w:rPr>
          <w:rFonts w:ascii="Arial" w:cs="Arial" w:eastAsia="Arial" w:hAnsi="Arial"/>
          <w:sz w:val="16"/>
          <w:szCs w:val="16"/>
          <w:color w:val="auto"/>
        </w:rPr>
        <w:t xml:space="preserve"> 21 MC 92 (the "IPO Cases").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2009. The settlement fairness hearing was held on September 10, 2009. On October 6, 2009, the Court entered an opinion granting final approval to the settlement and directing that the Clerk of the Court close the IPO Cases. Notices of appeal of this decision were filed. In January 2012, the last objection to the decision was settled. All remaining appeal rights have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Integral Systems, Inc.</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Integral, which we acquired on July 27, 2011, was previously the subject of a SEC investigation. On July 30, 2009, the SEC and Integral each announced that an administrative settlement had been reached concluding the SEC's investigation.</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conjunction with its announcement of the administrative settlement, the SEC disclosed that it was instituting separate civil actions against three former officers of Integral, Steven R. Chamberlain (now deceased), Elaine M. Brown and Gary A. Prince in a case captioned </w:t>
      </w:r>
      <w:r>
        <w:rPr>
          <w:rFonts w:ascii="Arial" w:cs="Arial" w:eastAsia="Arial" w:hAnsi="Arial"/>
          <w:sz w:val="16"/>
          <w:szCs w:val="16"/>
          <w:i w:val="1"/>
          <w:iCs w:val="1"/>
          <w:color w:val="auto"/>
        </w:rPr>
        <w:t>United States Securities and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Commission v. Steven R. Chamberlain, Elaine M. Brown, and Gary A. Prince, </w:t>
      </w:r>
      <w:r>
        <w:rPr>
          <w:rFonts w:ascii="Arial" w:cs="Arial" w:eastAsia="Arial" w:hAnsi="Arial"/>
          <w:sz w:val="16"/>
          <w:szCs w:val="16"/>
          <w:color w:val="auto"/>
        </w:rPr>
        <w:t>Case No. 09-CV-01423, pending in the United States District Court for the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of Columbia. The SEC seeks permanent injunctions against each defendant, as well as court orders imposing officer and director bars and civil penalties.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we have assumed these indemnification obligations. The indemnification agreements each provide, subject to certain terms and conditions, that we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December 2011, and we are advancing payment of indemnifiable costs pursuant to the indemnification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to the foregoing matters, from time to time, we may become involved in various claims, lawsuits and legal proceedings that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operating results or cash flows.</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and is traded under the symbol "KTOS."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high and low sales prices for our common stock for the periods indicated, as reported by NASDAQ:</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25, 2011:</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10.45</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Year Ended December 26, 2010: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r>
      <w:tr>
        <w:trPr>
          <w:trHeight w:val="222"/>
        </w:trPr>
        <w:tc>
          <w:tcPr>
            <w:tcW w:w="6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February 17, 2012, the closing sale price of our common stock as reported by the NASDAQ Global Select Market was $6.68 per share. On February 17, 2012, there were 381 shareholders of record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entered into in connection with the issuance of our 10% Senior Secured Notes due 2017 and our amended credit and security agreement, each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information required by Item 201(d) of Regulation S-K is incorporated by reference to our definitive proxy statement filed in connection with our 2012 Annual Meeting of Stockholders or an amendment to this Annual Report to be filed with the SEC within 120 days after the close of our fiscal year ended December 25, 2011.</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9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following performance graph presents a comparison of the five year cumulative stockholder return on our common stock against the cumulative total return of a broad equity market index, the Russell 2000 Stock Index, and an industry index, including an old peer group composed of AeroVironment Inc., CACI International Inc., General Dynamics Corp., L3 Communications Holdings Inc., Lockheed Martin Corp., Mantech International Corp., NCI Inc., SAIC Inc., SRA International Inc., and WPCS International Inc., and a new peer group of AeroVironment, Anaren, API Technologies, Dynamics Research Corporation, iRobot, and Mercury Computer Systems for the period commencing December 31, 2005 and ending December 25, 2011. The new peer group reflects the change in products and solutions we offer as a result of our acquisitions in 2011. The performance graph assumes an initial investment of $100 in our common stock and in each of the Russell 2000 Stock Index and the peer groups, and further assumes that all dividends were reinvested and all returns are market-cap weighted. The historical information set forth below is not necessarily indicative of future stock price performance.</w:t>
      </w:r>
    </w:p>
    <w:p>
      <w:pPr>
        <w:spacing w:after="0" w:line="16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3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Among Kratos Defense &amp; Security Solutions, Inc, the Russell 2000 Index,</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 Old Peer Group and a New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508750" cy="3361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08750"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20" w:right="5080" w:hanging="5612"/>
        <w:spacing w:after="0" w:line="613" w:lineRule="auto"/>
        <w:tabs>
          <w:tab w:leader="none" w:pos="542" w:val="left"/>
        </w:tabs>
        <w:numPr>
          <w:ilvl w:val="0"/>
          <w:numId w:val="20"/>
        </w:numPr>
        <w:rPr>
          <w:rFonts w:ascii="Arial" w:cs="Arial" w:eastAsia="Arial" w:hAnsi="Arial"/>
          <w:sz w:val="16"/>
          <w:szCs w:val="16"/>
          <w:color w:val="auto"/>
        </w:rPr>
      </w:pPr>
      <w:r>
        <w:rPr>
          <w:rFonts w:ascii="Arial" w:cs="Arial" w:eastAsia="Arial" w:hAnsi="Arial"/>
          <w:sz w:val="16"/>
          <w:szCs w:val="16"/>
          <w:color w:val="auto"/>
        </w:rPr>
        <w:t>$100 invested on 12/31/06 in stock or index, including reinvestment of dividends.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concerning the repurchase of shares of our common stock in each fiscal month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25, 2011, which upon repurchase are classified as treasury shares available for general corporate purposes: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Approximate</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Dollar Value of</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Shares that May</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Yet be Purchased</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Under the Plan</w:t>
            </w: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 Purchased</w:t>
            </w:r>
          </w:p>
        </w:tc>
        <w:tc>
          <w:tcPr>
            <w:tcW w:w="16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Paid per Share</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8"/>
              </w:rPr>
              <w:t>or Programs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w w:val="87"/>
              </w:rPr>
              <w:t>11/28/2011 - 12/25/2011(1)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370" w:lineRule="auto"/>
        <w:tabs>
          <w:tab w:leader="none" w:pos="16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On December 1, 2011, we paid $10.9 million to repurchase 2.0 million shares of our common stock in a block transaction in the open market from an institutional investor for $5.45 per share. No other purchases were made during the fiscal year ended December 25, 2011.</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28,</w:t>
            </w:r>
          </w:p>
        </w:tc>
        <w:tc>
          <w:tcPr>
            <w:tcW w:w="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27,</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26,</w:t>
            </w:r>
          </w:p>
        </w:tc>
        <w:tc>
          <w:tcPr>
            <w:tcW w:w="21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5"/>
              </w:rPr>
              <w:t>December 25,</w:t>
            </w: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8"/>
              </w:rPr>
              <w:t>Consolidated Statements of Operations Data: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180.7</w:t>
            </w:r>
          </w:p>
        </w:tc>
        <w:tc>
          <w:tcPr>
            <w:tcW w:w="16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8"/>
                <w:szCs w:val="18"/>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408.5</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723.1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Income (loss) from discontinued operations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(111.1)</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0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continuing operations per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(11.18)</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(0.90)</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w:t>
            </w:r>
          </w:p>
        </w:tc>
        <w:tc>
          <w:tcPr>
            <w:tcW w:w="10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4"/>
              </w:rPr>
              <w:t>Income (loss) from discontinued operations per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(0.77)</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(11.95)</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(0.88)</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778"/>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28,</w:t>
            </w:r>
          </w:p>
        </w:tc>
        <w:tc>
          <w:tcPr>
            <w:tcW w:w="6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27,</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26,</w:t>
            </w:r>
          </w:p>
        </w:tc>
        <w:tc>
          <w:tcPr>
            <w:tcW w:w="21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5"/>
              </w:rPr>
              <w:t>December 25,</w:t>
            </w: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1,216.4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premium</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9"/>
                <w:szCs w:val="19"/>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124.9</w:t>
            </w:r>
          </w:p>
        </w:tc>
        <w:tc>
          <w:tcPr>
            <w:tcW w:w="1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169.9</w:t>
            </w:r>
          </w:p>
        </w:tc>
        <w:tc>
          <w:tcPr>
            <w:tcW w:w="1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312.6</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DoD which could cause delays or cancellations of key government contracts; the timing, rescheduling or cancellation of significant customer contracts and agreements, or consolidation by or the loss of key customers; failure to successfully consummate acquisitions or integrate acquired operations; failure to establish and maintain important relationships with government entities and agencies and other government contractors which could limit our ability to bid successfully for new business; and competition in the marketplace which could reduce revenues and profit margins.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 forward-looking statements. We are under no obligation to update any of the forward-looking statements after the filing of this Annual Report to conform such statements to actual results or to changes in our expectations.</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i w:val="1"/>
          <w:iCs w:val="1"/>
          <w:color w:val="auto"/>
        </w:rPr>
        <w:t>Certain of the information set forth herein, including costs and expenses that exclude the impact of stock-based compensation expense, amortization expense of purchased intangibles, and the discussion of net debt, may be considered non-GAAP financial measures. We believe this information is useful to investors because it provides a basis for measuring the operating performance of our business and our cash flow, excluding the effect of certain expenses that would normally be included in the most directly comparable measures calculated and presented in accordance with Generally Accepted Accounting Principles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we report may not be comparable to similarly titled amounts reported by other companies.</w:t>
      </w:r>
    </w:p>
    <w:p>
      <w:pPr>
        <w:spacing w:after="0" w:line="1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 Readers are also urged to carefully review and consider the various disclosures made by us which attempt to advise interested parties of the factors which affect our business, including without limitation the disclosures made under this Item 7 and Item 1A—Risk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firstLine="348"/>
        <w:spacing w:after="0" w:line="310" w:lineRule="auto"/>
        <w:rPr>
          <w:sz w:val="20"/>
          <w:szCs w:val="20"/>
          <w:color w:val="auto"/>
        </w:rPr>
      </w:pPr>
      <w:r>
        <w:rPr>
          <w:rFonts w:ascii="Arial" w:cs="Arial" w:eastAsia="Arial" w:hAnsi="Arial"/>
          <w:sz w:val="15"/>
          <w:szCs w:val="15"/>
          <w:color w:val="auto"/>
        </w:rPr>
        <w:t>We are a specialized national security technology business providing mission critical products, services and solutions for U.S. national security priorities. Our core capabilities are sophisticated engineering, manufacturing and system integration offerings for national security platforms and programs. Our principal products and services are related to Command, Control, Communications, Computing, Combat Systems, Intelligence, Surveillance and Reconnaissance ("C5ISR"). We manufacture and design specialized electronic defense components for electronic attack and electronic warfare platforms; integrated technology solutions for satellite communications; products and solutions for unmanned systems; products and services related to cybersecurity and cyberwarfare; products and solutions for ballistic missile defense; weapons trainers and e-learning tools; advanced network engineering and IT services; weapons systems lifecycle support and sustainment; military weapon range operations and technical services; and public safety, critical infrastructure security and surveillance systems. We offer our customers products, solutions, services and expertise to support their mission-critical needs by leveraging our skills across our core offering areas.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primary end customers are U.S. Government agencies, including the DoD, classified agencies, intelligence agencies, other national security agencies and homeland security related agencies. We believe our stable client base, strong client relationships, broad array of contract vehicles, considerable employee base possessing national security clearances, extensive list of past performance qualifications, and significant management and operational capabilities position us for continued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Defense Drives Strategic Priorities for the Company</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committed the U.S. Government to reduce the federal deficit over the next ten years. Under the Budget Control Act, the Joint Committee was responsible for identifying $1.2 to 1.5 trillion in deficit reductions by November 30, 2011. The Joint Committee was unable to identify such reductions by this deadline thereby triggering a provision of the Budget Control Act called "sequestration," which requires substantial automatic spending cuts split between defense and non-defense programs beginning in 2013 and continuing over a nine-year period. Both the Obama Administration and many members of Congress have indicated that sequestration is not the preferred method of deficit reduction and that alternatives should be pursued. The outcome of the efforts to prevent automatic spending cuts in 2013 and future years is uncertain.</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Obama Administration disclosed its FY13 budget in February 2012. This included a DoD budget of $613.9 billion, 5% below the enacted FY12 budget and 8.5% below the FY12 requested budget. The FY13 base budget request of $525.4 billion results in a flat year-over-year budget for FY13 (excluding supplementals) with the reduction in the budget from FY12 coming from the Overseas Contingency Operations budget. The President's submission starts the long process of passing a spending bill and congressional hearings will continue through May 2012. The elections in November are expected to generate significant political dialogue around the federal deficit and potential cuts in government spending; as a result, actual funding levels in the final enacted budget could be significantly delayed.</w:t>
      </w:r>
    </w:p>
    <w:p>
      <w:pPr>
        <w:spacing w:after="0" w:line="198"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While the real rate of growth in the top line defense budget has declined, the U.S. Government's budgetary process continues to give us good visibility with respect to future spending and the threat areas that the government is addressing and our current contracts and strong backlog provide us with good insight regarding our future cash flows. The proposed FY13 budget, which included $259 billion in spending reductions required by the Budget Control Act, also outlined long-term plans showing flat to 1% growth in the outyears. We believe that spending on modernization and maintenance of defense, intelligence and homeland security assets will continue to be a national priority. The vast majority of our programs are funded in the DoD Base budget and not the Overseas Contingency Operations budget. We also believe that our business is aligned with mission critical national security priorities, particularly in the areas of UAVs, cybersecurity, ballistic missile defense, space programs and science and technology efforts, where the proposed defense budget for FY13 has actually allocated increased funding.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operate in two principal business segments: Kratos Government Solutions and Public Safety &amp; Security.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consolidated financial statements in this Annual Report are presented in a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consistent with our operating structure. For additional information regarding our operating segments, see Note 14 of Notes to Consolidated Financial Statements contained within this Annual Report. From a customer and solutions perspective, we view our business as an integrated whole, leveraging skills and assets wherever possible.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Segment</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KGS segment provides products, solutions and services primarily for mission critical national security priorities. KGS customers primarily include national security related agencies, the Department of Defense, intelligence agencies and classified agencies. Our work includes weapon systems sustainment, lifecycle support and extension; C5ISR services, including related cybersecurity, cyberwarfare, information assurance and situational awareness solutions; military range operations and technical services; missile, rocket, and weapons systems test and evaluation; mission launch services; modeling and simulation; UAV products and technology; advanced network engineering and IT services; and public safety, security and surveillance systems integration. We produce products, solutions and services related to certain C5ISR platforms, unmanned system platforms, weapons systems, national security related assets and Warfighter systems. The results of our acquisitions of Herley, Integral, SecureInfo, Southside Container and Trailer, LLC ("SCT"), DEI Services Corporation ("DEI") and Gichner are included in this segment.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&amp; Security Segment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PSS segment provides independent integrated solutions for advanced homeland security, public safety, critical information, and security and surveillance systems for government and commercial applications. Our solutions include designing, installing and servicing building technologies that protect people, critical infrastructure, assets, information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services and product support services. We provide solutions for customers in the critical infrastructure, power generation, power transport, nuclear energy, financial, IT,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enterprises. The results of our acquisition of HBE are included in this segment.</w:t>
      </w:r>
    </w:p>
    <w:p>
      <w:pPr>
        <w:spacing w:after="0" w:line="174" w:lineRule="exact"/>
        <w:rPr>
          <w:sz w:val="20"/>
          <w:szCs w:val="20"/>
          <w:color w:val="auto"/>
        </w:rPr>
      </w:pPr>
    </w:p>
    <w:p>
      <w:pPr>
        <w:ind w:right="480" w:firstLine="351"/>
        <w:spacing w:after="0" w:line="303" w:lineRule="auto"/>
        <w:rPr>
          <w:sz w:val="20"/>
          <w:szCs w:val="20"/>
          <w:color w:val="auto"/>
        </w:rPr>
      </w:pPr>
      <w:r>
        <w:rPr>
          <w:rFonts w:ascii="Arial" w:cs="Arial" w:eastAsia="Arial" w:hAnsi="Arial"/>
          <w:sz w:val="15"/>
          <w:szCs w:val="15"/>
          <w:color w:val="auto"/>
        </w:rPr>
        <w:t xml:space="preserve">On June 24, 2009, as a result of the continued operating losses in the Southeast division of the PSS segment (the "Southeast Division"), our board of directors approved a plan to sell and dispose of the Southeast Division. In accordance with </w:t>
      </w:r>
      <w:r>
        <w:rPr>
          <w:rFonts w:ascii="Arial" w:cs="Arial" w:eastAsia="Arial" w:hAnsi="Arial"/>
          <w:sz w:val="15"/>
          <w:szCs w:val="15"/>
          <w:i w:val="1"/>
          <w:iCs w:val="1"/>
          <w:color w:val="auto"/>
        </w:rPr>
        <w:t>FASB ASC Topic 205, Presentation of Financial Statements,</w:t>
      </w:r>
      <w:r>
        <w:rPr>
          <w:rFonts w:ascii="Arial" w:cs="Arial" w:eastAsia="Arial" w:hAnsi="Arial"/>
          <w:sz w:val="15"/>
          <w:szCs w:val="15"/>
          <w:color w:val="auto"/>
        </w:rPr>
        <w:t xml:space="preserve"> this business unit was classified as held for sale and reported in discontinued operations in the accompanying consolidated financial statements. We recorded a</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 million impairment charge in the second quarter of 2009 and an additional $0.2 million in the second quarter of 2010 related to management's estimate of the fair value of the business. On August 2, 2010, we divested this division for approximately $0.1 million cash consideration and the assumption of certain liabilities.</w:t>
      </w:r>
    </w:p>
    <w:p>
      <w:pPr>
        <w:spacing w:after="0" w:line="192" w:lineRule="exact"/>
        <w:rPr>
          <w:sz w:val="20"/>
          <w:szCs w:val="20"/>
          <w:color w:val="auto"/>
        </w:rPr>
      </w:pPr>
    </w:p>
    <w:p>
      <w:pPr>
        <w:jc w:val="center"/>
        <w:ind w:right="8640"/>
        <w:spacing w:after="0"/>
        <w:rPr>
          <w:sz w:val="20"/>
          <w:szCs w:val="20"/>
          <w:color w:val="auto"/>
        </w:rPr>
      </w:pPr>
      <w:r>
        <w:rPr>
          <w:rFonts w:ascii="Arial" w:cs="Arial" w:eastAsia="Arial" w:hAnsi="Arial"/>
          <w:sz w:val="15"/>
          <w:szCs w:val="15"/>
          <w:b w:val="1"/>
          <w:bCs w:val="1"/>
          <w:color w:val="auto"/>
        </w:rPr>
        <w:t>2011 and 2010 Strategic Acquisitions</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SecureInfo Corporation</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 November 15, 2011, we acquired SecureInfo for $18.7 million in cash, which does not include an estimated $1.5 million in potential earn-outs to be paid in the first half of 2012. Based in northern Virginia, SecureInfo is a leading cybersecurity company specializing in assisting defense, intelligence,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DoD, the DHS and large commercial customers, including market-leading cloud computing service providers.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Integral Systems,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27, 2011, we acquired Integral in a cash and stock transaction valued at $241.1 million. As consideration for the acquisition of Integral, each Integral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stockholder (i) received $5.00 per share of Integral common stock, in cash, for an aggregate payment of approximately $131.4 million and (ii) was issued 0.588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for each share of Integral common stock, for an aggregate of approximately 10.4 million shares of our common stock valued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$108.7 million. The cash portion of the acquisition was substantially funded with the gross proceeds from the sale of our 10% Senior Secured Notes due 2017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principal amount of $115.0 million issued on July 27, 2011 at a premium of 105%.</w:t>
      </w:r>
    </w:p>
    <w:p>
      <w:pPr>
        <w:spacing w:after="0" w:line="219"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RF interference. Integral's customers include U.S. and foreign commercial, government, military and intelligence organizations. For almost 30 years, customers have relied on Integral to design and deliver innovative commercial-based products, solutions and services that are cost effective and reduce delivery schedules and risk.</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March 25, 2011, we acquired Herley in a cash tender offer to purchase all of the outstanding shares of Herley common stock. The shares of Herley common stock were purchased at a price of $19.00 per share. Accordingly, we paid total aggregate cash consideration of $270.7 million in respect of the shares of Herley common stock and certain in-the-money options, which were exercised upon the change in control of Herley. The fair value of the remaining non-controlling interest related to Herley as of March 25, 2011 was $16.9 million. In addition, upon completion of the acquisition, all unexercised options to purchase Herley common stock were assumed by us and converted into options to purchase our common stock, entitling the holders thereof to receive 1.3495 shares of our common stock for each share of Herley common stock underlying the options. All such options were fully vested upon completion of the acquisition and the fair value of such assumed options was $1.9 million. The total aggregate consideration for the purchase of Herley was $272.5 million.</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To fund the acquisition of Herley, on February 11, 2011, we sold approximately 4.9 million shares of common stock at a purchase price of $13.25 per share in an underwritten public offering. We received gross proceeds of approximately $64.8 million and net proceeds of approximately $61.1 million after deducting underwriting fees and other offering expenses. We used the net proceeds from this offering to fund a portion of the purchase price for the acquisition of Herley. To fund the remaining purchase price, we issued $285.0 million in aggregate principal amount of 10% Senior Secured Notes due 2017 at a premium of 107%.</w:t>
      </w:r>
    </w:p>
    <w:p>
      <w:pPr>
        <w:spacing w:after="0" w:line="167" w:lineRule="exact"/>
        <w:rPr>
          <w:sz w:val="20"/>
          <w:szCs w:val="20"/>
          <w:color w:val="auto"/>
        </w:rPr>
      </w:pPr>
    </w:p>
    <w:p>
      <w:pPr>
        <w:ind w:right="920" w:firstLine="351"/>
        <w:spacing w:after="0" w:line="370" w:lineRule="auto"/>
        <w:rPr>
          <w:sz w:val="20"/>
          <w:szCs w:val="20"/>
          <w:color w:val="auto"/>
        </w:rPr>
      </w:pPr>
      <w:r>
        <w:rPr>
          <w:rFonts w:ascii="Arial" w:cs="Arial" w:eastAsia="Arial" w:hAnsi="Arial"/>
          <w:sz w:val="15"/>
          <w:szCs w:val="15"/>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warfare/cybersecurity applications.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Henry Bros. Electronics, Inc</w:t>
      </w:r>
      <w:r>
        <w:rPr>
          <w:rFonts w:ascii="Arial" w:cs="Arial" w:eastAsia="Arial" w:hAnsi="Arial"/>
          <w:sz w:val="18"/>
          <w:szCs w:val="18"/>
          <w:color w:val="auto"/>
        </w:rPr>
        <w:t>.</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On December 15, 2010, we acquired HBE in a cash merger for a purchase price of $56.6 million, of which $54.9 million was paid in cash and $1.7 million reflects the fair value of options to purchase common stock of HBE that were assumed by us and converted into options to purchase our common stock upon completion of the merger. Upon completion of the merger, holders of HBE common stock received $8.20 in cash for each share of HBE common stock held by them immediately prior to the closing of the merger. In addition, upon completion of the merger, all options to purchase HBE common stock were assumed by us (the "HBE Options") and converted into options to purchase our common stock, entitling the holders thereof to receive 0.7715 shares of our common stock for each share of HBE common stock underlying the HBE Options. The HBE Options will be exercisable for an aggregate of approximately 0.4 million shares of our common stock.</w:t>
      </w:r>
    </w:p>
    <w:p>
      <w:pPr>
        <w:spacing w:after="0" w:line="20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HBE is a leading provider of homeland security solutions, products, and system integration services, including the design, engineering and operation of command, control and surveillance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DoD agencies, nuclear power generation facilities, state government and municipality related agencies, major national airports, major harbors, railways, tunnel systems, energy centers, power plants, and related infrastructure.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August 9, 2010, we acquired DEI in a cash merger valued at approximately $14.0 million, of which $9.0 million was paid in cash at closing and approximately $5.0 million of which represented the acquisition date fair value of additional performance-based consideration, of which $0.4 million was achieved and paid in September 2010 and $2.5 million was earned for 2011 and is expected to be paid in March 2012, subject to potential reductions if certain cash receipts are not collected. The fair value of the DEI Contingent Consideration (as defined below) was increased by $0.4 million during the three-month period ended September 25, 2011. Pursuant to the terms of the DEI Agreement, upon achievement of certain cash receipts, revenue, earnings before interest, taxes, depreciation, and amortization ("EBITDA") and backlog amounts in 2010, 2011 and 2012, we will be obligated to pay the former stockholders of DEI certain additional contingent consideration (the "DEI Contingent Consideration"). As of December 25, 2011, the potential undiscounted amount of future DEI Contingent Consideration including the amount earned in 2011 that may be payable by us for performance under the DEI Agreement is between $2.5 million and $6.5 million, which includes $2.5 million earned for 2011. The DEI Contingent Consideration will be reduced in the event certain anticipated cash receipts are not collected within agreed upon time periods, which could decrease the future payments by approximately $6.0 million.</w:t>
      </w:r>
    </w:p>
    <w:p>
      <w:pPr>
        <w:spacing w:after="0" w:line="17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Prowler aircraft), rotor-wing aircraft (including Blackhawk, Chinook and Sea Stallion helicopters) and Ground Combat Vehicles (including M1 Abrams Main Battle Tank and M2 Bradley Fighting Vehicle).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May 19, 2010, we acquired Gichner pursuant to the Stock Purchase Agreement, dated as of April 12, 2010, by and between us and the stockholders of Gichner (the "Gichner Agreement"), in a cash-for-stock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UAVs, the Command Post Platform and Joint Light Tactical Vehicles, Combat Tactical Vehicles, DDG-1000 Modular C5 Compartments and the Persistent Threat Detection System ISR Platform.</w:t>
      </w:r>
    </w:p>
    <w:p>
      <w:pPr>
        <w:spacing w:after="0" w:line="174" w:lineRule="exact"/>
        <w:rPr>
          <w:sz w:val="20"/>
          <w:szCs w:val="20"/>
          <w:color w:val="auto"/>
        </w:rPr>
      </w:pPr>
    </w:p>
    <w:p>
      <w:pPr>
        <w:ind w:right="500" w:firstLine="351"/>
        <w:spacing w:after="0" w:line="286" w:lineRule="auto"/>
        <w:rPr>
          <w:sz w:val="20"/>
          <w:szCs w:val="20"/>
          <w:color w:val="auto"/>
        </w:rPr>
      </w:pPr>
      <w:r>
        <w:rPr>
          <w:rFonts w:ascii="Arial" w:cs="Arial" w:eastAsia="Arial" w:hAnsi="Arial"/>
          <w:sz w:val="16"/>
          <w:szCs w:val="16"/>
          <w:color w:val="auto"/>
        </w:rPr>
        <w:t>Upon completion of the Gichner transaction, we deposited $8.1 million of the purchase price ("the Holdback") into an escrow account as security for Gichner's indemnification obligations as set forth in the Gichner Agreement. In addition, the Gichner Agreement provided that the purchase price would be</w:t>
      </w:r>
    </w:p>
    <w:p>
      <w:pPr>
        <w:ind w:firstLine="8"/>
        <w:spacing w:after="0" w:line="255" w:lineRule="auto"/>
        <w:tabs>
          <w:tab w:leader="none" w:pos="2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on a dollar for dollar basis if the working capital on the closing date (as defined in the Gichner Agreement) exceeded $17.5 million or (ii) decreased on a dollar for dollar basis if the working capital was less than $17.1 million. We agreed to a working capital adjustment of $0.6 million, and during 2011, we paid the Holdback owed of $7.5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Statement Concepts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25, 2011, we consider the following factors to be important in understanding our financial statements.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customers under fixed price contracts, we utilize both cost-to-cost and units produced measures under the percentage-of-completion method of accounting under the provisions of </w:t>
      </w:r>
      <w:r>
        <w:rPr>
          <w:rFonts w:ascii="Arial" w:cs="Arial" w:eastAsia="Arial" w:hAnsi="Arial"/>
          <w:sz w:val="16"/>
          <w:szCs w:val="16"/>
          <w:i w:val="1"/>
          <w:iCs w:val="1"/>
          <w:color w:val="auto"/>
        </w:rPr>
        <w:t>FASB ASC Topic 605,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("Topic 605")</w:t>
      </w:r>
      <w:r>
        <w:rPr>
          <w:rFonts w:ascii="Arial" w:cs="Arial" w:eastAsia="Arial" w:hAnsi="Arial"/>
          <w:sz w:val="16"/>
          <w:szCs w:val="16"/>
          <w:color w:val="auto"/>
        </w:rPr>
        <w:t>. Under the units produced measure of the percentage-of-completion method of accounting, sales are recognized as the units are</w:t>
      </w:r>
      <w:r>
        <w:rPr>
          <w:rFonts w:ascii="Arial" w:cs="Arial" w:eastAsia="Arial" w:hAnsi="Arial"/>
          <w:sz w:val="16"/>
          <w:szCs w:val="16"/>
          <w:i w:val="1"/>
          <w:iCs w:val="1"/>
          <w:color w:val="auto"/>
        </w:rPr>
        <w:t xml:space="preserve"> </w:t>
      </w:r>
      <w:r>
        <w:rPr>
          <w:rFonts w:ascii="Arial" w:cs="Arial" w:eastAsia="Arial" w:hAnsi="Arial"/>
          <w:sz w:val="16"/>
          <w:szCs w:val="16"/>
          <w:color w:val="auto"/>
        </w:rPr>
        <w:t>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8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94"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26, 2010 to the Year ended December 25, 2011</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5"/>
          <w:szCs w:val="15"/>
          <w:color w:val="auto"/>
        </w:rPr>
        <w:t>Revenues by operating segment for the years ended December 26, 2010 and December 25, 2011 are as follows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 Segment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Public Safety &amp; Security Segment</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75.9</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209.1%</w:t>
            </w:r>
          </w:p>
        </w:tc>
      </w:tr>
      <w:tr>
        <w:trPr>
          <w:trHeight w:val="21"/>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r>
      <w:tr>
        <w:trPr>
          <w:trHeight w:val="27"/>
        </w:trPr>
        <w:tc>
          <w:tcPr>
            <w:tcW w:w="4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Revenues increased $314.6 million from $408.5 million in 2010 to $723.1 million in 2011. The increase in revenue from 2010 to 2011 as a result of our acquisitions was $384.3 million. In the KGS segment, our acquisitions contributed $308.9 million in increased revenue from 2010 to 2011. This increase, which in 2011 includes a full year of revenue for the acquisitions we made in 2010, was offset by a reduction of $70.1 million in revenue from our existing businesses as a result of increased competitive pricing pressure experienced in our legacy services businesses, resulting in the reduction of revenues, and to a lesser extent expected reductions of small business set aside contract work from companies we previously acquired and in-sourcing of our employees by the U.S. Government. Certain of our businesses were also impacted by the Continuing Resolutions for the U.S. Government's Fiscal 2011 and 2012 budgets, as well as contract award delays caused by competitor contract protests. In the PSS segment, the acquisition of HBE contributed $75.4 million of the $75.9 million increase.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Product sales, which are all from the KGS segment, increased $245.8 million from $123.7 million for the year ended December 26, 2010 to $369.5 million for the year ended December 25, 2011. As a percentage of total revenue, product revenues were 30.3% for the year ended December 26, 2010 as compared to 51.1% for the year ended December 25, 2011. This increase was primarily related to the acquisitions of Herley and Integral. Service revenue decreased in the KGS segment by $7.1 million from $248.5 million for the year ended December 26, 2010 to $241.4 million for the year ended December 25, 2011. The decrease in service revenue was primarily a result of our acquisition of Integral, which had service revenue of $51.1 million offset by decreases in revenue of $58.2 million due to increased competitive pricing pressures experienced in our legacy services businesses, resulting in the reduction of revenues, and to a lesser extent expected reductions of small business set aside contract work from companies we previously acquired and in-sourcing of our employees by the U.S. Government in certain of our businesses in the KGS segment. The increase in revenue in the PSS segment is a result of the acquisition of HBE.</w:t>
      </w:r>
    </w:p>
    <w:p>
      <w:pPr>
        <w:spacing w:after="0" w:line="172"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As described in the "Critical Accounting Principles and Estimates" section of Item 7 "Management's Discussion and Analysis of Financial Condition and Results of Operations" and in the Notes to Consolidated Financial Statements contained within this Annual Report, we utilize both the cost-to-cost and units produced measures under the percentage-of-completion method of accounting for recognizing revenue as provided for in </w:t>
      </w:r>
      <w:r>
        <w:rPr>
          <w:rFonts w:ascii="Arial" w:cs="Arial" w:eastAsia="Arial" w:hAnsi="Arial"/>
          <w:sz w:val="16"/>
          <w:szCs w:val="16"/>
          <w:i w:val="1"/>
          <w:iCs w:val="1"/>
          <w:color w:val="auto"/>
        </w:rPr>
        <w:t>Topic 605</w:t>
      </w:r>
      <w:r>
        <w:rPr>
          <w:rFonts w:ascii="Arial" w:cs="Arial" w:eastAsia="Arial" w:hAnsi="Arial"/>
          <w:sz w:val="16"/>
          <w:szCs w:val="16"/>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7" w:lineRule="exact"/>
        <w:rPr>
          <w:sz w:val="20"/>
          <w:szCs w:val="20"/>
          <w:color w:val="auto"/>
        </w:rPr>
      </w:pPr>
    </w:p>
    <w:p>
      <w:pPr>
        <w:ind w:right="300" w:firstLine="351"/>
        <w:spacing w:after="0" w:line="318" w:lineRule="auto"/>
        <w:rPr>
          <w:sz w:val="20"/>
          <w:szCs w:val="20"/>
          <w:color w:val="auto"/>
        </w:rPr>
      </w:pPr>
      <w:r>
        <w:rPr>
          <w:rFonts w:ascii="Arial" w:cs="Arial" w:eastAsia="Arial" w:hAnsi="Arial"/>
          <w:sz w:val="15"/>
          <w:szCs w:val="15"/>
          <w:i w:val="1"/>
          <w:iCs w:val="1"/>
          <w:color w:val="auto"/>
        </w:rPr>
        <w:t xml:space="preserve">Cost of revenues. </w:t>
      </w:r>
      <w:r>
        <w:rPr>
          <w:rFonts w:ascii="Arial" w:cs="Arial" w:eastAsia="Arial" w:hAnsi="Arial"/>
          <w:sz w:val="15"/>
          <w:szCs w:val="15"/>
          <w:color w:val="auto"/>
        </w:rPr>
        <w:t>Cost of revenues increased $206.7 million, from $324.2 million for the year ended December 26, 2010 to $530.9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25, 2011. The increase in cost of revenues from 2010 to 2011 as a result of our acquisitions was $259.8 million. In the KGS segment, our acquisitions contributed $207.8 million of increased cost of revenues from 2010 to 2011. This increase, which in 2011 includes a full year of revenue for the acquisitions we made in 2010, was offset by a reduction of $49.3 million in cost of revenue from our existing businesses as a result of the reductions in our services revenue described previously. In the PSS segment, the acquisition of HBE contributed $52.0 million of the $53.8 million increase in cost of revenues.</w:t>
      </w:r>
    </w:p>
    <w:p>
      <w:pPr>
        <w:spacing w:after="0" w:line="1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Gross margin increased from 20.6% for the year ended December 26, 2010 to 26.6% for the year ended December 25, 2011. This was primarily the result of the increase in margin on product sales from 16.7% to 27.5% for the year's ended December 26, 2010 and December 25, 2011, respectively. This increase was due primarily to the acquisitions of Herley and Integral in 2011. Gross margins on service revenues increased for the year ended December 26, 2010 as compared to December 25, 2011 from 22.3% to 25.6%, respectively, primarily due to the planned reductions of lower margin pass through work and the acquisition of Integral. Margins in the PSS segment decreased from 32.0% for the year ended December 26, 2010 to 30.0% for the year ended December 25, 2011 as a result of lower margins on our larger projects in the southwest division.</w:t>
      </w:r>
    </w:p>
    <w:p>
      <w:pPr>
        <w:spacing w:after="0" w:line="174" w:lineRule="exact"/>
        <w:rPr>
          <w:sz w:val="20"/>
          <w:szCs w:val="20"/>
          <w:color w:val="auto"/>
        </w:rPr>
      </w:pPr>
    </w:p>
    <w:p>
      <w:pPr>
        <w:ind w:left="360"/>
        <w:spacing w:after="0"/>
        <w:tabs>
          <w:tab w:leader="none" w:pos="3700" w:val="left"/>
        </w:tabs>
        <w:rPr>
          <w:sz w:val="20"/>
          <w:szCs w:val="20"/>
          <w:color w:val="auto"/>
        </w:rPr>
      </w:pPr>
      <w:r>
        <w:rPr>
          <w:rFonts w:ascii="Arial" w:cs="Arial" w:eastAsia="Arial" w:hAnsi="Arial"/>
          <w:sz w:val="18"/>
          <w:szCs w:val="18"/>
          <w:i w:val="1"/>
          <w:iCs w:val="1"/>
          <w:color w:val="auto"/>
        </w:rPr>
        <w:t>Selling, general and administrative expenses.</w:t>
      </w:r>
      <w:r>
        <w:rPr>
          <w:sz w:val="20"/>
          <w:szCs w:val="20"/>
          <w:color w:val="auto"/>
        </w:rPr>
        <w:tab/>
      </w:r>
      <w:r>
        <w:rPr>
          <w:rFonts w:ascii="Arial" w:cs="Arial" w:eastAsia="Arial" w:hAnsi="Arial"/>
          <w:sz w:val="16"/>
          <w:szCs w:val="16"/>
          <w:color w:val="auto"/>
        </w:rPr>
        <w:t>Selling, general and administrative expenses ("SG&amp;A") increased $85.2 million from $57.3 million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$142.5 million for the years ended December 26, 2010 and December 25, 2011, respectively. This increase is primarily a result of our acquisitions, which had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 increase in SG&amp;A of $85.2 million and in 2011 includes a full year of SG&amp;A for the acquisitions we made in 2010. Included in the SG&amp;A expenses for 2010 and 2011 are amortization of purchased intangibles of $9.2 million and $38.0 million, respectively. The increase in amortization year over year was a result of a full year of amortization for our 2010 acquisitions as well as our 2011 acquisitions. As a percentage of revenues, selling, general and administrative expenses increased from 14.0% in 2010 to 19.7% in 2011. Excluding the impact of the amortization of purchased intangibles, SG&amp;A expenses increased from 11.8% to 14.5% of revenues for 2010 and 2011, respectively, reflecting higher SG&amp;A margins in our acquisitions as a result of their allocations of costs between SG&amp;A and cost of revenues which was partially offset by leverage on our corporate SG&amp;A as a result of increased revenues.</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$6.8 million from $2.2 million for the year ended December 26, 2010</w:t>
      </w:r>
      <w:r>
        <w:rPr>
          <w:rFonts w:ascii="Arial" w:cs="Arial" w:eastAsia="Arial" w:hAnsi="Arial"/>
          <w:sz w:val="18"/>
          <w:szCs w:val="18"/>
          <w:i w:val="1"/>
          <w:iCs w:val="1"/>
          <w:color w:val="auto"/>
        </w:rPr>
        <w:t xml:space="preserve"> </w:t>
      </w:r>
      <w:r>
        <w:rPr>
          <w:rFonts w:ascii="Arial" w:cs="Arial" w:eastAsia="Arial" w:hAnsi="Arial"/>
          <w:sz w:val="18"/>
          <w:szCs w:val="18"/>
          <w:color w:val="auto"/>
        </w:rPr>
        <w:t>to $9.0 million for the year ended December 25, 2011. The increase is primarily a result of our acquisitions of Herley and Integral, which have higher research and development efforts due to their expanded product mix.</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Recovery of unauthorized issuance of stock options, stock option investigation and related fees, and litigation settlement. </w:t>
      </w:r>
      <w:r>
        <w:rPr>
          <w:rFonts w:ascii="Arial" w:cs="Arial" w:eastAsia="Arial" w:hAnsi="Arial"/>
          <w:sz w:val="18"/>
          <w:szCs w:val="18"/>
          <w:color w:val="auto"/>
        </w:rPr>
        <w:t>In September 2010, we reached a</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with one of our D&amp;O insurance carriers to cover costs related to our completed stock option and DOJ investigations. The settlement received, net of legal expenses, was $1.4 million.</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for the year ended December 26, 2010 were $3.1 million, primarily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Gichner, DEI, SCT, and HBE. Merger and acquisition expenses were $12.5 million for the year ended December 25, 2011, primarily related to our acquisitions of Herley and Integral.</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For the year ended December 26, 2010, net other expense was $21.2 million compared to net other expense of $51.0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25, 2011. The increase in other expense of $29.8 million is primarily related to an increase in interest expense of $28.8 million as a result of the $285.0 million in aggregate principal amount of 10% Senior Secured Notes issued in March 2011 primarily used to fund the Herley acquisition, the issuance of $115.0 million in aggregate principal amount of 10% Senior Secured Notes in July 2011 to fund the acquisition of Integral, and the full year impact of the $225 million in aggregate principal amount of 10% Senior Secured Notes issued in May 2010, to fund the Gichner acquisition and to refinance our existing indebtedness.</w:t>
      </w:r>
    </w:p>
    <w:p>
      <w:pPr>
        <w:spacing w:after="0" w:line="198"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The provision for income taxes increased from a benefit of $12.7 million on income of $1.9 million from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operations before income taxes for the year ended December 26, 2010 to a provision of $1.9 million on a loss before income taxes of $22.8 million for the year ended December 25, 2011. The benefit for the year ended December 26, 2010 was primarily related to the acquisitions of Gichner and DEI. In accordance with </w:t>
      </w:r>
      <w:r>
        <w:rPr>
          <w:rFonts w:ascii="Arial" w:cs="Arial" w:eastAsia="Arial" w:hAnsi="Arial"/>
          <w:sz w:val="16"/>
          <w:szCs w:val="16"/>
          <w:i w:val="1"/>
          <w:iCs w:val="1"/>
          <w:color w:val="auto"/>
        </w:rPr>
        <w:t xml:space="preserve">FASB ASC Topic 805 Business Combinations ("Topic 805"), </w:t>
      </w:r>
      <w:r>
        <w:rPr>
          <w:rFonts w:ascii="Arial" w:cs="Arial" w:eastAsia="Arial" w:hAnsi="Arial"/>
          <w:sz w:val="16"/>
          <w:szCs w:val="16"/>
          <w:color w:val="auto"/>
        </w:rPr>
        <w:t>we established deferred tax liabilities of approximately $18.2 million for the increase in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basis of the acquired assets of Gichner, and DEI, respectively. As a result of our ability to recognize deferred tax assets for certain of these deferred tax liabilities, we released the valuation allowances against our deferred tax assets and recognized an income tax benefit of $13.6 million. The provision for the year ended December 25, 2011 was primarily comprised of taxes of $3.1 million and $0.4 million for state and foreign current taxes, respectively, partially offset by a tax refund settlement of $2.1 million.</w:t>
      </w:r>
    </w:p>
    <w:p>
      <w:pPr>
        <w:spacing w:after="0" w:line="17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Income from discontinued operations improved from a loss of $0.1 million to income of $0.5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26, 2010 and December 25, 2011, respectively. In 2010, the loss was primarily due to a reduction in liabilities as a result of the final settlement of sales and use tax liabilities related to our discontinued wireless deployment business partially offset by losses in the Southeast Division. Revenues generated by these businesses were approximately $2.2 million and zero for the year ended December 26, 2010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December 25, 2011, respectively. Income (loss) before taxes was a loss of $1.0 million for the year ended December 26, 2010 and a loss of $0.1 million for the year ended December 25, 2011. For the year ended December 26, 2010 and December 25, 2011, we recognized a tax benefit of $0.8 million and $0.6 million, respectively, primarily related to the expiration of the statute of limitations for certain domestic and foreign tax contingencies. In August 2010, we divested our Southeast Division for approximately $0.1 million cash consideration and the assumption of certain liabilities.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574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26,</w:t>
            </w: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25,</w:t>
            </w:r>
          </w:p>
        </w:tc>
      </w:tr>
      <w:tr>
        <w:trPr>
          <w:trHeight w:val="161"/>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Loss before taxes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bl>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See Note 9 of the Notes to the Consolidated Financial Statements contained within this Annual Report on Form 10-K for a further discussion of discontinued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27, 2009 to the Year ended December 26, 2010</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5"/>
          <w:szCs w:val="15"/>
          <w:color w:val="auto"/>
        </w:rPr>
        <w:t>Revenues by operating segment for the years ended December 27, 2009 and December 26, 2010 are as follows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 Segment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Public Safety &amp; Security Segment</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20.2%</w:t>
            </w:r>
          </w:p>
        </w:tc>
      </w:tr>
      <w:tr>
        <w:trPr>
          <w:trHeight w:val="21"/>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r>
      <w:tr>
        <w:trPr>
          <w:trHeight w:val="27"/>
        </w:trPr>
        <w:tc>
          <w:tcPr>
            <w:tcW w:w="4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Revenues increased $74.0 million from $334.5 million in 2009 to $408.5 million in 2010. This increase was primarily due to the acquisitions of Gichner and DEI and to a lesser extent by the acquisitions of SCT and HBE. Gichner and DEI contributed aggregate revenues of $104.8 million, and SCT and HBE contributed combined revenues of $1.9 million.</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Product sales, which are all from the KGS segment, increased $103.2 million from $20.5 million for the year ended December 27, 2009 to $123.7 million for the year ended December 26, 2010. As a percentage of total revenue, product revenues were 6.1% for the year ended December 27, 2009 as compared to 30.3% for the year ended December 26, 2010. This increase was primarily related to an air defense weapon system munitions contract we were awarded during the first quarter of 2010 and the acquisitions of Gichner and DEI. Service revenue decreased by $29.2 million from $314.0 million for the year ended December 27, 2009 to $284.8 million for the year ended December 26, 2010. The decrease in service revenue was a result of the planned reductions of lower margin pass through work and to a lesser extent expected reductions of small business set aside contract work from companies we previously acquired and in-sourcing of our employees by the U.S. Government in certain of our businesses in the KGS segment. The increase in revenue in the PSS segment is a result of an increase in security integration projects for critical infrastructure such as pipelines, power production facilities and data centers, as well as revenue from the acquisition of HBE.</w:t>
      </w:r>
    </w:p>
    <w:p>
      <w:pPr>
        <w:spacing w:after="0" w:line="174"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As described in the "Critical Accounting Principles and Estimates" section of Item 7 "Management's Discussion and Analysis of Financial Condition and Results of Operations" and in the Notes to Consolidated Financial Statements contained within this Annual Report, we utilize both the cost-to-cost and units produced measures under the percentage-of-completion method of accounting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recognizing revenue as provided for in </w:t>
      </w:r>
      <w:r>
        <w:rPr>
          <w:rFonts w:ascii="Arial" w:cs="Arial" w:eastAsia="Arial" w:hAnsi="Arial"/>
          <w:sz w:val="16"/>
          <w:szCs w:val="16"/>
          <w:i w:val="1"/>
          <w:iCs w:val="1"/>
          <w:color w:val="auto"/>
        </w:rPr>
        <w:t>Topic 605</w:t>
      </w:r>
      <w:r>
        <w:rPr>
          <w:rFonts w:ascii="Arial" w:cs="Arial" w:eastAsia="Arial" w:hAnsi="Arial"/>
          <w:sz w:val="16"/>
          <w:szCs w:val="16"/>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$270.9 million for the year ended December 27, 2009 to $324.2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26, 2010. The $53.3 million increase in cost of revenues was primarily a result of the acquisition of Gichner and DEI and to a lesser extent by the acquisitions of SCT and HBE partially offset by reductions in revenue and reduced costs as a result of increased margins due to planned reductions of lower margin pass though work in our KGS segment. Gichner and DEI incurred combined cost of revenues of $85.4 million and SCT and HBE incurred combined cost of revenues of $1.2 million. Gross margin increased from 19.0% for the year ended December 27, 2009 to 20.6% for the year ended December 26, 2010. The margin on service revenue increased from 18.6% to 22.3% for the year ended December 27, 2009 and December 26, 2010, respectively. This increase was due primarily to the planned reductions of lower margin pass through work. Gross margins on product sales decreased for the year ended December 26, 2010 as compared to December 27, 2009 from 25.9% to 16.7%, respectively, as a result of the Gichner acquisition and the associated product mix. Margins in the PSS segment increased from 29.5% for the year ended December 27, 2009 to 32.0% for the year ended December 26, 2010 as a result of performance improvements and revenue growth.</w:t>
      </w:r>
    </w:p>
    <w:p>
      <w:pPr>
        <w:spacing w:after="0" w:line="177" w:lineRule="exact"/>
        <w:rPr>
          <w:sz w:val="20"/>
          <w:szCs w:val="20"/>
          <w:color w:val="auto"/>
        </w:rPr>
      </w:pPr>
    </w:p>
    <w:p>
      <w:pPr>
        <w:ind w:left="360"/>
        <w:spacing w:after="0"/>
        <w:tabs>
          <w:tab w:leader="none" w:pos="3700" w:val="left"/>
        </w:tabs>
        <w:rPr>
          <w:sz w:val="20"/>
          <w:szCs w:val="20"/>
          <w:color w:val="auto"/>
        </w:rPr>
      </w:pPr>
      <w:r>
        <w:rPr>
          <w:rFonts w:ascii="Arial" w:cs="Arial" w:eastAsia="Arial" w:hAnsi="Arial"/>
          <w:sz w:val="18"/>
          <w:szCs w:val="18"/>
          <w:i w:val="1"/>
          <w:iCs w:val="1"/>
          <w:color w:val="auto"/>
        </w:rPr>
        <w:t>Selling, general and administrative expenses.</w:t>
      </w:r>
      <w:r>
        <w:rPr>
          <w:sz w:val="20"/>
          <w:szCs w:val="20"/>
          <w:color w:val="auto"/>
        </w:rPr>
        <w:tab/>
      </w:r>
      <w:r>
        <w:rPr>
          <w:rFonts w:ascii="Arial" w:cs="Arial" w:eastAsia="Arial" w:hAnsi="Arial"/>
          <w:sz w:val="16"/>
          <w:szCs w:val="16"/>
          <w:color w:val="auto"/>
        </w:rPr>
        <w:t>Selling, general and administrative expenses ("SG&amp;A") increased $9.6 million from $47.7 million to</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$57.3 million for the years ended December 27, 2009 and December 26, 2010, respectively. The increase of $9.6 million was primarily due to an increase in costs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$12.5 million from the acquisitions of Gichner, DEI, SCT, and HBE offset by reduction in SG&amp;A in our KGS segment. Included in the SG&amp;A expenses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and 2010 are amortization of purchased intangibles of $5.7 million and $9.2 million, respectively. The increase in amortization year over year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the Gichner and DEI acquisitions. As a percentage of revenues, SG&amp;A decreased from 14.3% in 2009 to 14.0% in 2010. Excluding the impact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purchased intangibles, SG&amp;A expenses decreased from 12.6% to 11.5% of revenues for 2009 and 2010, respectively, reflecting leverage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revenues.</w:t>
      </w:r>
    </w:p>
    <w:p>
      <w:pPr>
        <w:spacing w:after="0" w:line="21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$1.8 million for the year ended December 27, 2009 and $2.2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26, 2010.</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Recovery of unauthorized issuance of stock options, stock option investigation and related fees, and litigation settlement. </w:t>
      </w:r>
      <w:r>
        <w:rPr>
          <w:rFonts w:ascii="Arial" w:cs="Arial" w:eastAsia="Arial" w:hAnsi="Arial"/>
          <w:sz w:val="16"/>
          <w:szCs w:val="16"/>
          <w:color w:val="auto"/>
        </w:rPr>
        <w:t>In October 2009, we reached an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the plaintiffs to settle the outstanding 2004 and 2007 derivative lawsuits. The benefit in 2009 of $0.2 million is a result of the reduction in our estimated accrual related to this litigation, offset by expenses related to government inquiries by the DOJ, which were completed in 2009, related to our historical stock option granting practices. In September 2010, we reached a settlement with one of our D&amp;O insurance carriers to cover costs related to our completed stock option and DOJ investigations. The settlement received, net of legal expenses, was $1.4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During the first quarter of 2009, we determined that a triggering event had occurred in accordance with</w:t>
      </w:r>
      <w:r>
        <w:rPr>
          <w:rFonts w:ascii="Arial" w:cs="Arial" w:eastAsia="Arial" w:hAnsi="Arial"/>
          <w:sz w:val="16"/>
          <w:szCs w:val="16"/>
          <w:i w:val="1"/>
          <w:iCs w:val="1"/>
          <w:color w:val="auto"/>
        </w:rPr>
        <w:t xml:space="preserve"> Topic 350</w:t>
      </w:r>
      <w:r>
        <w:rPr>
          <w:rFonts w:ascii="Arial" w:cs="Arial" w:eastAsia="Arial" w:hAnsi="Arial"/>
          <w:sz w:val="16"/>
          <w:szCs w:val="16"/>
          <w:color w:val="auto"/>
        </w:rPr>
        <w:t>. This resulted in</w:t>
      </w:r>
      <w:r>
        <w:rPr>
          <w:rFonts w:ascii="Arial" w:cs="Arial" w:eastAsia="Arial" w:hAnsi="Arial"/>
          <w:sz w:val="16"/>
          <w:szCs w:val="16"/>
          <w:i w:val="1"/>
          <w:iCs w:val="1"/>
          <w:color w:val="auto"/>
        </w:rPr>
        <w:t xml:space="preserve"> </w:t>
      </w:r>
      <w:r>
        <w:rPr>
          <w:rFonts w:ascii="Arial" w:cs="Arial" w:eastAsia="Arial" w:hAnsi="Arial"/>
          <w:sz w:val="16"/>
          <w:szCs w:val="16"/>
          <w:color w:val="auto"/>
        </w:rPr>
        <w:t>an impairment charge of $41.3 million during the first quarter of 2009. The impairment charge was primarily driven by adverse equity market conditions that caused a decrease in market multiples and our average stock price as of February 28, 2009, compared with the impairment test performed as of December 28, 2008. In our analysis, we use the income approach and validate its reasonableness by comparing to the market approach and by considering our market capitalization based upon an average of our stock price for a period prior to and subsequent to the date we performed our analysis. The average market price of our stock as of February 28, 2009 was $7.80, which equates to a 39% drop in our average stock price and corresponding market capitalization from December 28, 2008, which had an average stock price of $12.90. We reconcile the fair value of our reporting units to our market capitalization. As a result of this reconciliation, it was noted that investors were requiring a higher rate of return, and therefore, our discount factor which is based upon an estimated market participant weighted average cost of capital ("WACC")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81"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Our forecasts of growth rates and operating margins had not changed as of February 28, 2009 as compared to the forecasts which were used as of December 28, 2008. Our historical growth rates and operating results are not indicative of our future growth rates and operating results as a consequence of our transformation from a commercial wireless service provider to a U.S. Government defense contractor. The decline in revenues, which was expected by us, was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 which we acquired may result in a reduction of revenues when the contracts are completed and recompeted and awarded to us as a subcontractor rather than as a prime contractor. Our contracts are long-term in nature and are supported by significant backlog. Because our contracts are of a long-term nature, a majority of our receivables are with agencies within the U.S. Government or we are a subcontractor to a customer whose receivables are with the agencies within the U.S. Government, we are not subject to significant short-term changes in operating cash flow. Moreover, because of the nature of our current business, we do not have significant capital expenditure requirements. In addition, we did not assume a recovery of the global or national economy in our cash flow projections in our analysis as of December 28, 2008 or in our analysis as of February 28, 2009. The charge does not impact our normal business operations.</w:t>
      </w:r>
    </w:p>
    <w:p>
      <w:pPr>
        <w:spacing w:after="0" w:line="166"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i w:val="1"/>
          <w:iCs w:val="1"/>
          <w:color w:val="auto"/>
        </w:rPr>
        <w:t xml:space="preserve">Merger and acquisition expenses. </w:t>
      </w:r>
      <w:r>
        <w:rPr>
          <w:rFonts w:ascii="Arial" w:cs="Arial" w:eastAsia="Arial" w:hAnsi="Arial"/>
          <w:sz w:val="16"/>
          <w:szCs w:val="16"/>
          <w:color w:val="auto"/>
        </w:rPr>
        <w:t>Merger and acquisition expenses were $3.1 million for the year ended December 26, 2010, primarily related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Gichner, DEI, SCT, and HBE. We had no acquisition expenses for the year ended December 27, 2009.</w:t>
      </w:r>
    </w:p>
    <w:p>
      <w:pPr>
        <w:spacing w:after="0" w:line="13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For the year ended December 27, 2009, net other expense was $10.3 million compared to net other expense of $21.2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26, 2010. The increase in other expense of $10.9 million is primarily related to an increase in interest expense of $3.9 million as a result of the write-off of deferred financing fees associated with our prior credit facilities and an increase in interest expense as a result of the $225.0 million in Notes issued in May 2010, primarily to fund the acquisition of Gichner, partially offset by a decrease of $1.0 million in other expense primarily related to the non-cash charges to mark our interest rate derivatives to market.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5040" w:val="left"/>
        </w:tabs>
        <w:rPr>
          <w:sz w:val="20"/>
          <w:szCs w:val="20"/>
          <w:color w:val="auto"/>
        </w:rPr>
      </w:pPr>
      <w:r>
        <w:rPr>
          <w:rFonts w:ascii="Arial" w:cs="Arial" w:eastAsia="Arial" w:hAnsi="Arial"/>
          <w:sz w:val="18"/>
          <w:szCs w:val="18"/>
          <w:i w:val="1"/>
          <w:iCs w:val="1"/>
          <w:color w:val="auto"/>
        </w:rPr>
        <w:t>Provision (benefit) for income taxes from continuing operations.</w:t>
      </w:r>
      <w:r>
        <w:rPr>
          <w:sz w:val="20"/>
          <w:szCs w:val="20"/>
          <w:color w:val="auto"/>
        </w:rPr>
        <w:tab/>
      </w:r>
      <w:r>
        <w:rPr>
          <w:rFonts w:ascii="Arial" w:cs="Arial" w:eastAsia="Arial" w:hAnsi="Arial"/>
          <w:sz w:val="16"/>
          <w:szCs w:val="16"/>
          <w:color w:val="auto"/>
        </w:rPr>
        <w:t>The provision for income taxes decreased from a provision of $1.0 million on a loss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$37.3 million before income taxes for the year ended December 27, 2009 to a benefit of $12.7 million on income before income taxes of $1.9 million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26, 2010. The provision for the year ended December 27, 2009 was primarily due to current state taxes. The benefit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26, 2010 was primarily related to the acquisitions of Gichner and DEI. In accordance with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we established deferred tax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$18.2 million for the increase in the financial statement basis of the acquired assets of Gichner and DEI, respectively. As a result of our 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 deferred tax assets for certain of these deferred tax liabilities, we released the valuation allowances against our deferred tax assets and recognized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of $13.6 million.</w:t>
      </w:r>
    </w:p>
    <w:p>
      <w:pPr>
        <w:spacing w:after="0" w:line="219"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i w:val="1"/>
          <w:iCs w:val="1"/>
          <w:color w:val="auto"/>
        </w:rPr>
        <w:t xml:space="preserve">Loss from discontinued operations. </w:t>
      </w:r>
      <w:r>
        <w:rPr>
          <w:rFonts w:ascii="Arial" w:cs="Arial" w:eastAsia="Arial" w:hAnsi="Arial"/>
          <w:sz w:val="16"/>
          <w:szCs w:val="16"/>
          <w:color w:val="auto"/>
        </w:rPr>
        <w:t>Loss from discontinued operations improved from a loss of $3.2 million to a loss of $0.1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27, 2009 and December 26, 2010, respectively. In 2009, $2.0 million of the loss was related to the impairment of assets related to the Southeast Division recorded to reflect management's estimate of the fair value of this business. In 2010, the loss was primarily due to a reduction in liabilities as a result of the final settlement of sales and use tax liabilities related to our discontinued wireless deployment business partially offset by losses in the Southeast Division. Revenues generated by these businesses were approximately $5.9 million and $2.2 million for the year ended December 27, 2009 and December 26, 2010, respectively. Excluding the impairment charge, losses before taxes were $1.8 million for the year ended December 27, 2009 and $0.9 million for the year ended December 26, 2010. For the year ended December 27, 2009 and December 26, 2010, we recognized a tax benefit of $0.6 million and $0.8 million, respectively, primarily related to the expiration of the statute of limitations for certain domestic and foreign tax contingencies. In August 2010, we divested our Southeast Division for approximately $0.1 million cash consideration and the assumption of certain liabilities.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574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27,</w:t>
            </w: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26,</w:t>
            </w:r>
          </w:p>
        </w:tc>
      </w:tr>
      <w:tr>
        <w:trPr>
          <w:trHeight w:val="161"/>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Loss before taxes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9 of the Notes to the Consolidated Financial Statements for a further discussion of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25, 2011, we had consolidated cash and cash equivalents of $69.8 million, consolidated long-term and short-term debt, including capital lease obligations, of $655.9 million, and consolidated stockholders' equity of $312.6 million. Our principal sources of liquidity are cash flows from operations and borrowings under our credit facility. Our operating cash flow is used to finance trade accounts receivable, fund capital expenditures, our ongoing operations,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summary of our net cash provided by operating activities from continuing operations from our consolidated statements of cash flows is as follows (in millions):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December 27,</w:t>
            </w:r>
          </w:p>
        </w:tc>
        <w:tc>
          <w:tcPr>
            <w:tcW w:w="160" w:type="dxa"/>
            <w:vAlign w:val="bottom"/>
          </w:tcPr>
          <w:p>
            <w:pPr>
              <w:spacing w:after="0"/>
              <w:rPr>
                <w:sz w:val="11"/>
                <w:szCs w:val="11"/>
                <w:color w:val="auto"/>
              </w:rPr>
            </w:pPr>
          </w:p>
        </w:tc>
        <w:tc>
          <w:tcPr>
            <w:tcW w:w="11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December 26,</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25,</w:t>
            </w:r>
          </w:p>
        </w:tc>
        <w:tc>
          <w:tcPr>
            <w:tcW w:w="160" w:type="dxa"/>
            <w:vAlign w:val="bottom"/>
          </w:tcPr>
          <w:p>
            <w:pPr>
              <w:spacing w:after="0"/>
              <w:rPr>
                <w:sz w:val="11"/>
                <w:szCs w:val="11"/>
                <w:color w:val="auto"/>
              </w:rPr>
            </w:pPr>
          </w:p>
        </w:tc>
      </w:tr>
      <w:tr>
        <w:trPr>
          <w:trHeight w:val="161"/>
        </w:trPr>
        <w:tc>
          <w:tcPr>
            <w:tcW w:w="4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01"/>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operating activities from continuing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bl>
    <w:p>
      <w:pPr>
        <w:spacing w:after="0" w:line="20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cash provided by operating activities was impacted by interest and transaction expenses we paid related to the completion of strategic acquisitions in 2010 and 2011. We paid $7.7 million, $15.4 million and $46.2 million in interest expense in 2009, 2010 and 2011, respectively. The increase in interest expense paid from 2009 to 2010 was a result of the $225 million in 10% Senior Secured Notes we issued on May 29, 2010 to fund our acquisition of Gichner. The increase in interest expense paid from 2010 to 2011 was a result of the $285.0 million in 10% Senior Secured Notes we issued on March 25, 2011 to fund the acquisition of Herley and the issuance of $115.0 million in 10% Senior Secured Notes we issued on July 27, 2011 to fund the acquisition of Integral, as well as a full years impact of the $225.0 million of 10% Senior Secured Notes we issued in May 2010. Cash provided by operating activities in 2010 and 2011 also includes $3.1 million and $27.8 million, respectively, in transaction costs paid related to our acquisitions. See Note 3 and Note 5 of the Notes to Consolidated Financial Statements contained within this Annual Report for a further discussion of our acquisitions and debt. Excluding the payment of transaction expenses, cash provided by operating activities was $26.2 million, $31.4 million, and $30.7 million in 2009, 2010 and 2011,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net cash used in investing activities from continuing operations is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December 27,</w:t>
            </w:r>
          </w:p>
        </w:tc>
        <w:tc>
          <w:tcPr>
            <w:tcW w:w="60" w:type="dxa"/>
            <w:vAlign w:val="bottom"/>
          </w:tcPr>
          <w:p>
            <w:pPr>
              <w:spacing w:after="0"/>
              <w:rPr>
                <w:sz w:val="11"/>
                <w:szCs w:val="11"/>
                <w:color w:val="auto"/>
              </w:rPr>
            </w:pP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26,</w:t>
            </w:r>
          </w:p>
        </w:tc>
        <w:tc>
          <w:tcPr>
            <w:tcW w:w="96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2"/>
              </w:rPr>
              <w:t>December 25,</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Cash paid for acquisitions, net of cash acquired</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(206.5)</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(391.1)</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contingent acquisition consideration</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Proceeds/(payments) from the disposition of discontinued operations</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transferred (to) from restricted cash</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paid for acquisitions and contingent acquisition consideration accounted for the most significant outlays for investing activities in the years 2009, 2010 and 2011 as a result of the implementation of our strategy to diversify our business through strategic acquisitions.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2011, we acquired three companies in cash and equity transactions. We paid cash of approximately $248.9 million for Herley, net of cash acquired of $21.8 million. We paid approximately $124.6 million for the cash portion of the purchase of Integral common stock and options and to retire Integral's existing debt and capital leases, net of cash acquired of $6.8 million. We paid approximately $17.3 million in cash, net of cash acquired of $1.4 million for the acquisition of SecureInfo. In addition,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also paid $0.3 million to the SCT shareholders as SCT's indemnification obligations as set forth in the SCT Agreement were met.</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2010, we acquired four companies in cash for equity transactions. We acquired Gichner for $132.9 million, net of cash acquired of $0.1 million. We acquired DEI for $9.0 million, net of cash acquired of $0.0 million, and paid $0.4 million related to the DEI Contingent Consideration as a result of a collection milestone that was achieved. We acquired SCT for $11.8 million in cash, net of cash acquired of $0.4 million. On December 15, 2010, we purchased HBE for $52.9 million, net of cash acquired of $2.0 million.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year ended December 27, 2009, we made $3.6 million in payments related to the final holdback payments for our Madison Research Corporation and Haverstick acquisitions and $1.1 million in payments related to transaction costs associated with the DFI acquisition. In addition, during 2009 we made the final payment to Platinum Equity of $2.8 million related to the working capital adjustment.</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Capital expenditures consist primarily of investment in machinery, computer hardware and software, and improvement of our physical properties in order to maintain suitable conditions to conduct our business.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3 of the Notes to the Consolidated Financial Statements for a further discussion of our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cash provided by (used in) financing activities from continuing operations is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December 27,</w:t>
            </w:r>
          </w:p>
        </w:tc>
        <w:tc>
          <w:tcPr>
            <w:tcW w:w="60" w:type="dxa"/>
            <w:vAlign w:val="bottom"/>
          </w:tcPr>
          <w:p>
            <w:pPr>
              <w:spacing w:after="0"/>
              <w:rPr>
                <w:sz w:val="11"/>
                <w:szCs w:val="11"/>
                <w:color w:val="auto"/>
              </w:rPr>
            </w:pP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26,</w:t>
            </w:r>
          </w:p>
        </w:tc>
        <w:tc>
          <w:tcPr>
            <w:tcW w:w="96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2"/>
              </w:rPr>
              <w:t>December 25,</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net of issuance costs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Proceeds from exercise of restricted stock units, employee stock options, and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stock purchase plan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subordinated debt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Borrowings under credit facility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under credit facility</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2"/>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cash provided by (used in) financing activities from continuing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6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During the year ended December 25, 2011, cash provided by financing activities was primarily related to proceeds from equity and debt offerings which we used to finance our acquisitions. In March 2011, to finance the acquisition of Herley, we issued notes in the aggregate principal amount of $285.0 million and received approximately $20.0 million in premium for an effective interest rate on this issuance of 8.5%. In July 2011, to finance the acquisition of Integral, we issued notes in the aggregate principal amount of $115.0 million and received $5.7 million in premium for an effective interest rate of 8.9%. See Note 3 of the Notes to Consolidated Financial Statements contained within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Annual Report for a further discussion of these acquisitions. We also paid debt issuance costs of approximately $22.1 million related to these notes and the amendments to our credit facility discussed below.</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February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received approximately $61.1 million in net proceeds.</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On December 1, 2011, we paid $10.9 million for a block transaction to repurchase 2.0 million shares of our common stock in the open market from an institutional investor for $5.45 per share.</w:t>
      </w:r>
    </w:p>
    <w:p>
      <w:pPr>
        <w:spacing w:after="0" w:line="186"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During the year ended December 26, 2010, cash provided by financing activities was also primarily related to the proceeds from the offering of 10% Senior Secured Notes in the aggregate amount of $225.0 million on May 19, 2010. The proceeds were primarily used to finance the acquisitions of Gichner and DEI, as well as, refinance our senior secured credit facility with KeyBank National Association ("KeyBank") and Bank of America, N.A.</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October 12, 2010, we sold approximately 2.5 million shares of our common stock at a purchase price of $10.20 per share in an underwritten public offering. We received gross proceeds of approximately $25.8 million. After deducting underwriting fees and other offering expenses, we received approximately $24.7 million in net proceeds. We used the net proceeds from this transaction to fund the purchase price for the acquisition of HBE.</w:t>
      </w:r>
    </w:p>
    <w:p>
      <w:pPr>
        <w:spacing w:after="0" w:line="16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On September 2, 2009, we completed the sale of 2.6 million shares of common stock at $7.20 per share in a registered direct public offering. The offering provided gross proceeds of $18.7 million and net proceeds of $17.5 million. As a result of a settlement agreement we executed with certain lenders under our previous credit facility, on October 16, 2009, we made a payment of $17.5 million on the first lien term loan at par with no prepayment penalty or make whole payment. On October 16, 2009, we also paid $0.5 million in fees to the lenders as a result of an amendment to the previous credit agreement entered into in connection with the settlement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discontinued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cash used in discontinued operations are summarized as follows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11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December 27,</w:t>
            </w:r>
          </w:p>
        </w:tc>
        <w:tc>
          <w:tcPr>
            <w:tcW w:w="11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December 26,</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25,</w:t>
            </w:r>
          </w:p>
        </w:tc>
        <w:tc>
          <w:tcPr>
            <w:tcW w:w="160" w:type="dxa"/>
            <w:vAlign w:val="bottom"/>
          </w:tcPr>
          <w:p>
            <w:pPr>
              <w:spacing w:after="0"/>
              <w:rPr>
                <w:sz w:val="11"/>
                <w:szCs w:val="11"/>
                <w:color w:val="auto"/>
              </w:rPr>
            </w:pPr>
          </w:p>
        </w:tc>
      </w:tr>
      <w:tr>
        <w:trPr>
          <w:trHeight w:val="161"/>
        </w:trPr>
        <w:tc>
          <w:tcPr>
            <w:tcW w:w="4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discontinued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cash flows used by discontinued operations are primarily due to the Southeast Division of PSS.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Secured Notes due 2017</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order to fund our acquisitions in 2010 and 2011, we have issued equity as discussed above and increased our leverage through a series of financing transactions.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May 19, 2010, we entered into an Indenture with the guarantors set forth therein and Wilmington Trust FSB ("Wilmington Trust"), as trustee and collateral agent (as amended, the "Indenture") to issue 10% Senior Secured Notes due 2017 ("Notes"). As of December 25, 2011, we have issued $625.0 million in aggregate principal amount of Notes under this Indenture. The Notes were issued in three separate offerings, each as described more fully below. The Notes have been used</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to fund acquisitions and for general corporate purposes. They are secured by a lien on substantially all of our assets and the assets of the guarantors thereunder, subject to certain exceptions and permitted liens. The holders of the Notes have a first priority lien on substantially all of our assets and the assets of the guarantors, except accounts receivable, inventory, deposit accounts, securities accounts, cash, securities and general intangibles (other than intellectual property) where the holders of the Notes have a second priority lien to the $90.0 million credit facility described below.</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pay interest on the Notes semi-annually, in arrears, on June 1 and December 1 of each year. The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25, 2011, we were in compliance with the covenants contained in the Indenture governing the Notes.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Notes at 110% of the aggregate principal amount of the Notes, plus accrued and unpaid interest to the redemption date, with the net cash proceeds of certain equity offerings.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$225 Million 10% Senior Secured Note Offering, May 2010</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May 19, 2010, we issued Notes in the aggregate principal amount of $225.0 million in an unregistered offering pursuant to Rule 144A and Regulation S under the Securities Act, and on August 11, 2010, we completed an exchange offer for such Notes pursuant to a registration rights agreement entered into in connection with the issuance thereof. The proceeds were primarily used to finance the acquisitions of Gichner, DEI and SCT.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$285 Million 10% Senior Secured Note Offering, March 2011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25, 2011, we issued Notes in the aggregate principal amount of $285.0 million in an unregistered offering pursuant to Rule 144A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Regulation S under the Securities Act. We received approximately $314.0 million in cash proceeds from the issuance of such Notes, which includes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 $20.0 million of issuance premiums and $9.0 million of accrued interest, which proceeds were used, together with our cash contributions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 million, to finance the acquisition of all of the outstanding shares of common stock of Herley, to pay related fees and expenses and for general corporate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purposes. The effective interest rate on this issuance was 8.5%. On July 29, 2011, we completed an exchange offer for these Notes pursuant to a registration rights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agreement entered into in connection with the issuance thereof.</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$115 Million 10% Senior Secured Note Offering, July 2011</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July 27, 2011, we issued Notes in the aggregate principal amount of $115.0 million in an unregistered offering pursuant to Rule 144A and Regulation S under the Securities Act. We received approximately $122.5 million in cash proceeds from the issuance of such Notes, which includes an approximate $5.8 million of issuance premiums and $1.7 million of accrued interest. These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were used to finance, in part, the cash portion of the purchase price for the acquisition of Integral, to refinance existing indebtedness of Integral, to make certain severance payments in connection with the acquisition of Integral and to pay related fees and expenses. The effective interest rate on this issuance was 8.9%. On December 2, 2011, we completed an exchange offer for these Notes pursuant to a registration rights agreement entered into in connection with the issuance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$90 Million Credit Facility</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27, 2011, concurrent with the completion of the offering of the $115.0 million in Notes, we entered into a credit and security agreement with KeyBank, as lead arranger, sole book runner and administrative agent, and East West Bank and Bank of the West, as the lenders (the "2011 Credit Agreement"). The 2011 Credit Agreement amends and restates in its entirety the credit and security agreement, dated as of May 19, 2010, between us, KeyBank and the lenders named therein (as amended). The 2011 Credit Agreement establishes a five-year senior secured revolving credit facility in the amount of $65.0 million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 due 2017.</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November 14, 2011, we entered into a First Amendment Agreement (the "Amendment Agreement") with certain lenders and with KeyBank, which amended the 2011 Credit Agreement. Among other things, the Amendment Agreement: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6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Amended Revolver may be increased to $100.0 million. Any increase in the Amended Revolver is subject to the consent of KeyBank, identification of one or more additional lenders willing to advance the increased amount of the Amended Revolver and compliance with the covenants in the Notes. 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we are required to repay such borrowings in an amount sufficient to eliminate such excess. The Amended Revolver includes $30.0 million of availability for letters of credit and $5.0 million of availability for swing line loans.</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December 25, 2011, there were no outstanding borrowings on the Amended Revolver and $21.3 million was outstanding on letters of credit, resulting in net availability of $68.7 million. We were in compliance with the financial covenants as of December 25, 2011.</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assumed a $10.0 million ten-year term loan with a bank in Israel that Herley entered into on September 16, 2008 in connection with the acquisition of one of its wholly owned subsidiaries. The balance as of December 25, 2011 was $6.8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December 25, 2011.</w:t>
      </w:r>
    </w:p>
    <w:p>
      <w:pPr>
        <w:spacing w:after="0" w:line="167" w:lineRule="exact"/>
        <w:rPr>
          <w:sz w:val="20"/>
          <w:szCs w:val="20"/>
          <w:color w:val="auto"/>
        </w:rPr>
      </w:pPr>
    </w:p>
    <w:p>
      <w:pPr>
        <w:ind w:right="560" w:firstLine="351"/>
        <w:spacing w:after="0" w:line="256" w:lineRule="auto"/>
        <w:rPr>
          <w:sz w:val="20"/>
          <w:szCs w:val="20"/>
          <w:color w:val="auto"/>
        </w:rPr>
      </w:pPr>
      <w:r>
        <w:rPr>
          <w:rFonts w:ascii="Arial" w:cs="Arial" w:eastAsia="Arial" w:hAnsi="Arial"/>
          <w:sz w:val="18"/>
          <w:szCs w:val="18"/>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Proceeds from the IDA Bonds were used for the construction of a 15,000 square foot expansion of Herley's facilities in Lancaster, Pennsylvania, and for manufacturing equipment. The IDA Bonds were paid in full on May 2, 2011.</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we paid-off approximately $0.5 million of the notes plus accrued interest in cash and holders of approximately $0.5 million of the notes elected to have their notes converted into approximately 45,000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in Connection with Acquisitions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6"/>
          <w:szCs w:val="16"/>
          <w:i w:val="1"/>
          <w:iCs w:val="1"/>
          <w:color w:val="auto"/>
        </w:rPr>
        <w:t>Topic 805</w:t>
      </w:r>
      <w:r>
        <w:rPr>
          <w:rFonts w:ascii="Arial" w:cs="Arial" w:eastAsia="Arial" w:hAnsi="Arial"/>
          <w:sz w:val="16"/>
          <w:szCs w:val="16"/>
          <w:color w:val="auto"/>
        </w:rPr>
        <w:t>, such amounts are recorded at fair value on the acquisition date.</w:t>
      </w:r>
    </w:p>
    <w:p>
      <w:pPr>
        <w:spacing w:after="0" w:line="139"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The agreement and plan of merger entered into in connection with our acquisition of SecureInfo provides that upon achievement of certain cash receipts, revenue and EBITDA in 2011, we are obligated to pay the former stockholders of SecureInfo additional cash contingent consideration (the "SecureInfo Contingent Consideration"). We expect to pay $1.5 million in the first half of 2012 related to the SecureInfo Contingent Consideration.</w:t>
      </w:r>
    </w:p>
    <w:p>
      <w:pPr>
        <w:spacing w:after="0" w:line="161" w:lineRule="exact"/>
        <w:rPr>
          <w:sz w:val="20"/>
          <w:szCs w:val="20"/>
          <w:color w:val="auto"/>
        </w:rPr>
      </w:pPr>
    </w:p>
    <w:p>
      <w:pPr>
        <w:ind w:right="320" w:firstLine="348"/>
        <w:spacing w:after="0" w:line="254" w:lineRule="auto"/>
        <w:rPr>
          <w:sz w:val="20"/>
          <w:szCs w:val="20"/>
          <w:color w:val="auto"/>
        </w:rPr>
      </w:pPr>
      <w:r>
        <w:rPr>
          <w:rFonts w:ascii="Arial" w:cs="Arial" w:eastAsia="Arial" w:hAnsi="Arial"/>
          <w:sz w:val="18"/>
          <w:szCs w:val="18"/>
          <w:color w:val="auto"/>
        </w:rPr>
        <w:t>The DEI Agreement provides for the potential payment of the DEI Contingent Consideration. We have paid $0.4 million related to the DEI Contingent Consideration and an additional $2.5 million has been achieved for 2011 and is expected to be paid in March 2012. As of December 25, 2011, the potential undiscounted amount of future DEI Contingent Consideration that may be payable by us under the DEI Agreement is between $2.5 million and $6.5 million, which includes the amount expected to be paid in March 2012, subject to potential reductions if certain cash receipts are not collected. The DEI Contingent Consideration will be reduced in the event certain anticipated cash receipts are not collected within agreed upon time periods, which could decrease the future payments by approximately $6.0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SCT Agreement provides that upon achievement of certain EBITDA amounts in 2011, 2012 and 2013, we shall pay the former stockholders of SCT certain additional performance-based consideration. The potential undiscounted amount of all future contingent consideration that may be payable by us under the SCT Agreement is between zero and $3.5 million.</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summarizes our contractual obligations and other commitments at December 25, 2011, and the effect such obligations could have on our liquidity and cash flow in future periods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152"/>
              <w:spacing w:after="0"/>
              <w:rPr>
                <w:sz w:val="20"/>
                <w:szCs w:val="20"/>
                <w:color w:val="auto"/>
              </w:rPr>
            </w:pPr>
            <w:r>
              <w:rPr>
                <w:rFonts w:ascii="Arial" w:cs="Arial" w:eastAsia="Arial" w:hAnsi="Arial"/>
                <w:sz w:val="14"/>
                <w:szCs w:val="14"/>
                <w:b w:val="1"/>
                <w:bCs w:val="1"/>
                <w:color w:val="auto"/>
              </w:rPr>
              <w:t>Payments due/forecast by Period</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2013 - 2014</w:t>
            </w: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2015 - 2016</w:t>
            </w:r>
          </w:p>
        </w:tc>
        <w:tc>
          <w:tcPr>
            <w:tcW w:w="16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2017 and After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net of interest(1)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Estimated interest on debt(2)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orders(3)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leases(4)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Contingent acquisition 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tax benefits, including interest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penalties(5)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 commitments and recorded liabilities</w:t>
            </w: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1,191.2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38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Notes in the aggregate principal amount of $625 million are due June 1, 2017. See Note 5 in the Notes to Consolidated Financial Statements contained within this Annual Report for further details.</w:t>
      </w:r>
    </w:p>
    <w:p>
      <w:pPr>
        <w:spacing w:after="0" w:line="212" w:lineRule="exact"/>
        <w:rPr>
          <w:rFonts w:ascii="Arial" w:cs="Arial" w:eastAsia="Arial" w:hAnsi="Arial"/>
          <w:sz w:val="18"/>
          <w:szCs w:val="18"/>
          <w:color w:val="auto"/>
        </w:rPr>
      </w:pPr>
    </w:p>
    <w:p>
      <w:pPr>
        <w:ind w:left="1680" w:right="30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and the Notes. See Note 5 in the Notes to Consolidated Financial Statements contained within in this Annual Report for further details.</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99" w:lineRule="exact"/>
        <w:rPr>
          <w:rFonts w:ascii="Arial" w:cs="Arial" w:eastAsia="Arial" w:hAnsi="Arial"/>
          <w:sz w:val="18"/>
          <w:szCs w:val="18"/>
          <w:color w:val="auto"/>
        </w:rPr>
      </w:pPr>
    </w:p>
    <w:p>
      <w:pPr>
        <w:ind w:left="1680" w:right="300" w:hanging="531"/>
        <w:spacing w:after="0" w:line="259"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entered into or acquired various non-cancelable operating lease agreements that expire on various dates through 2022. The amounts include $18.5 million in excess facility costs and exclude expected sublease income. See Note 6 in the Notes to Consolidated Financial Statements contained within this Annual Report for further details.</w:t>
      </w:r>
    </w:p>
    <w:p>
      <w:pPr>
        <w:spacing w:after="0" w:line="221" w:lineRule="exact"/>
        <w:rPr>
          <w:rFonts w:ascii="Arial" w:cs="Arial" w:eastAsia="Arial" w:hAnsi="Arial"/>
          <w:sz w:val="18"/>
          <w:szCs w:val="18"/>
          <w:color w:val="auto"/>
        </w:rPr>
      </w:pPr>
    </w:p>
    <w:p>
      <w:pPr>
        <w:jc w:val="both"/>
        <w:ind w:left="1680" w:right="80" w:hanging="531"/>
        <w:spacing w:after="0" w:line="306" w:lineRule="auto"/>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consolidated balance sheet at December 25, 2011 included a $3.4 million noncurrent liability for uncertain tax positions, all of which may result in cash payments. The future payments related to uncertain tax positions have not been presented in the table above due to the uncertainty of the amounts and timing of cash settlement with the taxing authorities.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As of December 25, 2011, we have $21.3 million of standby letters of credit outstanding. Our letters of credit are primarily related to milestone payments received from foreign customers for which the customer has not yet received the product, our prior workers compensation program, and our performance bond program for work performed in the PSS segment. Additional information regarding our financial commitments at December 25, 2011 is provided in the Notes to Consolidated Financial Statements contained in this Annual Report, specifically Note 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intend to fund our cash requirements with cash flows from operating activities and borrowings under the Amended Revolver. We believe these sources should be sufficient to meet our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January 3, 2012, we acquired selected assets of a critical infrastructure security and public safety system integration business from Ingersoll Rand for approximately $20.0 million. The asset agreement provides that the purchase price will be (i) increased on a dollar for dollar basis if the working capital on the closing date (as defined in the asset agreement) exceeds $17.0 million or (ii) decreased on a dollar for dollar basis if the working capital is less than $17.0 million. At this time the estimated adjustment to the purchase price cannot yet be determined. In accordance with the terms of the purchase agreement, the parties have 120 days after the close of the transaction to compute the working capital adjustment.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Principles and Estimates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contingent acquisition consideration and stock-based compensation. We explain these accounting policies in the Notes to the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generate our revenue from three different types of contractual arrangements: cost-plus-fee contracts, time-and-materials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We have three basic categories of fixed price contracts: fixed unit price, fixed price level of effort, and fixed price 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generally requires revenue to be deferred until all of the following have occurred: (1) there is a contract in place, (2) delivery has occurred, (3) the price is fixed or determinable, and (4) collectability is reasonably assured. Revenues on fixed-price contracts that require delivery of specific items may be recorded based on a price per unit as units are delivered. Revenue for fixed price contracts in which we are paid a specific amount to provide services for a stated period of time is recognized ratably over the service period.</w:t>
      </w:r>
    </w:p>
    <w:p>
      <w:pPr>
        <w:spacing w:after="0" w:line="174"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 xml:space="preserve">A portion of our fixed price completion contracts are within the scope of </w:t>
      </w:r>
      <w:r>
        <w:rPr>
          <w:rFonts w:ascii="Arial" w:cs="Arial" w:eastAsia="Arial" w:hAnsi="Arial"/>
          <w:sz w:val="16"/>
          <w:szCs w:val="16"/>
          <w:i w:val="1"/>
          <w:iCs w:val="1"/>
          <w:color w:val="auto"/>
        </w:rPr>
        <w:t>Topic 605</w:t>
      </w:r>
      <w:r>
        <w:rPr>
          <w:rFonts w:ascii="Arial" w:cs="Arial" w:eastAsia="Arial" w:hAnsi="Arial"/>
          <w:sz w:val="16"/>
          <w:szCs w:val="16"/>
          <w:color w:val="auto"/>
        </w:rPr>
        <w:t>. For these contracts, revenue is recognized using the percentage-of-completion method based on the ratio of 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accounting for our long-term contracts for production of products provided to the U.S. Government, we utilize both cost-to-cost and units produced measures under the percentage-of-completion method of accounting under the provisions of </w:t>
      </w:r>
      <w:r>
        <w:rPr>
          <w:rFonts w:ascii="Arial" w:cs="Arial" w:eastAsia="Arial" w:hAnsi="Arial"/>
          <w:sz w:val="16"/>
          <w:szCs w:val="16"/>
          <w:i w:val="1"/>
          <w:iCs w:val="1"/>
          <w:color w:val="auto"/>
        </w:rPr>
        <w:t>Topic 605</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units produced or as computed on the basis of the estimated final average unit costs plus profit. We classify contract revenues as product sales or service revenues depending upon the predominant attributes of the relevant underlying contracts. 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 xml:space="preserve">It is our policy to review any arrangement containing software or software deliverables and services against the criteria contained in </w:t>
      </w:r>
      <w:r>
        <w:rPr>
          <w:rFonts w:ascii="Arial" w:cs="Arial" w:eastAsia="Arial" w:hAnsi="Arial"/>
          <w:sz w:val="16"/>
          <w:szCs w:val="16"/>
          <w:i w:val="1"/>
          <w:iCs w:val="1"/>
          <w:color w:val="auto"/>
        </w:rPr>
        <w:t>FASB ASC Topic 985,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("Topic 985") </w:t>
      </w:r>
      <w:r>
        <w:rPr>
          <w:rFonts w:ascii="Arial" w:cs="Arial" w:eastAsia="Arial" w:hAnsi="Arial"/>
          <w:sz w:val="16"/>
          <w:szCs w:val="16"/>
          <w:color w:val="auto"/>
        </w:rPr>
        <w:t>and related technical practice aids. Under the provisions of</w:t>
      </w:r>
      <w:r>
        <w:rPr>
          <w:rFonts w:ascii="Arial" w:cs="Arial" w:eastAsia="Arial" w:hAnsi="Arial"/>
          <w:sz w:val="16"/>
          <w:szCs w:val="16"/>
          <w:i w:val="1"/>
          <w:iCs w:val="1"/>
          <w:color w:val="auto"/>
        </w:rPr>
        <w:t xml:space="preserve"> Topic 985</w:t>
      </w:r>
      <w:r>
        <w:rPr>
          <w:rFonts w:ascii="Arial" w:cs="Arial" w:eastAsia="Arial" w:hAnsi="Arial"/>
          <w:sz w:val="16"/>
          <w:szCs w:val="16"/>
          <w:color w:val="auto"/>
        </w:rPr>
        <w:t>, we review the contract value of software deliverables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determine allocations of the contract value based on Vendor Specific Objective Evidence ("VSOE").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67"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 xml:space="preserve">Our contracts may include the provision of more than one of our services ("multiple element arrangements"). In these situations, we apply the guidance of </w:t>
      </w:r>
      <w:r>
        <w:rPr>
          <w:rFonts w:ascii="Arial" w:cs="Arial" w:eastAsia="Arial" w:hAnsi="Arial"/>
          <w:sz w:val="16"/>
          <w:szCs w:val="16"/>
          <w:i w:val="1"/>
          <w:iCs w:val="1"/>
          <w:color w:val="auto"/>
        </w:rPr>
        <w:t xml:space="preserve">Topic 605. </w:t>
      </w:r>
      <w:r>
        <w:rPr>
          <w:rFonts w:ascii="Arial" w:cs="Arial" w:eastAsia="Arial" w:hAnsi="Arial"/>
          <w:sz w:val="16"/>
          <w:szCs w:val="16"/>
          <w:color w:val="auto"/>
        </w:rPr>
        <w:t>Accordingly, for applicable arrangements, revenue recognition includes the proper identification of separate units of accounting and the allocation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across all elements based on relative fair values, with proper consideration given to the guidance provided by other authoritative literature.</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multiple element arrangements that include hardware products containing software essential to the hardware products' functionality, undelivered software elements that relate to the hardware products' essential software, and undelivered non-software services, we allocate revenue to all deliverables based on their relative selling prices. In such circumstances, we use a hierarchy to determine the selling price to be used for allocating revenue to deliverables: (i) VSOE, (ii) third-party evidence of selling price ("TPE"), and (iii) best estimate of the selling price ("ESP").</w:t>
      </w:r>
    </w:p>
    <w:p>
      <w:pPr>
        <w:spacing w:after="0" w:line="16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VSOE generally exists only when we sell the deliverable separately and is the price actually charged by us for that deliverable. TPE is determined based on competitor prices for similar deliverables when sold separately. Generally, our offerings contain significant differentiation such that comparable pricing of products with similar functionality cannot be obtained. Furthermore, we are unable to reliably determine what similar competitor products' selling prices are on a stand-alone basis. Therefore, we typically are not able to obtain TPE of selling price. ESP reflects our best estimates of what the selling prices of elements would be if they were sold regularly on a stand-alone basis. We determine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our management, taking into consideration our marketing strategy.</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 xml:space="preserve">We account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we cannot objectively determine the fair value of any undelivered element included in such multiple element arrangements, we defer revenue until all elements are delivered and services have been performed, or until fair value can objectively be determined for any remaining undelivered elements. Under certain of our contractual arrangements, we may also recognize revenue for out-of-pocket expenses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Depending on the contractual arrangement, these expenses may be reimbursed with or without a fee.</w:t>
      </w:r>
    </w:p>
    <w:p>
      <w:pPr>
        <w:spacing w:after="0" w:line="20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Under certain of our contracts, we provide supplier procurement services and materials for our customers. We record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Depending on the specific circumstances of the arrangement we consider the following criteria, among others, for recording revenue on a gross or net basis:</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act as a principal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take title to the products;</w:t>
      </w:r>
    </w:p>
    <w:p>
      <w:pPr>
        <w:spacing w:after="0" w:line="238" w:lineRule="exact"/>
        <w:rPr>
          <w:rFonts w:ascii="Arial" w:cs="Arial" w:eastAsia="Arial" w:hAnsi="Arial"/>
          <w:sz w:val="18"/>
          <w:szCs w:val="18"/>
          <w:color w:val="auto"/>
        </w:rPr>
      </w:pPr>
    </w:p>
    <w:p>
      <w:pPr>
        <w:ind w:left="5620" w:right="2840" w:hanging="5072"/>
        <w:spacing w:after="0" w:line="519" w:lineRule="auto"/>
        <w:tabs>
          <w:tab w:leader="none" w:pos="10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assume risks and rewards of ownership, such as risk of loss for collection, delivery or returns;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serve as an agent or broker, with compensation on a commission or fee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assume the credit risk for the amount billed to the customer subsequent to delivery.</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72"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From time to time, we may proceed with work based on client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client, communications with the client regarding funding status, and our knowledge of available funding for the contract or program.</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potential inability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74"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w:t>
      </w:r>
      <w:r>
        <w:rPr>
          <w:rFonts w:ascii="Arial" w:cs="Arial" w:eastAsia="Arial" w:hAnsi="Arial"/>
          <w:sz w:val="16"/>
          <w:szCs w:val="16"/>
          <w:i w:val="1"/>
          <w:iCs w:val="1"/>
          <w:color w:val="auto"/>
        </w:rPr>
        <w:t xml:space="preserve"> FASB ASC Topic 360 Property, Plant, and Equipment ("Topic 360"). Topic 360 </w:t>
      </w:r>
      <w:r>
        <w:rPr>
          <w:rFonts w:ascii="Arial" w:cs="Arial" w:eastAsia="Arial" w:hAnsi="Arial"/>
          <w:sz w:val="16"/>
          <w:szCs w:val="16"/>
          <w:color w:val="auto"/>
        </w:rPr>
        <w:t>addresses financial accounting and reporting for the impairment or disposal of long-lived assets and requires that long-lived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Arial" w:cs="Arial" w:eastAsia="Arial" w:hAnsi="Arial"/>
          <w:sz w:val="16"/>
          <w:szCs w:val="16"/>
          <w:i w:val="1"/>
          <w:iCs w:val="1"/>
          <w:color w:val="auto"/>
        </w:rPr>
        <w:t>Topic 360</w:t>
      </w:r>
      <w:r>
        <w:rPr>
          <w:rFonts w:ascii="Arial" w:cs="Arial" w:eastAsia="Arial" w:hAnsi="Arial"/>
          <w:sz w:val="16"/>
          <w:szCs w:val="16"/>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360</w:t>
      </w:r>
      <w:r>
        <w:rPr>
          <w:rFonts w:ascii="Arial" w:cs="Arial" w:eastAsia="Arial" w:hAnsi="Arial"/>
          <w:sz w:val="18"/>
          <w:szCs w:val="18"/>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20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3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Goodwill and Purchased Intangibles. </w:t>
      </w:r>
      <w:r>
        <w:rPr>
          <w:rFonts w:ascii="Arial" w:cs="Arial" w:eastAsia="Arial" w:hAnsi="Arial"/>
          <w:sz w:val="18"/>
          <w:szCs w:val="18"/>
          <w:color w:val="auto"/>
        </w:rPr>
        <w:t>The purchase price of an acquired business is allocated to the underlying tangible and intangible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 For acquisitions completed through December 25, 2011, adjustments to fair value assessments are recorded to goodwill over the purchase price allocation period (not exceeding twelve months). Adjustments related to income tax uncertainties for acquired businesses within the allocation periods through December 25, 2011 were also recorded to goodwill.</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 xml:space="preserve">We perform our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For our annual and interim impairment assessments, we identified our reporting units to be our operating segments, which are the KGS and PSS segments.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perform impairment tests for goodwill as of the last day of our fiscal year, or when evidence of potential impairment exists. When it is determined that impairment has occurred, a charge to operations is recorded. In order to test for potential impairment, we estimate the fair value of each of our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 We reconcile the fair value of our reporting units to our market capitalization by calculating our market capitalization based upon an average of our stock price prior to and subsequent to the date we perform our analysis and assuming a control premium.</w:t>
      </w:r>
    </w:p>
    <w:p>
      <w:pPr>
        <w:spacing w:after="0" w:line="174"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testing for impairment of our goodwill, we make assumptions about the amount and timing of future expected cash flows, terminal growth rates, appropriate discount rates, market multiples, and the control premium a controlling shareholder could be expected to pay:</w:t>
      </w:r>
    </w:p>
    <w:p>
      <w:pPr>
        <w:spacing w:after="0" w:line="153" w:lineRule="exact"/>
        <w:rPr>
          <w:sz w:val="20"/>
          <w:szCs w:val="20"/>
          <w:color w:val="auto"/>
        </w:rPr>
      </w:pPr>
    </w:p>
    <w:p>
      <w:pPr>
        <w:ind w:left="1080" w:hanging="532"/>
        <w:spacing w:after="0" w:line="289"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 The decline in revenues on a pro forma basis after considering recent acquisitions,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the acquired companies is not uncommon in the government defense contractor industry for companies that have been acquisitive. Our projected growth rates take into consideration this anticipated impact on small business awards.</w:t>
      </w:r>
    </w:p>
    <w:p>
      <w:pPr>
        <w:spacing w:after="0" w:line="199"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199"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Recent historical market multiples are used to estimate future market pricing.</w:t>
      </w:r>
    </w:p>
    <w:p>
      <w:pPr>
        <w:spacing w:after="0" w:line="252"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We use an estimated control premium in reconciling the aggregate value of our reporting units to our market capitalization. As discussed in </w:t>
      </w:r>
      <w:r>
        <w:rPr>
          <w:rFonts w:ascii="Arial" w:cs="Arial" w:eastAsia="Arial" w:hAnsi="Arial"/>
          <w:sz w:val="16"/>
          <w:szCs w:val="16"/>
          <w:i w:val="1"/>
          <w:iCs w:val="1"/>
          <w:color w:val="auto"/>
        </w:rPr>
        <w:t>Topic 350</w:t>
      </w:r>
      <w:r>
        <w:rPr>
          <w:rFonts w:ascii="Arial" w:cs="Arial" w:eastAsia="Arial" w:hAnsi="Arial"/>
          <w:sz w:val="16"/>
          <w:szCs w:val="16"/>
          <w:color w:val="auto"/>
        </w:rPr>
        <w:t>, control premiums may effectively cause a company's aggregate fair value of its reporting unit(s) to exceed its current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While our methodology for evaluating goodwill and intangibles for impairment has always used the income and market approach, in the past the market approach was used solely to validate that the fair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value derived from the income approach was comparable to its market peers. In 2011, we used a weighting of the income and market approach to derive the fair value of our reporting units which resulted in a more conservative fair value. As of December 25, 2011 the fair value of the PSS reporting unit substantially exceeded its carrying value and the fair value of the KGS reporting unit exceeded its carrying value by 3.5%. The goodwill of the PSS and KGS reporting units are $33.0 million and $540.5 million, respectively.</w:t>
      </w:r>
    </w:p>
    <w:p>
      <w:pPr>
        <w:spacing w:after="0" w:line="197"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As a result of the assumptions used in our analyses, several factors could result in impairment of our $573.5 million goodwill and $124.6 million long-lived intangibles in future periods, including but not limited to, the risks discussed in Item 1A "Risk Factors" contained within this Annual Report and:</w:t>
      </w:r>
    </w:p>
    <w:p>
      <w:pPr>
        <w:spacing w:after="0" w:line="153" w:lineRule="exact"/>
        <w:rPr>
          <w:sz w:val="20"/>
          <w:szCs w:val="20"/>
          <w:color w:val="auto"/>
        </w:rPr>
      </w:pPr>
    </w:p>
    <w:p>
      <w:pPr>
        <w:ind w:left="1080" w:right="1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reporting units;</w:t>
      </w:r>
    </w:p>
    <w:p>
      <w:pPr>
        <w:spacing w:after="0" w:line="212"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available government funding, including budgetary constraints affecting U.S. Government spending generally, or specific departments or agencies;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U.S. Government programs or requirements, including the increased use of small business providers;</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in equity and debt markets resulting in higher discount rates.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It is not possible at this time to determine if an impairment charge would result from these factors, or, if it does, whether such charge would be material. We will continue to monitor the recoverability of our goodwill.</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i w:val="1"/>
          <w:iCs w:val="1"/>
          <w:color w:val="auto"/>
        </w:rPr>
        <w:t xml:space="preserve">Accounting for income taxes and tax contingencies. Topic 740 </w:t>
      </w:r>
      <w:r>
        <w:rPr>
          <w:rFonts w:ascii="Arial" w:cs="Arial" w:eastAsia="Arial" w:hAnsi="Arial"/>
          <w:sz w:val="18"/>
          <w:szCs w:val="18"/>
          <w:color w:val="auto"/>
        </w:rPr>
        <w:t>provides the accounting treatment for uncertainty in income taxes recognized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enterprise's financial statements.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also provides guidance on derecognizing, classification, interest and penalties, accounting in interim periods, disclosure and transition.</w:t>
      </w:r>
    </w:p>
    <w:p>
      <w:pPr>
        <w:spacing w:after="0" w:line="197"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59"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a valuation allowance at December 25, 2011,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2011 effective tax rate at December 25, 2011 for annual and interim reporting periods could be impacted if uncertain tax positions that are not recognized at December 25, 2011 are settled at an amount which differs from our estimate. Finally, during 2011 and thereafter, if we are impacted by a change in the valuation allowance as of December 25, 2011 resulting from a change in judgment regarding the realizability of deferred tax assets beyond December 25, 2011, such effect will be recognized in the interim period in which the change occurs.</w:t>
      </w:r>
    </w:p>
    <w:p>
      <w:pPr>
        <w:spacing w:after="0" w:line="197" w:lineRule="exact"/>
        <w:rPr>
          <w:sz w:val="20"/>
          <w:szCs w:val="20"/>
          <w:color w:val="auto"/>
        </w:rPr>
      </w:pPr>
    </w:p>
    <w:p>
      <w:pPr>
        <w:ind w:right="160" w:firstLine="348"/>
        <w:spacing w:after="0" w:line="312" w:lineRule="auto"/>
        <w:rPr>
          <w:sz w:val="20"/>
          <w:szCs w:val="20"/>
          <w:color w:val="auto"/>
        </w:rPr>
      </w:pPr>
      <w:r>
        <w:rPr>
          <w:rFonts w:ascii="Arial" w:cs="Arial" w:eastAsia="Arial" w:hAnsi="Arial"/>
          <w:sz w:val="15"/>
          <w:szCs w:val="15"/>
          <w:i w:val="1"/>
          <w:iCs w:val="1"/>
          <w:color w:val="auto"/>
        </w:rPr>
        <w:t xml:space="preserve">Accrual for partial self-insurance. </w:t>
      </w:r>
      <w:r>
        <w:rPr>
          <w:rFonts w:ascii="Arial" w:cs="Arial" w:eastAsia="Arial" w:hAnsi="Arial"/>
          <w:sz w:val="15"/>
          <w:szCs w:val="15"/>
          <w:color w:val="auto"/>
        </w:rPr>
        <w:t>We maintain an accrual for our health and workers' compensation partial self-insurance, which is a component of total</w:t>
      </w:r>
      <w:r>
        <w:rPr>
          <w:rFonts w:ascii="Arial" w:cs="Arial" w:eastAsia="Arial" w:hAnsi="Arial"/>
          <w:sz w:val="15"/>
          <w:szCs w:val="15"/>
          <w:i w:val="1"/>
          <w:iCs w:val="1"/>
          <w:color w:val="auto"/>
        </w:rPr>
        <w:t xml:space="preserve"> </w:t>
      </w:r>
      <w:r>
        <w:rPr>
          <w:rFonts w:ascii="Arial" w:cs="Arial" w:eastAsia="Arial" w:hAnsi="Arial"/>
          <w:sz w:val="15"/>
          <w:szCs w:val="15"/>
          <w:color w:val="auto"/>
        </w:rPr>
        <w:t>accrued expenses in our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We also carry stop-loss insurance that provides coverage limiting our total exposure related to each medical and workers compensation claim incurred, as defined in the applicable insurance policies. The medical and workers compensation limits per claim are $50,000 - $85,000 and $250,000 - $350,000, respectively, depending upon the plan year.</w:t>
      </w:r>
    </w:p>
    <w:p>
      <w:pPr>
        <w:spacing w:after="0" w:line="15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Contingencies and litigation. </w:t>
      </w:r>
      <w:r>
        <w:rPr>
          <w:rFonts w:ascii="Arial" w:cs="Arial" w:eastAsia="Arial" w:hAnsi="Arial"/>
          <w:sz w:val="16"/>
          <w:szCs w:val="16"/>
          <w:color w:val="auto"/>
        </w:rPr>
        <w:t>We are currently involved in certain legal proceedings. We estimate a range of liability related to pending litigation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w:t>
      </w:r>
      <w:r>
        <w:rPr>
          <w:rFonts w:ascii="Arial" w:cs="Arial" w:eastAsia="Arial" w:hAnsi="Arial"/>
          <w:sz w:val="16"/>
          <w:szCs w:val="16"/>
          <w:i w:val="1"/>
          <w:iCs w:val="1"/>
          <w:color w:val="auto"/>
        </w:rPr>
        <w:t>FASB ASC Topic 450 Contingencies.</w:t>
      </w:r>
      <w:r>
        <w:rPr>
          <w:rFonts w:ascii="Arial" w:cs="Arial" w:eastAsia="Arial" w:hAnsi="Arial"/>
          <w:sz w:val="16"/>
          <w:szCs w:val="16"/>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Item 3 "Legal Proceedings" contained within this Annual Report for additional information.</w:t>
      </w:r>
    </w:p>
    <w:p>
      <w:pPr>
        <w:spacing w:after="0" w:line="174"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compensation arrangements in accordance with the provisions of</w:t>
      </w:r>
      <w:r>
        <w:rPr>
          <w:rFonts w:ascii="Arial" w:cs="Arial" w:eastAsia="Arial" w:hAnsi="Arial"/>
          <w:sz w:val="18"/>
          <w:szCs w:val="18"/>
          <w:i w:val="1"/>
          <w:iCs w:val="1"/>
          <w:color w:val="auto"/>
        </w:rPr>
        <w:t xml:space="preserve"> FASB ASC Topic 718, Compensation—Stock Compensation ("Topic 718"), </w:t>
      </w:r>
      <w:r>
        <w:rPr>
          <w:rFonts w:ascii="Arial" w:cs="Arial" w:eastAsia="Arial" w:hAnsi="Arial"/>
          <w:sz w:val="18"/>
          <w:szCs w:val="18"/>
          <w:color w:val="auto"/>
        </w:rPr>
        <w:t>which requires the measurement and recognition of compensation expense for all stock-based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and directors based on estimated fair values.</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The valuation provisions of </w:t>
      </w:r>
      <w:r>
        <w:rPr>
          <w:rFonts w:ascii="Arial" w:cs="Arial" w:eastAsia="Arial" w:hAnsi="Arial"/>
          <w:sz w:val="18"/>
          <w:szCs w:val="18"/>
          <w:i w:val="1"/>
          <w:iCs w:val="1"/>
          <w:color w:val="auto"/>
        </w:rPr>
        <w:t>Topic 718</w:t>
      </w:r>
      <w:r>
        <w:rPr>
          <w:rFonts w:ascii="Arial" w:cs="Arial" w:eastAsia="Arial" w:hAnsi="Arial"/>
          <w:sz w:val="18"/>
          <w:szCs w:val="18"/>
          <w:color w:val="auto"/>
        </w:rPr>
        <w:t xml:space="preserve"> apply to new awards and to awards that are outstanding on the effective date and subsequently modified or cancelled. We use the Black-Scholes option pricing model to estimate the fair value of our stock options at the grant date. The Black-Scholes option pricing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Valuing options requires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expected life formula to estimate the expected option life. The risk-free rate is based on the U.S. Treasury yield curve in effect at the time of grant for the estimated life of the option.</w:t>
      </w:r>
    </w:p>
    <w:p>
      <w:pPr>
        <w:spacing w:after="0" w:line="186" w:lineRule="exact"/>
        <w:rPr>
          <w:sz w:val="20"/>
          <w:szCs w:val="20"/>
          <w:color w:val="auto"/>
        </w:rPr>
      </w:pPr>
    </w:p>
    <w:p>
      <w:pPr>
        <w:jc w:val="both"/>
        <w:ind w:right="220" w:firstLine="351"/>
        <w:spacing w:after="0" w:line="335" w:lineRule="auto"/>
        <w:rPr>
          <w:sz w:val="20"/>
          <w:szCs w:val="20"/>
          <w:color w:val="auto"/>
        </w:rPr>
      </w:pPr>
      <w:r>
        <w:rPr>
          <w:rFonts w:ascii="Arial" w:cs="Arial" w:eastAsia="Arial" w:hAnsi="Arial"/>
          <w:sz w:val="15"/>
          <w:szCs w:val="15"/>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to be significant as related to our operational performance, we exclude estimated stock-based compensation expense when evaluating the business performance of our operating segments.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September 2011, the FASB issued Accounting Standards Update ("ASU") No. 2011-08, </w:t>
      </w:r>
      <w:r>
        <w:rPr>
          <w:rFonts w:ascii="Arial" w:cs="Arial" w:eastAsia="Arial" w:hAnsi="Arial"/>
          <w:sz w:val="16"/>
          <w:szCs w:val="16"/>
          <w:i w:val="1"/>
          <w:iCs w:val="1"/>
          <w:color w:val="auto"/>
        </w:rPr>
        <w:t>Intangibles—Goodwill and Other (Topic 350)</w:t>
      </w:r>
      <w:r>
        <w:rPr>
          <w:rFonts w:ascii="Arial" w:cs="Arial" w:eastAsia="Arial" w:hAnsi="Arial"/>
          <w:sz w:val="16"/>
          <w:szCs w:val="16"/>
          <w:color w:val="auto"/>
        </w:rPr>
        <w:t xml:space="preserve"> (ASU 2011-08"). ASU 2011-08 is intended to simplify how entities, both public and nonpublic, test goodwill for impairment.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ASU 2011-08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The adoption of this guidance will result in a change in how we perform our goodwill impairment assessment; however, it will not have a material impact on our consolidated financial statements.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220)("ASU 2011-05")</w:t>
      </w:r>
      <w:r>
        <w:rPr>
          <w:rFonts w:ascii="Arial" w:cs="Arial" w:eastAsia="Arial" w:hAnsi="Arial"/>
          <w:sz w:val="16"/>
          <w:szCs w:val="16"/>
          <w:color w:val="auto"/>
        </w:rPr>
        <w:t>. ASU No. 2011-5 revises the manner in which entities present comprehensive income in their financial statements. The guidance requires entities to report the components of comprehensive income in either a single, continuous statement or two separate but consecutive statements. ASU 2011-05 is required to be applied retrospectively. For public entities, the amendments are effective for fiscal years, and interim periods within those years, beginning after December 15, 2011 and early adoption is permitted. We elected early adoption which did not have a material impact on our consolidated financial statements.</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ASU 2011-04 requires the disclosure of quantitative information about unobservable inputs</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the valuation processes, and a qualitative discussion around the sensitivity of the measurements. The guidance in ASU 2011-04 is to be applied prospectively. For public entities, the amendments are effective during interim and annual periods beginning after December 15, 2011. Early application by public entities is not permitted. We do not expect that the provisions of the new guidance will have a material effect on our consolidated financial statements.</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are exposed to market risk in connection with changes in interest rates, primarily in connection with our revolving line of credit with KeyBank. Based on our average outstanding balance during the year ended December 25, 2011, a 1% change in the LIBOR rate would not materially impact our financial position and results of operations over the next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Cash and cash equivalents as of December 25, 2011 were $69.8 million and are primarily invested in money market interest bearing accounts. A hypothetical</w:t>
      </w:r>
    </w:p>
    <w:p>
      <w:pPr>
        <w:spacing w:after="0" w:line="5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10% adverse change in the average interest rate on our money market cash investments would have had no material effect on net loss for the year ended December 25, 2011.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Our consolidated financial statements and supplementary data required by this item are set forth at the pages indicated in Item 15(a) (1) and 15(a) (2), respectively.</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0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25,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the policies and procedures may deteriorate.</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the results of our evaluation, our management concluded that our internal control over financial reporting was effective as of December 25, 2011.</w:t>
      </w:r>
    </w:p>
    <w:p>
      <w:pPr>
        <w:spacing w:after="0" w:line="19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Our internal control over financial reporting has been audited by Grant Thornton LLP, an independent registered public accounting firm, as stated in their report appearing below, which expresses an unqualified opinion on the effectiveness of our internal control over financial reporting as of December 25, 2011.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Except as set forth below, there were no changes in our internal control over financial accounting and reporting (as defined in Rules 13a-15(f) and 15d-15(f) of the Exchange Act) during the fourth quarter of the fiscal year ended December 25, 2011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Management's Report on Internal Control over Financial Reporting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described throughout this Annual Report, during the year ended December 25, 2011 we acquired SecureInfo, Integral and Herley, each of which is now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wholly-owned subsidiary of ours. While our financial statements for the year ended December 25, 2011 include the results of (i) SecureInfo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15, 2011 acquisition date through December 25, 2011, (ii) Integral from the July 27, 2011 acquisition date through December 25, 2011, and (iii) Herley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March 25, 2011 acquisition date through December 25, 2011, in each case as permitted by the rules and regulations of the SEC, our management's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assessment of our internal control over financial reporting did not include an evaluation of the internal control over financial reporting for SecureInfo, Integral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Herley. Further, our management's conclusion regarding the effectiveness of our internal control over financial reporting as of December 25, 2011 does not extend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the internal control over financial reporting for SecureInfo, Integral or Herley.</w:t>
      </w:r>
    </w:p>
    <w:p>
      <w:pPr>
        <w:spacing w:after="0" w:line="21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currently integrating policies, processes, technology and operations for the consolidated company and will continue to evaluate our internal control over financial reporting as we develop and execute our integration plans. Until the companies are fully integrated, we will maintain the operational integrity of each company's legacy internal control over financial reporting. SecureInfo constituted $20.5 million of total assets as of December 25, 2011 and $1.9 million of revenues for the year then ended. Integral constituted $335.2 million of total assets as of December 25, 2011 and $96.5 million of revenues for the year then ended. Herley constituted $300.3 million of total assets as of December 25, 2011 and $150.8 million of revenues for the year then 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 xml:space="preserve">We have audited Kratos Defense &amp; Security Solutions, Inc.'s internal control over financial reporting as of December 25,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Our audit of, and opinion on, the Company's internal control over financial reporting does not include internal control over financial reporting of Herley Industries, Inc., Integral Systems, Inc. and SecureInfo Corporation, wholly owned subsidiaries, whose financial statements reflect total assets and revenues constituting 53.9% and 34.5% percent, respectively, of the related consolidated financial statement amounts as of and for the year ended December 25, 2011. As indicated in Management's Report, Herley Industries, Inc., Integral Systems, Inc. and SecureInfo Corporation were acquired during 2011 and therefore, management's assertion on the effectiveness of the Company's internal control over financial reporting excluded internal control over financial reporting of Herley Industries, Inc., Integral Systems, Inc. and SecureInfo Corporation.</w:t>
      </w:r>
    </w:p>
    <w:p>
      <w:pPr>
        <w:spacing w:after="0" w:line="18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 xml:space="preserve">In our opinion, Kratos Defense &amp; Security Solutions, Inc. maintained, in all material respects, effective internal control over financial reporting as of December 25,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accompanying consolidated balance sheets of Kratos Defense &amp; Security Solutions, Inc. as of December 26, 2010 and December 25, 2011, and the related consolidated statements of operations, stockholders' equity and cash flows for each of the three years in the period ended December 25, 2011 and our report dated March 7, 2012 expressed an unqualified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2012</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2012 Annual Meeting of Stockholders or an amendment to this Annual Report to be filed with the SEC within 120 days after the close of our fiscal year ended December 25, 2011.</w:t>
      </w:r>
    </w:p>
    <w:p>
      <w:pPr>
        <w:spacing w:after="0" w:line="1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2012 Annual Meeting of Stockholders or an amendment to this Annual Report to be filed with the SEC within 120 days after the close of our fiscal year ended December 25, 2011.</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2012 Annual Meeting of Stockholders or an amendment to this Annual Report to be filed with the SEC within 120 days after the close of our fiscal year ended December 25, 2011.</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2012 Annual Meeting of Stockholders or an amendment to this Annual Report to be filed with the SEC within 120 days after the close of our fiscal year ended December 25, 2011.</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filed in connection with our 2012 Annual Meeting of Stockholders or an amendment to this Annual Report to be filed with the SEC within 120 days after the close of our fiscal year ended December 25, 2011.</w:t>
      </w:r>
    </w:p>
    <w:p>
      <w:pPr>
        <w:spacing w:after="0" w:line="34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Statements Schedules.</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Consolidated Financial Statements of Kratos Defense &amp; Security Solutions, Inc. and Report of Grant Thornton LLP, Independent Registered Public Accounting Firm, are included in a separate section of this Annual Report beginning on page F-1.</w:t>
      </w:r>
    </w:p>
    <w:p>
      <w:pPr>
        <w:spacing w:after="0" w:line="207"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(2) Financial Statement Schedules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the notes thereto.</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44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6"/>
              </w:rPr>
              <w:t>Agreement and Plan of Merger and Reorganization, dated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February 20, 2008 by and among Kratos Defense &amp; Security</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Solutions, Inc., White Shadow, Inc. and SYS.</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9"/>
              </w:rPr>
              <w:t>Stock Purchase Agreement, dated as of April 12, 2010,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between Kratos Defense &amp; Security Solutions, Inc. and the</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Stockholders of Gichner Holdings,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9"/>
              </w:rPr>
              <w:t>Agreement and Plan of Merger, dated October 5, 2010,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among Kratos Defense &amp; Security Solutions, Inc., Hammer</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Acquisition Inc. and Henry Bros. Electronics,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Amendment to the Agreement and Plan of Merger, dated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9"/>
              </w:rPr>
              <w:t>November 13, 2010, by and among Kratos Defense &amp; Security</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Solutions, Inc., Hammer Acquisition Inc. and Henry Bros.</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Electronics,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7"/>
              </w:rPr>
              <w:t>Agreement and Plan of Merger, dated February 7, 2011,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among Kratos Defense &amp; Security Solutions, Inc., Lanza</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Acquisition, Co. and Herley Industries,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Agreement and Plan of Merger, dated May 15, 2011,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among Kratos Defense &amp; Security Solutions, Inc., Integral</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Systems, Inc., IRIS Merger Sub, Inc., and IRIS Acquisition</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Sub LLC.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Amended and Restated Certificate of Incorporation of Kratos</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Defense &amp; Security Solutions,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Certificate of Ownership and Merger of Kratos Defense &amp;</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Security Solutions, Inc. into Wireless Facilities,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Certificate of Amendment to Amended and Restated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Certificate of Incorporation of Kratos Defense &amp; Security</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Solutions,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8"/>
              </w:rPr>
              <w:t>Certificate of Designations, Preferences and Rights of Series A</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Preferred Stock.</w:t>
            </w:r>
          </w:p>
        </w:tc>
      </w:tr>
      <w:tr>
        <w:trPr>
          <w:trHeight w:val="432"/>
        </w:trPr>
        <w:tc>
          <w:tcPr>
            <w:tcW w:w="640" w:type="dxa"/>
            <w:vAlign w:val="bottom"/>
          </w:tcPr>
          <w:p>
            <w:pPr>
              <w:spacing w:after="0"/>
              <w:rPr>
                <w:sz w:val="24"/>
                <w:szCs w:val="24"/>
                <w:color w:val="auto"/>
              </w:rPr>
            </w:pPr>
          </w:p>
        </w:tc>
        <w:tc>
          <w:tcPr>
            <w:tcW w:w="4700" w:type="dxa"/>
            <w:vAlign w:val="bottom"/>
            <w:gridSpan w:val="2"/>
          </w:tcPr>
          <w:p>
            <w:pPr>
              <w:ind w:left="382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Incorporated by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4"/>
                <w:szCs w:val="14"/>
                <w:b w:val="1"/>
                <w:bCs w:val="1"/>
                <w:color w:val="auto"/>
                <w:w w:val="97"/>
              </w:rPr>
              <w:t>Reference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16"/>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02/22/08</w:t>
            </w:r>
          </w:p>
        </w:tc>
        <w:tc>
          <w:tcPr>
            <w:tcW w:w="16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Arial" w:cs="Arial" w:eastAsia="Arial" w:hAnsi="Arial"/>
                <w:sz w:val="18"/>
                <w:szCs w:val="18"/>
                <w:color w:val="auto"/>
                <w:w w:val="79"/>
              </w:rPr>
              <w:t>2.1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3"/>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04/12/10</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79"/>
              </w:rPr>
              <w:t>2.1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10/07/10</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79"/>
              </w:rPr>
              <w:t>2.1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11/15/10</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79"/>
              </w:rPr>
              <w:t>2.1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7"/>
        </w:trPr>
        <w:tc>
          <w:tcPr>
            <w:tcW w:w="740" w:type="dxa"/>
            <w:vAlign w:val="bottom"/>
          </w:tcPr>
          <w:p>
            <w:pPr>
              <w:jc w:val="center"/>
              <w:ind w:left="154"/>
              <w:spacing w:after="0"/>
              <w:rPr>
                <w:sz w:val="20"/>
                <w:szCs w:val="20"/>
                <w:color w:val="auto"/>
              </w:rPr>
            </w:pPr>
            <w:r>
              <w:rPr>
                <w:rFonts w:ascii="Arial" w:cs="Arial" w:eastAsia="Arial" w:hAnsi="Arial"/>
                <w:sz w:val="18"/>
                <w:szCs w:val="18"/>
                <w:color w:val="auto"/>
                <w:w w:val="86"/>
              </w:rPr>
              <w:t>424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02/08/11</w:t>
            </w:r>
          </w:p>
        </w:tc>
        <w:tc>
          <w:tcPr>
            <w:tcW w:w="160" w:type="dxa"/>
            <w:vAlign w:val="bottom"/>
          </w:tcPr>
          <w:p>
            <w:pPr>
              <w:spacing w:after="0"/>
              <w:rPr>
                <w:sz w:val="24"/>
                <w:szCs w:val="24"/>
                <w:color w:val="auto"/>
              </w:rPr>
            </w:pPr>
          </w:p>
        </w:tc>
        <w:tc>
          <w:tcPr>
            <w:tcW w:w="580" w:type="dxa"/>
            <w:vAlign w:val="bottom"/>
          </w:tcPr>
          <w:p>
            <w:pPr>
              <w:ind w:left="360"/>
              <w:spacing w:after="0"/>
              <w:rPr>
                <w:sz w:val="20"/>
                <w:szCs w:val="20"/>
                <w:color w:val="auto"/>
              </w:rPr>
            </w:pPr>
            <w:r>
              <w:rPr>
                <w:rFonts w:ascii="Arial" w:cs="Arial" w:eastAsia="Arial" w:hAnsi="Arial"/>
                <w:sz w:val="18"/>
                <w:szCs w:val="18"/>
                <w:color w:val="auto"/>
                <w:w w:val="79"/>
              </w:rPr>
              <w:t>n/a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05/18/11</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79"/>
              </w:rPr>
              <w:t>2.1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7"/>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89"/>
              </w:rPr>
              <w:t>10-Q</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09/30/01</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79"/>
              </w:rPr>
              <w:t>4.1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09/12/07</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79"/>
              </w:rPr>
              <w:t>3.1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89"/>
              </w:rPr>
              <w:t>10-Q</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09/27/09</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79"/>
              </w:rPr>
              <w:t>3.1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89"/>
              </w:rPr>
              <w:t>10-Q</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09/30/01</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79"/>
              </w:rPr>
              <w:t>4.2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00" w:space="160"/>
            <w:col w:w="3559"/>
          </w:cols>
          <w:pgMar w:left="240" w:top="131"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44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88"/>
              </w:rPr>
              <w:t>Certificate of Designations, Preferences and Rights of Series B</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Preferred Stock (included as Exhibit A to the Preferred Stock</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Purchase Agreement dated as of May 16, 2002 among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Company, Meritech Capital Partners II L.P., Meritech Capital</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Affiliates II L.P., MCB Entrepreneur Partners II L.P., Oak</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Investment Partners X, Limited Partnership, Oak X Affiliates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Fund, Limited Partnership, Oak Investment Partners IX, L.P,</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Oak Affiliates Fund, L.P, Oak IX Affiliates Fund-A, L.P, and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the KLS Trust dated July 14, 1999).</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Certificate of Designation of Series C Preferred Stock.</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Second Amended and Restated Bylaws of Kratos Defense &amp;</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Security Solutions, Inc.</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Specimen Stock Certificate.</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Rights Agreement, dated as of December 16, 2004, between</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4"/>
              </w:rPr>
              <w:t>Kratos Defense &amp; Security Solutions, Inc. and Wells Fargo,</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4"/>
              </w:rPr>
              <w:t>Indenture, dated as of May 19, 2010, by and among Kratos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4"/>
              </w:rPr>
              <w:t>Defense &amp; Security Solutions, Inc., the Guarantors set forth</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therein and Wilmington Trust FSB, as Trustee and Collateral</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Agent (including the Form of 10% Senior Secured Notes due</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2017 as an exhibit thereto).</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8"/>
              </w:rPr>
              <w:t>First Supplemental Indenture, dated as of February 7, 2011, by</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and among Kratos Defense &amp; Security Solutions, Inc.,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4"/>
              </w:rPr>
              <w:t>Guarantors listed on Exhibit A thereto and Wilmington Trust</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FSB.</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Supplemental Indenture, dated April 1, 2011, among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Guaranteeing Subsidiaries named therein and Wilmington</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Trust FSB, as Trustee, to the Indenture (as amended or</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supplemented), dated as of May 19, 2010, among Kratos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Defense &amp; Security Solutions, Inc., the Guarantors party</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thereto and Wilmington Trust FSB, as Trustee and Collateral</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Third Supplemental Indenture, date April 15, 2011,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among Kratos Defense &amp; Security Solutions, Inc.,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Guaranteeing Subsidiaries named therein and Wilmington</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1"/>
              </w:rPr>
              <w:t>Trust FSB, as Trustee and Collateral Agent, to the Indenture,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dated as of May 19, 2010 (as amended or supplemented),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among Kratos Defense &amp; Security Solutions, Inc., the</w:t>
            </w:r>
          </w:p>
        </w:tc>
      </w:tr>
    </w:tbl>
    <w:p>
      <w:pPr>
        <w:ind w:left="2020" w:right="20"/>
        <w:spacing w:after="0" w:line="261" w:lineRule="auto"/>
        <w:rPr>
          <w:sz w:val="20"/>
          <w:szCs w:val="20"/>
          <w:color w:val="auto"/>
        </w:rPr>
      </w:pPr>
      <w:r>
        <w:rPr>
          <w:rFonts w:ascii="Arial" w:cs="Arial" w:eastAsia="Arial" w:hAnsi="Arial"/>
          <w:sz w:val="18"/>
          <w:szCs w:val="18"/>
          <w:color w:val="auto"/>
        </w:rPr>
        <w:t>Guarantors party thereto and Wilmington Trust FSB, as Trustee and Collateral Agent.</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Reference</w:t>
            </w:r>
          </w:p>
        </w:tc>
        <w:tc>
          <w:tcPr>
            <w:tcW w:w="640" w:type="dxa"/>
            <w:vAlign w:val="bottom"/>
            <w:tcBorders>
              <w:bottom w:val="single" w:sz="8" w:color="auto"/>
            </w:tcBorders>
          </w:tcPr>
          <w:p>
            <w:pPr>
              <w:spacing w:after="0"/>
              <w:rPr>
                <w:sz w:val="14"/>
                <w:szCs w:val="14"/>
                <w:color w:val="auto"/>
              </w:rPr>
            </w:pPr>
          </w:p>
        </w:tc>
        <w:tc>
          <w:tcPr>
            <w:tcW w:w="84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0" w:type="dxa"/>
            <w:vAlign w:val="bottom"/>
          </w:tcPr>
          <w:p>
            <w:pPr>
              <w:jc w:val="center"/>
              <w:ind w:left="172"/>
              <w:spacing w:after="0" w:line="129" w:lineRule="exact"/>
              <w:rPr>
                <w:sz w:val="20"/>
                <w:szCs w:val="20"/>
                <w:color w:val="auto"/>
              </w:rPr>
            </w:pPr>
            <w:r>
              <w:rPr>
                <w:rFonts w:ascii="Arial" w:cs="Arial" w:eastAsia="Arial" w:hAnsi="Arial"/>
                <w:sz w:val="14"/>
                <w:szCs w:val="14"/>
                <w:b w:val="1"/>
                <w:bCs w:val="1"/>
                <w:color w:val="auto"/>
                <w:w w:val="90"/>
              </w:rPr>
              <w:t>Filing Date/</w:t>
            </w:r>
          </w:p>
        </w:tc>
        <w:tc>
          <w:tcPr>
            <w:tcW w:w="6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Period End</w:t>
            </w:r>
          </w:p>
        </w:tc>
        <w:tc>
          <w:tcPr>
            <w:tcW w:w="640" w:type="dxa"/>
            <w:vAlign w:val="bottom"/>
          </w:tcPr>
          <w:p>
            <w:pPr>
              <w:spacing w:after="0"/>
              <w:rPr>
                <w:sz w:val="12"/>
                <w:szCs w:val="12"/>
                <w:color w:val="auto"/>
              </w:rPr>
            </w:pPr>
          </w:p>
        </w:tc>
        <w:tc>
          <w:tcPr>
            <w:tcW w:w="84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74"/>
        </w:trPr>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Form</w:t>
            </w:r>
          </w:p>
        </w:tc>
        <w:tc>
          <w:tcPr>
            <w:tcW w:w="1200" w:type="dxa"/>
            <w:vAlign w:val="bottom"/>
          </w:tcPr>
          <w:p>
            <w:pPr>
              <w:jc w:val="center"/>
              <w:ind w:left="172"/>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840" w:type="dxa"/>
            <w:vAlign w:val="bottom"/>
          </w:tcPr>
          <w:p>
            <w:pPr>
              <w:jc w:val="center"/>
              <w:ind w:left="152"/>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1951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260"/>
        <w:spacing w:after="0"/>
        <w:tabs>
          <w:tab w:leader="none" w:pos="1160" w:val="left"/>
          <w:tab w:leader="none" w:pos="2300" w:val="left"/>
        </w:tabs>
        <w:rPr>
          <w:sz w:val="20"/>
          <w:szCs w:val="20"/>
          <w:color w:val="auto"/>
        </w:rPr>
      </w:pPr>
      <w:r>
        <w:rPr>
          <w:rFonts w:ascii="Arial" w:cs="Arial" w:eastAsia="Arial" w:hAnsi="Arial"/>
          <w:sz w:val="18"/>
          <w:szCs w:val="18"/>
          <w:color w:val="auto"/>
        </w:rPr>
        <w:t>8-K/A</w:t>
      </w:r>
      <w:r>
        <w:rPr>
          <w:sz w:val="20"/>
          <w:szCs w:val="20"/>
          <w:color w:val="auto"/>
        </w:rPr>
        <w:tab/>
      </w:r>
      <w:r>
        <w:rPr>
          <w:rFonts w:ascii="Arial" w:cs="Arial" w:eastAsia="Arial" w:hAnsi="Arial"/>
          <w:sz w:val="18"/>
          <w:szCs w:val="18"/>
          <w:color w:val="auto"/>
        </w:rPr>
        <w:t>06/05/02</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12/17/04</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9"/>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03/15/11</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75"/>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12/26/10</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59"/>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12/17/04</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91"/>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05/25/10</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tabs>
          <w:tab w:leader="none" w:pos="1160" w:val="left"/>
          <w:tab w:leader="none" w:pos="22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02/07/11</w:t>
      </w:r>
      <w:r>
        <w:rPr>
          <w:sz w:val="20"/>
          <w:szCs w:val="20"/>
          <w:color w:val="auto"/>
        </w:rPr>
        <w:tab/>
      </w:r>
      <w:r>
        <w:rPr>
          <w:rFonts w:ascii="Arial" w:cs="Arial" w:eastAsia="Arial" w:hAnsi="Arial"/>
          <w:sz w:val="15"/>
          <w:szCs w:val="15"/>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tabs>
          <w:tab w:leader="none" w:pos="1160" w:val="left"/>
          <w:tab w:leader="none" w:pos="23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tabs>
          <w:tab w:leader="none" w:pos="1160" w:val="left"/>
          <w:tab w:leader="none" w:pos="23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04/20/11</w:t>
      </w:r>
      <w:r>
        <w:rPr>
          <w:sz w:val="20"/>
          <w:szCs w:val="20"/>
          <w:color w:val="auto"/>
        </w:rPr>
        <w:tab/>
      </w:r>
      <w:r>
        <w:rPr>
          <w:rFonts w:ascii="Arial" w:cs="Arial" w:eastAsia="Arial" w:hAnsi="Arial"/>
          <w:sz w:val="15"/>
          <w:szCs w:val="15"/>
          <w:color w:val="auto"/>
        </w:rPr>
        <w:t>4.1</w:t>
      </w:r>
    </w:p>
    <w:p>
      <w:pPr>
        <w:sectPr>
          <w:pgSz w:w="11900" w:h="16838" w:orient="portrait"/>
          <w:cols w:equalWidth="0" w:num="2">
            <w:col w:w="6500" w:space="160"/>
            <w:col w:w="3559"/>
          </w:cols>
          <w:pgMar w:left="240" w:top="131" w:right="1440"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44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5"/>
              </w:rPr>
              <w:t>Sixth Supplemental Indenture, dated July 27, 2011,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among Kratos Defense &amp; Security Solutions, Inc.,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Guaranteeing Subsidiaries named therein and Wilmington</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Trust, National Association (as successor my merger to</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9"/>
              </w:rPr>
              <w:t>Wilmington Trust FSB), as Trustee and Collateral Agent, to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Indenture, dated as of May 19, 2010 (as amended or</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supplemented), among Kratos Defense &amp; Security</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Solutions, Inc., the Guarantors party thereto and Wilmington</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Trust, FSB, as Trustee and Collateral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1"/>
              </w:rPr>
              <w:t>Registration Rights Agreement, dated as of May 19, 2010, by</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and among Kratos Defense &amp; Security Solutions, Inc.,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Guarantors set forth therein, Jefferies &amp; Company, Inc., B.</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Riley &amp; Co., LLC, Imperial Capital, LLC, Keybanc Capital</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Markets Inc. and Noble International Investments,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Form of 10% Senior Secured Note due 2017 (issuable in</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connection with the 2010 Exchange Offer)</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4.10</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Indenture, dated March 25, 2011, by and among</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Acquisition Co. Lanza Parent, the Guarantors named therein</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8"/>
              </w:rPr>
              <w:t>and a party thereto, and Wilmington Trust FSB, as Trustee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Collateral Agent (including the Form of 10% Senior Secured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Notes)</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4.11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First Supplemental Indenture, date April 4, 2011,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among Kratos Defense &amp; Security Solutions, Inc., Herley</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Industries, Inc. and Wilmington Trust FSB, as Trustee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Collateral Agent, to the Indenture, dated as of Mach 25, 2011,</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among Kratos Defense &amp; Security Solutions, Inc.,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9"/>
              </w:rPr>
              <w:t>Guarantor party thereto and Wilmington Trust FSB, as Trustee</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and Collateral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4.12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Registration Rights Agreement, dated March 25, 2011,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among Kratos Defense &amp; Security Solutions, Inc.,</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Acquisition Co. Lanza Parent, Lanza Acquisition Co.,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Guarantors named therein, Jefferies &amp; Company, Inc.,</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KeyBanc Capital Markets Inc. and Oppenheimer &amp; Co.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4.13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Form of 10% Senior Secured Note due 2017 (issuable in</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connection with the August 2011 Exchange Offer)</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4.14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Form of 10% Senior Secured Note due 2017 (issuable in</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connection with the October 2011 Exchange Offer)</w:t>
            </w:r>
          </w:p>
        </w:tc>
      </w:tr>
      <w:tr>
        <w:trPr>
          <w:trHeight w:val="432"/>
        </w:trPr>
        <w:tc>
          <w:tcPr>
            <w:tcW w:w="640" w:type="dxa"/>
            <w:vAlign w:val="bottom"/>
          </w:tcPr>
          <w:p>
            <w:pPr>
              <w:spacing w:after="0"/>
              <w:rPr>
                <w:sz w:val="24"/>
                <w:szCs w:val="24"/>
                <w:color w:val="auto"/>
              </w:rPr>
            </w:pPr>
          </w:p>
        </w:tc>
        <w:tc>
          <w:tcPr>
            <w:tcW w:w="4700" w:type="dxa"/>
            <w:vAlign w:val="bottom"/>
            <w:gridSpan w:val="2"/>
          </w:tcPr>
          <w:p>
            <w:pPr>
              <w:ind w:left="3820"/>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67"/>
              <w:spacing w:after="0"/>
              <w:rPr>
                <w:sz w:val="20"/>
                <w:szCs w:val="20"/>
                <w:color w:val="auto"/>
              </w:rPr>
            </w:pPr>
            <w:r>
              <w:rPr>
                <w:rFonts w:ascii="Arial" w:cs="Arial" w:eastAsia="Arial" w:hAnsi="Arial"/>
                <w:sz w:val="14"/>
                <w:szCs w:val="14"/>
                <w:b w:val="1"/>
                <w:bCs w:val="1"/>
                <w:color w:val="auto"/>
                <w:w w:val="85"/>
              </w:rPr>
              <w:t>Reference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16"/>
        </w:trPr>
        <w:tc>
          <w:tcPr>
            <w:tcW w:w="720" w:type="dxa"/>
            <w:vAlign w:val="bottom"/>
          </w:tcPr>
          <w:p>
            <w:pPr>
              <w:ind w:left="340"/>
              <w:spacing w:after="0"/>
              <w:rPr>
                <w:sz w:val="20"/>
                <w:szCs w:val="20"/>
                <w:color w:val="auto"/>
              </w:rPr>
            </w:pPr>
            <w:r>
              <w:rPr>
                <w:rFonts w:ascii="Arial" w:cs="Arial" w:eastAsia="Arial" w:hAnsi="Arial"/>
                <w:sz w:val="18"/>
                <w:szCs w:val="18"/>
                <w:color w:val="auto"/>
              </w:rPr>
              <w:t>8-K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07/29/11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spacing w:after="0"/>
        <w:tabs>
          <w:tab w:leader="none" w:pos="1160" w:val="left"/>
          <w:tab w:leader="none" w:pos="22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05/25/10</w:t>
      </w:r>
      <w:r>
        <w:rPr>
          <w:sz w:val="20"/>
          <w:szCs w:val="20"/>
          <w:color w:val="auto"/>
        </w:rPr>
        <w:tab/>
      </w:r>
      <w:r>
        <w:rPr>
          <w:rFonts w:ascii="Arial" w:cs="Arial" w:eastAsia="Arial" w:hAnsi="Arial"/>
          <w:sz w:val="15"/>
          <w:szCs w:val="15"/>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560" w:type="dxa"/>
            <w:vAlign w:val="bottom"/>
          </w:tcPr>
          <w:p>
            <w:pPr>
              <w:ind w:left="20"/>
              <w:spacing w:after="0"/>
              <w:rPr>
                <w:sz w:val="20"/>
                <w:szCs w:val="20"/>
                <w:color w:val="auto"/>
              </w:rPr>
            </w:pPr>
            <w:r>
              <w:rPr>
                <w:rFonts w:ascii="Arial" w:cs="Arial" w:eastAsia="Arial" w:hAnsi="Arial"/>
                <w:sz w:val="18"/>
                <w:szCs w:val="18"/>
                <w:color w:val="auto"/>
              </w:rPr>
              <w:t>S-4</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06/28/10</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75"/>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03/29/11</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tabs>
          <w:tab w:leader="none" w:pos="1160" w:val="left"/>
          <w:tab w:leader="none" w:pos="23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tabs>
          <w:tab w:leader="none" w:pos="1160" w:val="left"/>
          <w:tab w:leader="none" w:pos="23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03/29/11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spacing w:after="0"/>
        <w:tabs>
          <w:tab w:leader="none" w:pos="1160" w:val="left"/>
          <w:tab w:leader="none" w:pos="230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06/07/11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68" w:lineRule="exact"/>
        <w:rPr>
          <w:sz w:val="20"/>
          <w:szCs w:val="20"/>
          <w:color w:val="auto"/>
        </w:rPr>
      </w:pPr>
    </w:p>
    <w:p>
      <w:pPr>
        <w:ind w:left="360"/>
        <w:spacing w:after="0"/>
        <w:tabs>
          <w:tab w:leader="none" w:pos="1160" w:val="left"/>
          <w:tab w:leader="none" w:pos="230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10/25/11</w:t>
      </w:r>
      <w:r>
        <w:rPr>
          <w:sz w:val="20"/>
          <w:szCs w:val="20"/>
          <w:color w:val="auto"/>
        </w:rPr>
        <w:tab/>
      </w:r>
      <w:r>
        <w:rPr>
          <w:rFonts w:ascii="Arial" w:cs="Arial" w:eastAsia="Arial" w:hAnsi="Arial"/>
          <w:sz w:val="15"/>
          <w:szCs w:val="15"/>
          <w:color w:val="auto"/>
        </w:rPr>
        <w:t>4.2</w:t>
      </w:r>
    </w:p>
    <w:p>
      <w:pPr>
        <w:sectPr>
          <w:pgSz w:w="11900" w:h="16838" w:orient="portrait"/>
          <w:cols w:equalWidth="0" w:num="2">
            <w:col w:w="6500" w:space="160"/>
            <w:col w:w="3559"/>
          </w:cols>
          <w:pgMar w:left="240" w:top="131"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4"/>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44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4.15</w:t>
            </w:r>
          </w:p>
        </w:tc>
        <w:tc>
          <w:tcPr>
            <w:tcW w:w="24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3"/>
              </w:rPr>
              <w:t>Registration Rights Agreement, dated July 27, 2011,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among Kratos Defense &amp; Security Solutions, Inc.,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8"/>
              </w:rPr>
              <w:t>guarantors named therein, Jefferies &amp; Company, Inc., KeyBanc</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Capital Markets Inc. and B. Riley &amp; Co., LLC.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Underwriting Agreement, dated October 5, 2010,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between Kratos Defense &amp; Security Solutions, Inc. and B.</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Riley &amp; Co., LLC.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4"/>
              </w:rPr>
              <w:t>Commitment Letter, dated February 7, 2011, by and among</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Kratos Defense &amp; Security Solutions, Inc. and Jefferies</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4"/>
              </w:rPr>
              <w:t>Group, Inc., Key Capital Corporation and OPY Credit Corp.</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Underwriting Agreement, dated February 8, 2011, between</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Kratos Defense &amp; Security Solutions, Inc. and Jefferies &amp;</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Company, Inc., as representative of the several underwriters</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named in Schedule A thereto.</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4"/>
              </w:rPr>
              <w:t>Form of Indemnification Agreement by and between Kratos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Defense &amp; Security Solutions, Inc. and its directors and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executive officers.</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2000 Nonstatutory Stock Option Plan.</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Form of Stock Option Agreement and Grant Notice used in</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connection with the 2000 Nonstatutory Stock Option Plan.</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Nonqualified Deferred Compensation Plan.</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2005 Equity Incentive Plan.</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1"/>
              </w:rPr>
              <w:t>Form of Stock Option Agreement pursuant to the 2005 Equity</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Incentive Plan.</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10.10#</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1"/>
              </w:rPr>
              <w:t>Form of Restricted Stock Unit Agreement and Form of Notice</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of Grant under the 2005 Equity Incentive Plan.</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Herley Industries, Inc. 1996 Stock Option Plan.</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Herley Industries, Inc. 1997 Stock Option Plan.</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Herley Industries, Inc. 1998 Stock Option Plan.</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Herley Industries, Inc. 2000 Stock Option Plan.</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Herley Industries, Inc. 2003 Stock Option Plan.</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Herley Industries, Inc. Amended and Restated 2006 New</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Employee Stock Option Plan.</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10.17#</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Integral Systems, Inc. Amended and Restated 2002 Stock</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Option Plan.</w:t>
            </w:r>
          </w:p>
        </w:tc>
      </w:tr>
      <w:tr>
        <w:trPr>
          <w:trHeight w:val="432"/>
        </w:trPr>
        <w:tc>
          <w:tcPr>
            <w:tcW w:w="640" w:type="dxa"/>
            <w:vAlign w:val="bottom"/>
          </w:tcPr>
          <w:p>
            <w:pPr>
              <w:spacing w:after="0"/>
              <w:rPr>
                <w:sz w:val="24"/>
                <w:szCs w:val="24"/>
                <w:color w:val="auto"/>
              </w:rPr>
            </w:pPr>
          </w:p>
        </w:tc>
        <w:tc>
          <w:tcPr>
            <w:tcW w:w="4700" w:type="dxa"/>
            <w:vAlign w:val="bottom"/>
            <w:gridSpan w:val="2"/>
          </w:tcPr>
          <w:p>
            <w:pPr>
              <w:ind w:left="3820"/>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Incorporated by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4"/>
                <w:szCs w:val="14"/>
                <w:b w:val="1"/>
                <w:bCs w:val="1"/>
                <w:color w:val="auto"/>
                <w:w w:val="97"/>
              </w:rPr>
              <w:t>Reference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16"/>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07/29/11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10/07/10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02/07/11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02/08/11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7"/>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9"/>
              </w:rPr>
              <w:t>10-Q</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06/26/11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9"/>
              </w:rPr>
              <w:t>10-Q</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09/30/00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9"/>
              </w:rPr>
              <w:t>10-Q</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09/30/00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94"/>
              </w:rPr>
              <w:t>10-K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12/31/05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08/01/05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08/01/05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01/17/07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04/08/11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04/08/11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04/08/11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04/08/11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04/08/11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04/08/11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40" w:type="dxa"/>
            <w:vAlign w:val="bottom"/>
          </w:tcPr>
          <w:p>
            <w:pPr>
              <w:jc w:val="center"/>
              <w:ind w:left="133"/>
              <w:spacing w:after="0"/>
              <w:rPr>
                <w:sz w:val="20"/>
                <w:szCs w:val="20"/>
                <w:color w:val="auto"/>
              </w:rPr>
            </w:pPr>
            <w:r>
              <w:rPr>
                <w:rFonts w:ascii="Arial" w:cs="Arial" w:eastAsia="Arial" w:hAnsi="Arial"/>
                <w:sz w:val="18"/>
                <w:szCs w:val="18"/>
                <w:color w:val="auto"/>
                <w:w w:val="85"/>
              </w:rPr>
              <w:t>S-8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10/25/11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00" w:space="160"/>
            <w:col w:w="3559"/>
          </w:cols>
          <w:pgMar w:left="240" w:top="131"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20"/>
        <w:spacing w:after="0"/>
        <w:tabs>
          <w:tab w:leader="none" w:pos="36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395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ind w:left="1300"/>
        <w:spacing w:after="0"/>
        <w:tabs>
          <w:tab w:leader="none" w:pos="20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Integral Systems, Inc. 2008 Stock Incentive Plan.</w:t>
      </w:r>
    </w:p>
    <w:p>
      <w:pPr>
        <w:spacing w:after="0" w:line="24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2011 Equity Incentive Plan.</w:t>
      </w:r>
    </w:p>
    <w:p>
      <w:pPr>
        <w:spacing w:after="0" w:line="252" w:lineRule="exact"/>
        <w:rPr>
          <w:sz w:val="20"/>
          <w:szCs w:val="20"/>
          <w:color w:val="auto"/>
        </w:rPr>
      </w:pPr>
    </w:p>
    <w:p>
      <w:pPr>
        <w:ind w:left="2020" w:right="160" w:hanging="725"/>
        <w:spacing w:after="0" w:line="259" w:lineRule="auto"/>
        <w:tabs>
          <w:tab w:leader="none" w:pos="2000" w:val="left"/>
        </w:tabs>
        <w:rPr>
          <w:sz w:val="20"/>
          <w:szCs w:val="20"/>
          <w:color w:val="auto"/>
        </w:rPr>
      </w:pPr>
      <w:r>
        <w:rPr>
          <w:rFonts w:ascii="Arial" w:cs="Arial" w:eastAsia="Arial" w:hAnsi="Arial"/>
          <w:sz w:val="18"/>
          <w:szCs w:val="18"/>
          <w:color w:val="auto"/>
        </w:rPr>
        <w:t>10.20#</w:t>
        <w:tab/>
        <w:t>Form of Notice of Grant of Restricted Stock Units and Restricted Stock Unit Award Agreement pursuant to the 2011 Equity Incentive Plan.</w:t>
      </w:r>
    </w:p>
    <w:p>
      <w:pPr>
        <w:spacing w:after="0" w:line="221" w:lineRule="exact"/>
        <w:rPr>
          <w:sz w:val="20"/>
          <w:szCs w:val="20"/>
          <w:color w:val="auto"/>
        </w:rPr>
      </w:pPr>
    </w:p>
    <w:p>
      <w:pPr>
        <w:ind w:left="2020" w:right="220" w:hanging="725"/>
        <w:spacing w:after="0" w:line="259" w:lineRule="auto"/>
        <w:tabs>
          <w:tab w:leader="none" w:pos="2000" w:val="left"/>
        </w:tabs>
        <w:rPr>
          <w:sz w:val="20"/>
          <w:szCs w:val="20"/>
          <w:color w:val="auto"/>
        </w:rPr>
      </w:pPr>
      <w:r>
        <w:rPr>
          <w:rFonts w:ascii="Arial" w:cs="Arial" w:eastAsia="Arial" w:hAnsi="Arial"/>
          <w:sz w:val="18"/>
          <w:szCs w:val="18"/>
          <w:color w:val="auto"/>
        </w:rPr>
        <w:t>10.21#</w:t>
        <w:tab/>
        <w:t>Employment Agreement, dated as of August 4, 2010, by and between Kratos Government Solutions, Inc. and Richard Selvaggio.</w:t>
      </w:r>
    </w:p>
    <w:p>
      <w:pPr>
        <w:spacing w:after="0" w:line="221" w:lineRule="exact"/>
        <w:rPr>
          <w:sz w:val="20"/>
          <w:szCs w:val="20"/>
          <w:color w:val="auto"/>
        </w:rPr>
      </w:pPr>
    </w:p>
    <w:p>
      <w:pPr>
        <w:ind w:left="2020" w:right="180" w:hanging="725"/>
        <w:spacing w:after="0" w:line="306" w:lineRule="auto"/>
        <w:tabs>
          <w:tab w:leader="none" w:pos="20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First Amendment to Employment Agreement, dated as of August 4, 2011, by and between Kratos Defense Engineering Solutions, Inc. and Richard Selvaggio.</w:t>
      </w:r>
    </w:p>
    <w:p>
      <w:pPr>
        <w:spacing w:after="0" w:line="188" w:lineRule="exact"/>
        <w:rPr>
          <w:sz w:val="20"/>
          <w:szCs w:val="20"/>
          <w:color w:val="auto"/>
        </w:rPr>
      </w:pPr>
    </w:p>
    <w:p>
      <w:pPr>
        <w:ind w:left="2020" w:right="100" w:hanging="725"/>
        <w:spacing w:after="0" w:line="370" w:lineRule="auto"/>
        <w:tabs>
          <w:tab w:leader="none" w:pos="20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Employment Agreement, dated as of July 22, 2010, by and between Kratos Government Solutions, Inc. and David Carter.</w:t>
      </w:r>
    </w:p>
    <w:p>
      <w:pPr>
        <w:spacing w:after="0" w:line="143" w:lineRule="exact"/>
        <w:rPr>
          <w:sz w:val="20"/>
          <w:szCs w:val="20"/>
          <w:color w:val="auto"/>
        </w:rPr>
      </w:pPr>
    </w:p>
    <w:p>
      <w:pPr>
        <w:ind w:left="2020" w:right="180" w:hanging="725"/>
        <w:spacing w:after="0" w:line="306" w:lineRule="auto"/>
        <w:tabs>
          <w:tab w:leader="none" w:pos="20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First Amendment to Employment Agreement, dated as of August 4, 2011, by and between Kratos Defense Engineering Solutions, Inc. and David Carter.</w:t>
      </w:r>
    </w:p>
    <w:p>
      <w:pPr>
        <w:spacing w:after="0" w:line="188" w:lineRule="exact"/>
        <w:rPr>
          <w:sz w:val="20"/>
          <w:szCs w:val="20"/>
          <w:color w:val="auto"/>
        </w:rPr>
      </w:pPr>
    </w:p>
    <w:p>
      <w:pPr>
        <w:ind w:left="2020" w:right="220" w:hanging="725"/>
        <w:spacing w:after="0" w:line="259" w:lineRule="auto"/>
        <w:tabs>
          <w:tab w:leader="none" w:pos="2000" w:val="left"/>
        </w:tabs>
        <w:rPr>
          <w:sz w:val="20"/>
          <w:szCs w:val="20"/>
          <w:color w:val="auto"/>
        </w:rPr>
      </w:pPr>
      <w:r>
        <w:rPr>
          <w:rFonts w:ascii="Arial" w:cs="Arial" w:eastAsia="Arial" w:hAnsi="Arial"/>
          <w:sz w:val="18"/>
          <w:szCs w:val="18"/>
          <w:color w:val="auto"/>
        </w:rPr>
        <w:t>10.25#</w:t>
        <w:tab/>
        <w:t>Amended and Restated Employment Agreement, dated as of January 1, 2011, by and between Kratos Government Solutions, Inc. and Phil Carrai.</w:t>
      </w:r>
    </w:p>
    <w:p>
      <w:pPr>
        <w:spacing w:after="0" w:line="221" w:lineRule="exact"/>
        <w:rPr>
          <w:sz w:val="20"/>
          <w:szCs w:val="20"/>
          <w:color w:val="auto"/>
        </w:rPr>
      </w:pPr>
    </w:p>
    <w:p>
      <w:pPr>
        <w:ind w:left="2020" w:right="20" w:hanging="725"/>
        <w:spacing w:after="0" w:line="306" w:lineRule="auto"/>
        <w:tabs>
          <w:tab w:leader="none" w:pos="20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First Amendment to Amended and Restated Employment Agreement, dated as of August 4, 2011, by and between Kratos Defense Engineering Solutions, Inc. and Phil Carrai</w:t>
      </w:r>
    </w:p>
    <w:p>
      <w:pPr>
        <w:spacing w:after="0" w:line="188" w:lineRule="exact"/>
        <w:rPr>
          <w:sz w:val="20"/>
          <w:szCs w:val="20"/>
          <w:color w:val="auto"/>
        </w:rPr>
      </w:pPr>
    </w:p>
    <w:p>
      <w:pPr>
        <w:ind w:left="2020" w:right="20" w:hanging="725"/>
        <w:spacing w:after="0" w:line="306" w:lineRule="auto"/>
        <w:tabs>
          <w:tab w:leader="none" w:pos="20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Second Amended and Restated Executive Employment Agreement, dated as of August 4, 2011, by and between Kratos Defense &amp; Security Solutions, Inc. and Eric DeMarco.</w:t>
      </w:r>
    </w:p>
    <w:p>
      <w:pPr>
        <w:spacing w:after="0" w:line="188" w:lineRule="exact"/>
        <w:rPr>
          <w:sz w:val="20"/>
          <w:szCs w:val="20"/>
          <w:color w:val="auto"/>
        </w:rPr>
      </w:pPr>
    </w:p>
    <w:p>
      <w:pPr>
        <w:ind w:left="2020" w:hanging="725"/>
        <w:spacing w:after="0" w:line="256" w:lineRule="auto"/>
        <w:tabs>
          <w:tab w:leader="none" w:pos="2000" w:val="left"/>
        </w:tabs>
        <w:rPr>
          <w:sz w:val="20"/>
          <w:szCs w:val="20"/>
          <w:color w:val="auto"/>
        </w:rPr>
      </w:pPr>
      <w:r>
        <w:rPr>
          <w:rFonts w:ascii="Arial" w:cs="Arial" w:eastAsia="Arial" w:hAnsi="Arial"/>
          <w:sz w:val="18"/>
          <w:szCs w:val="18"/>
          <w:color w:val="auto"/>
        </w:rPr>
        <w:t>10.28#</w:t>
        <w:tab/>
        <w:t>Second Amended and Restated Severance and Change of Control Agreement, dated as of August 4, 2011, by and between Kratos Defense &amp; Security Solutions, Inc. and Deanna Lund.</w:t>
      </w:r>
    </w:p>
    <w:p>
      <w:pPr>
        <w:spacing w:after="0" w:line="224" w:lineRule="exact"/>
        <w:rPr>
          <w:sz w:val="20"/>
          <w:szCs w:val="20"/>
          <w:color w:val="auto"/>
        </w:rPr>
      </w:pPr>
    </w:p>
    <w:p>
      <w:pPr>
        <w:ind w:left="2020" w:right="140" w:hanging="725"/>
        <w:spacing w:after="0" w:line="256" w:lineRule="auto"/>
        <w:tabs>
          <w:tab w:leader="none" w:pos="2000" w:val="left"/>
        </w:tabs>
        <w:rPr>
          <w:sz w:val="20"/>
          <w:szCs w:val="20"/>
          <w:color w:val="auto"/>
        </w:rPr>
      </w:pPr>
      <w:r>
        <w:rPr>
          <w:rFonts w:ascii="Arial" w:cs="Arial" w:eastAsia="Arial" w:hAnsi="Arial"/>
          <w:sz w:val="18"/>
          <w:szCs w:val="18"/>
          <w:color w:val="auto"/>
        </w:rPr>
        <w:t>10.29#</w:t>
        <w:tab/>
        <w:t>Second Amended and Restated Severance and Change of Control Agreement, dated as of August 4, 2011, by and between Kratos Defense &amp; Security Solutions, Inc. and Laura Siegal.</w:t>
      </w:r>
    </w:p>
    <w:p>
      <w:pPr>
        <w:spacing w:after="0" w:line="224" w:lineRule="exact"/>
        <w:rPr>
          <w:sz w:val="20"/>
          <w:szCs w:val="20"/>
          <w:color w:val="auto"/>
        </w:rPr>
      </w:pPr>
    </w:p>
    <w:p>
      <w:pPr>
        <w:ind w:left="2020" w:right="20" w:hanging="725"/>
        <w:spacing w:after="0" w:line="335" w:lineRule="auto"/>
        <w:tabs>
          <w:tab w:leader="none" w:pos="20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Amended and Restated Severance and Change of Control Agreement, dated as of August 4, 2011, by and between Kratos Defense &amp; Security Solutions, Inc. and Deborah S. Butera.</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Incorporated by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4"/>
                <w:szCs w:val="14"/>
                <w:b w:val="1"/>
                <w:bCs w:val="1"/>
                <w:color w:val="auto"/>
                <w:w w:val="97"/>
              </w:rPr>
              <w:t>Reference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10/25/11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880" w:type="dxa"/>
            <w:vAlign w:val="bottom"/>
          </w:tcPr>
          <w:p>
            <w:pPr>
              <w:jc w:val="center"/>
              <w:spacing w:after="0"/>
              <w:rPr>
                <w:sz w:val="20"/>
                <w:szCs w:val="20"/>
                <w:color w:val="auto"/>
              </w:rPr>
            </w:pPr>
            <w:r>
              <w:rPr>
                <w:rFonts w:ascii="Arial" w:cs="Arial" w:eastAsia="Arial" w:hAnsi="Arial"/>
                <w:sz w:val="18"/>
                <w:szCs w:val="18"/>
                <w:color w:val="auto"/>
                <w:w w:val="93"/>
              </w:rPr>
              <w:t>DEF 14A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04/15/11</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11/18/11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12/26/10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06/26/11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12/26/10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09/25/11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12/26/10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06/26/11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06/26/11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06/26/11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7"/>
        </w:trPr>
        <w:tc>
          <w:tcPr>
            <w:tcW w:w="8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06/26/11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7"/>
        </w:trPr>
        <w:tc>
          <w:tcPr>
            <w:tcW w:w="8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09/25/11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00" w:space="160"/>
            <w:col w:w="3559"/>
          </w:cols>
          <w:pgMar w:left="240" w:top="131" w:right="1440"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44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10.31#</w:t>
            </w:r>
          </w:p>
        </w:tc>
        <w:tc>
          <w:tcPr>
            <w:tcW w:w="24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2"/>
              </w:rPr>
              <w:t>Employment Agreement, dated as of August 4, 2011,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between Kratos Public Safety &amp; Security Solutions, Inc. and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Ben Goodwin.</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6"/>
              </w:rPr>
              <w:t>Settlement Agreement and General Release of Claims, dated as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of October 16, 2009, among Kratos Defense &amp; Security</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Solutions, Inc., KeyBank National Association, Field Point</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III, Ltd. and SPF CDO I, Ltd.</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Sublease Agreement, dated as of December 17, 2009,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between Amylin Pharmaceuticals, Inc. (Sublessor) and Kratos</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Defense &amp; Security Solutions, Inc. (Sublessee).</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8"/>
              </w:rPr>
              <w:t>Purchase Agreement, dated as of May 12, 2010, by and among</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1"/>
              </w:rPr>
              <w:t>Kratos Defense &amp; Security Solutions, Inc., the Guarantors set</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forth therein, Jefferies &amp; Company, Inc., B. Riley &amp; Co., LLC,</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Imperial Capital, LLC, Keybanc Capital Markets Inc. and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Noble International Investments,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10.35</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Security Agreement, dated as of May 19, 2010, by and among</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1"/>
              </w:rPr>
              <w:t>Kratos Defense &amp; Security Solutions, Inc., the Guarantors set</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forth therein and Wilmington Trust FSB, as Collateral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Intercreditor Agreement, dated as of May 19, 2010, by and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among Kratos Defense &amp; Security Solutions, Inc., the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Guarantors set forth therein, Wilmington Trust FSB, as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Indenture Agent, and KeyBank National Association, as Credit</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Facility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10.37</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Credit Agreement, dated as of March 3, 2010, among Kratos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Defense &amp; Security Solutions, Inc., KeyBank National</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Association, as Administrative Agent and Lender, Bank of</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8"/>
              </w:rPr>
              <w:t>America, N.A., as Syndication Agent and Lender, and the other</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9"/>
              </w:rPr>
              <w:t>financial institutions parties thereto with Keybanc Capital</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Markets and Banc of America Securities, LLC, as Co-Lead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Arrangers and Book Runners.</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10.38</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9"/>
              </w:rPr>
              <w:t>First Amendment Agreement, dated as of December 13, 2010,</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by and among Kratos Defense &amp; Security Solutions, Inc., as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Borrower, the Lenders named therein and KeyBank National</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Association, as Lead Arranger, Sole Book Runner and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Administrative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10.39</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8"/>
              </w:rPr>
              <w:t>Second Amendment Agreement, dated as of February 7, 2011,</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among Kratos Defense &amp; Security solutions, the Lenders</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named therein and KeyBank National Association.</w:t>
            </w:r>
          </w:p>
        </w:tc>
      </w:tr>
      <w:tr>
        <w:trPr>
          <w:trHeight w:val="432"/>
        </w:trPr>
        <w:tc>
          <w:tcPr>
            <w:tcW w:w="640" w:type="dxa"/>
            <w:vAlign w:val="bottom"/>
          </w:tcPr>
          <w:p>
            <w:pPr>
              <w:spacing w:after="0"/>
              <w:rPr>
                <w:sz w:val="24"/>
                <w:szCs w:val="24"/>
                <w:color w:val="auto"/>
              </w:rPr>
            </w:pPr>
          </w:p>
        </w:tc>
        <w:tc>
          <w:tcPr>
            <w:tcW w:w="4700" w:type="dxa"/>
            <w:vAlign w:val="bottom"/>
            <w:gridSpan w:val="2"/>
          </w:tcPr>
          <w:p>
            <w:pPr>
              <w:ind w:left="3820"/>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Incorporated by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4"/>
                <w:szCs w:val="14"/>
                <w:b w:val="1"/>
                <w:bCs w:val="1"/>
                <w:color w:val="auto"/>
                <w:w w:val="97"/>
              </w:rPr>
              <w:t>Reference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16"/>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89"/>
              </w:rPr>
              <w:t>10-Q</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09/25/11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3"/>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89"/>
              </w:rPr>
              <w:t>10-Q</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09/27/09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7"/>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4"/>
              </w:rPr>
              <w:t>10-K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12/27/09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05/25/10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4"/>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05/25/10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05/25/10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4"/>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03/08/10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6"/>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12/16/10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4"/>
        </w:trPr>
        <w:tc>
          <w:tcPr>
            <w:tcW w:w="740" w:type="dxa"/>
            <w:vAlign w:val="bottom"/>
          </w:tcPr>
          <w:p>
            <w:pPr>
              <w:jc w:val="center"/>
              <w:ind w:left="134"/>
              <w:spacing w:after="0"/>
              <w:rPr>
                <w:sz w:val="20"/>
                <w:szCs w:val="20"/>
                <w:color w:val="auto"/>
              </w:rPr>
            </w:pPr>
            <w:r>
              <w:rPr>
                <w:rFonts w:ascii="Arial" w:cs="Arial" w:eastAsia="Arial" w:hAnsi="Arial"/>
                <w:sz w:val="18"/>
                <w:szCs w:val="18"/>
                <w:color w:val="auto"/>
                <w:w w:val="99"/>
              </w:rPr>
              <w:t>8-K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02/07/11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00" w:space="160"/>
            <w:col w:w="3559"/>
          </w:cols>
          <w:pgMar w:left="240" w:top="131" w:right="1440"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5"/>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44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10.40</w:t>
            </w:r>
          </w:p>
        </w:tc>
        <w:tc>
          <w:tcPr>
            <w:tcW w:w="24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2"/>
              </w:rPr>
              <w:t>Purchase Agreement, dated March 22, 2011, by and among</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Kratos Defense &amp; Security Solutions, Inc., Acquisition Co.</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Lanza Parent, Lanza Acquisition Co., the guarantors named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therein, Jefferies &amp; Company, Inc., KeyBanc Capital</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Markets, Inc. and Oppenheimer &amp; Co. Inc.</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10.41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Security Agreement, dated March 25, 2011, by and among</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8"/>
              </w:rPr>
              <w:t>Acquisition Co. Lanza Parent, Lanza Acquisition Co. and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Wilmington Trust FSB, as Collateral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10.42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1"/>
              </w:rPr>
              <w:t>Credit and Security Agreement, dated as of May 19, 2010, as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amended and restated as of July 27, 2011, among Kratos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Defense &amp; Security Solutions, Inc., as Borrower, the Lenders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5"/>
              </w:rPr>
              <w:t>named therein and KeyBank National Association, as Lead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Arranger, Sole Book Runner and Administrative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10.43</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9"/>
              </w:rPr>
              <w:t>First Amendment Agreement, dated as of November 14, 2011,</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by and among Kratos Defense &amp; Security Solutions, Inc., as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Borrower, the Lenders named therein, and Key Bank National</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Association, as Lead Arranger, Sole Book Runner and</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Administrative Agent.</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10.44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Purchase Agreement, dated July 14, 2011, by and among</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7"/>
              </w:rPr>
              <w:t>Kratos Defense &amp; Security Solutions, Inc., the Guarantors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4"/>
              </w:rPr>
              <w:t>named therein, Jefferies &amp; Company, Inc., KeyBanc Capital</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6"/>
              </w:rPr>
              <w:t>Markets Inc. and B. Riley &amp; Co., LLC, as amended by that</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certain Joinder Agreement, dated July 27, 2011.</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10.45</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Stipulation and Agreement of Settlement of Derivative Claims,</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7"/>
              </w:rPr>
              <w:t xml:space="preserve">dated as of January 5, 2010. </w:t>
            </w:r>
            <w:r>
              <w:rPr>
                <w:rFonts w:ascii="Arial" w:cs="Arial" w:eastAsia="Arial" w:hAnsi="Arial"/>
                <w:sz w:val="18"/>
                <w:szCs w:val="18"/>
                <w:b w:val="1"/>
                <w:bCs w:val="1"/>
                <w:i w:val="1"/>
                <w:iCs w:val="1"/>
                <w:color w:val="auto"/>
                <w:w w:val="87"/>
              </w:rPr>
              <w:t>[Note: Confirm whether we have</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w w:val="88"/>
              </w:rPr>
              <w:t>any continuing obligations under this agreement; if not, we</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can remove it from the Exhibit List]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List of Subsidiaries.</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3"/>
              </w:rPr>
              <w:t>Consent of Independent Registered Public Accounting Firm.</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Executive Officer pursuant to</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Section 302 of the Sarbanes Oxley Act of 2002.</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0"/>
              </w:rPr>
              <w:t>Certification of Chief Financial Officer pursuant to Section 302</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of the Sarbanes Oxley Act of 2002.</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92"/>
              </w:rPr>
              <w:t>Certification pursuant to 18 U.S.C. Section 1350, as adopted</w:t>
            </w:r>
          </w:p>
        </w:tc>
      </w:tr>
      <w:tr>
        <w:trPr>
          <w:trHeight w:val="216"/>
        </w:trPr>
        <w:tc>
          <w:tcPr>
            <w:tcW w:w="640" w:type="dxa"/>
            <w:vAlign w:val="bottom"/>
          </w:tcPr>
          <w:p>
            <w:pPr>
              <w:spacing w:after="0"/>
              <w:rPr>
                <w:sz w:val="18"/>
                <w:szCs w:val="18"/>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w w:val="89"/>
              </w:rPr>
              <w:t>pursuant to Section 906 of the Sarbanes-Oxley Act of 2002 for</w:t>
            </w:r>
          </w:p>
        </w:tc>
      </w:tr>
      <w:tr>
        <w:trPr>
          <w:trHeight w:val="222"/>
        </w:trPr>
        <w:tc>
          <w:tcPr>
            <w:tcW w:w="64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Eric M. DeMarco.</w:t>
            </w:r>
          </w:p>
        </w:tc>
      </w:tr>
      <w:tr>
        <w:trPr>
          <w:trHeight w:val="432"/>
        </w:trPr>
        <w:tc>
          <w:tcPr>
            <w:tcW w:w="640" w:type="dxa"/>
            <w:vAlign w:val="bottom"/>
          </w:tcPr>
          <w:p>
            <w:pPr>
              <w:spacing w:after="0"/>
              <w:rPr>
                <w:sz w:val="24"/>
                <w:szCs w:val="24"/>
                <w:color w:val="auto"/>
              </w:rPr>
            </w:pPr>
          </w:p>
        </w:tc>
        <w:tc>
          <w:tcPr>
            <w:tcW w:w="4700" w:type="dxa"/>
            <w:vAlign w:val="bottom"/>
            <w:gridSpan w:val="2"/>
          </w:tcPr>
          <w:p>
            <w:pPr>
              <w:ind w:left="3820"/>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67"/>
              <w:spacing w:after="0"/>
              <w:rPr>
                <w:sz w:val="20"/>
                <w:szCs w:val="20"/>
                <w:color w:val="auto"/>
              </w:rPr>
            </w:pPr>
            <w:r>
              <w:rPr>
                <w:rFonts w:ascii="Arial" w:cs="Arial" w:eastAsia="Arial" w:hAnsi="Arial"/>
                <w:sz w:val="14"/>
                <w:szCs w:val="14"/>
                <w:b w:val="1"/>
                <w:bCs w:val="1"/>
                <w:color w:val="auto"/>
                <w:w w:val="85"/>
              </w:rPr>
              <w:t>Reference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16"/>
        </w:trPr>
        <w:tc>
          <w:tcPr>
            <w:tcW w:w="720" w:type="dxa"/>
            <w:vAlign w:val="bottom"/>
          </w:tcPr>
          <w:p>
            <w:pPr>
              <w:ind w:left="340"/>
              <w:spacing w:after="0"/>
              <w:rPr>
                <w:sz w:val="20"/>
                <w:szCs w:val="20"/>
                <w:color w:val="auto"/>
              </w:rPr>
            </w:pPr>
            <w:r>
              <w:rPr>
                <w:rFonts w:ascii="Arial" w:cs="Arial" w:eastAsia="Arial" w:hAnsi="Arial"/>
                <w:sz w:val="18"/>
                <w:szCs w:val="18"/>
                <w:color w:val="auto"/>
              </w:rPr>
              <w:t>8-K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03/29/11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03/29/11</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891"/>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07/29/11</w:t>
            </w: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tabs>
          <w:tab w:leader="none" w:pos="1160" w:val="left"/>
          <w:tab w:leader="none" w:pos="22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11/18/11</w:t>
      </w:r>
      <w:r>
        <w:rPr>
          <w:sz w:val="20"/>
          <w:szCs w:val="20"/>
          <w:color w:val="auto"/>
        </w:rPr>
        <w:tab/>
      </w:r>
      <w:r>
        <w:rPr>
          <w:rFonts w:ascii="Arial" w:cs="Arial" w:eastAsia="Arial" w:hAnsi="Arial"/>
          <w:sz w:val="15"/>
          <w:szCs w:val="15"/>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tabs>
          <w:tab w:leader="none" w:pos="1160" w:val="left"/>
          <w:tab w:leader="none" w:pos="22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09/25/11</w:t>
      </w:r>
      <w:r>
        <w:rPr>
          <w:sz w:val="20"/>
          <w:szCs w:val="20"/>
          <w:color w:val="auto"/>
        </w:rPr>
        <w:tab/>
      </w:r>
      <w:r>
        <w:rPr>
          <w:rFonts w:ascii="Arial" w:cs="Arial" w:eastAsia="Arial" w:hAnsi="Arial"/>
          <w:sz w:val="15"/>
          <w:szCs w:val="15"/>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tabs>
          <w:tab w:leader="none" w:pos="1160" w:val="left"/>
          <w:tab w:leader="none" w:pos="22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12/27/09</w:t>
      </w:r>
      <w:r>
        <w:rPr>
          <w:sz w:val="20"/>
          <w:szCs w:val="20"/>
          <w:color w:val="auto"/>
        </w:rPr>
        <w:tab/>
      </w:r>
      <w:r>
        <w:rPr>
          <w:rFonts w:ascii="Arial" w:cs="Arial" w:eastAsia="Arial" w:hAnsi="Arial"/>
          <w:sz w:val="15"/>
          <w:szCs w:val="15"/>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500" w:space="160"/>
            <w:col w:w="3559"/>
          </w:cols>
          <w:pgMar w:left="240" w:top="131" w:right="1440"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5"/>
              </w:rPr>
              <w:t>Reference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center"/>
              <w:ind w:right="12"/>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640" w:type="dxa"/>
            <w:vAlign w:val="bottom"/>
          </w:tcPr>
          <w:p>
            <w:pPr>
              <w:jc w:val="right"/>
              <w:ind w:right="22"/>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2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4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32.2</w:t>
            </w:r>
          </w:p>
        </w:tc>
        <w:tc>
          <w:tcPr>
            <w:tcW w:w="240" w:type="dxa"/>
            <w:vAlign w:val="bottom"/>
          </w:tcPr>
          <w:p>
            <w:pPr>
              <w:spacing w:after="0"/>
              <w:rPr>
                <w:sz w:val="17"/>
                <w:szCs w:val="17"/>
                <w:color w:val="auto"/>
              </w:rPr>
            </w:pPr>
          </w:p>
        </w:tc>
        <w:tc>
          <w:tcPr>
            <w:tcW w:w="44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2"/>
              </w:rPr>
              <w:t>Certification pursuant to 18 U.S.C. Section 1350, as adopted</w:t>
            </w:r>
          </w:p>
        </w:tc>
        <w:tc>
          <w:tcPr>
            <w:tcW w:w="1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jc w:val="right"/>
              <w:spacing w:after="0" w:line="201"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w w:val="93"/>
              </w:rPr>
              <w:t>pursuant to Section 906 of the Sarbanes-Oxley Act of 2002 for</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rPr>
              <w:t>Deanna Lund.</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w w:val="99"/>
              </w:rPr>
              <w:t>The following financial information from the Annual Report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w w:val="94"/>
              </w:rPr>
              <w:t>on Form 10-K of Kratos Defense &amp; Security Solutions, Inc. for</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w w:val="93"/>
              </w:rPr>
              <w:t>the year ended December 25, 2011, formatted in XBRL: (i) the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w w:val="91"/>
              </w:rPr>
              <w:t>Consolidated Balance Sheets, (ii) the Consolidated Statements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rPr>
              <w:t>of Operations, (iii) the Consolidated Statements of</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w w:val="92"/>
              </w:rPr>
              <w:t>Stockholders' Equity, (iv) the Consolidated Statements of Cash</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860" w:type="dxa"/>
            <w:vAlign w:val="bottom"/>
            <w:gridSpan w:val="4"/>
          </w:tcPr>
          <w:p>
            <w:pPr>
              <w:ind w:left="220"/>
              <w:spacing w:after="0"/>
              <w:rPr>
                <w:sz w:val="20"/>
                <w:szCs w:val="20"/>
                <w:color w:val="auto"/>
              </w:rPr>
            </w:pPr>
            <w:r>
              <w:rPr>
                <w:rFonts w:ascii="Arial" w:cs="Arial" w:eastAsia="Arial" w:hAnsi="Arial"/>
                <w:sz w:val="18"/>
                <w:szCs w:val="18"/>
                <w:color w:val="auto"/>
                <w:w w:val="92"/>
              </w:rPr>
              <w:t>Flows and (v) the Notes to Consolidated Financial Statements.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required to be filed as an exhibit to this form.</w:t>
      </w:r>
    </w:p>
    <w:p>
      <w:pPr>
        <w:spacing w:after="0" w:line="252" w:lineRule="exact"/>
        <w:rPr>
          <w:sz w:val="20"/>
          <w:szCs w:val="20"/>
          <w:color w:val="auto"/>
        </w:rPr>
      </w:pPr>
    </w:p>
    <w:p>
      <w:pPr>
        <w:ind w:left="1680" w:hanging="531"/>
        <w:spacing w:after="0" w:line="370" w:lineRule="auto"/>
        <w:tabs>
          <w:tab w:leader="none" w:pos="16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Certain schedules and exhibits reference in this document have been omitted in accordance with Item 601(b)(2) of Regulation S-K. A copy of any omitted schedule and/or exhibit will be furnished supplementally to the Securities and Exchange Commission upon request.</w:t>
      </w:r>
    </w:p>
    <w:p>
      <w:pPr>
        <w:spacing w:after="0" w:line="130" w:lineRule="exact"/>
        <w:rPr>
          <w:sz w:val="20"/>
          <w:szCs w:val="20"/>
          <w:color w:val="auto"/>
        </w:rPr>
      </w:pPr>
    </w:p>
    <w:p>
      <w:pPr>
        <w:ind w:left="1680" w:right="40" w:hanging="531"/>
        <w:spacing w:after="0" w:line="306" w:lineRule="auto"/>
        <w:tabs>
          <w:tab w:leader="none" w:pos="16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Pursuant to Rule 406T of Regulation S-T, this Interactive Data File is deemed not filed or part of a registrations statement or prospectus for purposes of Sections 11 or 12 of the Securities Act of 1933, as amended, is deemed not filed for purposes of Section 18 of the Exchange Act of 1934, as amended, and otherwise is not subject to liability under these sections.</w:t>
      </w:r>
    </w:p>
    <w:p>
      <w:pPr>
        <w:spacing w:after="0" w:line="168" w:lineRule="exact"/>
        <w:rPr>
          <w:rFonts w:ascii="Arial" w:cs="Arial" w:eastAsia="Arial" w:hAnsi="Arial"/>
          <w:sz w:val="16"/>
          <w:szCs w:val="16"/>
          <w:color w:val="auto"/>
        </w:rPr>
      </w:pPr>
    </w:p>
    <w:p>
      <w:pPr>
        <w:ind w:left="540" w:hanging="532"/>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15(a)(3) above.</w:t>
      </w:r>
    </w:p>
    <w:p>
      <w:pPr>
        <w:spacing w:after="0" w:line="246"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15(a)(2) above.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2012</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568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71120</wp:posOffset>
            </wp:positionV>
            <wp:extent cx="24009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President and Chief Executive Officer (Principal</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/s/ ERIC M. DEMARCO</w:t>
            </w:r>
          </w:p>
        </w:tc>
        <w:tc>
          <w:tcPr>
            <w:tcW w:w="3980" w:type="dxa"/>
            <w:vAlign w:val="bottom"/>
          </w:tcPr>
          <w:p>
            <w:pPr>
              <w:ind w:left="180"/>
              <w:spacing w:after="0"/>
              <w:rPr>
                <w:sz w:val="20"/>
                <w:szCs w:val="20"/>
                <w:color w:val="auto"/>
              </w:rPr>
            </w:pPr>
            <w:r>
              <w:rPr>
                <w:rFonts w:ascii="Arial" w:cs="Arial" w:eastAsia="Arial" w:hAnsi="Arial"/>
                <w:sz w:val="18"/>
                <w:szCs w:val="18"/>
                <w:color w:val="auto"/>
              </w:rPr>
              <w:t>President, Chief Executive Officer and Director</w:t>
            </w:r>
          </w:p>
        </w:tc>
        <w:tc>
          <w:tcPr>
            <w:tcW w:w="2620" w:type="dxa"/>
            <w:vAlign w:val="bottom"/>
          </w:tcPr>
          <w:p>
            <w:pPr>
              <w:ind w:left="240"/>
              <w:spacing w:after="0"/>
              <w:rPr>
                <w:sz w:val="20"/>
                <w:szCs w:val="20"/>
                <w:color w:val="auto"/>
              </w:rPr>
            </w:pPr>
            <w:r>
              <w:rPr>
                <w:rFonts w:ascii="Arial" w:cs="Arial" w:eastAsia="Arial" w:hAnsi="Arial"/>
                <w:sz w:val="18"/>
                <w:szCs w:val="18"/>
                <w:color w:val="auto"/>
              </w:rPr>
              <w:t>March 7,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Eric M. DeMarco</w:t>
            </w:r>
          </w:p>
        </w:tc>
        <w:tc>
          <w:tcPr>
            <w:tcW w:w="398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6"/>
              </w:rPr>
              <w:t>/s/ DEANNA H. LUND</w:t>
            </w:r>
          </w:p>
        </w:tc>
        <w:tc>
          <w:tcPr>
            <w:tcW w:w="3980" w:type="dxa"/>
            <w:vAlign w:val="bottom"/>
          </w:tcPr>
          <w:p>
            <w:pPr>
              <w:ind w:left="180"/>
              <w:spacing w:after="0"/>
              <w:rPr>
                <w:sz w:val="20"/>
                <w:szCs w:val="20"/>
                <w:color w:val="auto"/>
              </w:rPr>
            </w:pPr>
            <w:r>
              <w:rPr>
                <w:rFonts w:ascii="Arial" w:cs="Arial" w:eastAsia="Arial" w:hAnsi="Arial"/>
                <w:sz w:val="18"/>
                <w:szCs w:val="18"/>
                <w:color w:val="auto"/>
                <w:w w:val="97"/>
              </w:rPr>
              <w:t>Executive Vice President, Chief Financial Officer</w:t>
            </w:r>
          </w:p>
        </w:tc>
        <w:tc>
          <w:tcPr>
            <w:tcW w:w="2620" w:type="dxa"/>
            <w:vAlign w:val="bottom"/>
          </w:tcPr>
          <w:p>
            <w:pPr>
              <w:ind w:left="240"/>
              <w:spacing w:after="0"/>
              <w:rPr>
                <w:sz w:val="20"/>
                <w:szCs w:val="20"/>
                <w:color w:val="auto"/>
              </w:rPr>
            </w:pPr>
            <w:r>
              <w:rPr>
                <w:rFonts w:ascii="Arial" w:cs="Arial" w:eastAsia="Arial" w:hAnsi="Arial"/>
                <w:sz w:val="18"/>
                <w:szCs w:val="18"/>
                <w:color w:val="auto"/>
              </w:rPr>
              <w:t>March 7,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(Principal Financial Officer)</w:t>
            </w: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Deanna H. Lund</w:t>
            </w:r>
          </w:p>
        </w:tc>
        <w:tc>
          <w:tcPr>
            <w:tcW w:w="398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6"/>
              </w:rPr>
              <w:t>/s/ LAURA L. SIEGAL</w:t>
            </w:r>
          </w:p>
        </w:tc>
        <w:tc>
          <w:tcPr>
            <w:tcW w:w="3980" w:type="dxa"/>
            <w:vAlign w:val="bottom"/>
          </w:tcPr>
          <w:p>
            <w:pPr>
              <w:ind w:left="180"/>
              <w:spacing w:after="0"/>
              <w:rPr>
                <w:sz w:val="20"/>
                <w:szCs w:val="20"/>
                <w:color w:val="auto"/>
              </w:rPr>
            </w:pPr>
            <w:r>
              <w:rPr>
                <w:rFonts w:ascii="Arial" w:cs="Arial" w:eastAsia="Arial" w:hAnsi="Arial"/>
                <w:sz w:val="18"/>
                <w:szCs w:val="18"/>
                <w:color w:val="auto"/>
                <w:w w:val="94"/>
              </w:rPr>
              <w:t>Vice President and Corporate Controller (Principal</w:t>
            </w:r>
          </w:p>
        </w:tc>
        <w:tc>
          <w:tcPr>
            <w:tcW w:w="2620" w:type="dxa"/>
            <w:vAlign w:val="bottom"/>
          </w:tcPr>
          <w:p>
            <w:pPr>
              <w:ind w:left="240"/>
              <w:spacing w:after="0"/>
              <w:rPr>
                <w:sz w:val="20"/>
                <w:szCs w:val="20"/>
                <w:color w:val="auto"/>
              </w:rPr>
            </w:pPr>
            <w:r>
              <w:rPr>
                <w:rFonts w:ascii="Arial" w:cs="Arial" w:eastAsia="Arial" w:hAnsi="Arial"/>
                <w:sz w:val="18"/>
                <w:szCs w:val="18"/>
                <w:color w:val="auto"/>
              </w:rPr>
              <w:t>March 7,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Accounting Officer)</w:t>
            </w: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0"/>
              </w:rPr>
              <w:t>Laura L. Siegal</w:t>
            </w:r>
          </w:p>
        </w:tc>
        <w:tc>
          <w:tcPr>
            <w:tcW w:w="398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/s/ SCOTT ANDERSON</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Scott Anderson</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40"/>
              <w:spacing w:after="0"/>
              <w:rPr>
                <w:sz w:val="20"/>
                <w:szCs w:val="20"/>
                <w:color w:val="auto"/>
              </w:rPr>
            </w:pPr>
            <w:r>
              <w:rPr>
                <w:rFonts w:ascii="Arial" w:cs="Arial" w:eastAsia="Arial" w:hAnsi="Arial"/>
                <w:sz w:val="18"/>
                <w:szCs w:val="18"/>
                <w:color w:val="auto"/>
              </w:rPr>
              <w:t>March 7, 2012</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/s/ BANDEL CARANO</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Bandel Carano</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40"/>
              <w:spacing w:after="0"/>
              <w:rPr>
                <w:sz w:val="20"/>
                <w:szCs w:val="20"/>
                <w:color w:val="auto"/>
              </w:rPr>
            </w:pPr>
            <w:r>
              <w:rPr>
                <w:rFonts w:ascii="Arial" w:cs="Arial" w:eastAsia="Arial" w:hAnsi="Arial"/>
                <w:sz w:val="18"/>
                <w:szCs w:val="18"/>
                <w:color w:val="auto"/>
              </w:rPr>
              <w:t>March 7, 2012</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/s/ SCOT JARVIS</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Scot Jarvis</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40"/>
              <w:spacing w:after="0"/>
              <w:rPr>
                <w:sz w:val="20"/>
                <w:szCs w:val="20"/>
                <w:color w:val="auto"/>
              </w:rPr>
            </w:pPr>
            <w:r>
              <w:rPr>
                <w:rFonts w:ascii="Arial" w:cs="Arial" w:eastAsia="Arial" w:hAnsi="Arial"/>
                <w:sz w:val="18"/>
                <w:szCs w:val="18"/>
                <w:color w:val="auto"/>
              </w:rPr>
              <w:t>March 7, 2012</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/s/ JANE E. JUDD</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3"/>
              </w:rPr>
              <w:t>Jane E. Judd</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40"/>
              <w:spacing w:after="0"/>
              <w:rPr>
                <w:sz w:val="20"/>
                <w:szCs w:val="20"/>
                <w:color w:val="auto"/>
              </w:rPr>
            </w:pPr>
            <w:r>
              <w:rPr>
                <w:rFonts w:ascii="Arial" w:cs="Arial" w:eastAsia="Arial" w:hAnsi="Arial"/>
                <w:sz w:val="18"/>
                <w:szCs w:val="18"/>
                <w:color w:val="auto"/>
              </w:rPr>
              <w:t>March 7, 2012</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980" w:type="dxa"/>
            <w:vAlign w:val="bottom"/>
          </w:tcPr>
          <w:p>
            <w:pPr>
              <w:ind w:left="800"/>
              <w:spacing w:after="0"/>
              <w:rPr>
                <w:sz w:val="20"/>
                <w:szCs w:val="20"/>
                <w:color w:val="auto"/>
              </w:rPr>
            </w:pPr>
            <w:r>
              <w:rPr>
                <w:rFonts w:ascii="Arial" w:cs="Arial" w:eastAsia="Arial" w:hAnsi="Arial"/>
                <w:sz w:val="18"/>
                <w:szCs w:val="18"/>
                <w:color w:val="auto"/>
              </w:rPr>
              <w:t>82</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 SAM LIBERATORE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right"/>
        <w:ind w:right="139"/>
        <w:spacing w:after="0"/>
        <w:tabs>
          <w:tab w:leader="none" w:pos="5060" w:val="left"/>
          <w:tab w:leader="none" w:pos="1020" w:val="left"/>
        </w:tabs>
        <w:rPr>
          <w:sz w:val="20"/>
          <w:szCs w:val="20"/>
          <w:color w:val="auto"/>
        </w:rPr>
      </w:pPr>
      <w:r>
        <w:rPr>
          <w:rFonts w:ascii="Arial" w:cs="Arial" w:eastAsia="Arial" w:hAnsi="Arial"/>
          <w:sz w:val="18"/>
          <w:szCs w:val="18"/>
          <w:color w:val="auto"/>
        </w:rPr>
        <w:t>Sam Liberatore</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March 7, 2012</w:t>
      </w:r>
    </w:p>
    <w:p>
      <w:pPr>
        <w:spacing w:after="0" w:line="25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 WILLIAM HOGLUND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right"/>
        <w:ind w:right="139"/>
        <w:spacing w:after="0"/>
        <w:tabs>
          <w:tab w:leader="none" w:pos="5060" w:val="left"/>
          <w:tab w:leader="none" w:pos="1020" w:val="left"/>
        </w:tabs>
        <w:rPr>
          <w:sz w:val="20"/>
          <w:szCs w:val="20"/>
          <w:color w:val="auto"/>
        </w:rPr>
      </w:pPr>
      <w:r>
        <w:rPr>
          <w:rFonts w:ascii="Arial" w:cs="Arial" w:eastAsia="Arial" w:hAnsi="Arial"/>
          <w:sz w:val="18"/>
          <w:szCs w:val="18"/>
          <w:color w:val="auto"/>
        </w:rPr>
        <w:t>William Hoglund</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March 7, 2012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988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80" w:type="dxa"/>
            <w:vAlign w:val="bottom"/>
            <w:gridSpan w:val="7"/>
          </w:tcPr>
          <w:p>
            <w:pPr>
              <w:jc w:val="center"/>
              <w:ind w:right="13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80" w:type="dxa"/>
            <w:vAlign w:val="bottom"/>
            <w:gridSpan w:val="7"/>
          </w:tcPr>
          <w:p>
            <w:pPr>
              <w:jc w:val="center"/>
              <w:ind w:right="1240"/>
              <w:spacing w:after="0"/>
              <w:rPr>
                <w:sz w:val="20"/>
                <w:szCs w:val="20"/>
                <w:color w:val="auto"/>
              </w:rPr>
            </w:pPr>
            <w:r>
              <w:rPr>
                <w:rFonts w:ascii="Arial" w:cs="Arial" w:eastAsia="Arial" w:hAnsi="Arial"/>
                <w:sz w:val="18"/>
                <w:szCs w:val="18"/>
                <w:b w:val="1"/>
                <w:bCs w:val="1"/>
                <w:color w:val="auto"/>
                <w:w w:val="97"/>
              </w:rPr>
              <w:t>KRATOS DEFENSE &amp; SECURITY SOLUTIONS, INC.</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Report of Independent Registered Public Accounting Firm.</w:t>
              </w:r>
            </w:hyperlink>
          </w:p>
        </w:tc>
        <w:tc>
          <w:tcPr>
            <w:tcW w:w="4520" w:type="dxa"/>
            <w:vAlign w:val="bottom"/>
            <w:gridSpan w:val="5"/>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86">
              <w:r>
                <w:rPr>
                  <w:rFonts w:ascii="Arial" w:cs="Arial" w:eastAsia="Arial" w:hAnsi="Arial"/>
                  <w:sz w:val="18"/>
                  <w:szCs w:val="18"/>
                  <w:color w:val="0000EE"/>
                  <w:w w:val="81"/>
                </w:rPr>
                <w:t>F-2</w:t>
              </w:r>
            </w:hyperlink>
          </w:p>
        </w:tc>
        <w:tc>
          <w:tcPr>
            <w:tcW w:w="13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6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Consolidated Balance Sheets as of December 26, 2010 and December 25, 2011.</w:t>
              </w:r>
            </w:hyperlink>
          </w:p>
        </w:tc>
        <w:tc>
          <w:tcPr>
            <w:tcW w:w="3080" w:type="dxa"/>
            <w:vAlign w:val="bottom"/>
            <w:gridSpan w:val="4"/>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87">
              <w:r>
                <w:rPr>
                  <w:rFonts w:ascii="Arial" w:cs="Arial" w:eastAsia="Arial" w:hAnsi="Arial"/>
                  <w:sz w:val="18"/>
                  <w:szCs w:val="18"/>
                  <w:color w:val="0000EE"/>
                  <w:w w:val="81"/>
                </w:rPr>
                <w:t>F-3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1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Operations for the Years Ended December 27, 2009, December 26, 2010, and</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December 25, 2011.</w:t>
              </w:r>
            </w:hyperlink>
          </w:p>
        </w:tc>
        <w:tc>
          <w:tcPr>
            <w:tcW w:w="5760" w:type="dxa"/>
            <w:vAlign w:val="bottom"/>
            <w:tcBorders>
              <w:top w:val="single" w:sz="8" w:color="0000EE"/>
            </w:tcBorders>
            <w:gridSpan w:val="4"/>
          </w:tcPr>
          <w:p>
            <w:pPr>
              <w:spacing w:after="0"/>
              <w:rPr>
                <w:sz w:val="17"/>
                <w:szCs w:val="17"/>
                <w:color w:val="auto"/>
              </w:rPr>
            </w:pPr>
          </w:p>
        </w:tc>
        <w:tc>
          <w:tcPr>
            <w:tcW w:w="1320" w:type="dxa"/>
            <w:vAlign w:val="bottom"/>
            <w:gridSpan w:val="3"/>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88">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1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Consolidated Statements of Stockholders' Equity for the Years Ended December 27, 2009, December 26, 2010, and</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December 25, 2011.</w:t>
              </w:r>
            </w:hyperlink>
          </w:p>
        </w:tc>
        <w:tc>
          <w:tcPr>
            <w:tcW w:w="7080" w:type="dxa"/>
            <w:vAlign w:val="bottom"/>
            <w:gridSpan w:val="7"/>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89">
              <w:r>
                <w:rPr>
                  <w:rFonts w:ascii="Arial" w:cs="Arial" w:eastAsia="Arial" w:hAnsi="Arial"/>
                  <w:sz w:val="18"/>
                  <w:szCs w:val="18"/>
                  <w:color w:val="0000EE"/>
                  <w:w w:val="81"/>
                </w:rPr>
                <w:t>F-5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4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Consolidated Statements of Cash Flows for the Years Ended December 27, 2009, December 26, 2010, and</w:t>
              </w:r>
            </w:hyperlink>
          </w:p>
        </w:tc>
        <w:tc>
          <w:tcPr>
            <w:tcW w:w="1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December 25, 2011.</w:t>
              </w:r>
            </w:hyperlink>
          </w:p>
        </w:tc>
        <w:tc>
          <w:tcPr>
            <w:tcW w:w="7080" w:type="dxa"/>
            <w:vAlign w:val="bottom"/>
            <w:gridSpan w:val="7"/>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91">
              <w:r>
                <w:rPr>
                  <w:rFonts w:ascii="Arial" w:cs="Arial" w:eastAsia="Arial" w:hAnsi="Arial"/>
                  <w:sz w:val="18"/>
                  <w:szCs w:val="18"/>
                  <w:color w:val="0000EE"/>
                  <w:w w:val="81"/>
                </w:rPr>
                <w:t>F-6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10"/>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F-8</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gridSpan w:val="5"/>
          </w:tcPr>
          <w:p>
            <w:pPr>
              <w:jc w:val="center"/>
              <w:ind w:right="3800"/>
              <w:spacing w:after="0"/>
              <w:rPr>
                <w:sz w:val="20"/>
                <w:szCs w:val="20"/>
                <w:color w:val="auto"/>
              </w:rPr>
            </w:pPr>
            <w:r>
              <w:rPr>
                <w:rFonts w:ascii="Arial" w:cs="Arial" w:eastAsia="Arial" w:hAnsi="Arial"/>
                <w:sz w:val="18"/>
                <w:szCs w:val="18"/>
                <w:color w:val="auto"/>
                <w:w w:val="88"/>
              </w:rPr>
              <w:t>F-1</w:t>
            </w: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Kratos Defense &amp; Security Solutions, Inc. as of December 26, 2010 and December 25, 2011, and the related consolidated statements of operations, stockholders' equity, and cash flows for each of the three years in the period ended December 25, 2011.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Kratos Defense &amp; Security Solutions, Inc. as of December 26, 2010 and December 25, 2011, and the results of its operations and its cash flows for each of the three years in the period ended December 25, 2011, in conformity with accounting principles generally accepted in the United States of America.</w:t>
      </w:r>
    </w:p>
    <w:p>
      <w:pPr>
        <w:spacing w:after="0" w:line="16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Kratos Defense &amp; Security Solutions, Inc.'s internal control over financial reporting as of December 25,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7, 2012 expressed an unqualified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December 26, 2010 and December 25, 2011</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Inventoried costs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Current assets of discontinued operations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vMerge w:val="restart"/>
          </w:tcPr>
          <w:p>
            <w:pPr>
              <w:ind w:left="30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liability</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Acquisition related holdback payments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premium</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vMerge w:val="restart"/>
          </w:tcPr>
          <w:p>
            <w:pPr>
              <w:ind w:left="3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Preferred stock, 5,000,000 shares authorized Series B Convertible Preferred Stock, $.001 par value,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10,000 shares outstanding at December 26, 2010 and 0 shares outstanding at December 25, 2011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(liquidation preference $5.0 million at December 26, 2010) (see note 11)</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w w:val="91"/>
              </w:rPr>
              <w:t>Common stock, $.001 par value, 195,000,000 shares authorized; 18,616,023 and 32,421,135 shares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issued and outstanding at December 26, 2010 and December 25, 2011, respectively</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(383.6)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vMerge w:val="restart"/>
          </w:tcPr>
          <w:p>
            <w:pPr>
              <w:ind w:left="3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SECURITIES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Years ended December 27, 2009, December 26, 2010, and December 25, 2011</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284.8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Product sales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369.5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Cost of service revenues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221.2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263.1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vMerge w:val="restart"/>
          </w:tcPr>
          <w:p>
            <w:pPr>
              <w:ind w:left="320"/>
              <w:spacing w:after="0"/>
              <w:rPr>
                <w:sz w:val="20"/>
                <w:szCs w:val="20"/>
                <w:color w:val="auto"/>
              </w:rPr>
            </w:pPr>
            <w:r>
              <w:rPr>
                <w:rFonts w:ascii="Arial" w:cs="Arial" w:eastAsia="Arial" w:hAnsi="Arial"/>
                <w:sz w:val="18"/>
                <w:szCs w:val="18"/>
                <w:color w:val="auto"/>
              </w:rPr>
              <w:t>Total costs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324.2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0"/>
              </w:rPr>
              <w:t>Recovery of unauthorized issuance of stock options, stock option investigation and related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and litigation settlement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Merger and acquisition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 from continuing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 from continuing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vMerge w:val="restart"/>
          </w:tcPr>
          <w:p>
            <w:pPr>
              <w:ind w:left="320"/>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(41.5)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income (loss) per common share: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vMerge w:val="restart"/>
          </w:tcPr>
          <w:p>
            <w:pPr>
              <w:ind w:left="320"/>
              <w:spacing w:after="0"/>
              <w:rPr>
                <w:sz w:val="20"/>
                <w:szCs w:val="20"/>
                <w:color w:val="auto"/>
              </w:rPr>
            </w:pPr>
            <w:r>
              <w:rPr>
                <w:rFonts w:ascii="Arial" w:cs="Arial" w:eastAsia="Arial" w:hAnsi="Arial"/>
                <w:sz w:val="18"/>
                <w:szCs w:val="18"/>
                <w:color w:val="auto"/>
              </w:rPr>
              <w:t>Net income (loss) per common share:</w:t>
            </w:r>
          </w:p>
        </w:tc>
        <w:tc>
          <w:tcPr>
            <w:tcW w:w="1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(0.88)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income (loss) per common share: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vMerge w:val="restart"/>
          </w:tcPr>
          <w:p>
            <w:pPr>
              <w:ind w:left="320"/>
              <w:spacing w:after="0"/>
              <w:rPr>
                <w:sz w:val="20"/>
                <w:szCs w:val="20"/>
                <w:color w:val="auto"/>
              </w:rPr>
            </w:pPr>
            <w:r>
              <w:rPr>
                <w:rFonts w:ascii="Arial" w:cs="Arial" w:eastAsia="Arial" w:hAnsi="Arial"/>
                <w:sz w:val="18"/>
                <w:szCs w:val="18"/>
                <w:color w:val="auto"/>
              </w:rPr>
              <w:t>Net income (loss) per common share:</w:t>
            </w:r>
          </w:p>
        </w:tc>
        <w:tc>
          <w:tcPr>
            <w:tcW w:w="1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(0.88)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above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cumulative translation adjustment net of tax expense of $0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Postretirement benefit reserve adjustment net of tax expense of $0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(41.5)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8" w:name="page89"/>
    <w:bookmarkEnd w:id="88"/>
    <w:p>
      <w:pPr>
        <w:spacing w:after="0" w:line="4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left="1520" w:right="1580"/>
        <w:spacing w:after="0" w:line="261" w:lineRule="auto"/>
        <w:rPr>
          <w:sz w:val="20"/>
          <w:szCs w:val="20"/>
          <w:color w:val="auto"/>
        </w:rPr>
      </w:pPr>
      <w:r>
        <w:rPr>
          <w:rFonts w:ascii="Arial" w:cs="Arial" w:eastAsia="Arial" w:hAnsi="Arial"/>
          <w:sz w:val="18"/>
          <w:szCs w:val="18"/>
          <w:b w:val="1"/>
          <w:bCs w:val="1"/>
          <w:color w:val="auto"/>
        </w:rPr>
        <w:t>KRATOS DEFENSE &amp; SECURITY SOLUTIONS, INC. Consolidated Statements of Stockholders' Equity Years ended December 27, 2009, December 26, 2010, and December 25, 2011 (in millions)</w:t>
      </w:r>
    </w:p>
    <w:p>
      <w:pPr>
        <w:spacing w:after="0" w:line="394"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080" w:type="dxa"/>
            <w:vAlign w:val="bottom"/>
          </w:tcPr>
          <w:p>
            <w:pPr>
              <w:spacing w:after="0"/>
              <w:rPr>
                <w:sz w:val="12"/>
                <w:szCs w:val="12"/>
                <w:color w:val="auto"/>
              </w:rPr>
            </w:pPr>
          </w:p>
        </w:tc>
        <w:tc>
          <w:tcPr>
            <w:tcW w:w="94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4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4"/>
              </w:rPr>
              <w:t>Stockholders'</w:t>
            </w:r>
          </w:p>
        </w:tc>
      </w:tr>
      <w:tr>
        <w:trPr>
          <w:trHeight w:val="161"/>
        </w:trPr>
        <w:tc>
          <w:tcPr>
            <w:tcW w:w="1180" w:type="dxa"/>
            <w:vAlign w:val="bottom"/>
          </w:tcPr>
          <w:p>
            <w:pPr>
              <w:jc w:val="center"/>
              <w:ind w:right="192"/>
              <w:spacing w:after="0"/>
              <w:rPr>
                <w:sz w:val="20"/>
                <w:szCs w:val="20"/>
                <w:color w:val="auto"/>
              </w:rPr>
            </w:pPr>
            <w:r>
              <w:rPr>
                <w:rFonts w:ascii="Arial" w:cs="Arial" w:eastAsia="Arial" w:hAnsi="Arial"/>
                <w:sz w:val="14"/>
                <w:szCs w:val="14"/>
                <w:b w:val="1"/>
                <w:bCs w:val="1"/>
                <w:color w:val="auto"/>
                <w:w w:val="88"/>
              </w:rPr>
              <w:t>Preferred Stock</w:t>
            </w:r>
          </w:p>
        </w:tc>
        <w:tc>
          <w:tcPr>
            <w:tcW w:w="1380" w:type="dxa"/>
            <w:vAlign w:val="bottom"/>
          </w:tcPr>
          <w:p>
            <w:pPr>
              <w:ind w:left="26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Paid-In Capital</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79"/>
              </w:rPr>
              <w:t>Loss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94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866130" cy="420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66130" cy="420370"/>
                    </a:xfrm>
                    <a:prstGeom prst="rect">
                      <a:avLst/>
                    </a:prstGeom>
                    <a:noFill/>
                  </pic:spPr>
                </pic:pic>
              </a:graphicData>
            </a:graphic>
          </wp:anchor>
        </w:drawing>
      </w:r>
    </w:p>
    <w:p>
      <w:pPr>
        <w:sectPr>
          <w:pgSz w:w="11900" w:h="16882" w:orient="portrait"/>
          <w:cols w:equalWidth="0" w:num="1">
            <w:col w:w="10280"/>
          </w:cols>
          <w:pgMar w:left="240" w:top="131" w:right="1379" w:bottom="0" w:gutter="0" w:footer="0" w:header="0"/>
        </w:sectPr>
      </w:pPr>
    </w:p>
    <w:tbl>
      <w:tblPr>
        <w:tblLayout w:type="fixed"/>
        <w:tblInd w:w="1140" w:type="dxa"/>
        <w:tblCellMar>
          <w:top w:w="0" w:type="dxa"/>
          <w:left w:w="0" w:type="dxa"/>
          <w:bottom w:w="0" w:type="dxa"/>
          <w:right w:w="0" w:type="dxa"/>
        </w:tblCellMar>
      </w:tblPr>
      <w:tr>
        <w:trPr>
          <w:trHeight w:val="195"/>
        </w:trPr>
        <w:tc>
          <w:tcPr>
            <w:tcW w:w="1740" w:type="dxa"/>
            <w:vAlign w:val="bottom"/>
          </w:tcPr>
          <w:p>
            <w:pPr>
              <w:spacing w:after="0" w:line="195" w:lineRule="exact"/>
              <w:rPr>
                <w:sz w:val="20"/>
                <w:szCs w:val="20"/>
                <w:color w:val="auto"/>
              </w:rPr>
            </w:pPr>
            <w:r>
              <w:rPr>
                <w:rFonts w:ascii="Arial" w:cs="Arial" w:eastAsia="Arial" w:hAnsi="Arial"/>
                <w:sz w:val="18"/>
                <w:szCs w:val="18"/>
                <w:b w:val="1"/>
                <w:bCs w:val="1"/>
                <w:color w:val="auto"/>
              </w:rPr>
              <w:t>Balance,</w:t>
            </w:r>
          </w:p>
        </w:tc>
        <w:tc>
          <w:tcPr>
            <w:tcW w:w="5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December 28,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2008</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  $</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Issuance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for employee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stock purchase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plan, options and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warrants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issued for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issued for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Paid in capital and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issued for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contingent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consideration</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7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Balance,</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7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December 27,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2009</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1740" w:type="dxa"/>
            <w:vAlign w:val="bottom"/>
            <w:vMerge w:val="restart"/>
          </w:tcPr>
          <w:p>
            <w:pPr>
              <w:ind w:left="180"/>
              <w:spacing w:after="0"/>
              <w:rPr>
                <w:sz w:val="20"/>
                <w:szCs w:val="20"/>
                <w:color w:val="auto"/>
              </w:rPr>
            </w:pPr>
            <w:r>
              <w:rPr>
                <w:rFonts w:ascii="Arial" w:cs="Arial" w:eastAsia="Arial" w:hAnsi="Arial"/>
                <w:sz w:val="18"/>
                <w:szCs w:val="18"/>
                <w:color w:val="auto"/>
              </w:rPr>
              <w:t>Issuance of</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for employee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stock purchase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plan, options and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warrants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Issuance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for cash</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Fair value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options assumed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for acquisition</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Conversion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convertible notes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Balance,</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7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December 26,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2010</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1740" w:type="dxa"/>
            <w:vAlign w:val="bottom"/>
            <w:vMerge w:val="restart"/>
          </w:tcPr>
          <w:p>
            <w:pPr>
              <w:ind w:left="180"/>
              <w:spacing w:after="0"/>
              <w:rPr>
                <w:sz w:val="20"/>
                <w:szCs w:val="20"/>
                <w:color w:val="auto"/>
              </w:rPr>
            </w:pPr>
            <w:r>
              <w:rPr>
                <w:rFonts w:ascii="Arial" w:cs="Arial" w:eastAsia="Arial" w:hAnsi="Arial"/>
                <w:sz w:val="18"/>
                <w:szCs w:val="18"/>
                <w:color w:val="auto"/>
              </w:rPr>
              <w:t>Issuance of</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for employee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stock purchase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plan and options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Issuance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for cash</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Issuance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for acquisitions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Fair value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options assumed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for acquisitions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Redemption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Series B</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340"/>
              <w:spacing w:after="0"/>
              <w:rPr>
                <w:sz w:val="20"/>
                <w:szCs w:val="20"/>
                <w:color w:val="auto"/>
              </w:rPr>
            </w:pPr>
            <w:r>
              <w:rPr>
                <w:rFonts w:ascii="Arial" w:cs="Arial" w:eastAsia="Arial" w:hAnsi="Arial"/>
                <w:sz w:val="18"/>
                <w:szCs w:val="18"/>
                <w:color w:val="auto"/>
              </w:rPr>
              <w:t>Convertible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-7922260</wp:posOffset>
            </wp:positionV>
            <wp:extent cx="586613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66130" cy="41148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-7098665</wp:posOffset>
            </wp:positionV>
            <wp:extent cx="5866130" cy="685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66130" cy="68580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-6138545</wp:posOffset>
            </wp:positionV>
            <wp:extent cx="586613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613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-5537835</wp:posOffset>
            </wp:positionV>
            <wp:extent cx="5866130" cy="823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66130" cy="82359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-4303395</wp:posOffset>
            </wp:positionV>
            <wp:extent cx="586613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66130" cy="41148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-3616960</wp:posOffset>
            </wp:positionV>
            <wp:extent cx="586613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-3179445</wp:posOffset>
            </wp:positionV>
            <wp:extent cx="586613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66130" cy="41148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-2056130</wp:posOffset>
            </wp:positionV>
            <wp:extent cx="5866130"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6130" cy="41148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-1233170</wp:posOffset>
            </wp:positionV>
            <wp:extent cx="586613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66130" cy="41148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-546735</wp:posOffset>
            </wp:positionV>
            <wp:extent cx="5866130" cy="548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6613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503.5</w:t>
            </w: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(356.6)</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146.9</w:t>
            </w:r>
          </w:p>
        </w:tc>
        <w:tc>
          <w:tcPr>
            <w:tcW w:w="40" w:type="dxa"/>
            <w:vAlign w:val="bottom"/>
          </w:tcPr>
          <w:p>
            <w:pPr>
              <w:spacing w:after="0"/>
              <w:rPr>
                <w:sz w:val="19"/>
                <w:szCs w:val="19"/>
                <w:color w:val="auto"/>
              </w:rPr>
            </w:pPr>
          </w:p>
        </w:tc>
      </w:tr>
      <w:tr>
        <w:trPr>
          <w:trHeight w:val="1297"/>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4"/>
                <w:szCs w:val="24"/>
                <w:color w:val="auto"/>
              </w:rPr>
            </w:pPr>
          </w:p>
        </w:tc>
      </w:tr>
      <w:tr>
        <w:trPr>
          <w:trHeight w:val="648"/>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4"/>
                <w:szCs w:val="24"/>
                <w:color w:val="auto"/>
              </w:rPr>
            </w:pPr>
          </w:p>
        </w:tc>
      </w:tr>
      <w:tr>
        <w:trPr>
          <w:trHeight w:val="648"/>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24"/>
                <w:szCs w:val="24"/>
                <w:color w:val="auto"/>
              </w:rPr>
            </w:pPr>
          </w:p>
        </w:tc>
      </w:tr>
      <w:tr>
        <w:trPr>
          <w:trHeight w:val="1080"/>
        </w:trPr>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426"/>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r>
      <w:tr>
        <w:trPr>
          <w:trHeight w:val="222"/>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(41.5)</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640"/>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523.0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124.9</w:t>
            </w:r>
          </w:p>
        </w:tc>
        <w:tc>
          <w:tcPr>
            <w:tcW w:w="40" w:type="dxa"/>
            <w:vAlign w:val="bottom"/>
          </w:tcPr>
          <w:p>
            <w:pPr>
              <w:spacing w:after="0"/>
              <w:rPr>
                <w:sz w:val="24"/>
                <w:szCs w:val="24"/>
                <w:color w:val="auto"/>
              </w:rPr>
            </w:pP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288"/>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r>
      <w:tr>
        <w:trPr>
          <w:trHeight w:val="648"/>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24"/>
                <w:szCs w:val="24"/>
                <w:color w:val="auto"/>
              </w:rPr>
            </w:pPr>
          </w:p>
        </w:tc>
      </w:tr>
      <w:tr>
        <w:trPr>
          <w:trHeight w:val="648"/>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r>
      <w:tr>
        <w:trPr>
          <w:trHeight w:val="432"/>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26"/>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4"/>
                <w:szCs w:val="24"/>
                <w:color w:val="auto"/>
              </w:rPr>
            </w:pPr>
          </w:p>
        </w:tc>
      </w:tr>
      <w:tr>
        <w:trPr>
          <w:trHeight w:val="222"/>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9"/>
                <w:szCs w:val="19"/>
                <w:color w:val="auto"/>
              </w:rPr>
            </w:pP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640"/>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553.5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(383.6)</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169.9</w:t>
            </w:r>
          </w:p>
        </w:tc>
        <w:tc>
          <w:tcPr>
            <w:tcW w:w="40" w:type="dxa"/>
            <w:vAlign w:val="bottom"/>
          </w:tcPr>
          <w:p>
            <w:pPr>
              <w:spacing w:after="0"/>
              <w:rPr>
                <w:sz w:val="24"/>
                <w:szCs w:val="24"/>
                <w:color w:val="auto"/>
              </w:rPr>
            </w:pP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072"/>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r>
      <w:tr>
        <w:trPr>
          <w:trHeight w:val="648"/>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w:t>
            </w:r>
          </w:p>
        </w:tc>
        <w:tc>
          <w:tcPr>
            <w:tcW w:w="40" w:type="dxa"/>
            <w:vAlign w:val="bottom"/>
          </w:tcPr>
          <w:p>
            <w:pPr>
              <w:spacing w:after="0"/>
              <w:rPr>
                <w:sz w:val="24"/>
                <w:szCs w:val="24"/>
                <w:color w:val="auto"/>
              </w:rPr>
            </w:pPr>
          </w:p>
        </w:tc>
      </w:tr>
      <w:tr>
        <w:trPr>
          <w:trHeight w:val="648"/>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109.7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109.7</w:t>
            </w:r>
          </w:p>
        </w:tc>
        <w:tc>
          <w:tcPr>
            <w:tcW w:w="40" w:type="dxa"/>
            <w:vAlign w:val="bottom"/>
          </w:tcPr>
          <w:p>
            <w:pPr>
              <w:spacing w:after="0"/>
              <w:rPr>
                <w:sz w:val="24"/>
                <w:szCs w:val="24"/>
                <w:color w:val="auto"/>
              </w:rPr>
            </w:pPr>
          </w:p>
        </w:tc>
      </w:tr>
      <w:tr>
        <w:trPr>
          <w:trHeight w:val="648"/>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32"/>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864"/>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-5984240</wp:posOffset>
            </wp:positionV>
            <wp:extent cx="6858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-5546725</wp:posOffset>
            </wp:positionV>
            <wp:extent cx="6858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-3188335</wp:posOffset>
            </wp:positionV>
            <wp:extent cx="6858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-2750820</wp:posOffset>
            </wp:positionV>
            <wp:extent cx="6858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82" w:orient="portrait"/>
          <w:cols w:equalWidth="0" w:num="2">
            <w:col w:w="5840" w:space="580"/>
            <w:col w:w="3860"/>
          </w:cols>
          <w:pgMar w:left="240" w:top="131" w:right="1379"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r>
      <w:tr>
        <w:trPr>
          <w:trHeight w:val="223"/>
        </w:trPr>
        <w:tc>
          <w:tcPr>
            <w:tcW w:w="20" w:type="dxa"/>
            <w:vAlign w:val="bottom"/>
          </w:tcPr>
          <w:p>
            <w:pPr>
              <w:spacing w:after="0"/>
              <w:rPr>
                <w:sz w:val="19"/>
                <w:szCs w:val="19"/>
                <w:color w:val="auto"/>
              </w:rPr>
            </w:pPr>
          </w:p>
        </w:tc>
        <w:tc>
          <w:tcPr>
            <w:tcW w:w="1720" w:type="dxa"/>
            <w:vAlign w:val="bottom"/>
          </w:tcPr>
          <w:p>
            <w:pPr>
              <w:ind w:left="320"/>
              <w:spacing w:after="0"/>
              <w:rPr>
                <w:sz w:val="20"/>
                <w:szCs w:val="20"/>
                <w:color w:val="auto"/>
              </w:rPr>
            </w:pPr>
            <w:r>
              <w:rPr>
                <w:rFonts w:ascii="Arial" w:cs="Arial" w:eastAsia="Arial" w:hAnsi="Arial"/>
                <w:sz w:val="18"/>
                <w:szCs w:val="18"/>
                <w:color w:val="auto"/>
              </w:rPr>
              <w:t>repurchased</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r>
      <w:tr>
        <w:trPr>
          <w:trHeight w:val="208"/>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20"/>
              <w:spacing w:after="0"/>
              <w:rPr>
                <w:sz w:val="20"/>
                <w:szCs w:val="20"/>
                <w:color w:val="auto"/>
              </w:rPr>
            </w:pPr>
            <w:r>
              <w:rPr>
                <w:rFonts w:ascii="Arial" w:cs="Arial" w:eastAsia="Arial" w:hAnsi="Arial"/>
                <w:sz w:val="18"/>
                <w:szCs w:val="18"/>
                <w:color w:val="auto"/>
              </w:rPr>
              <w:t>comprehensive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20" w:type="dxa"/>
            <w:vAlign w:val="bottom"/>
          </w:tcPr>
          <w:p>
            <w:pPr>
              <w:ind w:left="320"/>
              <w:spacing w:after="0"/>
              <w:rPr>
                <w:sz w:val="20"/>
                <w:szCs w:val="20"/>
                <w:color w:val="auto"/>
              </w:rPr>
            </w:pPr>
            <w:r>
              <w:rPr>
                <w:rFonts w:ascii="Arial" w:cs="Arial" w:eastAsia="Arial" w:hAnsi="Arial"/>
                <w:sz w:val="18"/>
                <w:szCs w:val="18"/>
                <w:color w:val="auto"/>
              </w:rPr>
              <w:t>loss, net of tax</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r>
      <w:tr>
        <w:trPr>
          <w:trHeight w:val="29"/>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25,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2011</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60" w:type="dxa"/>
            <w:vAlign w:val="bottom"/>
            <w:shd w:val="clear" w:color="auto" w:fill="CCEEFF"/>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31" w:right="1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Years ended December 27, 2009, December 26, 2010, and December 25, 2011</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  (41.5)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Income (loss) from discontinued operations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Adjustments to reconcile income (loss) from continuing operations to net cash provided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by operating activities from continuing operations: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Accrual for litigation settlement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impairment charges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Amortization of premium on Senior Secured Notes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Mark to market on swaps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accrual for excess facilities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Changes in assets and liabilities, net of acquisitions: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Inventoried costs</w:t>
            </w: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Accrual for contingent acquisition consideration</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Income tax receivable and payable</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70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Cash paid for acquisitions, net of cash acquired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contingent acquisition consideration</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Proceeds (payments) from the disposition of discontinued operations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transferred from (to) restricted cash</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 from continuing operations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Years ended December 27, 2009, December 26, 2010, and December 25, 2011</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Proceeds from exercise of restricted stock units, employee stock options, and employee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purchase plan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subordinated debt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Borrowings under credit facility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under credit facility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cash flows from continuing operations</w:t>
            </w: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cash flows from discontinued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 interest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Net cash paid during the year for income taxes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Common stock and stock options issued for acquisitions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 for contingent acquisition consideration</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Liability for contingent cash consideration</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transactions: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Fair value of assets acquired in acquisitions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assumed in acquisitions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Kratos Defense &amp; Security Solutions, Inc. ("Kratos" or the "Company") is a specialized national security technology business providing mission critical products, services and solutions for U.S. national security priorities. Kratos' core capabilities are sophisticated engineering, manufacturing and system integration offerings for national security platforms and programs. Its principal products and services are related to, but are not limited to: electronic attack and electronic warfare platforms; tactical missile systems; strategic deterrence systems; Command, Control, Communications, Computing, Combat Systems, Intelligence, Surveillance and Reconnaissance ("C5ISR"); related cybersecurity, cyberwarfare, information assurance and situational awareness solutions; satellite communication systems and radio frequency interference detection and prevention; weapons systems lifecycle support and sustainment; military weapon range operations and technical services; missile, rocket and weapons system testing and evaluation; missile and rocket mission launch services, primarily for ballistic missile defense; public safety, critical infrastructure security and surveillance systems; modeling and simulation; unmanned aerial vehicle systems; and advanced network engineering and information technology ("IT") services.</w:t>
      </w:r>
    </w:p>
    <w:p>
      <w:pPr>
        <w:spacing w:after="0" w:line="17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94"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Company operates in two principal business segments: Kratos Government Solutions ("KGS") and Public Safety &amp; Security ("PSS"). The Company organizes its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on Form 10-K (this "Annual Report") are presented in a manner consistent with its operating structure. For additional information regarding the Company's operating segments, see Note 14 of the Notes to the Consolidated Financial Statements. From a customer and solutions perspective, Kratos views its business as an integrated whole and leverages skills and assets wherever possible.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Year</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Fiscal years end on the last Sunday of the year and interim fiscal periods end on the last Sunday of the last month of each calendar quarter. The fiscal years ended on December 27, 2009, December 26, 2010 and December 25, 2011, each contained 52 calendar weeks.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Reclassifications</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Certain amounts in the December 27, 2009 and December 26, 2010 consolidated statements of operations have been reclassified to conform to the December 25, 2011 presentation. In each of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2009 and 2010 consolidated statements of operations, $5.7 million of overhead expense was reclassified from general and administrative expenses to costs of goods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Use of Estimates</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accruals for partial self-insurance, contingencies and litigation, contingent acquisition consideration, stock-based compensation and business combination purchase price allocations.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66"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31"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On September 10, 2009, the Company completed a 1-for-10 reverse split of its common stock. All common stock, stock options, other equity incentive awards, and warrants to purchase common stock and earnings per share amounts have been retroactively restated as if the reverse stock split occurred at the beginning of the period ended December 27,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Revenue Recognition</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Company generates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fixed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its prior award experience and communications with the customer regarding performance, including any interim performance evaluations rendered by the customer. 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Company has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6"/>
          <w:szCs w:val="16"/>
          <w:i w:val="1"/>
          <w:iCs w:val="1"/>
          <w:color w:val="auto"/>
        </w:rPr>
        <w:t>Financial Accounting Standards Board ("FASB") Accounting Standards Code</w:t>
      </w:r>
      <w:r>
        <w:rPr>
          <w:rFonts w:ascii="Arial" w:cs="Arial" w:eastAsia="Arial" w:hAnsi="Arial"/>
          <w:sz w:val="16"/>
          <w:szCs w:val="16"/>
          <w:color w:val="auto"/>
        </w:rPr>
        <w:t xml:space="preserve"> ("</w:t>
      </w:r>
      <w:r>
        <w:rPr>
          <w:rFonts w:ascii="Arial" w:cs="Arial" w:eastAsia="Arial" w:hAnsi="Arial"/>
          <w:sz w:val="16"/>
          <w:szCs w:val="16"/>
          <w:i w:val="1"/>
          <w:iCs w:val="1"/>
          <w:color w:val="auto"/>
        </w:rPr>
        <w:t>ASC") Topic 605, 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605")</w:t>
      </w:r>
      <w:r>
        <w:rPr>
          <w:rFonts w:ascii="Arial" w:cs="Arial" w:eastAsia="Arial" w:hAnsi="Arial"/>
          <w:sz w:val="16"/>
          <w:szCs w:val="16"/>
          <w:color w:val="auto"/>
        </w:rPr>
        <w:t>, specifically</w:t>
      </w:r>
      <w:r>
        <w:rPr>
          <w:rFonts w:ascii="Arial" w:cs="Arial" w:eastAsia="Arial" w:hAnsi="Arial"/>
          <w:sz w:val="16"/>
          <w:szCs w:val="16"/>
          <w:i w:val="1"/>
          <w:iCs w:val="1"/>
          <w:color w:val="auto"/>
        </w:rPr>
        <w:t xml:space="preserve"> Topic 605-10-S99</w:t>
      </w:r>
      <w:r>
        <w:rPr>
          <w:rFonts w:ascii="Arial" w:cs="Arial" w:eastAsia="Arial" w:hAnsi="Arial"/>
          <w:sz w:val="16"/>
          <w:szCs w:val="16"/>
          <w:color w:val="auto"/>
        </w:rPr>
        <w:t>, which generally requires revenue to be deferred until all of the following have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occurred: (1) there is a contract in place, (2) delivery has occurred, (3) the price is fixed or determinable, and (4) collectability is reasonably assured. Revenues on fixed-price contracts that require delivery of specific items may be recorded based on a price per unit as units are delivered. Revenue for fixed price contracts in which the Company is paid a specific amount to provide services for a stated period of time is recognized ratably over the service period.</w:t>
      </w:r>
    </w:p>
    <w:p>
      <w:pPr>
        <w:spacing w:after="0" w:line="16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On a portion of the fixed price-completion contracts revenue is recognized in accordance with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using the percentage-of-completion method based on the ratio of total costs incurred to date compared to estimated total costs to complete the contract. Estimates of costs to complete include material, direct labor, overhead, and allowable indirect expenses for government contracts. These cost estimates are reviewed and, if necessary, revised monthly on a contract-by-contract basis. If, as a result of this review, management determines that a loss on a contract is probable, then the full amount of estimated loss is charged to operations in the period it is determined that it is probable a loss will be realized from the full performance of the contract. As of December 26, 2010 and December 25, 2011, the provisions for losses on contracts were $1.7 million and $3.5 million, respectively.</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certain instances in which it is impractical to estimate the final outcome of the project margin, but it is certain that the Company will not incur a loss on the project, the Company may record revenue equal to cost incurred, at zero margin. In the event that the cost incurred to date may be in excess of the funded contract value, the Company may defer those costs until the associated contract value has been funded by the customer. Once the final estimate of the outcome of the project margin is determined, the Company will record revenue using the percentage-of-completion method of accounting based on the ratio of total costs incurred to date compared to the estimated total costs to complete the project.</w:t>
      </w:r>
    </w:p>
    <w:p>
      <w:pPr>
        <w:spacing w:after="0" w:line="170"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 xml:space="preserve">In accounting for the Company's long-term contracts for production of products provided to the U.S. Government, the Company utilizes both cost-to-cost and units produced measures under the percentage-of-completion method of accounting under the provisions of </w:t>
      </w:r>
      <w:r>
        <w:rPr>
          <w:rFonts w:ascii="Arial" w:cs="Arial" w:eastAsia="Arial" w:hAnsi="Arial"/>
          <w:sz w:val="16"/>
          <w:szCs w:val="16"/>
          <w:i w:val="1"/>
          <w:iCs w:val="1"/>
          <w:color w:val="auto"/>
        </w:rPr>
        <w:t>Topic 605</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produced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the Company's gross margins for the period in which the contract is modified or cancelled.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may result in the amount and timing of the Company's revenue for any period if management made different judgments or utilized different estimates.</w:t>
      </w:r>
    </w:p>
    <w:p>
      <w:pPr>
        <w:spacing w:after="0" w:line="24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 xml:space="preserve">It is the Company's policy to review any arrangement containing software or software deliverables and services against the criteria contained in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985, Software ("Topic 985"). </w:t>
      </w:r>
      <w:r>
        <w:rPr>
          <w:rFonts w:ascii="Arial" w:cs="Arial" w:eastAsia="Arial" w:hAnsi="Arial"/>
          <w:sz w:val="16"/>
          <w:szCs w:val="16"/>
          <w:color w:val="auto"/>
        </w:rPr>
        <w:t>Under the provisions of</w:t>
      </w:r>
      <w:r>
        <w:rPr>
          <w:rFonts w:ascii="Arial" w:cs="Arial" w:eastAsia="Arial" w:hAnsi="Arial"/>
          <w:sz w:val="16"/>
          <w:szCs w:val="16"/>
          <w:i w:val="1"/>
          <w:iCs w:val="1"/>
          <w:color w:val="auto"/>
        </w:rPr>
        <w:t xml:space="preserve"> Topic 985</w:t>
      </w:r>
      <w:r>
        <w:rPr>
          <w:rFonts w:ascii="Arial" w:cs="Arial" w:eastAsia="Arial" w:hAnsi="Arial"/>
          <w:sz w:val="16"/>
          <w:szCs w:val="16"/>
          <w:color w:val="auto"/>
        </w:rPr>
        <w:t>, the Company reviews the contract value of software deliverables and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determines allocations of the contract value based on vendor-specific objective evidence ("VSOE") of fair value for each of the elements.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67"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("multiple element arrangements"). In these situations, the Company applies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Accordingly, for applicable arrangements, revenue recognition includes the proper identification of separate units of accounting and the allocation of revenue across all elements based on relative fair values.</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For multiple element arrangements that include hardware products containing software essential to the hardware products' functionality, undelivered software elements that relate to the hardware products' essential software, and undelivered non-software services, the Company allocates revenue to all deliverables based on their relative selling prices. In such circumstances, the Company uses a hierarchy to determine the selling price to be used for allocating revenue to deliverables: (i) VSOE, (ii) third-party evidence of selling price ("TPE"), and (iii) best estimate of the selling price ("ESP").</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VSOE generally exists only when the Company sells the deliverable separately and is the price actually charged by the Company for that deliverable. TPE is determined based on competitor prices for similar deliverables when sold separately. Generally, the Company's offerings contain significant differentiation such that comparable pricing of products with similar functionality cannot be obtained. Furthermore, the Company is unable to reliably determine what similar competitor products' selling prices are on a stand-alone basis. Therefore, the Company typically is unable to obtain TPE of selling price. ESP reflects the Company's best estimates of what the selling prices of elements would be if they were sold regularly on a stand-alone basis. The Company determines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management, taking into consideration the Company's marketing strategy.</w:t>
      </w:r>
    </w:p>
    <w:p>
      <w:pPr>
        <w:spacing w:after="0" w:line="172"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Company accounts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the Company cannot objectively determine the fair value of any undelivered element included in such multiple element arrangements, the Company defers revenue until all elements are delivered and services have been performed, or until fair value can objectively be determined for any remaining undelivered elements. Under certain of the Company's contractual arrangements, the Company may also recognize revenue for out-of-pocket expenses in accordance with</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Topic 605. </w:t>
      </w:r>
      <w:r>
        <w:rPr>
          <w:rFonts w:ascii="Arial" w:cs="Arial" w:eastAsia="Arial" w:hAnsi="Arial"/>
          <w:sz w:val="18"/>
          <w:szCs w:val="18"/>
          <w:color w:val="auto"/>
        </w:rPr>
        <w:t>Depending on the contractual arrangement, these expenses may be reimbursed with or without a fee.</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Under certain of its contracts, the Company provides supplier procurement services and materials for its customers. The Company records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depending on the specific circumstances of the arrangement. The Company considers the following criteria, among others, for recording revenue on a gross or net basis:</w:t>
      </w:r>
    </w:p>
    <w:p>
      <w:pPr>
        <w:spacing w:after="0" w:line="208"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compliance with, and the consistent application of its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From time to time, the Company may proceed with work based on client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client, communications with the client regarding funding status, and its knowledge of available funding for the contract or program. As of December 26, 2010 and December 25, 2011, approximately $4.4 million and $7.8 million, respectively, of the Company's unbilled accounts receivable balance were under an authorization to proceed or work order from its customers where a formal purchase order had not yet been received.</w:t>
      </w:r>
    </w:p>
    <w:p>
      <w:pPr>
        <w:spacing w:after="0" w:line="19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Costs incurred for shipping and handling are included in cost of product sales at the time the related revenue is recognized. Amounts billed to a customer for shipping and handling are reported as revenue.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Inventoried costs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20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8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31" w:lineRule="exact"/>
        <w:rPr>
          <w:sz w:val="20"/>
          <w:szCs w:val="20"/>
          <w:color w:val="auto"/>
        </w:rPr>
      </w:pPr>
    </w:p>
    <w:p>
      <w:pPr>
        <w:ind w:right="100" w:firstLine="351"/>
        <w:spacing w:after="0" w:line="312" w:lineRule="auto"/>
        <w:rPr>
          <w:sz w:val="20"/>
          <w:szCs w:val="20"/>
          <w:color w:val="auto"/>
        </w:rPr>
      </w:pPr>
      <w:r>
        <w:rPr>
          <w:rFonts w:ascii="Arial" w:cs="Arial" w:eastAsia="Arial" w:hAnsi="Arial"/>
          <w:sz w:val="15"/>
          <w:szCs w:val="15"/>
          <w:color w:val="auto"/>
        </w:rPr>
        <w:t xml:space="preserve">In managing interest rate risk exposure, the Company entered into interest rate swap agreements. An interest rate swap is a contractual exchange of interest payments between two parties. A standard interest rate swap involves the payment of a fixed rate times a notational amount by one party in exchange for a floating rate times the same notational amount from another party. As interest rates change, the difference to be paid or received is accrued and recognized as interest expense or income over the life of the agreement. These instruments are not entered into for trading purposes. Counterparties to the Company's interest rate swap agreements are major financial institutions. In accordance with </w:t>
      </w:r>
      <w:r>
        <w:rPr>
          <w:rFonts w:ascii="Arial" w:cs="Arial" w:eastAsia="Arial" w:hAnsi="Arial"/>
          <w:sz w:val="15"/>
          <w:szCs w:val="15"/>
          <w:i w:val="1"/>
          <w:iCs w:val="1"/>
          <w:color w:val="auto"/>
        </w:rPr>
        <w:t>FASB ASC Topic 815, Derivatives and Hedging</w:t>
      </w:r>
      <w:r>
        <w:rPr>
          <w:rFonts w:ascii="Arial" w:cs="Arial" w:eastAsia="Arial" w:hAnsi="Arial"/>
          <w:sz w:val="15"/>
          <w:szCs w:val="15"/>
          <w:color w:val="auto"/>
        </w:rPr>
        <w:t>, the Company recognizes interest rate swap agreements on the consolidated balance sheets at fair value. The interest rate swap agreements are marked to market with changes in fair value recognized in either other comprehensive income (loss) or in the carrying value of the hedged portions of fixed rate debt, as applicable ("Hedge Accounting").</w:t>
      </w:r>
    </w:p>
    <w:p>
      <w:pPr>
        <w:spacing w:after="0" w:line="15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Hedge Accounting is discontinued when it is determined that a derivative instrument is not highly effective as a hedge. Hedge Accounting is also discontinued when: (1) the derivative instrument expires; is sold, terminated or exercised; or is no longer designated as a hedge instrument because it is unlikely that a forecasted transaction will occur; (2) a hedged firm commitment no longer meets the definition of a firm commitment; or (3) management determines that designation of the derivative as a hedging instrument is no longer appropriate.</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When Hedge Accounting is discontinued, the derivative instrument will be either terminated, continue to be carried on the balance sheet at fair value, or redesignated as the hedging instrument in either a cash flow or fair value hedge, if the relationship meets all applicable hedging criteria. Any asset or liability that was previously recorded as a result of recognizing the value of a firm commitment will be removed from the balance sheet and recognized as a gain or loss in current period earnings. Any gains or losses that were accumulated in other comprehensive income from hedging a forecasted transaction will be recognized immediately in current period earnings, if it is probable that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forecasted transaction will not occur. See Note 10 for additional information with respect to derivative instruments.</w:t>
      </w:r>
    </w:p>
    <w:p>
      <w:pPr>
        <w:spacing w:after="0" w:line="219"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 xml:space="preserve">Costs incurred in research and development activities are expensed as incurred in accordance with </w:t>
      </w:r>
      <w:r>
        <w:rPr>
          <w:rFonts w:ascii="Arial" w:cs="Arial" w:eastAsia="Arial" w:hAnsi="Arial"/>
          <w:sz w:val="16"/>
          <w:szCs w:val="16"/>
          <w:i w:val="1"/>
          <w:iCs w:val="1"/>
          <w:color w:val="auto"/>
        </w:rPr>
        <w:t>ASC Topic 730, Research and Development.</w:t>
      </w:r>
    </w:p>
    <w:p>
      <w:pPr>
        <w:spacing w:after="0" w:line="242" w:lineRule="exact"/>
        <w:rPr>
          <w:rFonts w:ascii="Arial" w:cs="Arial" w:eastAsia="Arial" w:hAnsi="Arial"/>
          <w:sz w:val="18"/>
          <w:szCs w:val="18"/>
          <w:b w:val="1"/>
          <w:bCs w:val="1"/>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accordance with the recognition standards established by </w:t>
      </w:r>
      <w:r>
        <w:rPr>
          <w:rFonts w:ascii="Arial" w:cs="Arial" w:eastAsia="Arial" w:hAnsi="Arial"/>
          <w:sz w:val="16"/>
          <w:szCs w:val="16"/>
          <w:i w:val="1"/>
          <w:iCs w:val="1"/>
          <w:color w:val="auto"/>
        </w:rPr>
        <w:t>FASB ASC Topic 740, Income Taxes ("Topic 740")</w:t>
      </w:r>
      <w:r>
        <w:rPr>
          <w:rFonts w:ascii="Arial" w:cs="Arial" w:eastAsia="Arial" w:hAnsi="Arial"/>
          <w:sz w:val="16"/>
          <w:szCs w:val="16"/>
          <w:color w:val="auto"/>
        </w:rPr>
        <w:t>,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6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 xml:space="preserve">The Company accounts for stock-based compensation in accordance with </w:t>
      </w:r>
      <w:r>
        <w:rPr>
          <w:rFonts w:ascii="Arial" w:cs="Arial" w:eastAsia="Arial" w:hAnsi="Arial"/>
          <w:sz w:val="15"/>
          <w:szCs w:val="15"/>
          <w:i w:val="1"/>
          <w:iCs w:val="1"/>
          <w:color w:val="auto"/>
        </w:rPr>
        <w:t>FASB ASC Topic 718, Compensation-Stock Compensation ("Topic 718")</w:t>
      </w:r>
      <w:r>
        <w:rPr>
          <w:rFonts w:ascii="Arial" w:cs="Arial" w:eastAsia="Arial" w:hAnsi="Arial"/>
          <w:sz w:val="15"/>
          <w:szCs w:val="15"/>
          <w:color w:val="auto"/>
        </w:rPr>
        <w:t xml:space="preserve">. All of the Company's stock compensation plans are considered equity plans under </w:t>
      </w:r>
      <w:r>
        <w:rPr>
          <w:rFonts w:ascii="Arial" w:cs="Arial" w:eastAsia="Arial" w:hAnsi="Arial"/>
          <w:sz w:val="15"/>
          <w:szCs w:val="15"/>
          <w:i w:val="1"/>
          <w:iCs w:val="1"/>
          <w:color w:val="auto"/>
        </w:rPr>
        <w:t>Topic 718</w:t>
      </w:r>
      <w:r>
        <w:rPr>
          <w:rFonts w:ascii="Arial" w:cs="Arial" w:eastAsia="Arial" w:hAnsi="Arial"/>
          <w:sz w:val="15"/>
          <w:szCs w:val="15"/>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and is expensed on a straight-line basis over the remaining vesting period of the options, which is generally zero to four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The Company has no awards with market or performance conditions. Compensation expense for stock issued under the Company's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employee stock purchase plan is estimated at the beginning date of the offering period using a Black-Scholes option-pricing model and is expensed on a straight-line basis over the period of the offering, which is generally six months.</w:t>
      </w:r>
    </w:p>
    <w:p>
      <w:pPr>
        <w:spacing w:after="0" w:line="186"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For the years ended December 27, 2009, December 26, 2010 and December 25, 2011, there was no incremental tax benefit from stock options exercised in the periods. The Company recorded cash received from the exercise of stock options of $0.2 million in 2009, $1.0 million in 2010, and $1.3 million in 2011. The following table shows the amounts recognized in the consolidated financial statements for 2009, 2010 and 2011 for stock-based compensation expense related to stock options, stock awards and to stock options offered under the Company's employee stock purchase plan (in millions).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26,</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Total cost of employee stock-based compensation included in operating</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 before income tax</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Amount charged to loss from discontinued operations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charged against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Impact on net income (loss) per common share:</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Allowance for Doubtful Accounts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table outlines the balance of the Company's Allowance for Doubtful Accounts for 2009, 2010 and 2011. The table identifies the additional provisions each year as well as the write-offs that utilized the allowance (in millions).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60"/>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Write-offs/</w:t>
            </w: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40" w:type="dxa"/>
            <w:vAlign w:val="bottom"/>
          </w:tcPr>
          <w:p>
            <w:pPr>
              <w:spacing w:after="0"/>
              <w:rPr>
                <w:sz w:val="14"/>
                <w:szCs w:val="14"/>
                <w:color w:val="auto"/>
              </w:rPr>
            </w:pPr>
          </w:p>
        </w:tc>
        <w:tc>
          <w:tcPr>
            <w:tcW w:w="78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Provisions</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Recoveries</w:t>
            </w: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27, 2009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Year ended December 26, 2010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300" w:type="dxa"/>
            <w:vAlign w:val="bottom"/>
          </w:tcPr>
          <w:p>
            <w:pPr>
              <w:jc w:val="right"/>
              <w:ind w:right="1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25, 2011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Company's cash equivalents consist of its highly liquid investments with an original maturity of three months or less when purchased by the Company.</w:t>
      </w:r>
    </w:p>
    <w:p>
      <w:pPr>
        <w:spacing w:after="0" w:line="248"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Company has restricted cash accounts of approximately $8.5 million at December 26, 2010 and $1.1 million at December 25, 2011. As of December 26, 2010, restricted cash consisted primarily of a seller escrow account related to the acquisition of Gichner Holdings, Inc. ("Gichner") in the amount of $8.1 million, collateral for a credit card program, and a deposit relating to the run out of a now terminated self-insured workers compensation program. As of December 25, 2011, restricted cash consists primarily of grant funds which must be physically segregated in a separate bank account in accordance with the grant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Property and Equipment, Net</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Property and equipment, net owned by the Company is depreciated over the estimated useful lives of individual assets. Costs incurred for computer software developed or obtained for internal use are capitalized and classified in computer equipment. Equipment and facilities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are depreciated using the straight-line method, with the following lives: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620" w:type="dxa"/>
            <w:vAlign w:val="bottom"/>
            <w:gridSpan w:val="2"/>
            <w:shd w:val="clear" w:color="auto" w:fill="CCEEFF"/>
          </w:tcPr>
          <w:p>
            <w:pPr>
              <w:jc w:val="center"/>
              <w:ind w:left="2712"/>
              <w:spacing w:after="0"/>
              <w:rPr>
                <w:sz w:val="20"/>
                <w:szCs w:val="20"/>
                <w:color w:val="auto"/>
              </w:rPr>
            </w:pPr>
            <w:r>
              <w:rPr>
                <w:rFonts w:ascii="Arial" w:cs="Arial" w:eastAsia="Arial" w:hAnsi="Arial"/>
                <w:sz w:val="18"/>
                <w:szCs w:val="18"/>
                <w:color w:val="auto"/>
                <w:w w:val="89"/>
              </w:rPr>
              <w:t>15 - 39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620" w:type="dxa"/>
            <w:vAlign w:val="bottom"/>
            <w:gridSpan w:val="2"/>
          </w:tcPr>
          <w:p>
            <w:pPr>
              <w:jc w:val="center"/>
              <w:ind w:left="2712"/>
              <w:spacing w:after="0"/>
              <w:rPr>
                <w:sz w:val="20"/>
                <w:szCs w:val="20"/>
                <w:color w:val="auto"/>
              </w:rPr>
            </w:pPr>
            <w:r>
              <w:rPr>
                <w:rFonts w:ascii="Arial" w:cs="Arial" w:eastAsia="Arial" w:hAnsi="Arial"/>
                <w:sz w:val="18"/>
                <w:szCs w:val="18"/>
                <w:color w:val="auto"/>
                <w:w w:val="91"/>
              </w:rPr>
              <w:t>3 - 10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620" w:type="dxa"/>
            <w:vAlign w:val="bottom"/>
            <w:gridSpan w:val="2"/>
            <w:shd w:val="clear" w:color="auto" w:fill="CCEEFF"/>
          </w:tcPr>
          <w:p>
            <w:pPr>
              <w:jc w:val="center"/>
              <w:ind w:left="2712"/>
              <w:spacing w:after="0"/>
              <w:rPr>
                <w:sz w:val="20"/>
                <w:szCs w:val="20"/>
                <w:color w:val="auto"/>
              </w:rPr>
            </w:pPr>
            <w:r>
              <w:rPr>
                <w:rFonts w:ascii="Arial" w:cs="Arial" w:eastAsia="Arial" w:hAnsi="Arial"/>
                <w:sz w:val="18"/>
                <w:szCs w:val="18"/>
                <w:color w:val="auto"/>
                <w:w w:val="91"/>
              </w:rPr>
              <w:t>1 - 10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Vehicles, furniture, and office equipment</w:t>
            </w:r>
          </w:p>
        </w:tc>
        <w:tc>
          <w:tcPr>
            <w:tcW w:w="4620" w:type="dxa"/>
            <w:vAlign w:val="bottom"/>
            <w:gridSpan w:val="2"/>
          </w:tcPr>
          <w:p>
            <w:pPr>
              <w:jc w:val="center"/>
              <w:ind w:left="2712"/>
              <w:spacing w:after="0"/>
              <w:rPr>
                <w:sz w:val="20"/>
                <w:szCs w:val="20"/>
                <w:color w:val="auto"/>
              </w:rPr>
            </w:pPr>
            <w:r>
              <w:rPr>
                <w:rFonts w:ascii="Arial" w:cs="Arial" w:eastAsia="Arial" w:hAnsi="Arial"/>
                <w:sz w:val="18"/>
                <w:szCs w:val="18"/>
                <w:color w:val="auto"/>
                <w:w w:val="99"/>
              </w:rPr>
              <w:t>5</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Shorter of useful life or</w:t>
            </w:r>
          </w:p>
        </w:tc>
        <w:tc>
          <w:tcPr>
            <w:tcW w:w="1720" w:type="dxa"/>
            <w:vAlign w:val="bottom"/>
          </w:tcPr>
          <w:p>
            <w:pPr>
              <w:spacing w:after="0"/>
              <w:rPr>
                <w:sz w:val="18"/>
                <w:szCs w:val="18"/>
                <w:color w:val="auto"/>
              </w:rPr>
            </w:pPr>
          </w:p>
        </w:tc>
      </w:tr>
      <w:tr>
        <w:trPr>
          <w:trHeight w:val="224"/>
        </w:trPr>
        <w:tc>
          <w:tcPr>
            <w:tcW w:w="172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length of lease</w:t>
            </w:r>
          </w:p>
        </w:tc>
        <w:tc>
          <w:tcPr>
            <w:tcW w:w="1720" w:type="dxa"/>
            <w:vAlign w:val="bottom"/>
          </w:tcPr>
          <w:p>
            <w:pPr>
              <w:spacing w:after="0"/>
              <w:rPr>
                <w:sz w:val="19"/>
                <w:szCs w:val="19"/>
                <w:color w:val="auto"/>
              </w:rPr>
            </w:pPr>
          </w:p>
        </w:tc>
      </w:tr>
      <w:tr>
        <w:trPr>
          <w:trHeight w:val="430"/>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340" w:type="dxa"/>
            <w:vAlign w:val="bottom"/>
            <w:gridSpan w:val="3"/>
          </w:tcPr>
          <w:p>
            <w:pPr>
              <w:ind w:left="460"/>
              <w:spacing w:after="0"/>
              <w:rPr>
                <w:sz w:val="20"/>
                <w:szCs w:val="20"/>
                <w:color w:val="auto"/>
              </w:rPr>
            </w:pPr>
            <w:r>
              <w:rPr>
                <w:rFonts w:ascii="Arial" w:cs="Arial" w:eastAsia="Arial" w:hAnsi="Arial"/>
                <w:sz w:val="18"/>
                <w:szCs w:val="18"/>
                <w:color w:val="auto"/>
              </w:rPr>
              <w:t>F-16</w:t>
            </w:r>
          </w:p>
        </w:tc>
      </w:tr>
      <w:tr>
        <w:trPr>
          <w:trHeight w:val="228"/>
        </w:trPr>
        <w:tc>
          <w:tcPr>
            <w:tcW w:w="172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Leases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Most lease agreements for real property contain incentives for tenant improvements, rent holidays, or rent escalation clauses. For incentives for tenant improvements, the Company capitalizes the leasehold improvements which are depreciated over the shorter of the lease term or their estimated useful life and records a deferred rent liability which is amortized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Acquisitions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Company accounts for business combinations using the acquisition method of accounting as prescribed by </w:t>
      </w:r>
      <w:r>
        <w:rPr>
          <w:rFonts w:ascii="Arial" w:cs="Arial" w:eastAsia="Arial" w:hAnsi="Arial"/>
          <w:sz w:val="16"/>
          <w:szCs w:val="16"/>
          <w:i w:val="1"/>
          <w:iCs w:val="1"/>
          <w:color w:val="auto"/>
        </w:rPr>
        <w:t>FASB ASC Topic 805, Business Combinations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805")</w:t>
      </w:r>
      <w:r>
        <w:rPr>
          <w:rFonts w:ascii="Arial" w:cs="Arial" w:eastAsia="Arial" w:hAnsi="Arial"/>
          <w:sz w:val="16"/>
          <w:szCs w:val="16"/>
          <w:color w:val="auto"/>
        </w:rPr>
        <w:t>. The Company allocates the purchase price of its acquisitions to the tangible and intangible assets, and liabilities including certain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acquired based upon their estimated fair values. The excess of purchase price over those fair values is recorded as goodwill. Acquisition-related expenses and restructuring costs are recognized separately from the business combination and are expensed as incurred. Prior to fiscal 2009, the Company accounted for business combinations using the purchase method of accounting. Under the purchase method, the total purchase price, including transaction costs, was allocated to the acquired assets and liabilities based on their estimated fair value as of the date of acquisition.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Goodwill and Other Intangible Assets, Net</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In accordance with the provisions of </w:t>
      </w:r>
      <w:r>
        <w:rPr>
          <w:rFonts w:ascii="Arial" w:cs="Arial" w:eastAsia="Arial" w:hAnsi="Arial"/>
          <w:sz w:val="18"/>
          <w:szCs w:val="18"/>
          <w:i w:val="1"/>
          <w:iCs w:val="1"/>
          <w:color w:val="auto"/>
        </w:rPr>
        <w:t>FASB ASC Topic 350, Intangibles—Goodwill and Other ("Topic 350")</w:t>
      </w:r>
      <w:r>
        <w:rPr>
          <w:rFonts w:ascii="Arial" w:cs="Arial" w:eastAsia="Arial" w:hAnsi="Arial"/>
          <w:sz w:val="18"/>
          <w:szCs w:val="18"/>
          <w:color w:val="auto"/>
        </w:rPr>
        <w:t>, the Company performs impairment tests for goodwill as of the last day of each fiscal year, or when evidence of potential impairment exists. When it is determined that impairment has occurred, a charge to operations is recorded. Goodwill and other purchased intangible asset balances are included in the identifiable assets of the business segment to which they have been assigned. Any goodwill impairment, as well as the amortization of other purchased intangible assets, is charged against the respective business segments' operating income.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the Company classifies intangible assets into three categories: (1) intangible assets with finite lives subject to amortization,</w:t>
      </w:r>
    </w:p>
    <w:p>
      <w:pPr>
        <w:spacing w:after="0" w:line="38" w:lineRule="exact"/>
        <w:rPr>
          <w:sz w:val="20"/>
          <w:szCs w:val="20"/>
          <w:color w:val="auto"/>
        </w:rPr>
      </w:pPr>
    </w:p>
    <w:p>
      <w:pPr>
        <w:ind w:right="100" w:firstLine="8"/>
        <w:spacing w:after="0" w:line="254"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Impairment of Long-Lived Assets and Long-Lived Assets to Be Disposed Of</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Long-lived assets and certain identifiable intangibles are reviewed for impairment in accordance with </w:t>
      </w:r>
      <w:r>
        <w:rPr>
          <w:rFonts w:ascii="Arial" w:cs="Arial" w:eastAsia="Arial" w:hAnsi="Arial"/>
          <w:sz w:val="16"/>
          <w:szCs w:val="16"/>
          <w:i w:val="1"/>
          <w:iCs w:val="1"/>
          <w:color w:val="auto"/>
        </w:rPr>
        <w:t>FASB ASC Topic 360, Property, Plant, and Equipment</w:t>
      </w:r>
      <w:r>
        <w:rPr>
          <w:rFonts w:ascii="Arial" w:cs="Arial" w:eastAsia="Arial" w:hAnsi="Arial"/>
          <w:sz w:val="16"/>
          <w:szCs w:val="16"/>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64"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FASB ASC Topic 825, Financial Instruments </w:t>
      </w:r>
      <w:r>
        <w:rPr>
          <w:rFonts w:ascii="Arial" w:cs="Arial" w:eastAsia="Arial" w:hAnsi="Arial"/>
          <w:sz w:val="18"/>
          <w:szCs w:val="18"/>
          <w:color w:val="auto"/>
        </w:rPr>
        <w:t>requires that fair values be disclosed for the Company's financial instruments. The carrying amounts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actual trading activity. The fair value of capital lease obligations is estimated based on quoted market prices for the same or similar obligations with the same remaining maturities.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Concentrations and Uncertainties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94"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has outstanding 10% Senior Secured Notes with an aggregate principal amount of $625.0 million which is due on June 1, 2017. The Company pays interest at the rate of 10% per annum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semi-annually, in arrears, on June 1 and December 1 of each year. As of December 25, 2011, the principal amount of $625.0 million is outstanding under these Notes. In addition, the Company has $68.7 million available under its existing $90.0 million credit and security agreement. See Note 5 for a complete description of the Company's debt.</w:t>
      </w:r>
    </w:p>
    <w:p>
      <w:pPr>
        <w:spacing w:after="0" w:line="194"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Company intends to fund its cash requirements with cash on hand, cash flows from operating activities and borrowings under its existing revolving credit facility.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its control. If the conditions in its industry deteriorate,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Debt Issuance Costs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Fees paid to obtain debt financing or amendments under such debt financing are treated as debt issuance costs and are capitalized and amortized over the expected term of the related debt. These payments are shown as a financing activity in the consolidated statements of cash flows and are included in other current assets and other assets in the consolidated balance sheets.</w:t>
      </w:r>
    </w:p>
    <w:p>
      <w:pPr>
        <w:spacing w:after="0" w:line="18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Interest expense, net in the consolidated statements of operations is summarized in the following table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r>
      <w:tr>
        <w:trPr>
          <w:trHeight w:val="201"/>
        </w:trPr>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expense incurred primarily on the Company's Senior Notes and</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previous credit facilities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Miscellaneous interest income</w:t>
            </w: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r>
      <w:tr>
        <w:trPr>
          <w:trHeight w:val="27"/>
        </w:trPr>
        <w:tc>
          <w:tcPr>
            <w:tcW w:w="5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Foreign Currency Translation</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 in the consolidated statements of stockholders' equity.</w:t>
      </w:r>
    </w:p>
    <w:p>
      <w:pPr>
        <w:spacing w:after="0" w:line="16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transaction loss included in determining net loss for the year ended December 25, 2011 was approximately $0.7 million, which is included in other income (expense), net on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accompanying consolidated statements of operations. There was no transaction gain or loss included in determining net income (loss) for the years ended December 27, 2009 or December 26,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  Product Warranties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  Treasury Stock</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may on occasion repurchase our common stock on the open market or in a private transaction. When such stock is repurchased it is not constructively or formally retired and may be reissued if certain regulatory requirements are met. The purchase price of the common stock repurchased is charged to additional paid-in-capital.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 Recent Accounting Pronouncements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than as described below, no new accounting pronouncement issued or effective during the fiscal year has had or is expected to have a material impact on the consolidated financial statements.</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September 2011, the FASB issued Accounting Standards Update ("ASU") No. 2011-08, Intangibles</w:t>
      </w:r>
      <w:r>
        <w:rPr>
          <w:rFonts w:ascii="Arial" w:cs="Arial" w:eastAsia="Arial" w:hAnsi="Arial"/>
          <w:sz w:val="16"/>
          <w:szCs w:val="16"/>
          <w:i w:val="1"/>
          <w:iCs w:val="1"/>
          <w:color w:val="auto"/>
        </w:rPr>
        <w:t>—Goodwill and Other ("ASU 2011-08")</w:t>
      </w:r>
      <w:r>
        <w:rPr>
          <w:rFonts w:ascii="Arial" w:cs="Arial" w:eastAsia="Arial" w:hAnsi="Arial"/>
          <w:sz w:val="16"/>
          <w:szCs w:val="16"/>
          <w:color w:val="auto"/>
        </w:rPr>
        <w:t xml:space="preserve">. ASU 2011-08 is intended to simplify how entities, both public and nonpublic, test goodwill for impairment. ASU 2011-08 permits an entity to first assess qualitative factors to determine whether it is "more-likely-than-not" that the fair value of a reporting unit is less than its carrying amount as a basis for determining whether it is necessary to perform the two-step goodwill impairment test described in </w:t>
      </w:r>
      <w:r>
        <w:rPr>
          <w:rFonts w:ascii="Arial" w:cs="Arial" w:eastAsia="Arial" w:hAnsi="Arial"/>
          <w:sz w:val="16"/>
          <w:szCs w:val="16"/>
          <w:i w:val="1"/>
          <w:iCs w:val="1"/>
          <w:color w:val="auto"/>
        </w:rPr>
        <w:t>Topic 350</w:t>
      </w:r>
      <w:r>
        <w:rPr>
          <w:rFonts w:ascii="Arial" w:cs="Arial" w:eastAsia="Arial" w:hAnsi="Arial"/>
          <w:sz w:val="16"/>
          <w:szCs w:val="16"/>
          <w:color w:val="auto"/>
        </w:rPr>
        <w:t>. The more-likely-than-not threshold is defined as having a likelihood of more than 50%. ASU 2011-08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The adoption of this guidance will result in a change in how the Company performs its goodwill impairment assessment; however, it will not have a material impact on the Company's consolidated financial statements.</w:t>
      </w:r>
    </w:p>
    <w:p>
      <w:pPr>
        <w:spacing w:after="0" w:line="172"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("ASU 2011-05")</w:t>
      </w:r>
      <w:r>
        <w:rPr>
          <w:rFonts w:ascii="Arial" w:cs="Arial" w:eastAsia="Arial" w:hAnsi="Arial"/>
          <w:sz w:val="16"/>
          <w:szCs w:val="16"/>
          <w:color w:val="auto"/>
        </w:rPr>
        <w:t>. ASU 2011-05 revises the manner in which entities present comprehensive income in their financial statements. The guidance requires entities to report the components of comprehensive income in either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a single, continuous statement or two separate but consecutive statements. ASU 2011-05 is required to be applied retrospectively. For public entities, the amendments are effective for fiscal years, and interim periods within those years, beginning after December 15, 2011 and early adoption is permitted. The Company elected early adoption which did not have a material impact on its consolidated financial statements.</w:t>
      </w:r>
    </w:p>
    <w:p>
      <w:pPr>
        <w:spacing w:after="0" w:line="16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Amendments to Achieve Common Fair Value Measurement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in U.S. GAAP and IFRS ("ASU 2011-04")</w:t>
      </w:r>
      <w:r>
        <w:rPr>
          <w:rFonts w:ascii="Arial" w:cs="Arial" w:eastAsia="Arial" w:hAnsi="Arial"/>
          <w:sz w:val="16"/>
          <w:szCs w:val="16"/>
          <w:color w:val="auto"/>
        </w:rPr>
        <w:t>. ASU 2011-04 requires the disclosure of quantitative information about unobservable inputs used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processes, and a qualitative discussion around the sensitivity of the measurements. The guidance in ASU 2011-04 is to be applied prospectively. For public entities, the amendments are effective during interim and annual periods beginning after December 15, 2011. Early application by public entities is not permitted. The Company does not expect that the provisions of the new guidance will have a material effect on its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the last day of each fiscal year or when evidence of potential impairment exists.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operating segments which are Kratos Government Solutions and Public Safety and Security.</w:t>
      </w:r>
    </w:p>
    <w:p>
      <w:pPr>
        <w:spacing w:after="0" w:line="19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order to test for potential impairment, the Company estimates the fair value of each of its reporting units based on a comparison and weighting of the income approach, specifically the discounted cash flow ("DCF") method and the market approach, which estimates the fair value of its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(Level 3 hierarchy as defined by </w:t>
      </w:r>
      <w:r>
        <w:rPr>
          <w:rFonts w:ascii="Arial" w:cs="Arial" w:eastAsia="Arial" w:hAnsi="Arial"/>
          <w:sz w:val="16"/>
          <w:szCs w:val="16"/>
          <w:i w:val="1"/>
          <w:iCs w:val="1"/>
          <w:color w:val="auto"/>
        </w:rPr>
        <w:t>FASB ASC Topic 820 Fair Value Measurements and Disclosures ("Topic 820"</w:t>
      </w:r>
      <w:r>
        <w:rPr>
          <w:rFonts w:ascii="Arial" w:cs="Arial" w:eastAsia="Arial" w:hAnsi="Arial"/>
          <w:sz w:val="16"/>
          <w:szCs w:val="16"/>
          <w:color w:val="auto"/>
        </w:rPr>
        <w:t>). If the book value exceeds the estimated fair value for a reporting unit, a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is indicated and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prescribes the approach for determining the impairment amount, if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During the first quarter of 2009, given the significant decline in the stock market in general and specifically the Company's stock price and market capitalization, which declined 39% from an average stock price of $12.90 per share as of December 28, 2008 to $7.80 per share as of February 28, 2009, the Company performed an impairment test for goodwill 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as of February 28, 2009. The test indicated that the book value for the KGS reporting unit exceeded the fair values of these businesses and resulted in the Company recording a charge totaling $41.3 million in the KGS segment in the first quarter of 2009, for the impairment of goodwill. The impairment charge was primarily driven by adverse equity market conditions that caused a decrease in current market multiples and the Company's average stock price as of February 28, 2009, compared with the test performed as of December 28, 2008. The Company's forecasts of growth rates and operating margins had not changed as of February 28, 2009 as compared to the forecasts which were used as of December 28, 2008. The Company reconciled the fair value of its reporting units, which was calculated using the income approach to the Company's market capitalization. As a result of this reconciliation, it was noted that investors were requiring a higher rate of return, and therefore, the discount factor which is based upon an estimated market participant weighted average cost of capital ("WACC") increased 300 basis points from 14% in the Company's year-end impairment test in 2008 as compared to 17% in the Company's 2009 first quarter interim impairment test. This change was the key factor contributing to the $41.3 million goodwill impairment charge that was recorded in the first quarter of 2009.</w:t>
      </w:r>
    </w:p>
    <w:p>
      <w:pPr>
        <w:spacing w:after="0" w:line="178"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While the Company's methodology for evaluating goodwill and intangibles for impairment has always used the income and market approach, in the past the market approach was used solely to validate that the fair value derived from the income approach was comparable to its market peers. In December 2011, when the Company performed its annual impairment test for goodwill, the Company used a weighting of the income and market approach to derive the fair value of its reporting units which resulted in a more conservative fair value.</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25, 2011 the fair value of the PSS reporting unit substantially exceeded its carrying value and the fair value of the KGS reporting unit exceeded its carrying value by 3.5%. Considering the relatively small excess of fair value over carrying value for the KGS segment and given the current market conditions and continued economic uncertainty in the U.S. defense industry as a result of the Budget Control Act, the fair value of the KGS reporting unit may deteriorate, resulting in an impairment of the goodwill in that unit. Due to continual changes in market and general business conditions, the Company cannot predict whether, and to what extent, its goodwill and long-lived intangible assets may be impaired in the future periods. Any resulting impairment loss could harm the Company's profitability and financial condition.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of the PSS and KGS reporting units are $33.0 million and $540.5 million,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changes in the carrying amounts of goodwill for the years ended December 26, 2010 and December 25, 2011, are as follows (in millions):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Public</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Kratos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Safety &amp;</w:t>
            </w:r>
          </w:p>
        </w:tc>
        <w:tc>
          <w:tcPr>
            <w:tcW w:w="1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Government</w:t>
            </w:r>
          </w:p>
        </w:tc>
        <w:tc>
          <w:tcPr>
            <w:tcW w:w="14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Total</w:t>
            </w:r>
          </w:p>
        </w:tc>
      </w:tr>
      <w:tr>
        <w:trPr>
          <w:trHeight w:val="161"/>
        </w:trPr>
        <w:tc>
          <w:tcPr>
            <w:tcW w:w="53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1"/>
              </w:rPr>
              <w:t>Solutions</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Goodwill</w:t>
            </w:r>
          </w:p>
        </w:tc>
        <w:tc>
          <w:tcPr>
            <w:tcW w:w="160" w:type="dxa"/>
            <w:vAlign w:val="bottom"/>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w:t>
            </w:r>
          </w:p>
        </w:tc>
      </w:tr>
      <w:tr>
        <w:trPr>
          <w:trHeight w:val="222"/>
        </w:trPr>
        <w:tc>
          <w:tcPr>
            <w:tcW w:w="5300" w:type="dxa"/>
            <w:vAlign w:val="bottom"/>
          </w:tcPr>
          <w:p>
            <w:pPr>
              <w:ind w:left="180"/>
              <w:spacing w:after="0"/>
              <w:rPr>
                <w:sz w:val="20"/>
                <w:szCs w:val="20"/>
                <w:color w:val="auto"/>
              </w:rPr>
            </w:pPr>
            <w:r>
              <w:rPr>
                <w:rFonts w:ascii="Arial" w:cs="Arial" w:eastAsia="Arial" w:hAnsi="Arial"/>
                <w:sz w:val="18"/>
                <w:szCs w:val="18"/>
                <w:color w:val="auto"/>
              </w:rPr>
              <w:t>Additions due to business combinations</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r>
      <w:tr>
        <w:trPr>
          <w:trHeight w:val="21"/>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26, 2010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226.4</w:t>
            </w:r>
          </w:p>
        </w:tc>
      </w:tr>
      <w:tr>
        <w:trPr>
          <w:trHeight w:val="222"/>
        </w:trPr>
        <w:tc>
          <w:tcPr>
            <w:tcW w:w="5300" w:type="dxa"/>
            <w:vAlign w:val="bottom"/>
          </w:tcPr>
          <w:p>
            <w:pPr>
              <w:ind w:left="180"/>
              <w:spacing w:after="0"/>
              <w:rPr>
                <w:sz w:val="20"/>
                <w:szCs w:val="20"/>
                <w:color w:val="auto"/>
              </w:rPr>
            </w:pPr>
            <w:r>
              <w:rPr>
                <w:rFonts w:ascii="Arial" w:cs="Arial" w:eastAsia="Arial" w:hAnsi="Arial"/>
                <w:sz w:val="18"/>
                <w:szCs w:val="18"/>
                <w:color w:val="auto"/>
              </w:rPr>
              <w:t>Retrospective adjustments</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26, 2010 after retrospective adjustments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226.8</w:t>
            </w:r>
          </w:p>
        </w:tc>
      </w:tr>
      <w:tr>
        <w:trPr>
          <w:trHeight w:val="222"/>
        </w:trPr>
        <w:tc>
          <w:tcPr>
            <w:tcW w:w="5300" w:type="dxa"/>
            <w:vAlign w:val="bottom"/>
          </w:tcPr>
          <w:p>
            <w:pPr>
              <w:ind w:left="180"/>
              <w:spacing w:after="0"/>
              <w:rPr>
                <w:sz w:val="20"/>
                <w:szCs w:val="20"/>
                <w:color w:val="auto"/>
              </w:rPr>
            </w:pPr>
            <w:r>
              <w:rPr>
                <w:rFonts w:ascii="Arial" w:cs="Arial" w:eastAsia="Arial" w:hAnsi="Arial"/>
                <w:sz w:val="18"/>
                <w:szCs w:val="18"/>
                <w:color w:val="auto"/>
              </w:rPr>
              <w:t>Additions due to business combinations</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346.7</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346.7</w:t>
            </w:r>
          </w:p>
        </w:tc>
      </w:tr>
      <w:tr>
        <w:trPr>
          <w:trHeight w:val="21"/>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25,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573.5</w:t>
            </w:r>
          </w:p>
        </w:tc>
      </w:tr>
      <w:tr>
        <w:trPr>
          <w:trHeight w:val="27"/>
        </w:trPr>
        <w:tc>
          <w:tcPr>
            <w:tcW w:w="5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accumulated impairment losses as of December 26, 2010 and December 25, 2011 were $165.4 million; $147.1 million associated with the KGS segment and $18.3 million associated with the PSS segment.</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If an event occurs or circumstances change that would more likely than not reduce the fair value of a reporting unit below its carrying value, the Company will evaluate goodwill for impairment between annual tests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value of indefinite-lived intangible assets which are related to trade names was $24.5 million as of December 26, 2010 and December 25, 2011,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26, 2010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25, 2011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5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8"/>
              </w:rPr>
              <w:t>Net</w:t>
            </w:r>
          </w:p>
        </w:tc>
        <w:tc>
          <w:tcPr>
            <w:tcW w:w="126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4"/>
                <w:szCs w:val="14"/>
                <w:b w:val="1"/>
                <w:bCs w:val="1"/>
                <w:color w:val="auto"/>
                <w:w w:val="80"/>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76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 and backlog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w w:val="96"/>
              </w:rPr>
              <w:t>Developed technology and technical know-how</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Favorable lease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1"/>
              </w:rPr>
              <w:t>F-23</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aggregate amortization expense for finite-lived intangible assets was $5.7 million, $9.2 million and $38.0 million for the years ended December 27,</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2009, December 26, 2010, and December 25, 2011, respectively. The increase in intangible assets in 2011 was a result of the Company's acquisitions (see Note 3).</w:t>
      </w:r>
    </w:p>
    <w:p>
      <w:pPr>
        <w:spacing w:after="0" w:line="253"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Information about estimated amortization expense for intangible assets subject to amortization for the five years succeeding December 25, 2011, is as follows (in millions):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Amortization</w:t>
            </w:r>
          </w:p>
        </w:tc>
      </w:tr>
      <w:tr>
        <w:trPr>
          <w:trHeight w:val="16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Expense</w:t>
            </w:r>
          </w:p>
        </w:tc>
        <w:tc>
          <w:tcPr>
            <w:tcW w:w="16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r>
      <w:tr>
        <w:trPr>
          <w:trHeight w:val="21"/>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r>
      <w:tr>
        <w:trPr>
          <w:trHeight w:val="27"/>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SecureInfo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November 15, 2011 the Company acquired SecureInfo Corporation ("SecureInfo") for $18.7 million in cash which does not include an estimated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 million in potential earn-out to be paid in the first half of 2012. The estimated amount for the additional consideration is expected to be paid in the first half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2012. Upon completion of the SecureInfo transaction, the Company deposited $1.8 million of the purchase price ("the holdback") into an escrow account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for SecureInfo's indemnification obligations as set forth in the SecureInfo purchase agreement. In addition, the SecureInfo purchase agreement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purchase price would be (i) increased on a dollar for dollar basis if the working capital on the closing date (as defined in the SecureInfo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exceeded $2.2 million or (ii) decreased on a dollar for dollar basis if the working capital was less than $2.2 million. The SecureInfo working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$2.1 million and the Company and SecureInfo agreed to a working capital adjustment of $0.1 million.</w:t>
      </w:r>
    </w:p>
    <w:p>
      <w:pPr>
        <w:spacing w:after="0" w:line="219"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Based in northern Virginia, SecureInfo is a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Department of Defense, the Department of Homeland Security and large commercial customers, including market leading cloud computing service providers. SecureInfo is part of the Company's KGS segment.</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goodwill represents the value the Company expects to be created by SecureInfo's nationally recognized expertise in operational cybersecurity, cybersecurity risk management as well as cybersecurity training programs.</w:t>
      </w:r>
    </w:p>
    <w:p>
      <w:pPr>
        <w:spacing w:after="0" w:line="18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SecureInfo transaction has been accounted for using the acquisition method of accounting which requires, among other things, that the assets acquired and liabilities assumed be recognized at their fair values as of the merger date. The following table summarizes the preliminary estimated fair values of major assets acquired and liabilities assumed (in millions):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12.2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0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300" w:type="dxa"/>
            <w:vAlign w:val="bottom"/>
            <w:vMerge w:val="restart"/>
          </w:tcPr>
          <w:p>
            <w:pPr>
              <w:ind w:left="180"/>
              <w:spacing w:after="0"/>
              <w:rPr>
                <w:sz w:val="20"/>
                <w:szCs w:val="20"/>
                <w:color w:val="auto"/>
              </w:rPr>
            </w:pPr>
            <w:r>
              <w:rPr>
                <w:rFonts w:ascii="Arial" w:cs="Arial" w:eastAsia="Arial" w:hAnsi="Arial"/>
                <w:sz w:val="18"/>
                <w:szCs w:val="18"/>
                <w:color w:val="auto"/>
              </w:rPr>
              <w:t>Net assets acquired</w:t>
            </w:r>
          </w:p>
        </w:tc>
        <w:tc>
          <w:tcPr>
            <w:tcW w:w="1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November 15, 2011, the expected fair value of accounts receivable approximated the historical cost. The gross accounts receivable was $2.9 million, of which $0.0 million is not expected to be collectible.</w:t>
      </w:r>
    </w:p>
    <w:p>
      <w:pPr>
        <w:spacing w:after="0" w:line="186" w:lineRule="exact"/>
        <w:rPr>
          <w:sz w:val="20"/>
          <w:szCs w:val="20"/>
          <w:color w:val="auto"/>
        </w:rPr>
      </w:pPr>
    </w:p>
    <w:p>
      <w:pPr>
        <w:ind w:right="940" w:firstLine="348"/>
        <w:spacing w:after="0" w:line="268" w:lineRule="auto"/>
        <w:rPr>
          <w:sz w:val="20"/>
          <w:szCs w:val="20"/>
          <w:color w:val="auto"/>
        </w:rPr>
      </w:pPr>
      <w:r>
        <w:rPr>
          <w:rFonts w:ascii="Arial" w:cs="Arial" w:eastAsia="Arial" w:hAnsi="Arial"/>
          <w:sz w:val="18"/>
          <w:szCs w:val="18"/>
          <w:color w:val="auto"/>
        </w:rPr>
        <w:t>The amounts of revenue and operating income of SecureInfo included in the Company's consolidated statement of operations for the year ended December 25, 2011 was $1.9 million and $0.1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Integral Systems, Inc.</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July 27, 2011, the Company acquired Integral Systems, Inc., a Maryland corporation ("Integral") in a cash and stock transaction valued at $241.1 million. The acquisition was completed with an aggregate cash payment of $131.4 million, the issuance of approximately 10.4 million shares of Kratos common stock valued at $108.7 million, and the issuance of replacement stock options with a fair value of $1.0 million.</w:t>
      </w:r>
    </w:p>
    <w:p>
      <w:pPr>
        <w:spacing w:after="0" w:line="19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To fund the cash portion of the acquisition, on July 27, 2011, the Company issued $115.0 million aggregate principal amount of 10% Senior Secured Notes due 2017. The notes were issued at a premium of 105%, for an effective interest rate of approximately 8.9%. The gross proceeds of approximately $120.8 million, which includes an approximate $5.8 million issuance premium and excludes accrued interest received of $1.8 million, were used to finance, in part, the cash portion of the purchase price for the acquisition of Integral, to refinance existing indebtedness of Integral and its subsidiaries, to pay certain severance payments in connection with the merger and to pay related fees and expenses. See Note 5 for a complete description of the Company's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consideration for the acquisition of Integral, each Integral stockholder received (i) $5.00 in cash, without interest, and (ii) 0.588 shares of the Company's common stock for each share of Integral common stock. In addition, upon completion of the merger (i) each outstanding Integral stock option with an exercise price less than $13.00 per share was, if the holder thereof had so elected in writing, cancelled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Company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 0.9559, rounded up to the nearest whole cent, and (iii) each outstanding share of restricted stock granted under an Integral equity plan or otherwise, whether vested or unvested, was cancelled and converted into the right to receive $13.00, less the amount of any tax withholding.</w:t>
      </w:r>
    </w:p>
    <w:p>
      <w:pPr>
        <w:spacing w:after="0" w:line="18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 Integral is part of the Company's KGS segment.</w:t>
      </w:r>
    </w:p>
    <w:p>
      <w:pPr>
        <w:spacing w:after="0" w:line="174"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Integral's significant expertise with satellite operations, ground systems, signal processing and other areas of satellite command and control, and also advanced technologies for Unmanned Aerial Vehicles, situational awareness, remote management and numerous established electronic attack and electronic warfare platforms, tactical missile systems, and strategic deterrence systems.</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Integral transaction has been accounted for using the acquisition method of accounting which requires, among other things, that the assets acquired and liabilities assumed be recognized at their fair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values as of the merger date. The following table summarizes the preliminary fair values of major assets acquired and liabilities assumed (in millions):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188.3</w:t>
            </w: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364.0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241.1</w:t>
            </w:r>
          </w:p>
        </w:tc>
      </w:tr>
      <w:tr>
        <w:trPr>
          <w:trHeight w:val="27"/>
        </w:trPr>
        <w:tc>
          <w:tcPr>
            <w:tcW w:w="7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As of July 27, 2011, the expected fair value of accounts receivable approximated the historical cost. The gross accounts receivable was $68.6 million, of which $0.2 million is not expected to be collectible. There were no contingent liabilities associated with the acquisition of Integral.</w:t>
      </w:r>
    </w:p>
    <w:p>
      <w:pPr>
        <w:spacing w:after="0" w:line="13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amounts of revenue and operating income of Integral included in the Company's consolidated statement of operations for the year ended December 25, 2011 was $96.5 million and $5.8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March 25, 2011, the Company acquired approximately 13.2 million shares of Herley common stock representing approximately 94% of the total outstanding shares of Herley common stock in a tender offer to purchase all of the outstanding shares of Herley common stock. The fair value of the non-controlling interest related to Herley as of March 25, 2011 was $16.9 million, which represents the market trading price of $19.00 per share multiplied by the approximately 0.9 million shares that were not tendered as of March 25, 2011. On March 30, 2011, following purchases of the remaining non-controlling interest in a subsequent offering period, Herley became a wholly owned subsidiary of the Company. The shares of Herley common stock were purchased at a price of $19.00 per share. Accordingly, the Company paid approximately $245.5 million in cash consideration as of March 27, 2011 and as of April 15, 2011 had paid total aggregate cash consideration of $270.7 million in respect of the shares of Herley common stock and certain in-the-money options, which were exercised upon the change in control of Herley. In addition, upon completion of the acquisition, all unexercised options to purchase Herley common stock were assumed by the Company and converted into options to purchase Kratos common stock, entitling the holders thereof to receive 1.3495 shares of Kratos common stock for each share of Herley common stock underlying the options ("Herley Options"). The Company assumed each Herley Option in accordance with the terms (as in effect as of the date of the Herley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Merger Agreement) of the applicable Herley equity plan and the option agreement pursuant to which such Herley Option was granted. The Herley Options are exercisable for an aggregate of approximately 0.8 million shares of the Company's common stock. All Herley Options were fully vested upon the change in control and the fair value of the Herley Options assumed was $1.9 million. The total aggregate consideration for the purchase of Herley was $272.5 million. In addition, the Company assumed change in control obligations of $4.0 million related to the transaction, and transaction expenses of $11.1 million. The final payment related to the change in control payments of $0.6 million will be paid in the first quarter of 2012.</w:t>
      </w:r>
    </w:p>
    <w:p>
      <w:pPr>
        <w:spacing w:after="0" w:line="17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To fund the acquisition of Herley, on February 11, 2011, Kratos sold approximately 4.9 million shares of its common stock at a purchase price of $13.25 per share in an underwritten public offering. Kratos received gross proceeds of approximately $64.8 million and net proceeds of approximately $61.1 million after deducting underwriting fees and other offering expenses. Kratos used the net proceeds from this offering to fund a portion of the purchase price for the acquisition of Herley and for general corporate purposes. To fund the remaining purchase price, Kratos issued $285.0 million in aggregate principal amount of 10% Senior Secured Notes due 2017 at a premium of 107% through its wholly owned subsidiary, Acquisition Co. Lanza Parent ("Lanza"), on March 25, 2011, in an unregistered offering pursuant to Rule 144A and Regulation S under the Securities Act of 1933, as amended (the "Securities Act"). On April 4, 2011, after the acquisition of Herley was complete, Lanza was merged with and into Kratos and all assets and liabilities of Lanza became assets and liabilities of Kratos. See Note 5 for a complete description of the Company's debt.</w:t>
      </w:r>
    </w:p>
    <w:p>
      <w:pPr>
        <w:spacing w:after="0" w:line="172"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warfare/cybersecurity applications. Herley is part of the Company's KGS segment.</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6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values as of the merger date. The following table summarizes the preliminary fair values of major assets acquired and liabilities assumed (in millions):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180"/>
              <w:spacing w:after="0"/>
              <w:rPr>
                <w:sz w:val="20"/>
                <w:szCs w:val="20"/>
                <w:color w:val="auto"/>
              </w:rPr>
            </w:pPr>
            <w:r>
              <w:rPr>
                <w:rFonts w:ascii="Arial" w:cs="Arial" w:eastAsia="Arial" w:hAnsi="Arial"/>
                <w:sz w:val="18"/>
                <w:szCs w:val="18"/>
                <w:color w:val="auto"/>
              </w:rPr>
              <w:t>Net assets acquired</w:t>
            </w: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March 25, 2011, the expected fair value of accounts receivable approximated the historical cost. The gross accounts receivable was $39.3 million, of which $0.2 million is not expected to be collectible. There were no contingent liabilities associated with the acquisition of Herley. The Company initially recorded $47.9 million of inventory and $30.4 million in property and equipment. The Company decreased the value of acquired inventory to $42.8 million and increased the value of acquired property and equipment to $34.2 million based on its updated valuations during 2011.</w:t>
      </w:r>
    </w:p>
    <w:p>
      <w:pPr>
        <w:spacing w:after="0" w:line="16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amounts of revenue and operating income of Herley included in the Company's consolidated statement of operations for the year ended December 25, 2011 are $150.8 million and $12.7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Henry Bros. Electronics, Inc.</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December 15, 2010, the Company acquired Henry Bros. Electronics, Inc. ("HBE") in a cash merger for a purchase price of $56.6 million, of which $54.9 million was paid in cash and $1.7 million reflects the fair value of options to purchase common stock of HBE that were assumed by the Company and converted into options to purchase common stock of the Company. Upon completion of the merger, holders of HBE common stock received $8.20 in cash for each share of HBE common stock held by them immediately prior to the closing of the merger. In addition, upon completion of the merger, all options to purchase HBE common stock were assumed by the Company (the "HBE Options") and converted into options to purchase common stock of the Company, entitling the holders thereof to receive 0.7715 shares of common stock of the Company for each share of HBE common stock underlying the HBE Options. The HBE Options are exercisable for an aggregate of approximately 0.4 million shares of common stock of the Company. The fair value of unvested HBE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Options which are related to future service will be expensed as the service is performed over a weighted average vesting period of 2.5 years.</w:t>
      </w:r>
    </w:p>
    <w:p>
      <w:pPr>
        <w:spacing w:after="0" w:line="225"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HBE is a leading provider of homeland security solutions, products, and system integration services, including the design, engineering and operation of command and control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Department of Defense ("DoD") agencies, nuclear power generation facilities, state government and municipality related agencies, major national airports, major harbors, railways, tunnel systems, energy centers, power plants, and related infrastructure. HBE is part of the Company's PSS segment.</w:t>
      </w:r>
    </w:p>
    <w:p>
      <w:pPr>
        <w:spacing w:after="0" w:line="198"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HBE has been in business for over 50 years and has established relationships with manufacturing partners, industry colleagues, and customers demanding some of the most sophisticated security solutions available. The Company has a national footprint that includes offices in New York, New Jersey, Virginia, Maryland, Texas, Arizona, Colorado and California. The combination of the Company's existing PSS businesses, with one of the leading homeland security solutions and high end security system design and engineering services providers in the industry today, strategically strengthens the Company's overall capabilities and enhances its customer offerings and overall contract portfolio.</w:t>
      </w:r>
    </w:p>
    <w:p>
      <w:pPr>
        <w:spacing w:after="0" w:line="17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HBE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Accounts receivable</w:t>
            </w: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Deferred tax assets</w:t>
            </w: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Goodwill</w:t>
            </w: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1720" w:type="dxa"/>
            <w:vAlign w:val="bottom"/>
          </w:tcPr>
          <w:p>
            <w:pPr>
              <w:spacing w:after="0"/>
              <w:rPr>
                <w:sz w:val="19"/>
                <w:szCs w:val="19"/>
                <w:color w:val="auto"/>
              </w:rPr>
            </w:pPr>
          </w:p>
        </w:tc>
      </w:tr>
      <w:tr>
        <w:trPr>
          <w:trHeight w:val="21"/>
        </w:trPr>
        <w:tc>
          <w:tcPr>
            <w:tcW w:w="1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Current liabilities</w:t>
            </w: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Long-term liabilities</w:t>
            </w: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720" w:type="dxa"/>
            <w:vAlign w:val="bottom"/>
          </w:tcPr>
          <w:p>
            <w:pPr>
              <w:spacing w:after="0"/>
              <w:rPr>
                <w:sz w:val="19"/>
                <w:szCs w:val="19"/>
                <w:color w:val="auto"/>
              </w:rPr>
            </w:pPr>
          </w:p>
        </w:tc>
      </w:tr>
      <w:tr>
        <w:trPr>
          <w:trHeight w:val="21"/>
        </w:trPr>
        <w:tc>
          <w:tcPr>
            <w:tcW w:w="1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4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w:t>
            </w:r>
          </w:p>
        </w:tc>
        <w:tc>
          <w:tcPr>
            <w:tcW w:w="1720" w:type="dxa"/>
            <w:vAlign w:val="bottom"/>
          </w:tcPr>
          <w:p>
            <w:pPr>
              <w:spacing w:after="0"/>
              <w:rPr>
                <w:sz w:val="18"/>
                <w:szCs w:val="18"/>
                <w:color w:val="auto"/>
              </w:rPr>
            </w:pPr>
          </w:p>
        </w:tc>
      </w:tr>
      <w:tr>
        <w:trPr>
          <w:trHeight w:val="27"/>
        </w:trPr>
        <w:tc>
          <w:tcPr>
            <w:tcW w:w="1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40" w:type="dxa"/>
            <w:vAlign w:val="bottom"/>
            <w:gridSpan w:val="2"/>
          </w:tcPr>
          <w:p>
            <w:pPr>
              <w:jc w:val="right"/>
              <w:ind w:right="3240"/>
              <w:spacing w:after="0"/>
              <w:rPr>
                <w:sz w:val="20"/>
                <w:szCs w:val="20"/>
                <w:color w:val="auto"/>
              </w:rPr>
            </w:pPr>
            <w:r>
              <w:rPr>
                <w:rFonts w:ascii="Arial" w:cs="Arial" w:eastAsia="Arial" w:hAnsi="Arial"/>
                <w:sz w:val="18"/>
                <w:szCs w:val="18"/>
                <w:color w:val="auto"/>
              </w:rPr>
              <w:t>F-30</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December 15, 2010, the expected fair value of accounts receivable approximated the historical cost. The gross accounts receivable was $28.6 million, of which $0.9 million is not expected to be collectible.</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6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amounts of revenue and operating income of HBE included in the Company's consolidated statements of operations for the years ended December 26, 2010 and December 25, 2011 are $1.8 million and $0.2 million, and $77.2 million and $9.5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Southside Container &amp; Trailer, LLC</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On December 7, 2010, the Company acquired Southside Container &amp; Trailer, LLC ("SCT") for $13.7 million of which $12.2 million in cash was paid at closing, $0.3 million was paid in March 2011 as SCT's indemnification obligations as set forth in the applicable acquisition agreement (the "SCT Agreement") were met and approximately $1.2 million of which represents the acquisition date fair value of additional performance based consideration.</w:t>
      </w:r>
    </w:p>
    <w:p>
      <w:pPr>
        <w:spacing w:after="0" w:line="16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SCT, which was founded in 2002 and headquartered in Walterboro, South Carolina, designs, engineers, manufactures and delivers various products, shelters and solutions used primarily by the war fighter and first responder in fulfilling their respective national security missions. Representative end customers and program locations include the U.S. Army, Marine Corps, Special Operations Command, Space and Naval Warfare Systems Center, Fort Bragg, Fort Lewis, Fort Bliss, Fort McGregor, Fort Irwin, Fort Stewart, the Border Patrol and the National Guard. SCT is known for its superior design, engineering, construction and on schedule and on budget delivery of cost effective products and solutions that meet critical and special mission national security, specialized warfighter and asymmetric warfare requirements. SCT is part of the KGS segment.</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Pursuant to the terms of the SCT Agreement, upon achievement of certain earnings before interest, taxes, depreciation, and amortization ("EBITDA") amounts in 2011, 2012 and 2013, the Company will pay the former stockholders of SCT certain additional performance-based consideration ("SCT Contingent Consideration"). The potential undiscounted amount of all future SCT Contingent Consideration that may be payable by the Company under the SCT Agreement is between zero and $3.5 million.</w:t>
      </w:r>
    </w:p>
    <w:p>
      <w:pPr>
        <w:spacing w:after="0" w:line="19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The fair value of the SCT Contingent Consideration of $1.2 million was estimated by applying the income approach, which is based on significant inputs that are not observable in the market, which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refers to as Level 3 inputs. Key assumptions include a discount rate of 6.1%, a market participant cost of debt at the date of acquisition, and probability-adjusted levels for EBITDA. The fair value of the SCT Contingent Consideration was decreased by $0.1 million and recognized in earnings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three month period ended September 25, 2011 and the $1.1 million balance as of December 25, 2011 is reflected in other long-term liabilities in the consolidated balance sheet.</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products and solutions that meet critical and special mission national security and asymmetric warfare requirements. It will also enable the Company to realize significant cross selling opportunities, and increase its sales of higher margin, fixed price products.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SCT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14.4</w:t>
            </w: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13.7</w:t>
            </w:r>
          </w:p>
        </w:tc>
      </w:tr>
      <w:tr>
        <w:trPr>
          <w:trHeight w:val="27"/>
        </w:trPr>
        <w:tc>
          <w:tcPr>
            <w:tcW w:w="7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December 7, 2010, the expected fair value of accounts receivable approximated the historical cost. The gross accounts receivable was $0.2 million, all of which is expected to be collectible.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amounts of revenue and operating income of SCT included in the Company's consolidated statements of operations for the years ended December 26, 2010 and December 25, 2011 are $0.1 million and $0.0 million, and $8.8 million and $2.1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August 9, 2010, the Company acquired DEI Services Corporation ("DEI"), in a cash merger valued at approximately $14.0 million, of which $9.0 million was paid in cash at closing and approximately $5.0 million of which represented the acquisition date fair value of additional performance-based consideration.</w:t>
      </w:r>
    </w:p>
    <w:p>
      <w:pPr>
        <w:spacing w:after="0" w:line="139"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Prowler aircraft), rotor-wing aircraft (including Blackhawk, Chinook and Sea Stallion helicopters) and Ground Combat Vehicles (including the M1 Abrams Main Battle Tank and M2 Bradley Fighting Vehicle). DEI is part of the KGS segment.</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Pursuant to the terms of the agreement and plan of merger (the "DEI Agreement"), upon achievement of certain cash receipts, revenue, EBITDA and backlog amounts in 2010, 2011 and 2012, the Company will be obligated to pay certain additional contingent consideration (the "DEI Contingent Consideration"). The fair value of the DEI Contingent Consideration was originally estimated as $5.0 million by applying the income approach, which is based on significant inputs that are not observable in the market, which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refers to as Level 3 inputs. Key assumptions include a discount rate of 5.8%, a market participant cost of debt at the date of acquisition, and probability-adjusted levels of cash receipts, revenue, EBITDA and backlog. The fair value of the DEI Contingent Consideration was increased by $0.4 million and recognized in earnings during the three month period ended September 25, 2011. The balance as of December 25, 2011 is $5.0 million and $2.5 million is reflected in other current liabilities and long-term liabilities, respectively, in the consolidated balance sheets. The Company paid $0.4 million in September 2010 and $2.5 million has been achieved for 2011 and is expected to be paid in March 2012, subject to potential reductions if certain cash receipts are not collected. As of December 25, 2011, the potential undiscounted amount of future DEI Contingent Consideration that may be payable by the Company under the DEI Agreement is between $2.5 million and $6.5 million which includes the amount expected to be paid in March 2012. The DEI Contingent Consideration will be reduced in the event certain anticipated cash receipts are not collected within agreed upon time periods, which could decrease the future payments by approximately $6.0 million.</w:t>
      </w:r>
    </w:p>
    <w:p>
      <w:pPr>
        <w:spacing w:after="0" w:line="178"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the Company's workforce learning, performance and training solutions to support the warfighter as well as its other defense, security and government customers.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DEI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as part of the DEI transaction (in millions):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20.8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14.0</w:t>
            </w:r>
          </w:p>
        </w:tc>
      </w:tr>
      <w:tr>
        <w:trPr>
          <w:trHeight w:val="27"/>
        </w:trPr>
        <w:tc>
          <w:tcPr>
            <w:tcW w:w="7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August 9, 2010, the expected fair value of accounts receivable approximated the historical cost. The gross accounts receivable was $6.9 million, all of which is expected to be collectible.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amounts of revenue and operating income of DEI included in the Company's consolidated statements of operations for the years ended December 26, 2010 and December 25, 2011 are $6.7 million and $0.1 million, and $24.3 million and $4.9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May 19, 2010, the Company acquired Gichner Holdings, Inc. ("Gichner") pursuant to the Stock Purchase Agreement (the "Gichner Agreement"), dated as of April 12, 2010, by and between the Company and the stockholders of Gichner, in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Vehicles, Combat Tactical Vehicles, DDG-1000 Modular C5 Compartments and the Persistent Threat Detection System ISR Platform. Gichner is part of the KGS segment.</w:t>
      </w:r>
    </w:p>
    <w:p>
      <w:pPr>
        <w:spacing w:after="0" w:line="172"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its strengths in the areas of weapons system sustainment; C5ISR; military preset/reset; and foreign military sales. It will also enable the Company to realize significant cross selling opportunities, pursue new and larger contracts and increase its sales of higher margin, fixed price products.</w:t>
      </w:r>
    </w:p>
    <w:p>
      <w:pPr>
        <w:spacing w:after="0" w:line="139"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Upon completion of the Gichner transaction, the Company deposited $8.1 million of the purchase price ("the holdback") into an escrow account as security for Gichner's indemnification obligations as set forth in the Gichner Agreement. In addition, the Gichner Agreement provided that the purchase price would be</w:t>
      </w:r>
    </w:p>
    <w:p>
      <w:pPr>
        <w:jc w:val="both"/>
        <w:ind w:firstLine="8"/>
        <w:spacing w:after="0" w:line="255" w:lineRule="auto"/>
        <w:tabs>
          <w:tab w:leader="none" w:pos="2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on a dollar for dollar basis if the working capital on the closing date (as defined in the Gichner Agreement) exceeded $17.5 million or (ii) decreased on a dollar for dollar basis if the working capital was less than $17.1 million. The Company and seller agreed to a working capital adjustment of $0.6 million and during 2011 the Company paid the holdback owed of $7.5 million.</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Gichner transaction has been accounted for using the acquisition method of accounting which requires, among other things, that the assets acquired and liabilities assumed be recognized at their fair values as of the merger date. Due to the working capital adjustment discussed above, the Company retrospectively recorded purchase price adjustments at the acquisition date to decrease current liabilities by $0.6 million and reduce net deferred tax assets by $0.4 million, resulting in a $0.2 million reduction to the original goodwill recorded of $68.4 million. The following table summarizes the fair values of major assets acquired and liabilities assumed, including the retrospective adjustments, as part of the Gichner transaction (in millions):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7200" w:type="dxa"/>
            <w:vAlign w:val="bottom"/>
            <w:vMerge w:val="restart"/>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May 19, 2010, the expected fair value of accounts receivable approximated the historical cost. The gross accounts receivable was $15.6 million, of which $0.4 million is not expected to be collectible.</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Gichner has two primary areas of contingent liabilities: environmental and uncertain tax liabilities. Additionally, Gichner is involved in various commercial disputes and employment matters. The majority of the contingent liabilities have been recorded at fair value in the allocation of acquired assets and liabilities or purchase price, aside from those pertaining to uncertainty in income taxes which are an exception to the fair value basis of accounting; however certain environmental matters that are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inherently legal contingencies in nature are recorded at the probable and estimable amount. As of the acquisition date approximately $0.2 million has been recorded for probable and estimable environmental and employment liabilities.</w:t>
      </w:r>
    </w:p>
    <w:p>
      <w:pPr>
        <w:spacing w:after="0" w:line="186" w:lineRule="exact"/>
        <w:rPr>
          <w:sz w:val="20"/>
          <w:szCs w:val="20"/>
          <w:color w:val="auto"/>
        </w:rPr>
      </w:pPr>
    </w:p>
    <w:p>
      <w:pPr>
        <w:ind w:right="1020" w:firstLine="348"/>
        <w:spacing w:after="0" w:line="332" w:lineRule="auto"/>
        <w:rPr>
          <w:sz w:val="20"/>
          <w:szCs w:val="20"/>
          <w:color w:val="auto"/>
        </w:rPr>
      </w:pPr>
      <w:r>
        <w:rPr>
          <w:rFonts w:ascii="Arial" w:cs="Arial" w:eastAsia="Arial" w:hAnsi="Arial"/>
          <w:sz w:val="16"/>
          <w:szCs w:val="16"/>
          <w:color w:val="auto"/>
        </w:rPr>
        <w:t>The amounts of revenue and operating income of Gichner included in the Company's consolidated statements of operations for the years ended December 26, 2010 and December 25, 2011 are $98.1 million and $4.8 million, and $131.5 million and $4.9 million, respectively.</w:t>
      </w:r>
    </w:p>
    <w:p>
      <w:pPr>
        <w:spacing w:after="0" w:line="13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the allocation of the purchase price for the Company's acquisitions of Herley, Integral and SecureInfo are subject to adjustment during the measurement period after the respective closing dates when additional information on asset and liability valuations become available. The above estimated fair values of assets acquired and liabilities assumed are provisional and are based on the information that was available as of the respective acquisition dates to estimate the fair value of assets acquired and liabilities assumed. Measurement period adjustments reflect new information obtained about facts and circumstances that existed as of the respective acquisition dates. The Company believes that current information available provides a reasonable basis for estimating the fair values of assets acquired and liabilities assumed but the Company is waiting for additional information necessary to finalize those fair values. The Company has not finalized its valuation of certain assets and liabilities recorded in connection with these transactions, including, intangible assets, inventory, property and equipment and deferred taxes. Thus, the provisional measurements recorded are subject to change and any changes will be recorded as adjustments to the fair value of those assets and liabilities and residual amounts will be allocated to goodwill. The final valuation adjustments may also require adjustment to the consolidated statements of operations.</w:t>
      </w:r>
    </w:p>
    <w:p>
      <w:pPr>
        <w:spacing w:after="0" w:line="17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tables summarize the fair value of identifiable intangible assets acquired for the SecureInfo, Integral, and Herley transactions and the weighted average amortization period of each class of intangible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8"/>
              </w:rPr>
              <w:t>Weighted</w:t>
            </w:r>
          </w:p>
        </w:tc>
      </w:tr>
      <w:tr>
        <w:trPr>
          <w:trHeight w:val="149"/>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49"/>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Gross</w:t>
            </w:r>
          </w:p>
        </w:tc>
        <w:tc>
          <w:tcPr>
            <w:tcW w:w="2800" w:type="dxa"/>
            <w:vAlign w:val="bottom"/>
            <w:gridSpan w:val="3"/>
          </w:tcPr>
          <w:p>
            <w:pPr>
              <w:jc w:val="center"/>
              <w:ind w:right="186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61"/>
        </w:trPr>
        <w:tc>
          <w:tcPr>
            <w:tcW w:w="17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SecureInfo</w:t>
            </w:r>
          </w:p>
        </w:tc>
        <w:tc>
          <w:tcPr>
            <w:tcW w:w="19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3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Funded backlog</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9"/>
                <w:szCs w:val="19"/>
                <w:color w:val="auto"/>
              </w:rPr>
            </w:pPr>
          </w:p>
        </w:tc>
      </w:tr>
      <w:tr>
        <w:trPr>
          <w:trHeight w:val="21"/>
        </w:trPr>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720" w:type="dxa"/>
            <w:vAlign w:val="bottom"/>
          </w:tcPr>
          <w:p>
            <w:pPr>
              <w:spacing w:after="0"/>
              <w:rPr>
                <w:sz w:val="18"/>
                <w:szCs w:val="18"/>
                <w:color w:val="auto"/>
              </w:rPr>
            </w:pPr>
          </w:p>
        </w:tc>
      </w:tr>
      <w:tr>
        <w:trPr>
          <w:trHeight w:val="27"/>
        </w:trPr>
        <w:tc>
          <w:tcPr>
            <w:tcW w:w="1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40" w:type="dxa"/>
            <w:vAlign w:val="bottom"/>
            <w:gridSpan w:val="2"/>
          </w:tcPr>
          <w:p>
            <w:pPr>
              <w:jc w:val="right"/>
              <w:ind w:right="2212"/>
              <w:spacing w:after="0"/>
              <w:rPr>
                <w:sz w:val="20"/>
                <w:szCs w:val="20"/>
                <w:color w:val="auto"/>
              </w:rPr>
            </w:pPr>
            <w:r>
              <w:rPr>
                <w:rFonts w:ascii="Arial" w:cs="Arial" w:eastAsia="Arial" w:hAnsi="Arial"/>
                <w:sz w:val="18"/>
                <w:szCs w:val="18"/>
                <w:color w:val="auto"/>
              </w:rPr>
              <w:t>F-36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61"/>
        </w:trPr>
        <w:tc>
          <w:tcPr>
            <w:tcW w:w="6220" w:type="dxa"/>
            <w:vAlign w:val="bottom"/>
            <w:gridSpan w:val="4"/>
          </w:tcPr>
          <w:p>
            <w:pPr>
              <w:spacing w:after="0"/>
              <w:rPr>
                <w:sz w:val="20"/>
                <w:szCs w:val="20"/>
                <w:color w:val="auto"/>
              </w:rPr>
            </w:pPr>
            <w:r>
              <w:rPr>
                <w:rFonts w:ascii="Arial" w:cs="Arial" w:eastAsia="Arial" w:hAnsi="Arial"/>
                <w:sz w:val="14"/>
                <w:szCs w:val="14"/>
                <w:b w:val="1"/>
                <w:bCs w:val="1"/>
                <w:color w:val="auto"/>
              </w:rPr>
              <w:t>Integral</w:t>
            </w:r>
          </w:p>
        </w:tc>
        <w:tc>
          <w:tcPr>
            <w:tcW w:w="1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Customer contracts</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Funded backlog</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gridSpan w:val="3"/>
            <w:vMerge w:val="restart"/>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61"/>
        </w:trPr>
        <w:tc>
          <w:tcPr>
            <w:tcW w:w="6220" w:type="dxa"/>
            <w:vAlign w:val="bottom"/>
            <w:gridSpan w:val="4"/>
          </w:tcPr>
          <w:p>
            <w:pPr>
              <w:spacing w:after="0"/>
              <w:rPr>
                <w:sz w:val="20"/>
                <w:szCs w:val="20"/>
                <w:color w:val="auto"/>
              </w:rPr>
            </w:pPr>
            <w:r>
              <w:rPr>
                <w:rFonts w:ascii="Arial" w:cs="Arial" w:eastAsia="Arial" w:hAnsi="Arial"/>
                <w:sz w:val="14"/>
                <w:szCs w:val="14"/>
                <w:b w:val="1"/>
                <w:bCs w:val="1"/>
                <w:color w:val="auto"/>
              </w:rPr>
              <w:t>Herley</w:t>
            </w:r>
          </w:p>
        </w:tc>
        <w:tc>
          <w:tcPr>
            <w:tcW w:w="1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Customer contracts</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Funded backlog</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gridSpan w:val="3"/>
            <w:vMerge w:val="restart"/>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following tables summarize supplemental statements of operations information on an unaudited pro forma basis as if the acquisitions of Gichner, DEI, SCT, HBE, Herley, Integral and SecureInfo had occurred on December 28, 2009, and include adjustments that were directly attributable to the transactions or were not expected to have a continuing impact on the Company. There are no material, nonrecurring pro forma adjustments directly attributable to the business combinations included in the reported pro forma revenue and earnings for 2010 or 2011. The pro forma results are for illustrative purposes only for the applicable periods and do not purport to be indicative of the actual results which would have occurred had the transactions been completed as of the beginning of the period, nor are they indicative of results of operations which may occur in the future (all amounts, except per share amounts are in millions):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Statements of Operations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2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17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26,</w:t>
            </w:r>
          </w:p>
        </w:tc>
        <w:tc>
          <w:tcPr>
            <w:tcW w:w="2840" w:type="dxa"/>
            <w:vAlign w:val="bottom"/>
            <w:gridSpan w:val="4"/>
          </w:tcPr>
          <w:p>
            <w:pPr>
              <w:jc w:val="center"/>
              <w:ind w:right="1860"/>
              <w:spacing w:after="0" w:line="149" w:lineRule="exact"/>
              <w:rPr>
                <w:sz w:val="20"/>
                <w:szCs w:val="20"/>
                <w:color w:val="auto"/>
              </w:rPr>
            </w:pPr>
            <w:r>
              <w:rPr>
                <w:rFonts w:ascii="Arial" w:cs="Arial" w:eastAsia="Arial" w:hAnsi="Arial"/>
                <w:sz w:val="14"/>
                <w:szCs w:val="14"/>
                <w:b w:val="1"/>
                <w:bCs w:val="1"/>
                <w:color w:val="auto"/>
                <w:w w:val="85"/>
              </w:rPr>
              <w:t>December 25,</w:t>
            </w:r>
          </w:p>
        </w:tc>
      </w:tr>
      <w:tr>
        <w:trPr>
          <w:trHeight w:val="161"/>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 forma net loss before tax</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6"/>
              </w:rPr>
              <w:t>Net income (loss) attributable to the registrant</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pro forma loss per share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320" w:type="dxa"/>
            <w:vAlign w:val="bottom"/>
            <w:gridSpan w:val="2"/>
          </w:tcPr>
          <w:p>
            <w:pPr>
              <w:jc w:val="right"/>
              <w:ind w:right="1632"/>
              <w:spacing w:after="0"/>
              <w:rPr>
                <w:sz w:val="20"/>
                <w:szCs w:val="20"/>
                <w:color w:val="auto"/>
              </w:rPr>
            </w:pPr>
            <w:r>
              <w:rPr>
                <w:rFonts w:ascii="Arial" w:cs="Arial" w:eastAsia="Arial" w:hAnsi="Arial"/>
                <w:sz w:val="18"/>
                <w:szCs w:val="18"/>
                <w:color w:val="auto"/>
              </w:rPr>
              <w:t>F-37</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pro forma results for the years ended December 26, 2010 and December 25, 2011 include $9.4 million, and $33.2 million of acquisition related expenses, respectively. The pro forma financial information also reflects pro forma adjustments for the additional amortization associated with finite lived intangible assets acquired, additional incremental interest expense, deferred financing costs related to the financing undertaken for the Integral, Herley and Gichner transactions, the change in stock compensation expense as a result of the exercise of stock options and restricted stock immediately prior to closing of the Integral, Herley and HBE transactions offset by stock-based compensation expense for stock options assumed, and the tax effect of the increased interest expense and intangible amortization. The weighted average common shares also reflect the issuance of 2.5 million shares in October 2010, 4.9 million shares in February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2011 for the HBE and Herley acquisitions and 10.5 million shares in July 2011 for the Integral acquisition. These adjustments are as follows (in millions):</w:t>
      </w:r>
    </w:p>
    <w:p>
      <w:pPr>
        <w:spacing w:after="0" w:line="29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740" w:type="dxa"/>
            <w:vAlign w:val="bottom"/>
          </w:tcPr>
          <w:p>
            <w:pPr>
              <w:spacing w:after="0"/>
              <w:rPr>
                <w:sz w:val="11"/>
                <w:szCs w:val="11"/>
                <w:color w:val="auto"/>
              </w:rPr>
            </w:pPr>
          </w:p>
        </w:tc>
        <w:tc>
          <w:tcPr>
            <w:tcW w:w="11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December 26,</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25,</w:t>
            </w:r>
          </w:p>
        </w:tc>
        <w:tc>
          <w:tcPr>
            <w:tcW w:w="16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change in stock compensation expense</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interest expense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change in income tax expense (benefit)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88"/>
              </w:rPr>
              <w:t>Increase in weighted average common shares outstanding for shares issued and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not already included in the weighted average common shares outstanding</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 xml:space="preserve">In connection with the acquisitions of SecureInfo, DEI and SCT, the Company agreed to make additional future payments to the seller's contingent upon achievement of specific performance-based milestones by the acquired entities.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the Company will re-measure these liabilities each reporting period and record changes in the fair value in its consolidated statement of operations. Increases or decreases in the fair value of the contingent consideration liability can result from changes in discount periods and rates, as well as changes in the estimates on the achievement of the performance-based milestones.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 summary of contingent acquisition consideration as of December 26, 2010 and December 25, 2011 is summarized in the following table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SecureInfo</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DEI</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SCT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jc w:val="right"/>
              <w:ind w:right="3712"/>
              <w:spacing w:after="0"/>
              <w:rPr>
                <w:sz w:val="20"/>
                <w:szCs w:val="20"/>
                <w:color w:val="auto"/>
              </w:rPr>
            </w:pPr>
            <w:r>
              <w:rPr>
                <w:rFonts w:ascii="Arial" w:cs="Arial" w:eastAsia="Arial" w:hAnsi="Arial"/>
                <w:sz w:val="18"/>
                <w:szCs w:val="18"/>
                <w:color w:val="auto"/>
                <w:w w:val="85"/>
              </w:rPr>
              <w:t>Balance as of December 27, 2009</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Fair value of contingent acquisition consideration assumed in acquisitions</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payments</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jc w:val="right"/>
              <w:ind w:right="3712"/>
              <w:spacing w:after="0"/>
              <w:rPr>
                <w:sz w:val="20"/>
                <w:szCs w:val="20"/>
                <w:color w:val="auto"/>
              </w:rPr>
            </w:pPr>
            <w:r>
              <w:rPr>
                <w:rFonts w:ascii="Arial" w:cs="Arial" w:eastAsia="Arial" w:hAnsi="Arial"/>
                <w:sz w:val="18"/>
                <w:szCs w:val="18"/>
                <w:color w:val="auto"/>
                <w:w w:val="86"/>
              </w:rPr>
              <w:t>Balance as of December 26, 2010</w:t>
            </w: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contingent acquisition consideration assumed in acquisitions</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Post-acquisition adjustments reflected in operating results</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jc w:val="right"/>
              <w:ind w:right="3712"/>
              <w:spacing w:after="0"/>
              <w:rPr>
                <w:sz w:val="20"/>
                <w:szCs w:val="20"/>
                <w:color w:val="auto"/>
              </w:rPr>
            </w:pPr>
            <w:r>
              <w:rPr>
                <w:rFonts w:ascii="Arial" w:cs="Arial" w:eastAsia="Arial" w:hAnsi="Arial"/>
                <w:sz w:val="18"/>
                <w:szCs w:val="18"/>
                <w:color w:val="auto"/>
                <w:w w:val="85"/>
              </w:rPr>
              <w:t>Balance as of December 25, 2011</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25, 2011 $4.0 million of the contingent acquisition consideration is reflected in other current liabilities and $3.6 million is in other long-term liabilities in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 of certain assets in the consolidated balance sheets consists of the following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Company's cash equivalents consist of overnight cash sweep accounts that are invested on a daily basis. The cash and cash equivalents at December 26, 2010 and December 25, 2011 were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w w:val="95"/>
              </w:rPr>
              <w:t>December 26, 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December 25, 2011</w:t>
            </w:r>
          </w:p>
        </w:tc>
      </w:tr>
      <w:tr>
        <w:trPr>
          <w:trHeight w:val="129"/>
        </w:trPr>
        <w:tc>
          <w:tcPr>
            <w:tcW w:w="432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Cost</w:t>
            </w: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4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unrealized and realized gains recorded during the years ended December 26, 2010 and December 25, 2011 were immaterial.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Receivables including amounts due under long-term contracts are summarized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26,</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25,</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Billed, current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Unbilled, current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accounts receivable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accounts receivable, net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color w:val="auto"/>
              </w:rPr>
              <w:t>Unbilled, long-term (included in other assets)</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accounts receivable,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Unbilled receivables represent the balance of recoverable costs and accrued profit, comprised principally of revenue recognized on contracts for which billings have not been presented to the customer because the amounts were earned but not contractually billable as of the balance sheet date. Retainages receivable were $4.9 million as of December 26, 2010 and $3.9 million as of December 25, 2011 and are included in accounts receivable, net in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contract receivables (included in accounts receivable,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26,</w:t>
            </w:r>
          </w:p>
        </w:tc>
        <w:tc>
          <w:tcPr>
            <w:tcW w:w="284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5"/>
              </w:rPr>
              <w:t>December 25,</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Unbilled</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U.S. Government contract receivables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Inventoried costs, net of progress payments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26,</w:t>
            </w:r>
          </w:p>
        </w:tc>
        <w:tc>
          <w:tcPr>
            <w:tcW w:w="284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5"/>
              </w:rPr>
              <w:t>December 25,</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Supplies and other</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0"/>
              </w:rPr>
              <w:t>Less: U.S. Government advances, performance-based payments, and progress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Total inventoried costs, net</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740" w:type="dxa"/>
            <w:vAlign w:val="bottom"/>
            <w:vMerge w:val="restart"/>
          </w:tcPr>
          <w:p>
            <w:pPr>
              <w:ind w:left="3820"/>
              <w:spacing w:after="0"/>
              <w:rPr>
                <w:sz w:val="20"/>
                <w:szCs w:val="20"/>
                <w:color w:val="auto"/>
              </w:rPr>
            </w:pPr>
            <w:r>
              <w:rPr>
                <w:rFonts w:ascii="Arial" w:cs="Arial" w:eastAsia="Arial" w:hAnsi="Arial"/>
                <w:sz w:val="18"/>
                <w:szCs w:val="18"/>
                <w:color w:val="auto"/>
              </w:rPr>
              <w:t>F-40</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December 26,</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25,</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Facility under capital lease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expense was $2.6 million, $3.7 million and $10.0 million for the years ended December 27, 2009, December 26, 2010, and December 25, 2011,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Issuance of 10% Senior Secured Notes due 2017</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19, 2010, the Company entered into an Indenture with the guarantors set forth therein and Wilmington Trust FSB ("Wilmington Trust"), as trustee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collateral agent (the "Indenture") to issue 10% Senior Secured Notes due 2017 ("Notes"). As of December 25, 2011, the Company has issued Notes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$625.0 million under this Indenture. These Notes have been used to fund acquisitions and for general corporate purposes. The holders of the Notes have a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priority lien on substantially all of the Company's assets and the assets of the guarantors, except accounts receivable, inventory, deposit accounts, securities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cash, securities and general intangibles (other than intellectual property) where the holders of the senior secured borrowings have a second priority lien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the $90.0 million credit facility described below.</w:t>
      </w:r>
    </w:p>
    <w:p>
      <w:pPr>
        <w:spacing w:after="0" w:line="219"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pays interest on the Notes semi-annually, in arrears, on June 1 and December 1 of each year. The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25, 2011, the Company was in compliance with the covenants contained in the indentures related to the Notes.</w:t>
      </w:r>
    </w:p>
    <w:p>
      <w:pPr>
        <w:spacing w:after="0" w:line="15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Company may redeem up to 35% of the aggregate principal amount of the Notes at 110% of the aggregate principal amount of the Notes, plus accrued and unpaid interest to the redemption date, with the net cash proceeds of certain equity offerings.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were issued in three offerings.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$225 Million 10% Senior Secured Note Offering, May 2010</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May 19, 2010, the Company issued Notes in the aggregate principal amount of $225.0 million in an unregistered offering pursuant to Rule 144A and Regulation S under the Securities Act and on August 11, 2010, the Company completed an exchange offer for such Notes pursuant to a registration rights agreement entered into in connection with the issuance thereof. The proceeds were primarily used to finance the acquisitions of Gichner, DEI and SCT as well as to refinance the Company's existing debt. (See Note 3).</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$285 Million 10% Senior Secured Note Offering, March 2011</w:t>
      </w:r>
    </w:p>
    <w:p>
      <w:pPr>
        <w:spacing w:after="0" w:line="225"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color w:val="auto"/>
        </w:rPr>
        <w:t>On March 25, 2011, the Company issued Notes in the aggregate principal amount of $285.0 million in an unregistered offering pursuant to Rule 144A and Regulation S under the Securities Act and received approximately $314.0 million in cash proceeds from the offering, which includes an approximate</w:t>
      </w:r>
    </w:p>
    <w:p>
      <w:pPr>
        <w:ind w:right="160"/>
        <w:spacing w:after="0" w:line="295" w:lineRule="auto"/>
        <w:rPr>
          <w:sz w:val="20"/>
          <w:szCs w:val="20"/>
          <w:color w:val="auto"/>
        </w:rPr>
      </w:pPr>
      <w:r>
        <w:rPr>
          <w:rFonts w:ascii="Arial" w:cs="Arial" w:eastAsia="Arial" w:hAnsi="Arial"/>
          <w:sz w:val="16"/>
          <w:szCs w:val="16"/>
          <w:color w:val="auto"/>
        </w:rPr>
        <w:t>$20.0 million of issuance premiums and $9.0 million of accrued interest, which proceeds were used, together with cash contributions of $45.0 million from the Company, to finance the acquisition of all of the outstanding shares of common stock of Herley (see Note 3), to pay related fees and expenses and for general corporate purposes. The effective interest rate on this issuance was 8.5%. On July 29, 2011, the Company completed an exchange offer for these Notes pursuant to a registration rights agreement entered into in connection with this issuance.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$115 Million 10% Senior Secured Note Offering, July 2011</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July 27, 2011, the Company issued Notes in the aggregate principal amount of $115.0 million in an unregistered offering pursuant to Rule 144A and Regulation S under the Securities Act and received approximately $122.5 million in cash proceeds from the issuance of the Notes, which includes an approximate $5.8 million of issuance premiums and $1.7 million of accrued interest. These proceeds were used to finance, in part, the cash portion of the purchase price for the acquisition of Integral (see Note 3), to refinance existing indebtedness of Integral, to make certain severance payments in connection with the acquisition of Integral and to pay related fees and expenses. The effective interest rate on this issuance was 8.9%. On December 2, 2011, the Company completed an exchange offer for these Notes pursuant to a registration rights agreement entered into in connection with this issuance.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Indebtedness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$90 Million Credit Facility</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July 27, 2011, concurrent with the completion of the offering of the $115.0 million in Notes,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between the Company, KeyBank and the lenders named therein (as amended). The 2011 Credit Agreement establishes a five year senior secured revolving credit facility in the amount of $65.0 million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4"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On November 14, 2011, the Company entered into a First Amendment Agreement (the "Amendment Agreement"), with certain lenders and with KeyBank, which amended the 2011 Credit Agreement. Among other things, the Amendment Agreement: (i) increased the amount of the Amended Revolver from</w:t>
      </w:r>
    </w:p>
    <w:p>
      <w:pPr>
        <w:ind w:right="580"/>
        <w:spacing w:after="0" w:line="323" w:lineRule="auto"/>
        <w:rPr>
          <w:sz w:val="20"/>
          <w:szCs w:val="20"/>
          <w:color w:val="auto"/>
        </w:rPr>
      </w:pPr>
      <w:r>
        <w:rPr>
          <w:rFonts w:ascii="Arial" w:cs="Arial" w:eastAsia="Arial" w:hAnsi="Arial"/>
          <w:sz w:val="16"/>
          <w:szCs w:val="16"/>
          <w:color w:val="auto"/>
        </w:rPr>
        <w:t>$65.0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4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Amended Revolver may be increased to $100.0 million. Any increase in the Amended Revolver is subject to the consent of KeyBank, identification of one or more additional lenders willing to advance the increased amount of the Amended Revolver, and compliance with covenants in the Notes. 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$30.0 million of availability for letters of credit and $5.0 million of availability for swing line loans.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December 25, 2011, there were no outstanding borrowings on the Amended Revolver and $21.3 million was outstanding on letters of credit resulting in net availability of $68.7 million. The Company was in compliance with the financial covenants as of December 25, 2011.</w:t>
      </w:r>
    </w:p>
    <w:p>
      <w:pPr>
        <w:spacing w:after="0" w:line="172"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During 2010, the Company refinanced its previous revolving credit facilities and, as a result, the Company recorded interest charges of approximately $3.9 million in 2010 relating to the write-off of previously deferred financing costs.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assumed a $10.0 million ten-year term loan with a bank in Israel that Herley entered into on September 16, 2008 in connection with the acquisition of one of its wholly owned subsidiaries. The balance as of December 25, 2011 was $6.8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December 25, 2011.</w:t>
      </w:r>
    </w:p>
    <w:p>
      <w:pPr>
        <w:spacing w:after="0" w:line="167" w:lineRule="exact"/>
        <w:rPr>
          <w:sz w:val="20"/>
          <w:szCs w:val="20"/>
          <w:color w:val="auto"/>
        </w:rPr>
      </w:pPr>
    </w:p>
    <w:p>
      <w:pPr>
        <w:ind w:right="520" w:firstLine="351"/>
        <w:spacing w:after="0" w:line="256" w:lineRule="auto"/>
        <w:rPr>
          <w:sz w:val="20"/>
          <w:szCs w:val="20"/>
          <w:color w:val="auto"/>
        </w:rPr>
      </w:pPr>
      <w:r>
        <w:rPr>
          <w:rFonts w:ascii="Arial" w:cs="Arial" w:eastAsia="Arial" w:hAnsi="Arial"/>
          <w:sz w:val="18"/>
          <w:szCs w:val="18"/>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Proceeds from the IDA Bonds were used for the construction of a 15,000 square foot expansion of Herley's facilities in Lancaster, Pennsylvania, and for manufacturing equipment. The IDA Bonds were paid in full on May 2, 2011.</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the Company paid-off approximately $0.5 million of the notes plus accrued interest in cash and holders of approximately $0.5 million of the notes elected to have their notes converted into approximately 45,000 shares of the Company's common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Carrying amounts and the related estimated fair values of the Company's long term debt financial instruments not measured at fair value on a recurring basis at December 26, 2010 and December 25, 2011 are presented in the following table:</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26, 2010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25, 2011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Principal</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Amount</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225.0</w:t>
            </w:r>
          </w:p>
        </w:tc>
        <w:tc>
          <w:tcPr>
            <w:tcW w:w="8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rPr>
              <w:t>$  225.0</w:t>
            </w:r>
          </w:p>
        </w:tc>
        <w:tc>
          <w:tcPr>
            <w:tcW w:w="4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631.8</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  654.6</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642.7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inputs—quoted prices in active markets) and it is the estimated amount the Company would have to pay to repurchase its debt, including any premium or discount attributable to the difference between the stated interest rate and market value of interest at the balance sheet date.</w:t>
      </w:r>
    </w:p>
    <w:p>
      <w:pPr>
        <w:spacing w:after="0" w:line="194"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net unamortized debt premium, of $22.8 million as of December 25, 2011, which is the difference between the carrying amount of $654.6 million and the principal amount of $631.8 million represented in the previous table, is being amortized to interest expense over the terms of the related debt.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maturities of long-term debt for each of the years ending 2012 through 2016 are $1.0 million per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 Commitments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leases certain facilities and equipment under operating and capital leases having terms expiring at various dates through 2022. Future minimum lease payments under capital and operating leases as of December 25, 2011, which does not include $11.7 million in sublease income on our operating leases, are as follows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Capital</w:t>
            </w:r>
          </w:p>
        </w:tc>
        <w:tc>
          <w:tcPr>
            <w:tcW w:w="264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3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79"/>
              </w:rPr>
              <w:t>Leases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9"/>
              </w:rPr>
              <w:t>Leases</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2013</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2015</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future minimum lease payments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3"/>
            <w:vMerge w:val="restart"/>
          </w:tcPr>
          <w:p>
            <w:pPr>
              <w:ind w:left="1720"/>
              <w:spacing w:after="0"/>
              <w:rPr>
                <w:sz w:val="20"/>
                <w:szCs w:val="20"/>
                <w:color w:val="auto"/>
              </w:rPr>
            </w:pPr>
            <w:r>
              <w:rPr>
                <w:rFonts w:ascii="Arial" w:cs="Arial" w:eastAsia="Arial" w:hAnsi="Arial"/>
                <w:sz w:val="18"/>
                <w:szCs w:val="18"/>
                <w:color w:val="auto"/>
              </w:rPr>
              <w:t>Less amount representing interest</w:t>
            </w: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continu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gridSpan w:val="3"/>
            <w:vMerge w:val="continue"/>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Present value of capital lease obligations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capital lease obligations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80" w:type="dxa"/>
            <w:vAlign w:val="bottom"/>
            <w:gridSpan w:val="2"/>
          </w:tcPr>
          <w:p>
            <w:pPr>
              <w:jc w:val="right"/>
              <w:ind w:right="2192"/>
              <w:spacing w:after="0"/>
              <w:rPr>
                <w:sz w:val="20"/>
                <w:szCs w:val="20"/>
                <w:color w:val="auto"/>
              </w:rPr>
            </w:pPr>
            <w:r>
              <w:rPr>
                <w:rFonts w:ascii="Arial" w:cs="Arial" w:eastAsia="Arial" w:hAnsi="Arial"/>
                <w:sz w:val="18"/>
                <w:szCs w:val="18"/>
                <w:color w:val="auto"/>
              </w:rPr>
              <w:t>F-45</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 Commitments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an analysis of the leased property under capital leases by major class: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26,</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25,</w:t>
            </w: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Classes of Property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Facilities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Office equipment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7"/>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Amortization expense related to capital leases was $0.2 million, $0.3 million and $0.1 million for the years ended December 27, 2009, December 26, 2010 and December 25, 2011,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Gross rent expense under operating leases for the years ended December 27, 2009, December 26, 2010, and December 25, 2011 was $7.3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$6.8 million, and $12.8 million, respectively. Total sublease income for the years ended December 27, 2009, December 26, 2010, and December 25,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totaling $0.2 million, $0.2 million, and $1.3 million, respectively, has been netted against rent expense.</w:t>
      </w:r>
    </w:p>
    <w:p>
      <w:pPr>
        <w:spacing w:after="0" w:line="219" w:lineRule="exact"/>
        <w:rPr>
          <w:sz w:val="20"/>
          <w:szCs w:val="20"/>
          <w:color w:val="auto"/>
        </w:rPr>
      </w:pPr>
    </w:p>
    <w:p>
      <w:pPr>
        <w:ind w:right="360" w:firstLine="351"/>
        <w:spacing w:after="0" w:line="290" w:lineRule="auto"/>
        <w:rPr>
          <w:sz w:val="20"/>
          <w:szCs w:val="20"/>
          <w:color w:val="auto"/>
        </w:rPr>
      </w:pPr>
      <w:r>
        <w:rPr>
          <w:rFonts w:ascii="Arial" w:cs="Arial" w:eastAsia="Arial" w:hAnsi="Arial"/>
          <w:sz w:val="16"/>
          <w:szCs w:val="16"/>
          <w:color w:val="auto"/>
        </w:rPr>
        <w:t>Based on management's assessment of assumptions considering existing market conditions, sublease rental rates and recoverability of operating lease expenses for the Company's vacant properties and due to the Company's actions to consolidate facilities, the Company periodically reevaluates its accrual for excess facilities. As a result, in 2009, the Company recorded a $0.6 million excess facility accrual due to the consolidation of space that occurred at the Company's Corporate Headquarters. In 2011 as a result of the Integral acquisition, the Company acquired 131,450 rentable square feet of property located in Maryland with a lease term through April 2020. Prior to the acquisition, Integral had vacated the majority of this space and subleased approximately 83,000 square feet for an initial term which commenced on October 1, 2010 and ends on October 31, 2015. The Company recorded a liability at fair value of $19.0 million at the merger date related to this excess facility.</w:t>
      </w:r>
    </w:p>
    <w:p>
      <w:pPr>
        <w:spacing w:after="0" w:line="172" w:lineRule="exact"/>
        <w:rPr>
          <w:sz w:val="20"/>
          <w:szCs w:val="20"/>
          <w:color w:val="auto"/>
        </w:rPr>
      </w:pPr>
    </w:p>
    <w:p>
      <w:pPr>
        <w:ind w:right="940" w:firstLine="348"/>
        <w:spacing w:after="0" w:line="332" w:lineRule="auto"/>
        <w:rPr>
          <w:sz w:val="20"/>
          <w:szCs w:val="20"/>
          <w:color w:val="auto"/>
        </w:rPr>
      </w:pPr>
      <w:r>
        <w:rPr>
          <w:rFonts w:ascii="Arial" w:cs="Arial" w:eastAsia="Arial" w:hAnsi="Arial"/>
          <w:sz w:val="16"/>
          <w:szCs w:val="16"/>
          <w:color w:val="auto"/>
        </w:rPr>
        <w:t>The Company's accrual for excess facilities was $0.7 million, $0.1 million, and $18.5 million as of December 27, 2009, December 26, 2010 and December 25, 2011, respectively. The Company estimates that the remaining accrual will be paid through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78"/>
              </w:rPr>
              <w:t>Excess</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Facilities</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2009</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26, 2010</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580" w:type="dxa"/>
            <w:vAlign w:val="bottom"/>
            <w:vMerge w:val="restart"/>
          </w:tcPr>
          <w:p>
            <w:pPr>
              <w:ind w:left="180"/>
              <w:spacing w:after="0"/>
              <w:rPr>
                <w:sz w:val="20"/>
                <w:szCs w:val="20"/>
                <w:color w:val="auto"/>
              </w:rPr>
            </w:pPr>
            <w:r>
              <w:rPr>
                <w:rFonts w:ascii="Arial" w:cs="Arial" w:eastAsia="Arial" w:hAnsi="Arial"/>
                <w:sz w:val="18"/>
                <w:szCs w:val="18"/>
                <w:color w:val="auto"/>
                <w:w w:val="97"/>
              </w:rPr>
              <w:t>Fair value of liability assumed in acquisition</w:t>
            </w: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ind w:left="1720"/>
              <w:spacing w:after="0"/>
              <w:rPr>
                <w:sz w:val="20"/>
                <w:szCs w:val="20"/>
                <w:color w:val="auto"/>
              </w:rPr>
            </w:pPr>
            <w:r>
              <w:rPr>
                <w:rFonts w:ascii="Arial" w:cs="Arial" w:eastAsia="Arial" w:hAnsi="Arial"/>
                <w:sz w:val="18"/>
                <w:szCs w:val="18"/>
                <w:color w:val="auto"/>
              </w:rPr>
              <w:t>Balance as of December 25, 2011</w:t>
            </w:r>
          </w:p>
        </w:tc>
        <w:tc>
          <w:tcPr>
            <w:tcW w:w="368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80" w:type="dxa"/>
            <w:vAlign w:val="bottom"/>
            <w:gridSpan w:val="2"/>
          </w:tcPr>
          <w:p>
            <w:pPr>
              <w:jc w:val="right"/>
              <w:ind w:right="3028"/>
              <w:spacing w:after="0"/>
              <w:rPr>
                <w:sz w:val="20"/>
                <w:szCs w:val="20"/>
                <w:color w:val="auto"/>
              </w:rPr>
            </w:pPr>
            <w:r>
              <w:rPr>
                <w:rFonts w:ascii="Arial" w:cs="Arial" w:eastAsia="Arial" w:hAnsi="Arial"/>
                <w:sz w:val="18"/>
                <w:szCs w:val="18"/>
                <w:color w:val="auto"/>
              </w:rPr>
              <w:t>F-46</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 Commitments (Continued)</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long-term liabilities in the consolidated balance sheets, of $0.1 million, $1.2 million, and $1.0 million at December 27, 2009, December 26, 2010 and December 25, 2011, respectively, to reflect the excess of rent expense over cash payments since inception of the respective leases.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 xml:space="preserve">The Company calculates net income (loss) per share in accordance with </w:t>
      </w:r>
      <w:r>
        <w:rPr>
          <w:rFonts w:ascii="Arial" w:cs="Arial" w:eastAsia="Arial" w:hAnsi="Arial"/>
          <w:sz w:val="16"/>
          <w:szCs w:val="16"/>
          <w:i w:val="1"/>
          <w:iCs w:val="1"/>
          <w:color w:val="auto"/>
        </w:rPr>
        <w:t>FASB ASC Topic 260</w:t>
      </w:r>
      <w:r>
        <w:rPr>
          <w:rFonts w:ascii="Arial" w:cs="Arial" w:eastAsia="Arial" w:hAnsi="Arial"/>
          <w:sz w:val="16"/>
          <w:szCs w:val="16"/>
          <w:color w:val="auto"/>
        </w:rPr>
        <w:t xml:space="preserve">, </w:t>
      </w:r>
      <w:r>
        <w:rPr>
          <w:rFonts w:ascii="Arial" w:cs="Arial" w:eastAsia="Arial" w:hAnsi="Arial"/>
          <w:sz w:val="16"/>
          <w:szCs w:val="16"/>
          <w:i w:val="1"/>
          <w:iCs w:val="1"/>
          <w:color w:val="auto"/>
        </w:rPr>
        <w:t>Earnings per Share ("Topic 260").</w:t>
      </w:r>
      <w:r>
        <w:rPr>
          <w:rFonts w:ascii="Arial" w:cs="Arial" w:eastAsia="Arial" w:hAnsi="Arial"/>
          <w:sz w:val="16"/>
          <w:szCs w:val="16"/>
          <w:color w:val="auto"/>
        </w:rPr>
        <w:t xml:space="preserve"> Under </w:t>
      </w:r>
      <w:r>
        <w:rPr>
          <w:rFonts w:ascii="Arial" w:cs="Arial" w:eastAsia="Arial" w:hAnsi="Arial"/>
          <w:sz w:val="16"/>
          <w:szCs w:val="16"/>
          <w:i w:val="1"/>
          <w:iCs w:val="1"/>
          <w:color w:val="auto"/>
        </w:rPr>
        <w:t>Topic 260</w:t>
      </w:r>
      <w:r>
        <w:rPr>
          <w:rFonts w:ascii="Arial" w:cs="Arial" w:eastAsia="Arial" w:hAnsi="Arial"/>
          <w:sz w:val="16"/>
          <w:szCs w:val="16"/>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prior reporting periods, the Company had two classes of participating securities, Series B Convertible Preferred Stock and common stock. The two classes of participating securities: common shares and preferred shares represented 99% and 1% of outstanding shares, respectively. The preferred shareholders had the ability to participate in dividends with common shareholders according to a predetermined formula (one for one) based upon the conversion of preferred shares to common shares. On March 8, 2011, all of the 10,000 shares of the previously issued and outstanding shares of Series B Convertible Preferred Stock were redeemed for 100,000 shares of common stock.</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For the year ended December 27, 2009, the preferred shares were not included in the computation of basic loss per share because the participating securities do not have a contractual obligation to share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losses of the Company. Basic and diluted income per share calculated using the two-class method in accordance with </w:t>
      </w:r>
      <w:r>
        <w:rPr>
          <w:rFonts w:ascii="Arial" w:cs="Arial" w:eastAsia="Arial" w:hAnsi="Arial"/>
          <w:sz w:val="16"/>
          <w:szCs w:val="16"/>
          <w:i w:val="1"/>
          <w:iCs w:val="1"/>
          <w:color w:val="auto"/>
        </w:rPr>
        <w:t>Topic 260</w:t>
      </w:r>
      <w:r>
        <w:rPr>
          <w:rFonts w:ascii="Arial" w:cs="Arial" w:eastAsia="Arial" w:hAnsi="Arial"/>
          <w:sz w:val="16"/>
          <w:szCs w:val="16"/>
          <w:color w:val="auto"/>
        </w:rPr>
        <w:t xml:space="preserve"> was as follows: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December 27,</w:t>
            </w:r>
          </w:p>
        </w:tc>
        <w:tc>
          <w:tcPr>
            <w:tcW w:w="6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26,</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25,</w:t>
            </w:r>
          </w:p>
        </w:tc>
        <w:tc>
          <w:tcPr>
            <w:tcW w:w="0" w:type="dxa"/>
            <w:vAlign w:val="bottom"/>
          </w:tcPr>
          <w:p>
            <w:pPr>
              <w:spacing w:after="0"/>
              <w:rPr>
                <w:sz w:val="1"/>
                <w:szCs w:val="1"/>
                <w:color w:val="auto"/>
              </w:rPr>
            </w:pPr>
          </w:p>
        </w:tc>
      </w:t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earnings per share)</w:t>
            </w:r>
          </w:p>
        </w:tc>
        <w:tc>
          <w:tcPr>
            <w:tcW w:w="22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w w:val="90"/>
              </w:rPr>
              <w:t>Less net income from continuing operations allocated to preferred shareholders</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(loss) from continuing operations allocated to common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(A)</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from preferred stock</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w w:val="91"/>
              </w:rPr>
              <w:t>Basic weighted average outstanding shares of common stock and participating</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awards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Common stock and common stock equivalents(C)</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 from continuing operations per common share: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Basic (A/B)</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(A/C)</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shares were excluded from the calculation of diluted income per share because their inclusion would have been anti-dilutive.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Shares from preferred stock</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Shares from convertible notes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0" w:type="dxa"/>
            <w:vAlign w:val="bottom"/>
            <w:gridSpan w:val="2"/>
          </w:tcPr>
          <w:p>
            <w:pPr>
              <w:jc w:val="right"/>
              <w:ind w:right="2412"/>
              <w:spacing w:after="0"/>
              <w:rPr>
                <w:sz w:val="20"/>
                <w:szCs w:val="20"/>
                <w:color w:val="auto"/>
              </w:rPr>
            </w:pPr>
            <w:r>
              <w:rPr>
                <w:rFonts w:ascii="Arial" w:cs="Arial" w:eastAsia="Arial" w:hAnsi="Arial"/>
                <w:sz w:val="18"/>
                <w:szCs w:val="18"/>
                <w:color w:val="auto"/>
              </w:rPr>
              <w:t>F-48</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p>
      <w:pPr>
        <w:spacing w:after="0" w:line="275" w:lineRule="exact"/>
        <w:rPr>
          <w:sz w:val="20"/>
          <w:szCs w:val="20"/>
          <w:color w:val="auto"/>
        </w:rPr>
      </w:pPr>
    </w:p>
    <w:p>
      <w:pPr>
        <w:jc w:val="right"/>
        <w:ind w:right="20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0</wp:posOffset>
            </wp:positionV>
            <wp:extent cx="334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December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Expiration of applicable statutes of limitations</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December 27, 2009</w:t>
      </w:r>
    </w:p>
    <w:p>
      <w:pPr>
        <w:spacing w:after="0" w:line="50"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Increases related to prior periods (acquired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-103505</wp:posOffset>
            </wp:positionV>
            <wp:extent cx="506857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0"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Increases related to current year tax positions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December 26, 2010</w:t>
      </w:r>
    </w:p>
    <w:p>
      <w:pPr>
        <w:spacing w:after="0" w:line="50"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Increases related to prior periods (acquired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-103505</wp:posOffset>
            </wp:positionV>
            <wp:extent cx="506857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0"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Increases related to current year tax positions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Settlements with taxing authorities</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December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346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2"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(0.3)</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3346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3346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0.3</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0.2</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3346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3346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0.6</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0.2</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(0.6)</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3346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334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334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131" w:right="239" w:bottom="1440" w:gutter="0" w:footer="0" w:header="0"/>
          <w:type w:val="continuous"/>
        </w:sectPr>
      </w:pPr>
    </w:p>
    <w:p>
      <w:pPr>
        <w:spacing w:after="0" w:line="93"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Included in the balance of unrecognized tax benefits at December 25, 2011, are $10.2 million of tax benefits that, if recognized, would affect the effective tax rate. Included in this amount is $7.2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For the years ended December 27, 2009, December 26, 2010 and December 25, 2011, the Company recorded $0.1 million, $0.1 million and $0.3 million, respectively, in interest or penalties. These amounts are netted by a benefit for interest and penalties related to the reversal of prior positions as noted above of $0.2 million, $0.4 million, and $0.4 million for the years ended December 27, 2009, December 26, 2010, and December 25, 2011, respectively. As of December 27, 2009, December 26, 2010, and December 25, 2011, the Company had recorded total interest and penalties of $0.7 million, $0.5 million, and $0.4 million, respectively.</w:t>
      </w:r>
    </w:p>
    <w:p>
      <w:pPr>
        <w:spacing w:after="0" w:line="17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believes that it is reasonably possible that as much as $0.4 million of unrecognized tax benefits will expire within 12 months of December 25, 2011 due to the expiration of various applicable statutes of limitations.</w:t>
      </w:r>
    </w:p>
    <w:p>
      <w:pPr>
        <w:spacing w:after="0" w:line="18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states, local and foreign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As such, management has determined that it is appropriate to maintain a full valuation allowance against its deferred tax assets, with the exception of an amount equal to its deferred tax liabilities which can be expected to reverse and certain foreign and separate state deferred tax assets. Management will continue to evaluate the necessity to maintain a valuation allowance against its deferred tax asset.</w:t>
      </w:r>
    </w:p>
    <w:p>
      <w:pPr>
        <w:spacing w:after="0" w:line="19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of December 25, 2011 and December 26, 2010, the Company had $13.0 million and $0.0 million, respectively, of undistributed earnings attributable to foreign subsidiaries. It is the Company's intention to permanently reinvest undistributed earnings of its foreign subsidiaries. The Company has not provided deferred U.S. income taxes or foreign withholding taxes on temporary differences resulting from earnings for certain foreign subsidiaries which are permanently reinvested outside the U.S. It is not practicable to determine the amount of unrecognized deferred tax liability associated with these temporary differences.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income (loss) before incomes taxes and equity earnings are listed below:</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7"/>
        </w:trPr>
        <w:tc>
          <w:tcPr>
            <w:tcW w:w="5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provision (benefit) for income taxes from continuing operations for the years ended December 27, 2009, December 26, 2010, and December 25, 2011 are comprised of the following (in millions):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360"/>
              <w:spacing w:after="0"/>
              <w:rPr>
                <w:sz w:val="20"/>
                <w:szCs w:val="20"/>
                <w:color w:val="auto"/>
              </w:rPr>
            </w:pPr>
            <w:r>
              <w:rPr>
                <w:rFonts w:ascii="Arial" w:cs="Arial" w:eastAsia="Arial" w:hAnsi="Arial"/>
                <w:sz w:val="18"/>
                <w:szCs w:val="18"/>
                <w:color w:val="auto"/>
              </w:rPr>
              <w:t>Total Federal</w:t>
            </w: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360"/>
              <w:spacing w:after="0"/>
              <w:rPr>
                <w:sz w:val="20"/>
                <w:szCs w:val="20"/>
                <w:color w:val="auto"/>
              </w:rPr>
            </w:pPr>
            <w:r>
              <w:rPr>
                <w:rFonts w:ascii="Arial" w:cs="Arial" w:eastAsia="Arial" w:hAnsi="Arial"/>
                <w:sz w:val="18"/>
                <w:szCs w:val="18"/>
                <w:color w:val="auto"/>
              </w:rPr>
              <w:t>Total State and local</w:t>
            </w: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360"/>
              <w:spacing w:after="0"/>
              <w:rPr>
                <w:sz w:val="20"/>
                <w:szCs w:val="20"/>
                <w:color w:val="auto"/>
              </w:rPr>
            </w:pPr>
            <w:r>
              <w:rPr>
                <w:rFonts w:ascii="Arial" w:cs="Arial" w:eastAsia="Arial" w:hAnsi="Arial"/>
                <w:sz w:val="18"/>
                <w:szCs w:val="18"/>
                <w:color w:val="auto"/>
              </w:rPr>
              <w:t>Total Foreign</w:t>
            </w:r>
          </w:p>
        </w:tc>
        <w:tc>
          <w:tcPr>
            <w:tcW w:w="1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reconciliation of total income tax provision (benefit) to the amount computed by applying the statutory federal income tax rate of 35% to income (loss) from continuing operations before income tax</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the years ended December 27, 2009, December 26, 2010 and December 25, 2011 is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State taxes, net of federal tax benefit and valuation allowance</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Difference in tax rates between U.S. and foreign</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Release of foreign valuation allowance</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federal valuation allowance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Nondeductible expense</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reserve for uncertain tax positions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Changes to indefinite life items and separate state deferred taxes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Impact of purchase accounting</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80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800" w:type="dxa"/>
            <w:vAlign w:val="bottom"/>
            <w:vMerge w:val="restart"/>
          </w:tcPr>
          <w:p>
            <w:pPr>
              <w:ind w:left="3820"/>
              <w:spacing w:after="0"/>
              <w:rPr>
                <w:sz w:val="20"/>
                <w:szCs w:val="20"/>
                <w:color w:val="auto"/>
              </w:rPr>
            </w:pPr>
            <w:r>
              <w:rPr>
                <w:rFonts w:ascii="Arial" w:cs="Arial" w:eastAsia="Arial" w:hAnsi="Arial"/>
                <w:sz w:val="18"/>
                <w:szCs w:val="18"/>
                <w:color w:val="auto"/>
              </w:rPr>
              <w:t>F-51</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 (Continued)</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tax effects of temporary differences that give rise to the deferred tax assets and deferred tax liabilities as of December 26, 2010 and December 25, 2011 are as follows (in millions):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Sundry accruals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Vacation accrual</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Payroll related accruals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Lease accruals</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 and other</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360"/>
              <w:spacing w:after="0"/>
              <w:rPr>
                <w:sz w:val="20"/>
                <w:szCs w:val="20"/>
                <w:color w:val="auto"/>
              </w:rPr>
            </w:pPr>
            <w:r>
              <w:rPr>
                <w:rFonts w:ascii="Arial" w:cs="Arial" w:eastAsia="Arial" w:hAnsi="Arial"/>
                <w:sz w:val="18"/>
                <w:szCs w:val="18"/>
                <w:color w:val="auto"/>
              </w:rPr>
              <w:t>Total deferred tax assets, net of allowance</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2"/>
        </w:trPr>
        <w:tc>
          <w:tcPr>
            <w:tcW w:w="6440" w:type="dxa"/>
            <w:vAlign w:val="bottom"/>
          </w:tcPr>
          <w:p>
            <w:pPr>
              <w:ind w:left="18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360"/>
              <w:spacing w:after="0"/>
              <w:rPr>
                <w:sz w:val="20"/>
                <w:szCs w:val="20"/>
                <w:color w:val="auto"/>
              </w:rPr>
            </w:pPr>
            <w:r>
              <w:rPr>
                <w:rFonts w:ascii="Arial" w:cs="Arial" w:eastAsia="Arial" w:hAnsi="Arial"/>
                <w:sz w:val="18"/>
                <w:szCs w:val="18"/>
                <w:color w:val="auto"/>
              </w:rPr>
              <w:t>Net deferred tax asset (liability)</w:t>
            </w: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At December 25, 2011, the Company had federal tax loss carryforwards of $269.4 million and various state tax loss carryforwards of $242.4 million including net operating losses resulting from stock options of approximately $14.4 million for federal and state, which if recognized would result in additional paid-in capital. The federal tax loss carryforwards expire beginning in 2019 through 2030, and the various state tax loss carryforwards expire beginning in 2012 through 2030. Federal and state tax laws impose restrictions on the utilization of net operating loss and tax credit carryforwards in the event of an "ownership change" for tax purposes as defined by Section 382 of the Internal Revenue Code. In March 2010, an "ownership change" occurred which will limit the utilization of the loss carryforwards. As a result, the Company's federal annual utilization of NOL carryforwards will be limited to $28.1 million a year for the five years succeeding the ownership change and $11.6 million per year thereafter. If the entire limitation amount is not utilized in a year, any excess can be carried forward and utilized in future years. For the year ended December 25, 2011, there was no impact of such limitations on the income tax provision since the amount of taxable income did not exceed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 (Continued)</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Federal and combined states net operating loss and credit carryforwards are offset by a full valuation allowance. In addition, utilization of state tax loss carryforwards is dependent upon sufficient taxable income apportioned to the states.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During fiscal 2011, the Company recorded a net increase in its valuation allowance of $28.3 million. Of this amount, a $29.3 million increase relates to current year acquisitions, and a $1.0 million decrease is related to a decrease in the deferred tax asset which does not impact the tax provision.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w:t>
      </w:r>
    </w:p>
    <w:p>
      <w:pPr>
        <w:spacing w:after="0" w:line="231"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In 2007, the Company entered into a definitive agreement with an affiliate of Platinum Equity to sell the Company's wireless deployment business. In accordance with the acquisition agreement, the Company came to an agreement with Platinum Equity on a working capital adjustment of $5.0 million. The Company made the final working capital payments of $2.8 million in 2009.</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During the due diligence process related to the acquisition of SYS, senior management identified three business units of SYS which were non-core to Kratos' base national security and public security businesses. These businesses provided video surveillance and information analysis products, digital broadcasting products and incident response management systems. In December 2008, after evaluating these businesses further, a decision was made to dispose of and sell all three business units. In accordance with </w:t>
      </w:r>
      <w:r>
        <w:rPr>
          <w:rFonts w:ascii="Arial" w:cs="Arial" w:eastAsia="Arial" w:hAnsi="Arial"/>
          <w:sz w:val="16"/>
          <w:szCs w:val="16"/>
          <w:i w:val="1"/>
          <w:iCs w:val="1"/>
          <w:color w:val="auto"/>
        </w:rPr>
        <w:t>FASB ASC Topic 205, Presentation of Financial Statements ("Topic 205"),</w:t>
      </w:r>
      <w:r>
        <w:rPr>
          <w:rFonts w:ascii="Arial" w:cs="Arial" w:eastAsia="Arial" w:hAnsi="Arial"/>
          <w:sz w:val="16"/>
          <w:szCs w:val="16"/>
          <w:color w:val="auto"/>
        </w:rPr>
        <w:t xml:space="preserve"> these business units were classified as held for sale and reported in discontinued operations as of and for the year ended December 28, 2008. The Company recorded a $4.5 million impairment charge in the fourth quarter of 2008 primarily related to the impairment of goodwill allocated to these businesses. In the first quarter of 2009, all three of the businesses were sold for an aggregate cash consideration of approximately $0.4 million.</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the plan to sell these businesses included a comprehensive assessment of personnel, relocation of personnel, facility consolidation and exit strategies for certain lines of business. The plan provided for approximately $2.0 million of restructuring costs associated with personnel, and additional costs of $0.6 million for facilities consolidation. The restructuring costs are primarily associated with the businesses sold and are accounted for in discontinued operations in the accompanying consolidated financial statements. As of December 25, 2011, approximately $2.0 million of severance costs and $0.6 million of facilities costs have been paid. In addition, the liability related to severance costs was reduced by approximately $0.1 million, to reflect a revised estimate, which was recognized in the net loss of discontinued operations. The remaining liabilities for severance and facilities are $0.1 million and $0.0 million, respectively, and are included in current liabilities of discontinued operations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The following table shows a reconciliation of the beginning accrual to the remaining balance as of December 25, 2011 (in millions):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Lease</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Severance</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Original accrual recorded in 2008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Payments in 2008</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in 2009</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Payments in 2010</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in 2011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380" w:type="dxa"/>
            <w:vAlign w:val="bottom"/>
            <w:vMerge w:val="restart"/>
          </w:tcPr>
          <w:p>
            <w:pPr>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8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25, 2011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On June 24, 2009, as a result of the continued operating losses in the Southeast division of the PSS segment (the "Southeast Division"), the Company's board of directors approved a plan to sell and dispose of the Southeast Division.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this business unit was classified as held for sale and reported in discontinued operations in the accompanying consolidated financial statements. The Company recorded a $2.0 million impairment charge in the second quarter of 2009 and an additional $0.2 million in the second quarter of 2010 related to management's estimate of the fair value of the business. On August 2, 2010, the Company divested its Southeast Division for approximately $0.1 million cash consideration and the assumption of certain liabilities.</w:t>
      </w:r>
    </w:p>
    <w:p>
      <w:pPr>
        <w:spacing w:after="0" w:line="170"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table presents the results of discontinued operations including gain and loss on disposals which is included in income (loss) before taxes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2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1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27,</w:t>
            </w: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26,</w:t>
            </w:r>
          </w:p>
        </w:tc>
        <w:tc>
          <w:tcPr>
            <w:tcW w:w="2840" w:type="dxa"/>
            <w:vAlign w:val="bottom"/>
            <w:gridSpan w:val="4"/>
          </w:tcPr>
          <w:p>
            <w:pPr>
              <w:jc w:val="center"/>
              <w:ind w:right="1860"/>
              <w:spacing w:after="0" w:line="149" w:lineRule="exact"/>
              <w:rPr>
                <w:sz w:val="20"/>
                <w:szCs w:val="20"/>
                <w:color w:val="auto"/>
              </w:rPr>
            </w:pPr>
            <w:r>
              <w:rPr>
                <w:rFonts w:ascii="Arial" w:cs="Arial" w:eastAsia="Arial" w:hAnsi="Arial"/>
                <w:sz w:val="14"/>
                <w:szCs w:val="14"/>
                <w:b w:val="1"/>
                <w:bCs w:val="1"/>
                <w:color w:val="auto"/>
                <w:w w:val="85"/>
              </w:rPr>
              <w:t>December 25,</w:t>
            </w:r>
          </w:p>
        </w:tc>
      </w:tr>
      <w:tr>
        <w:trPr>
          <w:trHeight w:val="161"/>
        </w:trPr>
        <w:tc>
          <w:tcPr>
            <w:tcW w:w="1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Loss before taxes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60" w:type="dxa"/>
            <w:vAlign w:val="bottom"/>
            <w:gridSpan w:val="2"/>
          </w:tcPr>
          <w:p>
            <w:pPr>
              <w:jc w:val="right"/>
              <w:ind w:right="512"/>
              <w:spacing w:after="0"/>
              <w:rPr>
                <w:sz w:val="20"/>
                <w:szCs w:val="20"/>
                <w:color w:val="auto"/>
              </w:rPr>
            </w:pPr>
            <w:r>
              <w:rPr>
                <w:rFonts w:ascii="Arial" w:cs="Arial" w:eastAsia="Arial" w:hAnsi="Arial"/>
                <w:sz w:val="18"/>
                <w:szCs w:val="18"/>
                <w:color w:val="auto"/>
              </w:rPr>
              <w:t>F-54</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Following is a summary of the assets and liabilities of discontinued operations as of December 26, 2010 and December 25, 2011 (in millions):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26,</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25,</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Other current assets (liabilities)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unrecognized tax benefits</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 xml:space="preserve">The Company adopted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as of January 1, 2008, with the exception of the application of the statement to non-recurring nonfinancial assets and nonfinancial liabilities. Non-recurring nonfinancial assets and nonfinancial liabilities for which it has not applied the provisions of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include those measured at fair value in goodwill impairment testing, indefinite lived intangible assets measured at fair value for impairment testing, asset retirement obligations initially measured at fair value, and those assets and liabilities initially measured at fair value in a business combination.</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Topic 820 </w:t>
      </w:r>
      <w:r>
        <w:rPr>
          <w:rFonts w:ascii="Arial" w:cs="Arial" w:eastAsia="Arial" w:hAnsi="Arial"/>
          <w:sz w:val="18"/>
          <w:szCs w:val="18"/>
          <w:color w:val="auto"/>
        </w:rPr>
        <w:t>establishes a valuation hierarchy for disclosure of the inputs to valuation used to measure fair value. This hierarchy prioritizes the inputs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 (Continued)</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only asset or liability carried and measured at fair value on a recurring basis is an interest rate swap agreement not qualified as a hedging instrument carried in other current liabilities on the consolidated balance sheets. Gains and losses resulting from marking to market the interest rate swap are recorded in other income (expense), net in the consolidated statements of operations. The total gain or loss on the interest rate swap as of December 26, 2010 and December 25, 2011, was a gain of $1.0 million and $0.3 million, respectively. The following table provides the fair value measurement of the interest rate swap (in millions):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other observable</w:t>
            </w: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9"/>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306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December 25, 2011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77"/>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December 26, 2010</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920"/>
              <w:spacing w:after="0"/>
              <w:rPr>
                <w:sz w:val="20"/>
                <w:szCs w:val="20"/>
                <w:color w:val="auto"/>
              </w:rPr>
            </w:pPr>
            <w:r>
              <w:rPr>
                <w:rFonts w:ascii="Arial" w:cs="Arial" w:eastAsia="Arial" w:hAnsi="Arial"/>
                <w:sz w:val="18"/>
                <w:szCs w:val="18"/>
                <w:color w:val="auto"/>
                <w:w w:val="77"/>
              </w:rPr>
              <w:t>—</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are validated with the use of a nationally recognized financial reporting service.</w:t>
      </w:r>
    </w:p>
    <w:p>
      <w:pPr>
        <w:spacing w:after="0" w:line="186"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Carrying amounts and the related estimated fair values of the Company's long-term debt financial instruments not measured at fair value on a recurring basis at December 26, 2010 and December 25, 2011 are presented in Note 5. The carrying value of all other financial instruments, including cash and cash equivalents, accounts receivable, accounts payable and approximated their estimated fair values at December 26, 2010 and December 25, 2011.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31"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On December 1, 2011, the Company repurchased in the open market from an institutional investor 2,000,000 shares of its common stock for $5.45 per share, in a block transaction in compliance with legal requirements.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July 27, 2011, in connection with the acquisition of Integral, the Company issued approximately 10.4 million shares of its common stock to shareholders of Integral. See Note 3 for a complete description of this transaction.</w:t>
      </w:r>
    </w:p>
    <w:p>
      <w:pPr>
        <w:spacing w:after="0" w:line="186"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On October 12, 2010, the Company sold approximately 2.5 million shares of its common stock at a purchase price of $10.20 per share in an underwritten public offering. The Company received gross proceeds of approximately $25.8 million. After deducting underwriting fees and other offering expenses, the Company received approximately $24.7 million in net proceeds. The Company used the net proceeds from this transaction to fund the purchase price for the acquisition of HBE. See Note 3 for a complete description of this transaction.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September 10, 2009, the Company completed a 1-for-10 reverse split of its common stock which was approved at the Company's Annual Meeting on June 4, 2009. The reverse split reduced the number of shares of the Company's common stock outstanding from 156,274,383 to 15,627,031. Proportional adjustments were made to the Company's stock options and other equity incentive awards, equity compensation plans, and convertible notes. The total number of authorized shares of the Company's capital stock was not affected by the reverse stock split.</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September 2, 2009, the Company sold 2.6 million shares of its common stock to institutional investors at a purchase price of $7.20 in a registered direct public offering. The Company received gross proceeds of $18.7 million. After deducting placement agent fees and other offering expenses, the Company received $17.5 million in net proceeds. The Company used the net proceeds from this transaction to repay existing indebtedness.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Preferred Stock</w:t>
      </w:r>
    </w:p>
    <w:p>
      <w:pPr>
        <w:spacing w:after="0" w:line="23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 xml:space="preserve">On March 8, 2011, all of the 10,000 shares of the previously issued and outstanding shares of Series B Convertible Preferred Stock ("Preferred Stock") were redeemed for 100,000 shares of common stock. Prior to the redemption, the Preferred Stock had a total liquidation preference of $5.0 million. In accordance with </w:t>
      </w:r>
      <w:r>
        <w:rPr>
          <w:rFonts w:ascii="Arial" w:cs="Arial" w:eastAsia="Arial" w:hAnsi="Arial"/>
          <w:sz w:val="16"/>
          <w:szCs w:val="16"/>
          <w:i w:val="1"/>
          <w:iCs w:val="1"/>
          <w:color w:val="auto"/>
        </w:rPr>
        <w:t>Topic 260</w:t>
      </w:r>
      <w:r>
        <w:rPr>
          <w:rFonts w:ascii="Arial" w:cs="Arial" w:eastAsia="Arial" w:hAnsi="Arial"/>
          <w:sz w:val="16"/>
          <w:szCs w:val="16"/>
          <w:color w:val="auto"/>
        </w:rPr>
        <w:t>, the Preferred Stock was considered a participating security for purposes of computing basic earnings per share prior to redemption.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 Option Plans and Restricted Stock Unit Plans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board of directors ("Board") may grant equity-based awards to selected employees, directors and consultants of the Company pursuant to its existing equity incentive plans. In July 2004, the Board resolved that all future stock option grants under the Company's equity incentive plans would be non-statutory stock options, until such further determination by the Board. In February 2005, the Board approved the 2005 Equity Incentive Plan ("2005 Plan"). The 2005 Plan was subsequently approved by a majority of the Company's stockholders on May 18, 2005. In March 10, 2011, the Board approved the 2011 Equity Incentive Plan ("2011 Plan"). The 2011 Plan was subsequently approved by a majority of the Company's stockholders on May 27, 2011. Each of the 2005 Plan and the 2011 Plan permits the Board to issue a wide-variety of awards, including restricted stock units, restricted stock, stock appreciation rights, stock options and deferred stock units. If any shares covered by an award under the 2005 Plan or 2011 Plan are not purchased or are forfeited, or if an award otherwise is terminated, cancelled or retired, such shares are again made available for awards under the 2005 Plan and 2011 Plan. As of December 25, 2011, there are approximately 502,000 and 2 million shares reserved for issuance for future grant under the 2005 Plan and 2011 Plan, respectively. The Board may amend or terminate the 2005 Plan or 2011 Plan at any time. Certain amendments, including an increase in the share reserve, require stockholder approval. Generally, options and restricted stock units outstanding vest over periods not exceeding ten years. If the Company were to grant stock options, they would be granted with a per share exercise price not less than the fair market value of the Company's common stock on the date of grant, and generally would be exercisable for up to ten years from the grant date.</w:t>
      </w:r>
    </w:p>
    <w:p>
      <w:pPr>
        <w:spacing w:after="0" w:line="17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i w:val="1"/>
          <w:iCs w:val="1"/>
          <w:color w:val="auto"/>
        </w:rPr>
        <w:t xml:space="preserve">Integral Stock Option Plans. </w:t>
      </w:r>
      <w:r>
        <w:rPr>
          <w:rFonts w:ascii="Arial" w:cs="Arial" w:eastAsia="Arial" w:hAnsi="Arial"/>
          <w:sz w:val="16"/>
          <w:szCs w:val="16"/>
          <w:color w:val="auto"/>
        </w:rPr>
        <w:t>All outstanding options to purchase shares of Integral common stock that were not canceled and exchanged for a cash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upon completion of the Integral merger, were assumed by the Company and converted into options to purchase shares of the Company's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common stock (with the number of shares subject to each such option and the exercise price applicable to each such option adjusted based on the applicable exchange ratio) (the "Assumed Options"). The Company assumed each such stock option in accordance with the terms and conditions of the applicable Integral option plan and stock option agreement, subject to the adjustments described in the preceding sentence. On February 20, 2012, the Board confirmed (i) the assumption of Integral's 2008 Stock Incentive Plan (the "2008 Plan"), pursuant to NASDAQ Rule 5635, which provides that shares available under certain plans acquired in mergers and other acquisitions may be used for certain post-transaction grants without further stockholder approval and (ii) an amendment to the 2008 Plan, in order to permit the future grant of awards, including restricted stock unit awards, by the Company pursuant to the plan. The 2008 Plan was approved by Integral's Board of directors in December 2007 and by Integral's stockholders in February 2008. The terms and conditions of specific awards are set at the discretion of the Board. As of February 20, 2012, there are approximately 984,000 shares of the Company's common stock available for issuance under the 2008 Plan. An additional approximately 48,000 shares of the Company's common stock, which are currently subject to outstanding Assumed Options, may also become issuable pursuant to the 2008 Plan under certain circumstances. The shares of common stock available for issuance under the 2008 Plan may be used to grant awards, including stock options, stock appreciation rights, restricted stock and restricted stock units, to any employee, director or consultant who was not an employee, director or consultant of the Company prior to the consummation of the Integral merger. The Board may amend or terminate the 2008 Plan at any time. However, certain amendments, including an increase in the share reserve, would require stockholder approval.</w:t>
      </w:r>
    </w:p>
    <w:p>
      <w:pPr>
        <w:spacing w:after="0" w:line="17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Herley Stock Option Plans. </w:t>
      </w:r>
      <w:r>
        <w:rPr>
          <w:rFonts w:ascii="Arial" w:cs="Arial" w:eastAsia="Arial" w:hAnsi="Arial"/>
          <w:sz w:val="16"/>
          <w:szCs w:val="16"/>
          <w:color w:val="auto"/>
        </w:rPr>
        <w:t>All outstanding options to purchase shares of Herley common stock that were not canceled and exchanged for a cash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upon completion of the Herley merger, were assumed by the Company and converted into options to purchase shares of the Company's common stock (with the number of shares subject to each such option and the exercise price applicable to each such option adjusted based on the applicable exchange ratio). The Company assumed each such stock option in accordance with the terms and conditions of the applicable Herley option plan and stock option agreement, subject to the adjustments described in the preceding sentence. On February 20, 2012, the Board confirmed (i) the assumption of Herley's 2010 Stock Plan (the "2010 Plan"), pursuant to NASDAQ Rule 5635, and (ii) an amendment to the 2010 Plan, in order to permit the future grant of awards, including restricted stock unit awards, by the Company pursuant to the plan. The 2010 Plan was approved by Herley's Board of directors in January 2010 and by Herley's stockholders in March 2010.The terms and conditions of specific awards are set at the discretion of the Board. As of February 20, 2012, there are approximately 503,000 shares of the Company's common stock available for issuance under the 2010 Plan. These shares are available to grant awards, including stock options, shares of common stock and restricted stock units, to any employee, director or consultant who was not an employee, director or consultant of the Company prior to the consummation of the Herley merger. The Board of the Company may amend or terminate the 2010 Plan at any time. However, certain amendments, including an increase in the share reserve, would require stockholder approval.</w:t>
      </w:r>
    </w:p>
    <w:p>
      <w:pPr>
        <w:spacing w:after="0" w:line="178"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Henry Bros. Electronics Stock Option Plans. </w:t>
      </w:r>
      <w:r>
        <w:rPr>
          <w:rFonts w:ascii="Arial" w:cs="Arial" w:eastAsia="Arial" w:hAnsi="Arial"/>
          <w:sz w:val="16"/>
          <w:szCs w:val="16"/>
          <w:color w:val="auto"/>
        </w:rPr>
        <w:t>HBE's stock option and stock incentive plans acquired in connection with the Company's acquisition of HBE</w:t>
      </w:r>
      <w:r>
        <w:rPr>
          <w:rFonts w:ascii="Arial" w:cs="Arial" w:eastAsia="Arial" w:hAnsi="Arial"/>
          <w:sz w:val="16"/>
          <w:szCs w:val="16"/>
          <w:i w:val="1"/>
          <w:iCs w:val="1"/>
          <w:color w:val="auto"/>
        </w:rPr>
        <w:t xml:space="preserve"> </w:t>
      </w:r>
      <w:r>
        <w:rPr>
          <w:rFonts w:ascii="Arial" w:cs="Arial" w:eastAsia="Arial" w:hAnsi="Arial"/>
          <w:sz w:val="16"/>
          <w:szCs w:val="16"/>
          <w:color w:val="auto"/>
        </w:rPr>
        <w:t>were terminated on December 15, 2010, and no further grants may be made under these plans after such date. Award grants that were outstanding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under these plans on December 15, 2010 will continue to be governed by their existing terms and may be exercised for shares of the Company's common stock at any time prior to the expiration of the option term or any earlier termination of those options in connection with the option holder's cessation of service with the Company. Stock options granted under these plans were incentive stock options, may generally be exercised from one to ten years after the date of grant and generally vest equally over three to five years. Certain of these options had change in control provisions that accelerated the vesting of the options.</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Digital Fusion Inc. Stock Option and Stock Incentive Plans. </w:t>
      </w:r>
      <w:r>
        <w:rPr>
          <w:rFonts w:ascii="Arial" w:cs="Arial" w:eastAsia="Arial" w:hAnsi="Arial"/>
          <w:sz w:val="16"/>
          <w:szCs w:val="16"/>
          <w:color w:val="auto"/>
        </w:rPr>
        <w:t>DFI's stock option and stock incentive plans acquired in connection with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DFI were terminated on December 24, 2008, and no further grants may be made under these plans after such date. Award grants that were outstanding under these plans on December 24, 2008 will continue to be governed by their existing terms and may be exercised for shares of the Company's common stock at any time prior to the expiration of the ten-year option term or any earlier termination of those options in connection with the option holder's cessation of service with the Company. Stock options granted under these plans included incentive stock options or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 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 connection with the Company's acquisition of DFI the plans were amended to include immediate vesting of all unvested grants upon any future change in control of the Company. DFI also had certain options granted outside of its qualified stock option plans. These non-qualified "out of plan" stock options expire 10 years from grant date.</w:t>
      </w:r>
    </w:p>
    <w:p>
      <w:pPr>
        <w:spacing w:after="0" w:line="178"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On January 10, 2007, the Compensation Committee of the Board approved a form of Restricted Stock Unit Agreement (an RSU Agreement) to govern the issuance of restricted stock units ("RSU") to executive officers under the Company's 2005 Plan. On November 14, 2011, the Compensation Committee of the Board approved a form of RSU Agreement to govern the issuance of RSUs to executive officers under the Company's 2011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an RSU Agreement will vest according to vesting schedules specified in the notice of grant accompanying each grant. The Company recognizes compensation expense on a straight-line basis over the vesting periods based on the market price of the Company's stock on the grant date. The awards granted in 2009, 2010, and 2011 had vesting periods ranging from one to 10 years; 5 to 10 years; and 2 to 10 years, respectively. Some of the grants for these years have accelerated vesting occurring upon change of control or termination. Upon exercise of the RSU, the Company issues new shares of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and the weighted average assumptions (annualized percentages) included in the following table. Awards with graded vesting are recognized using the straight-line method with the following assumptions: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2009</w:t>
            </w:r>
          </w:p>
        </w:tc>
        <w:tc>
          <w:tcPr>
            <w:tcW w:w="132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89"/>
              </w:rPr>
              <w:t>2010</w:t>
            </w:r>
          </w:p>
        </w:tc>
        <w:tc>
          <w:tcPr>
            <w:tcW w:w="1320" w:type="dxa"/>
            <w:vAlign w:val="bottom"/>
            <w:gridSpan w:val="3"/>
          </w:tcPr>
          <w:p>
            <w:pPr>
              <w:jc w:val="center"/>
              <w:ind w:left="97"/>
              <w:spacing w:after="0"/>
              <w:rPr>
                <w:sz w:val="20"/>
                <w:szCs w:val="20"/>
                <w:color w:val="auto"/>
              </w:rPr>
            </w:pPr>
            <w:r>
              <w:rPr>
                <w:rFonts w:ascii="Arial" w:cs="Arial" w:eastAsia="Arial" w:hAnsi="Arial"/>
                <w:sz w:val="14"/>
                <w:szCs w:val="14"/>
                <w:b w:val="1"/>
                <w:bCs w:val="1"/>
                <w:color w:val="auto"/>
                <w:w w:val="83"/>
              </w:rPr>
              <w:t>2011</w:t>
            </w:r>
          </w:p>
        </w:tc>
      </w:tr>
      <w:tr>
        <w:trPr>
          <w:trHeight w:val="21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life:(1)</w:t>
            </w: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10.0 years</w:t>
            </w:r>
          </w:p>
        </w:tc>
        <w:tc>
          <w:tcPr>
            <w:tcW w:w="16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1.4 years</w:t>
            </w:r>
          </w:p>
        </w:tc>
        <w:tc>
          <w:tcPr>
            <w:tcW w:w="16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2.2 years</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- 3.4%</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Volatility(3)</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59.2%</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- 63.3%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640" w:type="dxa"/>
            <w:vAlign w:val="bottom"/>
          </w:tcPr>
          <w:p>
            <w:pPr>
              <w:ind w:left="40"/>
              <w:spacing w:after="0"/>
              <w:rPr>
                <w:sz w:val="20"/>
                <w:szCs w:val="20"/>
                <w:color w:val="auto"/>
              </w:rPr>
            </w:pPr>
            <w:r>
              <w:rPr>
                <w:rFonts w:ascii="Arial" w:cs="Arial" w:eastAsia="Arial" w:hAnsi="Arial"/>
                <w:sz w:val="18"/>
                <w:szCs w:val="18"/>
                <w:color w:val="auto"/>
                <w:w w:val="93"/>
              </w:rPr>
              <w:t>- 73.8%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620" w:type="dxa"/>
            <w:vAlign w:val="bottom"/>
          </w:tcPr>
          <w:p>
            <w:pPr>
              <w:ind w:left="20"/>
              <w:spacing w:after="0"/>
              <w:rPr>
                <w:sz w:val="20"/>
                <w:szCs w:val="20"/>
                <w:color w:val="auto"/>
              </w:rPr>
            </w:pPr>
            <w:r>
              <w:rPr>
                <w:rFonts w:ascii="Arial" w:cs="Arial" w:eastAsia="Arial" w:hAnsi="Arial"/>
                <w:sz w:val="18"/>
                <w:szCs w:val="18"/>
                <w:color w:val="auto"/>
                <w:w w:val="93"/>
              </w:rPr>
              <w:t>- 65.3%</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Forfeiture rate(4)</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19.9%</w:t>
            </w:r>
          </w:p>
        </w:tc>
        <w:tc>
          <w:tcPr>
            <w:tcW w:w="1320" w:type="dxa"/>
            <w:vAlign w:val="bottom"/>
            <w:gridSpan w:val="3"/>
            <w:shd w:val="clear" w:color="auto" w:fill="CCEEFF"/>
          </w:tcPr>
          <w:p>
            <w:pPr>
              <w:jc w:val="center"/>
              <w:ind w:left="77"/>
              <w:spacing w:after="0"/>
              <w:rPr>
                <w:sz w:val="20"/>
                <w:szCs w:val="20"/>
                <w:color w:val="auto"/>
              </w:rPr>
            </w:pPr>
            <w:r>
              <w:rPr>
                <w:rFonts w:ascii="Arial" w:cs="Arial" w:eastAsia="Arial" w:hAnsi="Arial"/>
                <w:sz w:val="18"/>
                <w:szCs w:val="18"/>
                <w:color w:val="auto"/>
                <w:w w:val="86"/>
              </w:rPr>
              <w:t>16.3%</w:t>
            </w:r>
          </w:p>
        </w:tc>
        <w:tc>
          <w:tcPr>
            <w:tcW w:w="1320" w:type="dxa"/>
            <w:vAlign w:val="bottom"/>
            <w:gridSpan w:val="3"/>
            <w:shd w:val="clear" w:color="auto" w:fill="CCEEFF"/>
          </w:tcPr>
          <w:p>
            <w:pPr>
              <w:jc w:val="center"/>
              <w:ind w:left="97"/>
              <w:spacing w:after="0"/>
              <w:rPr>
                <w:sz w:val="20"/>
                <w:szCs w:val="20"/>
                <w:color w:val="auto"/>
              </w:rPr>
            </w:pPr>
            <w:r>
              <w:rPr>
                <w:rFonts w:ascii="Arial" w:cs="Arial" w:eastAsia="Arial" w:hAnsi="Arial"/>
                <w:sz w:val="18"/>
                <w:szCs w:val="18"/>
                <w:color w:val="auto"/>
                <w:w w:val="90"/>
              </w:rPr>
              <w:t>16.3%</w:t>
            </w: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Dividend yield(5)</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102"/>
        </w:trPr>
        <w:tc>
          <w:tcPr>
            <w:tcW w:w="212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221" w:lineRule="exact"/>
        <w:rPr>
          <w:sz w:val="20"/>
          <w:szCs w:val="20"/>
          <w:color w:val="auto"/>
        </w:rPr>
      </w:pPr>
    </w:p>
    <w:p>
      <w:pPr>
        <w:ind w:left="2260" w:right="20" w:hanging="540"/>
        <w:spacing w:after="0" w:line="306" w:lineRule="auto"/>
        <w:tabs>
          <w:tab w:leader="none" w:pos="2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2009 and 2011, no unvested options were granted and the expected life was equal to the life of the option. In 2010, all unvested options related to the acquisition of HBE. HBE used the simplified method for calculating the expected life of the option and the Company used this method for calculating the expected life of the options assumed.</w:t>
      </w:r>
    </w:p>
    <w:p>
      <w:pPr>
        <w:spacing w:after="0" w:line="187" w:lineRule="exact"/>
        <w:rPr>
          <w:rFonts w:ascii="Arial" w:cs="Arial" w:eastAsia="Arial" w:hAnsi="Arial"/>
          <w:sz w:val="16"/>
          <w:szCs w:val="16"/>
          <w:color w:val="auto"/>
        </w:rPr>
      </w:pPr>
    </w:p>
    <w:p>
      <w:pPr>
        <w:ind w:left="2260" w:right="140" w:hanging="540"/>
        <w:spacing w:after="0" w:line="268"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yields in effect at the time of grant with a term equal to the expected term of the options.</w:t>
      </w:r>
    </w:p>
    <w:p>
      <w:pPr>
        <w:spacing w:after="0" w:line="199" w:lineRule="exact"/>
        <w:rPr>
          <w:rFonts w:ascii="Arial" w:cs="Arial" w:eastAsia="Arial" w:hAnsi="Arial"/>
          <w:sz w:val="18"/>
          <w:szCs w:val="18"/>
          <w:color w:val="auto"/>
        </w:rPr>
      </w:pPr>
    </w:p>
    <w:p>
      <w:pPr>
        <w:ind w:left="2260" w:hanging="540"/>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2009, 2010, and 2011, the Company estimated implied volatility based upon trailing volatility.</w:t>
      </w:r>
    </w:p>
    <w:p>
      <w:pPr>
        <w:spacing w:after="0" w:line="238" w:lineRule="exact"/>
        <w:rPr>
          <w:rFonts w:ascii="Arial" w:cs="Arial" w:eastAsia="Arial" w:hAnsi="Arial"/>
          <w:sz w:val="18"/>
          <w:szCs w:val="18"/>
          <w:color w:val="auto"/>
        </w:rPr>
      </w:pPr>
    </w:p>
    <w:p>
      <w:pPr>
        <w:ind w:left="2260" w:right="200" w:hanging="540"/>
        <w:spacing w:after="0" w:line="259"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 In 2010, the estimated forfeitures for the HBE options were based upon the historical information of HBE option holders.</w:t>
      </w:r>
    </w:p>
    <w:p>
      <w:pPr>
        <w:spacing w:after="0" w:line="221" w:lineRule="exact"/>
        <w:rPr>
          <w:rFonts w:ascii="Arial" w:cs="Arial" w:eastAsia="Arial" w:hAnsi="Arial"/>
          <w:sz w:val="18"/>
          <w:szCs w:val="18"/>
          <w:color w:val="auto"/>
        </w:rPr>
      </w:pPr>
    </w:p>
    <w:p>
      <w:pPr>
        <w:ind w:left="2260" w:hanging="540"/>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status of the Company's stock option plan as of December 25, 2011 and changes in options outstanding under the plan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25, 2011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2380" w:type="dxa"/>
            <w:vAlign w:val="bottom"/>
            <w:gridSpan w:val="4"/>
          </w:tcPr>
          <w:p>
            <w:pPr>
              <w:jc w:val="center"/>
              <w:ind w:right="16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3"/>
          </w:tcPr>
          <w:p>
            <w:pPr>
              <w:jc w:val="center"/>
              <w:ind w:right="17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(000's)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6"/>
              </w:rPr>
              <w:t>(000's)</w:t>
            </w:r>
          </w:p>
        </w:tc>
        <w:tc>
          <w:tcPr>
            <w:tcW w:w="16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26, 2010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(670)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15.74</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25, 2011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gridSpan w:val="2"/>
            <w:vMerge w:val="restart"/>
          </w:tcPr>
          <w:p>
            <w:pPr>
              <w:ind w:left="1380"/>
              <w:spacing w:after="0"/>
              <w:rPr>
                <w:sz w:val="20"/>
                <w:szCs w:val="20"/>
                <w:color w:val="auto"/>
              </w:rPr>
            </w:pPr>
            <w:r>
              <w:rPr>
                <w:rFonts w:ascii="Arial" w:cs="Arial" w:eastAsia="Arial" w:hAnsi="Arial"/>
                <w:sz w:val="18"/>
                <w:szCs w:val="18"/>
                <w:color w:val="auto"/>
              </w:rPr>
              <w:t>Options exercisable at December 25, 2011</w:t>
            </w:r>
          </w:p>
        </w:tc>
        <w:tc>
          <w:tcPr>
            <w:tcW w:w="1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25.14</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continu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1,728</w:t>
            </w: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1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60" w:type="dxa"/>
            <w:vAlign w:val="bottom"/>
            <w:gridSpan w:val="3"/>
          </w:tcPr>
          <w:p>
            <w:pPr>
              <w:jc w:val="right"/>
              <w:ind w:right="1260"/>
              <w:spacing w:after="0"/>
              <w:rPr>
                <w:sz w:val="20"/>
                <w:szCs w:val="20"/>
                <w:color w:val="auto"/>
              </w:rPr>
            </w:pPr>
            <w:r>
              <w:rPr>
                <w:rFonts w:ascii="Arial" w:cs="Arial" w:eastAsia="Arial" w:hAnsi="Arial"/>
                <w:sz w:val="18"/>
                <w:szCs w:val="18"/>
                <w:color w:val="auto"/>
              </w:rPr>
              <w:t>F-60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December 25, 2011, there was $0.3 million of total unrecognized stock-based compensation expense related to nonvested options which is expected to be recognized over a remaining weighted-average vesting period of 1.9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years ended December 27, 2009, December 26, 2010, and December 25, 2011 the following values relate to the grants and exercises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option plans:</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options granted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intrinsic value of options exercised (in thousands)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1,832</w:t>
            </w:r>
          </w:p>
        </w:tc>
      </w:tr>
    </w:tbl>
    <w:p>
      <w:pPr>
        <w:spacing w:after="0" w:line="20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Additional information about stock options outstanding at December 25, 2011 with exercise prices less than and greater than $6.22 per share, the stock price at December 23, 2011, the last trading day of the period,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0" w:type="dxa"/>
            <w:vAlign w:val="bottom"/>
            <w:gridSpan w:val="5"/>
          </w:tcPr>
          <w:p>
            <w:pPr>
              <w:ind w:left="480"/>
              <w:spacing w:after="0"/>
              <w:rPr>
                <w:sz w:val="20"/>
                <w:szCs w:val="20"/>
                <w:color w:val="auto"/>
              </w:rPr>
            </w:pPr>
            <w:r>
              <w:rPr>
                <w:rFonts w:ascii="Arial" w:cs="Arial" w:eastAsia="Arial" w:hAnsi="Arial"/>
                <w:sz w:val="14"/>
                <w:szCs w:val="14"/>
                <w:b w:val="1"/>
                <w:bCs w:val="1"/>
                <w:color w:val="auto"/>
              </w:rPr>
              <w:t>Exercisable</w:t>
            </w:r>
          </w:p>
        </w:tc>
        <w:tc>
          <w:tcPr>
            <w:tcW w:w="1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Unexercisable</w:t>
            </w:r>
          </w:p>
        </w:tc>
        <w:tc>
          <w:tcPr>
            <w:tcW w:w="106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(000's)</w:t>
            </w: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(000's)</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(000's)</w:t>
            </w: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$6.22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Above $6.22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27.02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00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00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Stock Units</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0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(000's)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26, 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Grants</w:t>
            </w:r>
          </w:p>
        </w:tc>
        <w:tc>
          <w:tcPr>
            <w:tcW w:w="840" w:type="dxa"/>
            <w:vAlign w:val="bottom"/>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12.38</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Forfeitures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12.78</w:t>
            </w:r>
          </w:p>
        </w:tc>
      </w:tr>
      <w:tr>
        <w:trPr>
          <w:trHeight w:val="21"/>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25,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w:t>
            </w:r>
          </w:p>
        </w:tc>
      </w:tr>
      <w:tr>
        <w:trPr>
          <w:trHeight w:val="27"/>
        </w:trPr>
        <w:tc>
          <w:tcPr>
            <w:tcW w:w="6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25, 2011, there was $12.4 million of total unrecognized stock-based compensation expense related to nonvested restricted stock units which is expected to be recognized over a remaining weighted-average vesting period of 5.0 years. The fair value of RSU awards that vested in 2009, 2010, and 2011 was $0.2 million, $0.9 million, and $0.8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 Stock Purchase Plan</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August 1999, the Board approved the 1999 Employee Stock Purchase Plan ("Purchase Plan"). A total of 1,310 thousand shares of Common Stock have been authorized for issuance under the Purchase Plan. The Purchase Plan qualifies as an employee stock purchase plan within the meaning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25, 2011, the cumulative number of shares of Common Stock that have been issued under the Purchase Plan is 495,000 and approximately 813,000 shares were available for future issuance. During fiscal 2010 and 2011, approximately 88,000 and 93,196 shares were issued under the plans at an average price of $8.08 and $9.47, respectively.</w:t>
      </w:r>
    </w:p>
    <w:p>
      <w:pPr>
        <w:spacing w:after="0" w:line="172"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fair value of Kratos' Purchase Plan shares for 2011 was estimated using the Black-Scholes option pricing model. The assumptions and resulting fair values of options granted for 2010 and 2011 were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r>
      <w:tr>
        <w:trPr>
          <w:trHeight w:val="149"/>
        </w:trPr>
        <w:tc>
          <w:tcPr>
            <w:tcW w:w="2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49"/>
        </w:trPr>
        <w:tc>
          <w:tcPr>
            <w:tcW w:w="2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January 1 to</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January 1 to</w:t>
            </w:r>
          </w:p>
        </w:tc>
      </w:tr>
      <w:tr>
        <w:trPr>
          <w:trHeight w:val="149"/>
        </w:trPr>
        <w:tc>
          <w:tcPr>
            <w:tcW w:w="2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3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0.5</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Risk-free interest rate(2)</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0.20% - 0.22%</w:t>
            </w:r>
          </w:p>
        </w:tc>
        <w:tc>
          <w:tcPr>
            <w:tcW w:w="13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0.10% - 0.19%</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42.7% - 56.8%</w:t>
            </w:r>
          </w:p>
        </w:tc>
        <w:tc>
          <w:tcPr>
            <w:tcW w:w="13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28.5% - 43.6%</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Expected dividend yield(4)</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320" w:type="dxa"/>
            <w:vAlign w:val="bottom"/>
            <w:gridSpan w:val="2"/>
          </w:tcPr>
          <w:p>
            <w:pPr>
              <w:jc w:val="center"/>
              <w:ind w:left="72"/>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grant-date fair value per share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$2.97</w:t>
            </w:r>
          </w:p>
        </w:tc>
        <w:tc>
          <w:tcPr>
            <w:tcW w:w="1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$3.05</w:t>
            </w:r>
          </w:p>
        </w:tc>
      </w:tr>
      <w:tr>
        <w:trPr>
          <w:trHeight w:val="108"/>
        </w:trPr>
        <w:tc>
          <w:tcPr>
            <w:tcW w:w="212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expected term is equivalent to the offering period.</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w:t>
      </w:r>
    </w:p>
    <w:p>
      <w:pPr>
        <w:spacing w:after="0" w:line="261" w:lineRule="exact"/>
        <w:rPr>
          <w:rFonts w:ascii="Arial" w:cs="Arial" w:eastAsia="Arial" w:hAnsi="Arial"/>
          <w:sz w:val="16"/>
          <w:szCs w:val="16"/>
          <w:color w:val="auto"/>
        </w:rPr>
      </w:pPr>
    </w:p>
    <w:p>
      <w:pPr>
        <w:ind w:left="2260" w:hanging="540"/>
        <w:spacing w:after="0"/>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25, 2011, there was no material unrecognized compensation expense related to the Employee Stock Purchase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Stockholder Rights Agreement</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December 16, 2004, the Company entered into a Stockholder Rights Agreement (the "Rights Agreement"). Under the terms of the Rights Agreement, initially, the rights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that a person or group of affiliated or associated persons has acquired or obtained the right to acquire beneficial ownership of 15% or more of the then-outstanding common stock (an Acquiring Person), or (ii) ten business days (or such later date as may be determined by action of the Board) prior to such time as any person becomes an Acquiring Person following the commencement of a tender offer or exchange offer that would result in a person or group becoming an Acquiring Person. An Acquiring Person does not include certain persons specified in the Rights Agreement.</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December 16, 2004, the Board authorized and declared a dividend of one right (a Right) to purchase one one-hundredth of a share of the Company's Series C Preferred Stock (Series C Preferred) for each outstanding share of common stock, par value $0.001, to stockholders of record as of the close of business December 27, 2004. Each Right entitles the registered holder, subject to the terms of the Rights Agreement, to purchase from the Company one one-hundredth of a share of Series C Preferred Stock at a purchase price of $54.00, subject to adjustment.</w:t>
      </w:r>
    </w:p>
    <w:p>
      <w:pPr>
        <w:spacing w:after="0" w:line="16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contributions to these defined-contribution plans totaled $6.0 million in 2009, $5.9 million in 2010 and $7.3 million in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31"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Kratos is the prime contractor as well as those for which the Company is a subcontractor and the ultimate customer is the U.S. Government. The KGS segment has substantial revenue from the U.S. Government. Sales to the U.S. Government amounted to approximately $288.2 million, $354.0 million, and $538.5 million, or 86 percent, 87 percent, and 74 percent, of total revenue for the years ended December 27, 2009, December 26, 2010, and December 25, 2011, respectively.</w:t>
      </w:r>
    </w:p>
    <w:p>
      <w:pPr>
        <w:spacing w:after="0" w:line="167"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of 2011</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 (Continued)</w:t>
      </w:r>
    </w:p>
    <w:p>
      <w:pPr>
        <w:spacing w:after="0" w:line="23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("Budget Control Act") committed the U.S. Government to reduce the federal deficit over the next ten years. Under the Budget Control Act the Bi-Partisan Congressional Joint Select Committee on Deficit Reduction ("the Joint Committee") was responsible for identifying $1.2 to 1.5 trillion in deficit reductions by November 30, 2011. The Joint Committee was unable to identify the reductions by this deadline and thereby triggered a provision of the Budget Control Act called "sequestration", which requires very substantial automatic spending cuts which will start in 2013 and be split between defense and non-defense programs and continue over a nine-year period. Any automatic reductions in national defense programs could impact the Company's significant customers. The impact of the Budget Control Act remains unknown and our business and industry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operates in two principal business segments: Kratos Government Solutions and Public Safety &amp; Security. The KGS segment provides products, solutions and services primarily for mission critical national security priorities. KGS customers primarily include national security related agencies, the DoD, intelligence agencies and classified agencies. The PSS segment provides independent integrated solutions for advanced homeland security, public safety, critical infrastructure, and security and surveillance systems for government and commercial applications. PSS customers are in the critical infrastructure, power generation, power transport, nuclear energy, financial, IT, healthcare, education, transportation and petro-chemical industries, as well as certain government and military customers.</w:t>
      </w:r>
    </w:p>
    <w:p>
      <w:pPr>
        <w:spacing w:after="0" w:line="19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organizes its business segments based on the nature of the products and services offered. Transactions between segments are generally negotiated and accounted for under terms and conditions similar to other government and commercial contracts and these intercompany transactions are eliminated in consolidation. Transactions between segments are generally negotiated and accounted for under terms and conditions similar to other government and commercial contracts. This presentation is consistent with the Company's operating structure. In the following table, total operating income of the business segments is reconciled to the corresponding consolidated amount. The reconciling item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operating segments, and other miscellaneous corporate activities.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 (Continued)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Revenues, operating income (loss) and assets disclosed below provided by the Company's segments for the years ended December 27, 2009, December 26, 2010, and December 2, 2011, are as follows (in millions):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372.2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5640" w:type="dxa"/>
            <w:vAlign w:val="bottom"/>
            <w:vMerge w:val="restart"/>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40" w:type="dxa"/>
            <w:vAlign w:val="bottom"/>
            <w:vMerge w:val="restart"/>
          </w:tcPr>
          <w:p>
            <w:pPr>
              <w:ind w:left="360"/>
              <w:spacing w:after="0"/>
              <w:rPr>
                <w:sz w:val="20"/>
                <w:szCs w:val="20"/>
                <w:color w:val="auto"/>
              </w:rPr>
            </w:pPr>
            <w:r>
              <w:rPr>
                <w:rFonts w:ascii="Arial" w:cs="Arial" w:eastAsia="Arial" w:hAnsi="Arial"/>
                <w:sz w:val="18"/>
                <w:szCs w:val="18"/>
                <w:color w:val="auto"/>
              </w:rPr>
              <w:t>Total depreciation and amortization</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 from continuing operations: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5640" w:type="dxa"/>
            <w:vAlign w:val="bottom"/>
          </w:tcPr>
          <w:p>
            <w:pPr>
              <w:ind w:left="180"/>
              <w:spacing w:after="0"/>
              <w:rPr>
                <w:sz w:val="20"/>
                <w:szCs w:val="20"/>
                <w:color w:val="auto"/>
              </w:rPr>
            </w:pPr>
            <w:r>
              <w:rPr>
                <w:rFonts w:ascii="Arial" w:cs="Arial" w:eastAsia="Arial" w:hAnsi="Arial"/>
                <w:sz w:val="18"/>
                <w:szCs w:val="18"/>
                <w:color w:val="auto"/>
              </w:rPr>
              <w:t>Corporate activities</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Revenue from foreign subsidiaries was approximately $39.8 million or 6% of total revenue for the year ended December 25, 2011. There were no revenues from foreign subsidiaries for the years ended December 26, 2010 or December 27, 2009.</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related to corporate activities were impacted by the following items in 2009, 2010 and 2011.</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2009, the Company reached an agreement with the plaintiffs to settle the outstanding 2004 and 2007 derivative lawsuits. This resulted in a benefit in 2009 of $0.2 million as a result of the reduction in the estimated accrual related to this litigation offset by expenses related to government inquiries by the Department of Justice ("DOJ") related to the Company's historical stock option granting practices which was completed in 2009. In addition, in 2009, there was an expense of $0.6 million which was a result of a change in the Company's excess facility accrual due to the consolidation of space at its corporate headquarters following the sale of the SYS commercial businesses and a cancellation of a sublease of one of its tenants due to financial difficulties.</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2010, the Company reached a settlement with one of its directors' and officers' insurance carriers to cover costs related to its completed stock options and DOJ investigations. The settlement received, net of legal expenses was a $1.4 million benefit. This benefit was offset by expenses of $3.1 million related to merger and acquisition activities.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2010 and 2011, the Company had merger and acquisition expenses of approximately $3.1 million and $12.5 million, respectively.</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406.5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1,041.4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1,216.4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increase in assets in the KGS segment is primarily attributable to the acquisitions of Herley and Integral. The increase in assets in corporate activities is primarily due to an increase in cash and cash equivalents from the sale of $285.0 million and $115.0 million of Notes and the issuance of common stock during the year ended December 25, 2011, partially offset by the cash paid for the acquisitions of Herley and Integral. See Notes 3, 5 and 11. Assets of foreign subsidiaries were $0 and $47.2 million as of December 26, 2010 and December 25, 2011,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The Company periodically evaluates all pending or threatened contingencies and any commitments, if any, that are reasonably likely to have a material adverse effect on its operations or financial position. The Company assesses the probability of an adverse outcome and determines if it is remote, reasonably possible or probable as defined in accordance with the provisions of </w:t>
      </w:r>
      <w:r>
        <w:rPr>
          <w:rFonts w:ascii="Arial" w:cs="Arial" w:eastAsia="Arial" w:hAnsi="Arial"/>
          <w:sz w:val="16"/>
          <w:szCs w:val="16"/>
          <w:i w:val="1"/>
          <w:iCs w:val="1"/>
          <w:color w:val="auto"/>
        </w:rPr>
        <w:t>FASB ASC Topic 450 Contingencies ("Topic 450")</w:t>
      </w:r>
      <w:r>
        <w:rPr>
          <w:rFonts w:ascii="Arial" w:cs="Arial" w:eastAsia="Arial" w:hAnsi="Arial"/>
          <w:sz w:val="16"/>
          <w:szCs w:val="16"/>
          <w:color w:val="auto"/>
        </w:rPr>
        <w:t xml:space="preserve">. If information available prior to the issuance of the Company's financial statements indicates that it is probable that an asset had been impaired or a liability had been incurred at the date of the Company's financial statements, and the amount of the loss, or the range of probable loss can be reasonably estimated, then such loss is accrued and charged to operations. If no accrual is made for a loss contingency because one or both of the conditions pursuant to </w:t>
      </w:r>
      <w:r>
        <w:rPr>
          <w:rFonts w:ascii="Arial" w:cs="Arial" w:eastAsia="Arial" w:hAnsi="Arial"/>
          <w:sz w:val="16"/>
          <w:szCs w:val="16"/>
          <w:i w:val="1"/>
          <w:iCs w:val="1"/>
          <w:color w:val="auto"/>
        </w:rPr>
        <w:t>Topic 450</w:t>
      </w:r>
      <w:r>
        <w:rPr>
          <w:rFonts w:ascii="Arial" w:cs="Arial" w:eastAsia="Arial" w:hAnsi="Arial"/>
          <w:sz w:val="16"/>
          <w:szCs w:val="16"/>
          <w:color w:val="auto"/>
        </w:rPr>
        <w:t xml:space="preserve"> are not met, but the probability of an adverse outcome is at least reasonably possible, the Company will disclose the nature of the contingency and provide an estimate of the possible loss or range of loss, or state that such an estimate cannot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 xml:space="preserve">The Company and certain of its officers and directors were previously defendants in several parallel class action shareholder complaints filed in the U.S. District Court for the Southern District of New York, consolidated under the caption </w:t>
      </w:r>
      <w:r>
        <w:rPr>
          <w:rFonts w:ascii="Arial" w:cs="Arial" w:eastAsia="Arial" w:hAnsi="Arial"/>
          <w:sz w:val="16"/>
          <w:szCs w:val="16"/>
          <w:i w:val="1"/>
          <w:iCs w:val="1"/>
          <w:color w:val="auto"/>
        </w:rPr>
        <w:t>In re Wireless Facilities, Inc. Initial Public Offering Securities Litigation,</w:t>
      </w:r>
      <w:r>
        <w:rPr>
          <w:rFonts w:ascii="Arial" w:cs="Arial" w:eastAsia="Arial" w:hAnsi="Arial"/>
          <w:sz w:val="16"/>
          <w:szCs w:val="16"/>
          <w:color w:val="auto"/>
        </w:rPr>
        <w:t xml:space="preserve"> Case 01-CV-4779. These complaints were consolidated into an action captioned </w:t>
      </w:r>
      <w:r>
        <w:rPr>
          <w:rFonts w:ascii="Arial" w:cs="Arial" w:eastAsia="Arial" w:hAnsi="Arial"/>
          <w:sz w:val="16"/>
          <w:szCs w:val="16"/>
          <w:i w:val="1"/>
          <w:iCs w:val="1"/>
          <w:color w:val="auto"/>
        </w:rPr>
        <w:t>In re Initial Public Offering Securities Litigation,</w:t>
      </w:r>
      <w:r>
        <w:rPr>
          <w:rFonts w:ascii="Arial" w:cs="Arial" w:eastAsia="Arial" w:hAnsi="Arial"/>
          <w:sz w:val="16"/>
          <w:szCs w:val="16"/>
          <w:color w:val="auto"/>
        </w:rPr>
        <w:t xml:space="preserve"> 21 MC 92 (the "IPO Cases").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 (Continued)</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 granting final approval to the settlement and directing that the Clerk of the Court close the IPO Cases. Notices of appeal of this decision were filed. In January 2012, the last objection to the decision was settled. All remaining appeal rights have expired without any financial obligation having been incurred by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Integral Systems, Inc.</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Integral, which the Company acquired on July 27, 2011, was previously the subject of a SEC investigation. On July 30, 2009, the SEC and Integral each announced that an administrative settlement had been reached concluding the SEC's investigation.</w:t>
      </w:r>
    </w:p>
    <w:p>
      <w:pPr>
        <w:spacing w:after="0" w:line="186"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 xml:space="preserve">In conjunction with its announcement of the administrative settlement, the SEC disclosed that it was instituting separate civil actions against three former officers of Integral, Steven R. Chamberlain (now deceased), Elaine M. Brown and Gary A. Prince in a case captioned </w:t>
      </w:r>
      <w:r>
        <w:rPr>
          <w:rFonts w:ascii="Arial" w:cs="Arial" w:eastAsia="Arial" w:hAnsi="Arial"/>
          <w:sz w:val="16"/>
          <w:szCs w:val="16"/>
          <w:i w:val="1"/>
          <w:iCs w:val="1"/>
          <w:color w:val="auto"/>
        </w:rPr>
        <w:t>United States Securities and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Commission v. Steven R. Chamberlain, Elaine M. Brown, and Gary A. Prince, </w:t>
      </w:r>
      <w:r>
        <w:rPr>
          <w:rFonts w:ascii="Arial" w:cs="Arial" w:eastAsia="Arial" w:hAnsi="Arial"/>
          <w:sz w:val="16"/>
          <w:szCs w:val="16"/>
          <w:color w:val="auto"/>
        </w:rPr>
        <w:t>Case No. 09-CV-01423, pending in the United States District Court for the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of Columbia. The SEC seeks permanent injunctions against each defendant, as well as court orders imposing officer and director bars and civil penalties.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assumed these indemnification obligations. The indemnification agreements each provide, subject to certain terms and conditions, that the Company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December 2011, and the Company is advancing payment of indemnifiable costs pursuant to the indemnification agreements.</w:t>
      </w:r>
    </w:p>
    <w:p>
      <w:pPr>
        <w:spacing w:after="0" w:line="18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its business. The Company is currently not aware of any such legal proceedings or claims that it believes will have, individually or in the aggregate, a material adverse effect on its business, financial condition, operating results or cash flows.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 Government Cost Claims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From time to time, the Company is advised of claims and penalties concerning potential disallowed costs. When such findings are presented, the Company and the U.S. Government representatives engage in discussions to enable the Company to evaluate the merits of these claims, as well as to assess the amounts being claimed. Where appropriate, provisions are made to reflect the Company's expected exposure to the matters raised by the U.S. Government representatives and such provisions are reviewed on a quarterly basis for sufficiency based on the most recent information available. The Company believes that it has adequately reserved for any disputed amounts and that the outcome of any such matters would not have a material adverse effect on its consolidated financial position as of December 25, 2011 or its annual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Warranty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changes in the Company's aggregate product warranty liabilities, which are included in other current liabilities and other long term-liabilities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balance sheets, were as follows (in millions):</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12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December 26,</w:t>
            </w: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December 25,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Warranty liabilities assumed from acquisitions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Adjustments to preexisting warranties</w:t>
            </w:r>
          </w:p>
        </w:tc>
        <w:tc>
          <w:tcPr>
            <w:tcW w:w="2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of warranty claims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color w:val="auto"/>
              </w:rPr>
              <w:t>Balance at end of the period</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Self-Insured Medical Plans</w:t>
      </w:r>
    </w:p>
    <w:p>
      <w:pPr>
        <w:spacing w:after="0" w:line="231"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Company has health plans which are self-insured and also has liabilities related to its self-insured worker's compensation plans for its discontinued wireless business. The liabilities related to the health plans are a component of total accrued expenses and the liabilities related to the worker's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 (Continued)</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compensation plans are a component of current liabilities of discontinued operations in the consolidated balance sheets. Management determines the adequacy of these accruals based on an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w:t>
      </w:r>
    </w:p>
    <w:p>
      <w:pPr>
        <w:spacing w:after="0" w:line="170"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27, 2009, December 26, 2010, and December 25, 2011, the accrual for the Company's partial self-insurance programs approximated $0.3 million, $0.9 million and $0.2 million for its health insurance and $0.3 million, $0.3 million and $0.3 million for its workers' compensation insurance, respectively. The Company also carries stop-loss insurance that provides coverage limiting the Company's total exposure related to each medical and workers compensation claim incurred, as defined in the applicable insurance policies. The medical annual claim limits are $50,000 - 85,000 and the workers compensation claim limits are $250,000 - $350,000 depending upon the plan year. In 2009, 2010, and 2011, no claims exceeded the limits for workers compensation. In 2009, 2010 and 2011, the Company had two, four, and eight claims, respectively, which exceeded the limits for medical insurance.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26, 2010 and December 25, 2011, is as follows (in millions, except per share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2010</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9"/>
              </w:rPr>
              <w:t>Second</w:t>
            </w: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48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2010</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120.8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quarterly increases in revenues and expenses are a result of the Company's acquisitions. See Note 3.</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During the second, third and fourth quarters, the Company incurred $1.1 million, $0.4 million and $1.6 million, respectively of expenses related to the Company's acquisitions during those quarters.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 (Continued)</w:t>
      </w:r>
    </w:p>
    <w:p>
      <w:pPr>
        <w:spacing w:after="0" w:line="231"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In the second and third quarters, the benefit for income taxes of $12.2 million and $1.3 million, respectively, was a result of the release of valuation allowances against the Company's deferred tax assets as a result of deferred tax liabilities that were established as the result of the Company's acquisitions.</w:t>
      </w:r>
    </w:p>
    <w:p>
      <w:pPr>
        <w:spacing w:after="0" w:line="11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the third quarter of 2010, the Company reached a settlement with one of its directors' and officers' insurance carriers to cover costs related to its completed stock options and DOJ investigations. The settlement received, net of legal expenses, was a $1.4 million benefit.</w:t>
      </w:r>
    </w:p>
    <w:p>
      <w:pPr>
        <w:spacing w:after="0" w:line="186"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As a result of the impact of the issuance of 2.5 million shares in October 2010 on the Company's quarterly and yearly weighted average basic and diluted shares outstanding, the sum of 2010 quarterly income per share does not equal the Company's 2010 income per share. See Note 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2011</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9"/>
              </w:rPr>
              <w:t>Second</w:t>
            </w: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486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2011</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218.2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quarterly increases in revenues and expenses are a result of the Company's acquisitions. See Note 3.</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the first, second, third and fourth quarters, the Company incurred $5.8 million, $1.8 million, $3.7 million and $1.2 million, respectively of expenses related to the Company's acquisitions during those quarters. Also included in the first, second, third, and fourth quarter is amortization of purchased intangibles of $3.4 million, $9.2 million, $11.9 million and $13.5 million, respectively. Certain of the lives of the intangible assets are relatively short in nature, ranging from 10 to 16 months. See Note 3.</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a result of the impact of the issuance of 4.9 million shares in February 2011 for the Herley acquisition and 10.4 million shares in July 2011 for the Integral acquisition, and the buyback of 2.0 million shares in November 2011 on the Company's quarterly and yearly weighted average basic and diluted shares outstanding, the sum of 2011 quarterly loss per share does not equal the Company's 2011 loss per share. See Note 3 and 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January 3, 2012, the Company acquired selected assets of a critical infrastructure security and public safety system integration business (the "Business") from Ingersoll Rand for approximately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$20.0 million. The asset agreement provides that the purchase price will be (i) increased on a dollar for dollar basis if the working capital on the closing date (as defined in the asset agreement) exceeds $17.0 million or (ii) decreased on a dollar for dollar basis if the working capital is less than $17.0 million. At this time the estimated adjustment to the purchase price cannot yet be determined. In accordance with the terms of the purchase agreement, the parties have 120 days after the close of the transaction to compute the working capital adjustment.</w:t>
      </w:r>
    </w:p>
    <w:p>
      <w:pPr>
        <w:spacing w:after="0" w:line="197" w:lineRule="exact"/>
        <w:rPr>
          <w:sz w:val="20"/>
          <w:szCs w:val="20"/>
          <w:color w:val="auto"/>
        </w:rPr>
      </w:pPr>
    </w:p>
    <w:p>
      <w:pPr>
        <w:ind w:right="540" w:firstLine="348"/>
        <w:spacing w:after="0" w:line="256" w:lineRule="auto"/>
        <w:rPr>
          <w:sz w:val="20"/>
          <w:szCs w:val="20"/>
          <w:color w:val="auto"/>
        </w:rPr>
      </w:pPr>
      <w:r>
        <w:rPr>
          <w:rFonts w:ascii="Arial" w:cs="Arial" w:eastAsia="Arial" w:hAnsi="Arial"/>
          <w:sz w:val="18"/>
          <w:szCs w:val="18"/>
          <w:color w:val="auto"/>
        </w:rPr>
        <w:t>The Business designs, engineers, deploys, manages and maintains specialty security systems at some of the U.S.'s most strategic asset and critical infrastructure locations. Additionally, these security systems are typically integrated into command and control system infrastructure or command centers. Approximately 15% of the revenues of the Business are recurring in nature due to the operation, maintenance or sustainment of the security systems once deployed.</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The acquisition related disclosures required by </w:t>
      </w:r>
      <w:r>
        <w:rPr>
          <w:rFonts w:ascii="Arial" w:cs="Arial" w:eastAsia="Arial" w:hAnsi="Arial"/>
          <w:sz w:val="18"/>
          <w:szCs w:val="18"/>
          <w:i w:val="1"/>
          <w:iCs w:val="1"/>
          <w:color w:val="auto"/>
        </w:rPr>
        <w:t>Topic 805</w:t>
      </w:r>
      <w:r>
        <w:rPr>
          <w:rFonts w:ascii="Arial" w:cs="Arial" w:eastAsia="Arial" w:hAnsi="Arial"/>
          <w:sz w:val="18"/>
          <w:szCs w:val="18"/>
          <w:color w:val="auto"/>
        </w:rPr>
        <w:t xml:space="preserve"> cannot be made as the initial accounting for the business transaction is incomplete. In addition, the disclosure requirements of </w:t>
      </w:r>
      <w:r>
        <w:rPr>
          <w:rFonts w:ascii="Arial" w:cs="Arial" w:eastAsia="Arial" w:hAnsi="Arial"/>
          <w:sz w:val="18"/>
          <w:szCs w:val="18"/>
          <w:i w:val="1"/>
          <w:iCs w:val="1"/>
          <w:color w:val="auto"/>
        </w:rPr>
        <w:t>Topic 805</w:t>
      </w:r>
      <w:r>
        <w:rPr>
          <w:rFonts w:ascii="Arial" w:cs="Arial" w:eastAsia="Arial" w:hAnsi="Arial"/>
          <w:sz w:val="18"/>
          <w:szCs w:val="18"/>
          <w:color w:val="auto"/>
        </w:rPr>
        <w:t>, when the initial accounting is incomplete, also cannot be made due to the timing of the acquisition and the related due date of this Annual Report on Form 10-K. Key financial data such as the determination of the final acquisition price and the fair value of the assets acquired and liabilities assumed is not yet available.</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will be allocated to goodwill. The value of the goodwill represents the value the Company expects to be created by expanding its capabilities, qualifications, customer relationships, contract portfolio and geographic depth and breadth. Together, the combined business will be one of the largest and most capable critical infrastructure security system integrators in the industry, with the scale and wherewithal to bid on and pursue some of this country's largest, most sophisticated and important security deployments.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6" w:name="page157"/>
    <w:bookmarkEnd w:id="1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spacing w:after="0"/>
        <w:rPr>
          <w:rFonts w:ascii="Arial" w:cs="Arial" w:eastAsia="Arial" w:hAnsi="Arial"/>
          <w:sz w:val="22"/>
          <w:szCs w:val="22"/>
          <w:color w:val="0000EE"/>
        </w:rPr>
      </w:pPr>
      <w:hyperlink w:anchor="page1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b w:val="1"/>
                <w:bCs w:val="1"/>
                <w:color w:val="auto"/>
              </w:rPr>
              <w:t>LIST OF SUBSIDIARIES</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Airorlite Communications,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7"/>
              </w:rPr>
              <w:t>New Jersey</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Avtec Systems,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6"/>
              </w:rPr>
              <w:t>Virginia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Charleston Marine Containers,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CVG, Incorporated</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6"/>
              </w:rPr>
              <w:t>Virginia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Dallastown Realty I, LLC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Dallastown Realty II, LLC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DEI Services Corporation</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0"/>
              </w:rPr>
              <w:t>Florida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Digital Fusion,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Digital Fusion Solutions,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0"/>
              </w:rPr>
              <w:t>Florida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Diversified Security Solutions, Inc.</w:t>
            </w:r>
          </w:p>
        </w:tc>
        <w:tc>
          <w:tcPr>
            <w:tcW w:w="4220" w:type="dxa"/>
            <w:vAlign w:val="bottom"/>
          </w:tcPr>
          <w:p>
            <w:pPr>
              <w:jc w:val="center"/>
              <w:ind w:left="2972"/>
              <w:spacing w:after="0"/>
              <w:rPr>
                <w:sz w:val="20"/>
                <w:szCs w:val="20"/>
                <w:color w:val="auto"/>
              </w:rPr>
            </w:pPr>
            <w:r>
              <w:rPr>
                <w:rFonts w:ascii="Arial" w:cs="Arial" w:eastAsia="Arial" w:hAnsi="Arial"/>
                <w:sz w:val="18"/>
                <w:szCs w:val="18"/>
                <w:color w:val="auto"/>
                <w:w w:val="92"/>
              </w:rPr>
              <w:t>New York</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DTI Associates,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6"/>
              </w:rPr>
              <w:t>Virginia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EW Simulation Technology Ltd.</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2"/>
              </w:rPr>
              <w:t>United Kingdom</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General Microwave Corporation</w:t>
            </w:r>
          </w:p>
        </w:tc>
        <w:tc>
          <w:tcPr>
            <w:tcW w:w="4220" w:type="dxa"/>
            <w:vAlign w:val="bottom"/>
          </w:tcPr>
          <w:p>
            <w:pPr>
              <w:jc w:val="center"/>
              <w:ind w:left="2972"/>
              <w:spacing w:after="0"/>
              <w:rPr>
                <w:sz w:val="20"/>
                <w:szCs w:val="20"/>
                <w:color w:val="auto"/>
              </w:rPr>
            </w:pPr>
            <w:r>
              <w:rPr>
                <w:rFonts w:ascii="Arial" w:cs="Arial" w:eastAsia="Arial" w:hAnsi="Arial"/>
                <w:sz w:val="18"/>
                <w:szCs w:val="18"/>
                <w:color w:val="auto"/>
                <w:w w:val="92"/>
              </w:rPr>
              <w:t>New York</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General Microwave Israel Corporation</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General Microwave Israel (1987) Ltd.</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Israel</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Gichner Holdings,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Gichner Systems Group,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Haverstick Consulting,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1"/>
              </w:rPr>
              <w:t>Indiana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Haverstick Government Solutions,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9"/>
              </w:rPr>
              <w:t>Ohio</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Henry Bros. Electronics,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2"/>
              </w:rPr>
              <w:t>California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Henry Bros. Electronics,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0"/>
              </w:rPr>
              <w:t>Colorado</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Henry Bros. Electronics,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Henry Bros. Electronics,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7"/>
              </w:rPr>
              <w:t>New Jersey</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Henry Bros. Electronics,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6"/>
              </w:rPr>
              <w:t>Virginia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Henry Bros. Electronics, L.L.C.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4"/>
              </w:rPr>
              <w:t>Arizona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Herley GMI Eyal Ltd.</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Israel</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Herley Industries,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Herley-CTI,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HGS Holdings,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1"/>
              </w:rPr>
              <w:t>Indiana</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Integral Systems,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4"/>
              </w:rPr>
              <w:t>Maryland</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IRIS Acquisition Sub LLC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94"/>
              </w:rPr>
              <w:t>Maryland</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w w:val="96"/>
              </w:rPr>
              <w:t>Kratos Defense Engineering Solutions, Inc.</w:t>
            </w:r>
          </w:p>
        </w:tc>
        <w:tc>
          <w:tcPr>
            <w:tcW w:w="4220" w:type="dxa"/>
            <w:vAlign w:val="bottom"/>
          </w:tcPr>
          <w:p>
            <w:pPr>
              <w:jc w:val="center"/>
              <w:ind w:left="2952"/>
              <w:spacing w:after="0"/>
              <w:rPr>
                <w:sz w:val="20"/>
                <w:szCs w:val="20"/>
                <w:color w:val="auto"/>
              </w:rPr>
            </w:pPr>
            <w:r>
              <w:rPr>
                <w:rFonts w:ascii="Arial" w:cs="Arial" w:eastAsia="Arial" w:hAnsi="Arial"/>
                <w:sz w:val="18"/>
                <w:szCs w:val="18"/>
                <w:color w:val="auto"/>
                <w:w w:val="86"/>
              </w:rPr>
              <w:t>Delaware</w:t>
            </w:r>
          </w:p>
        </w:tc>
      </w:tr>
    </w:tbl>
    <w:p>
      <w:pPr>
        <w:sectPr>
          <w:pgSz w:w="11900" w:h="16838" w:orient="portrait"/>
          <w:cols w:equalWidth="0" w:num="1">
            <w:col w:w="11380"/>
          </w:cols>
          <w:pgMar w:left="240" w:top="361" w:right="279" w:bottom="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tcPr>
          <w:p>
            <w:pPr>
              <w:ind w:left="1140"/>
              <w:spacing w:after="0"/>
              <w:rPr>
                <w:sz w:val="20"/>
                <w:szCs w:val="20"/>
                <w:color w:val="auto"/>
              </w:rPr>
            </w:pPr>
            <w:r>
              <w:rPr>
                <w:rFonts w:ascii="Arial" w:cs="Arial" w:eastAsia="Arial" w:hAnsi="Arial"/>
                <w:sz w:val="18"/>
                <w:szCs w:val="18"/>
                <w:color w:val="auto"/>
              </w:rPr>
              <w:t>Kratos Integral Systems International, Inc.</w:t>
            </w:r>
          </w:p>
        </w:tc>
        <w:tc>
          <w:tcPr>
            <w:tcW w:w="5480" w:type="dxa"/>
            <w:vAlign w:val="bottom"/>
          </w:tcPr>
          <w:p>
            <w:pPr>
              <w:ind w:left="1800"/>
              <w:spacing w:after="0"/>
              <w:rPr>
                <w:sz w:val="20"/>
                <w:szCs w:val="20"/>
                <w:color w:val="auto"/>
              </w:rPr>
            </w:pPr>
            <w:r>
              <w:rPr>
                <w:rFonts w:ascii="Arial" w:cs="Arial" w:eastAsia="Arial" w:hAnsi="Arial"/>
                <w:sz w:val="18"/>
                <w:szCs w:val="18"/>
                <w:color w:val="auto"/>
              </w:rPr>
              <w:t>California</w:t>
            </w:r>
          </w:p>
        </w:tc>
      </w:tr>
      <w:tr>
        <w:trPr>
          <w:trHeight w:val="459"/>
        </w:trPr>
        <w:tc>
          <w:tcPr>
            <w:tcW w:w="5940" w:type="dxa"/>
            <w:vAlign w:val="bottom"/>
          </w:tcPr>
          <w:p>
            <w:pPr>
              <w:ind w:left="1140"/>
              <w:spacing w:after="0"/>
              <w:rPr>
                <w:sz w:val="20"/>
                <w:szCs w:val="20"/>
                <w:color w:val="auto"/>
              </w:rPr>
            </w:pPr>
            <w:r>
              <w:rPr>
                <w:rFonts w:ascii="Arial" w:cs="Arial" w:eastAsia="Arial" w:hAnsi="Arial"/>
                <w:sz w:val="18"/>
                <w:szCs w:val="18"/>
                <w:color w:val="auto"/>
              </w:rPr>
              <w:t>Kratos Mid-Atlantic, Inc.</w:t>
            </w:r>
          </w:p>
        </w:tc>
        <w:tc>
          <w:tcPr>
            <w:tcW w:w="54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120"/>
        </w:trPr>
        <w:tc>
          <w:tcPr>
            <w:tcW w:w="59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22"/>
        </w:trPr>
        <w:tc>
          <w:tcPr>
            <w:tcW w:w="6100" w:type="dxa"/>
            <w:vAlign w:val="bottom"/>
          </w:tcPr>
          <w:p>
            <w:pPr>
              <w:ind w:left="1140"/>
              <w:spacing w:after="0"/>
              <w:rPr>
                <w:sz w:val="20"/>
                <w:szCs w:val="20"/>
                <w:color w:val="auto"/>
              </w:rPr>
            </w:pPr>
            <w:r>
              <w:rPr>
                <w:rFonts w:ascii="Arial" w:cs="Arial" w:eastAsia="Arial" w:hAnsi="Arial"/>
                <w:sz w:val="18"/>
                <w:szCs w:val="18"/>
                <w:color w:val="auto"/>
              </w:rPr>
              <w:t>Kratos Public Safety &amp; Security Solutions,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6"/>
              </w:rPr>
              <w:t>Delaware</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Kratos Southwest, L.P.</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5"/>
              </w:rPr>
              <w:t>Texas</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Kratos Technology &amp; Training Solutions,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2"/>
              </w:rPr>
              <w:t>California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Kratos Texas,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5"/>
              </w:rPr>
              <w:t>Texas</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Lumistar,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4"/>
              </w:rPr>
              <w:t>Maryland</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LVDM,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6"/>
              </w:rPr>
              <w:t>Nevada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Madison Research Corporation</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7"/>
              </w:rPr>
              <w:t>Alabama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Micro Systems,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0"/>
              </w:rPr>
              <w:t>Florida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MSI Acquisition Corp.</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6"/>
              </w:rPr>
              <w:t>Delaware</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National Safe of California,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2"/>
              </w:rPr>
              <w:t>California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Newpoint Technologies,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6"/>
              </w:rPr>
              <w:t>Delaware</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Real Time Logic,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0"/>
              </w:rPr>
              <w:t>Colorado</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Rocket Support Services, LLC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1"/>
              </w:rPr>
              <w:t>Indiana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SAT Corporation</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2"/>
              </w:rPr>
              <w:t>California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SCT Acquisition, LLC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6"/>
              </w:rPr>
              <w:t>Delaware</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SCT Real Estate, LLC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6"/>
              </w:rPr>
              <w:t>Delaware</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SecureInfo Corporation</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6"/>
              </w:rPr>
              <w:t>Virginia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Stapor Research, Inc.</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96"/>
              </w:rPr>
              <w:t>Virginia</w:t>
            </w:r>
          </w:p>
        </w:tc>
      </w:tr>
      <w:tr>
        <w:trPr>
          <w:trHeight w:val="459"/>
        </w:trPr>
        <w:tc>
          <w:tcPr>
            <w:tcW w:w="6100" w:type="dxa"/>
            <w:vAlign w:val="bottom"/>
          </w:tcPr>
          <w:p>
            <w:pPr>
              <w:ind w:left="1140"/>
              <w:spacing w:after="0"/>
              <w:rPr>
                <w:sz w:val="20"/>
                <w:szCs w:val="20"/>
                <w:color w:val="auto"/>
              </w:rPr>
            </w:pPr>
            <w:r>
              <w:rPr>
                <w:rFonts w:ascii="Arial" w:cs="Arial" w:eastAsia="Arial" w:hAnsi="Arial"/>
                <w:sz w:val="18"/>
                <w:szCs w:val="18"/>
                <w:color w:val="auto"/>
              </w:rPr>
              <w:t>WFI NMC Corp.</w:t>
            </w:r>
          </w:p>
        </w:tc>
        <w:tc>
          <w:tcPr>
            <w:tcW w:w="5320" w:type="dxa"/>
            <w:vAlign w:val="bottom"/>
          </w:tcPr>
          <w:p>
            <w:pPr>
              <w:jc w:val="center"/>
              <w:ind w:right="1252"/>
              <w:spacing w:after="0"/>
              <w:rPr>
                <w:sz w:val="20"/>
                <w:szCs w:val="20"/>
                <w:color w:val="auto"/>
              </w:rPr>
            </w:pPr>
            <w:r>
              <w:rPr>
                <w:rFonts w:ascii="Arial" w:cs="Arial" w:eastAsia="Arial" w:hAnsi="Arial"/>
                <w:sz w:val="18"/>
                <w:szCs w:val="18"/>
                <w:color w:val="auto"/>
                <w:w w:val="86"/>
              </w:rPr>
              <w:t>Delaware</w:t>
            </w:r>
          </w:p>
        </w:tc>
      </w:tr>
      <w:tr>
        <w:trPr>
          <w:trHeight w:val="120"/>
        </w:trPr>
        <w:tc>
          <w:tcPr>
            <w:tcW w:w="6100" w:type="dxa"/>
            <w:vAlign w:val="bottom"/>
            <w:tcBorders>
              <w:bottom w:val="single" w:sz="8" w:color="808080"/>
            </w:tcBorders>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LIST OF SUBSIDIARIES</w:t>
        </w:r>
      </w:hyperlink>
    </w:p>
    <w:p>
      <w:pPr>
        <w:sectPr>
          <w:pgSz w:w="11900" w:h="16838" w:orient="portrait"/>
          <w:cols w:equalWidth="0" w:num="1">
            <w:col w:w="10219"/>
          </w:cols>
          <w:pgMar w:left="240" w:top="821" w:right="1440" w:bottom="1440" w:gutter="0" w:footer="0" w:header="0"/>
        </w:sectPr>
      </w:pPr>
    </w:p>
    <w:bookmarkStart w:id="161" w:name="page162"/>
    <w:bookmarkEnd w:id="161"/>
    <w:p>
      <w:pPr>
        <w:spacing w:after="0"/>
        <w:rPr>
          <w:rFonts w:ascii="Arial" w:cs="Arial" w:eastAsia="Arial" w:hAnsi="Arial"/>
          <w:sz w:val="22"/>
          <w:szCs w:val="22"/>
          <w:color w:val="0000EE"/>
        </w:rPr>
      </w:pPr>
      <w:hyperlink w:anchor="page16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issued our reports dated March 7, 2012, with respect to the consolidated financial statements and internal control over financial reporting included in the Annual Report of Kratos Defense &amp; Security Solutions, Inc. on Form 10-K for the year ended December 25, 2011. We hereby consent to the incorporation by reference of said reports in the Registration Statements of Kratos Defense &amp; Security Solutions, Inc. on Forms S-3 (File No. 333-161340, effective August 21, 2009, File No. 333-172103, effective February 8, 2011 and File No. 333-173099, effective April 15, 2011), on Forms S-4 (File No. 333-167840, effective July 12, 2010, File No. 333-174745, effective June 20, 2011, File No. 333-174760, effective June 28, 2011 and File No. 333-177493, effective November 1, 2011) and on Forms S-8 (File No. 333-90455, effective November 5, 1999, File No. 333-54818, effective February 1, 2001, File No. 333-71702, effective October 17, 2001, File No. 333-91852, effective July 2, 2002, File No. 333-116903, effective June 28, 2004, File No. 333-124957, effective May 16, 2005, File No. 333-127060, effective August 1, 2005, File No. 333-155317, effective November 12, 2008, File No. 333-157826, effective March 10, 2009, File No. 333-167839, effective June 28, 2010, File No. 333-171257, effective December 17, 2010, File No. 333-173383, effective April 8, 2011 and File No. 333-177494, effective October 25, 2011).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2">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63" w:name="page164"/>
    <w:bookmarkEnd w:id="163"/>
    <w:p>
      <w:pPr>
        <w:spacing w:after="0"/>
        <w:rPr>
          <w:rFonts w:ascii="Arial" w:cs="Arial" w:eastAsia="Arial" w:hAnsi="Arial"/>
          <w:sz w:val="22"/>
          <w:szCs w:val="22"/>
          <w:color w:val="0000EE"/>
        </w:rPr>
      </w:pPr>
      <w:hyperlink w:anchor="page1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720" w:hanging="361"/>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959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4">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65" w:name="page166"/>
    <w:bookmarkEnd w:id="165"/>
    <w:p>
      <w:pPr>
        <w:spacing w:after="0"/>
        <w:rPr>
          <w:rFonts w:ascii="Arial" w:cs="Arial" w:eastAsia="Arial" w:hAnsi="Arial"/>
          <w:sz w:val="22"/>
          <w:szCs w:val="22"/>
          <w:color w:val="0000EE"/>
        </w:rPr>
      </w:pPr>
      <w:hyperlink w:anchor="page1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720" w:hanging="361"/>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80" w:firstLine="359"/>
        <w:spacing w:after="0" w:line="259" w:lineRule="auto"/>
        <w:tabs>
          <w:tab w:leader="none" w:pos="69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6">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67" w:name="page168"/>
    <w:bookmarkEnd w:id="167"/>
    <w:p>
      <w:pPr>
        <w:spacing w:after="0"/>
        <w:rPr>
          <w:rFonts w:ascii="Arial" w:cs="Arial" w:eastAsia="Arial" w:hAnsi="Arial"/>
          <w:sz w:val="22"/>
          <w:szCs w:val="22"/>
          <w:color w:val="0000EE"/>
        </w:rPr>
      </w:pPr>
      <w:hyperlink w:anchor="page1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25,</w:t>
      </w:r>
    </w:p>
    <w:p>
      <w:pPr>
        <w:spacing w:after="0" w:line="3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2011 as filed with the Securities and Exchange Commission on the date hereof (the "Report"), I, Eric M. DeMarco,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700" w:hanging="341"/>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0" w:firstLine="359"/>
        <w:spacing w:after="0" w:line="501" w:lineRule="auto"/>
        <w:tabs>
          <w:tab w:leader="none" w:pos="6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Thee information contained in the Report fairly presents, in all material respects, the financial condition and results of operations of the Company. Date: March 7, 2012</w:t>
      </w:r>
    </w:p>
    <w:p>
      <w:pPr>
        <w:ind w:left="5900"/>
        <w:spacing w:after="0"/>
        <w:rPr>
          <w:sz w:val="20"/>
          <w:szCs w:val="20"/>
          <w:color w:val="auto"/>
        </w:rPr>
      </w:pPr>
      <w:r>
        <w:rPr>
          <w:rFonts w:ascii="Arial" w:cs="Arial" w:eastAsia="Arial" w:hAnsi="Arial"/>
          <w:sz w:val="18"/>
          <w:szCs w:val="18"/>
          <w:color w:val="auto"/>
        </w:rPr>
        <w:t>KRATOS DEFENSE &amp; SECURITY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SOLUTIONS, INC.</w:t>
      </w: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CERTIFICATION OF CHIEF EXECUTIVE OFFICER PURSUANT TO SECTION 18 U.S.C SECTION 1350 AS ADOPTED PURSUANT TO SECTION 906</w:t>
        </w:r>
      </w:hyperlink>
      <w:r>
        <w:rPr>
          <w:rFonts w:ascii="Arial" w:cs="Arial" w:eastAsia="Arial" w:hAnsi="Arial"/>
          <w:sz w:val="18"/>
          <w:szCs w:val="18"/>
          <w:u w:val="single" w:color="auto"/>
          <w:color w:val="0000EE"/>
        </w:rPr>
        <w:t xml:space="preserve"> </w:t>
      </w:r>
      <w:hyperlink w:anchor="page168">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00"/>
          </w:cols>
          <w:pgMar w:left="240" w:top="821" w:right="359" w:bottom="1440" w:gutter="0" w:footer="0" w:header="0"/>
        </w:sectPr>
      </w:pPr>
    </w:p>
    <w:bookmarkStart w:id="169" w:name="page170"/>
    <w:bookmarkEnd w:id="169"/>
    <w:p>
      <w:pPr>
        <w:spacing w:after="0"/>
        <w:rPr>
          <w:rFonts w:ascii="Arial" w:cs="Arial" w:eastAsia="Arial" w:hAnsi="Arial"/>
          <w:sz w:val="22"/>
          <w:szCs w:val="22"/>
          <w:color w:val="0000EE"/>
        </w:rPr>
      </w:pPr>
      <w:hyperlink w:anchor="page1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25,</w:t>
      </w:r>
    </w:p>
    <w:p>
      <w:pPr>
        <w:spacing w:after="0" w:line="38"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2011 as filed with the Securities and Exchange Commission on the date hereof (the "Report"), I, Deanna H. Lund,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1240" w:hanging="34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700" w:firstLine="359"/>
        <w:spacing w:after="0" w:line="268" w:lineRule="auto"/>
        <w:tabs>
          <w:tab w:leader="none" w:pos="12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2012</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CERTIFICATION OF CHIEF FINANCIAL OFFICER PURSUANT TO SECTION 18 U.S.C SECTION 1350 AS ADOPTED PURSUANT TO SECTION 906</w:t>
        </w:r>
      </w:hyperlink>
      <w:r>
        <w:rPr>
          <w:rFonts w:ascii="Arial" w:cs="Arial" w:eastAsia="Arial" w:hAnsi="Arial"/>
          <w:sz w:val="18"/>
          <w:szCs w:val="18"/>
          <w:u w:val="single" w:color="auto"/>
          <w:color w:val="0000EE"/>
        </w:rPr>
        <w:t xml:space="preserve"> </w:t>
      </w:r>
      <w:hyperlink w:anchor="page170">
        <w:r>
          <w:rPr>
            <w:rFonts w:ascii="Arial" w:cs="Arial" w:eastAsia="Arial" w:hAnsi="Arial"/>
            <w:sz w:val="18"/>
            <w:szCs w:val="18"/>
            <w:u w:val="single" w:color="auto"/>
            <w:color w:val="0000EE"/>
          </w:rPr>
          <w:t>OF THE SARBANES-OXLEY ACT OF 2002</w:t>
        </w:r>
      </w:hyperlink>
    </w:p>
    <w:sectPr>
      <w:pgSz w:w="11900" w:h="16838" w:orient="portrait"/>
      <w:cols w:equalWidth="0" w:num="1">
        <w:col w:w="11260"/>
      </w:cols>
      <w:pgMar w:left="240" w:top="82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lvl w:ilvl="1">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Roman"/>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4"/>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lowerLetter"/>
      <w:start w:val="1"/>
    </w:lvl>
    <w:lvl w:ilvl="1">
      <w:lvlJc w:val="left"/>
      <w:lvlText w:val="**"/>
      <w:numFmt w:val="bullet"/>
      <w:start w:val="1"/>
    </w:lvl>
  </w:abstractNum>
  <w:abstractNum w:abstractNumId="34">
    <w:nsid w:val="2A487CB0"/>
    <w:multiLevelType w:val="hybridMultilevel"/>
    <w:lvl w:ilvl="0">
      <w:lvlJc w:val="left"/>
      <w:lvlText w:val="(%1)"/>
      <w:numFmt w:val="lowerLetter"/>
      <w:start w:val="3"/>
    </w:lvl>
  </w:abstractNum>
  <w:abstractNum w:abstractNumId="35">
    <w:nsid w:val="1D4ED43B"/>
    <w:multiLevelType w:val="hybridMultilevel"/>
    <w:lvl w:ilvl="0">
      <w:lvlJc w:val="left"/>
      <w:lvlText w:val="(%1)"/>
      <w:numFmt w:val="lowerLetter"/>
      <w:start w:val="6"/>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lowerRoman"/>
      <w:start w:val="1"/>
    </w:lvl>
  </w:abstractNum>
  <w:abstractNum w:abstractNumId="38">
    <w:nsid w:val="57E4CCAF"/>
    <w:multiLevelType w:val="hybridMultilevel"/>
    <w:lvl w:ilvl="0">
      <w:lvlJc w:val="left"/>
      <w:lvlText w:val="(%1)"/>
      <w:numFmt w:val="lowerLetter"/>
      <w:start w:val="10"/>
    </w:lvl>
  </w:abstractNum>
  <w:abstractNum w:abstractNumId="39">
    <w:nsid w:val="7A6D8D3C"/>
    <w:multiLevelType w:val="hybridMultilevel"/>
    <w:lvl w:ilvl="0">
      <w:lvlJc w:val="left"/>
      <w:lvlText w:val="(%1)"/>
      <w:numFmt w:val="lowerLetter"/>
      <w:start w:val="12"/>
    </w:lvl>
  </w:abstractNum>
  <w:abstractNum w:abstractNumId="40">
    <w:nsid w:val="4B588F54"/>
    <w:multiLevelType w:val="hybridMultilevel"/>
    <w:lvl w:ilvl="0">
      <w:lvlJc w:val="left"/>
      <w:lvlText w:val="(%1)"/>
      <w:numFmt w:val="lowerLetter"/>
      <w:start w:val="14"/>
    </w:lvl>
  </w:abstractNum>
  <w:abstractNum w:abstractNumId="41">
    <w:nsid w:val="542289EC"/>
    <w:multiLevelType w:val="hybridMultilevel"/>
    <w:lvl w:ilvl="0">
      <w:lvlJc w:val="left"/>
      <w:lvlText w:val="(%1)"/>
      <w:numFmt w:val="decimal"/>
      <w:start w:val="2"/>
    </w:lvl>
  </w:abstractNum>
  <w:abstractNum w:abstractNumId="42">
    <w:nsid w:val="6DE91B18"/>
    <w:multiLevelType w:val="hybridMultilevel"/>
    <w:lvl w:ilvl="0">
      <w:lvlJc w:val="left"/>
      <w:lvlText w:val="(%1)"/>
      <w:numFmt w:val="lowerLetter"/>
      <w:start w:val="20"/>
    </w:lvl>
  </w:abstractNum>
  <w:abstractNum w:abstractNumId="43">
    <w:nsid w:val="38437FDB"/>
    <w:multiLevelType w:val="hybridMultilevel"/>
    <w:lvl w:ilvl="0">
      <w:lvlJc w:val="left"/>
      <w:lvlText w:val="(%1)"/>
      <w:numFmt w:val="lowerLetter"/>
      <w:start w:val="23"/>
    </w:lvl>
  </w:abstractNum>
  <w:abstractNum w:abstractNumId="44">
    <w:nsid w:val="7644A45C"/>
    <w:multiLevelType w:val="hybridMultilevel"/>
    <w:lvl w:ilvl="0">
      <w:lvlJc w:val="left"/>
      <w:lvlText w:val="(%1)"/>
      <w:numFmt w:val="lowerRoman"/>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2019-12-09T14:55:38Z</dcterms:created>
  <dcterms:modified xsi:type="dcterms:W3CDTF">2019-12-09T14:55:38Z</dcterms:modified>
</cp:coreProperties>
</file>