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332105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349250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97155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9" w:lineRule="exact"/>
        <w:rPr>
          <w:sz w:val="24"/>
          <w:szCs w:val="24"/>
          <w:color w:val="auto"/>
        </w:rPr>
      </w:pPr>
    </w:p>
    <w:p>
      <w:pPr>
        <w:ind w:left="2220" w:hanging="1023"/>
        <w:spacing w:after="0"/>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30, 2018</w:t>
      </w:r>
    </w:p>
    <w:p>
      <w:pPr>
        <w:spacing w:after="0" w:line="68"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TRANSITION REPORT PURSUANT TO SECTION 13 OR 15(d) OF THE SECURITIES AND EXCHANGE ACT</w:t>
      </w:r>
    </w:p>
    <w:p>
      <w:pPr>
        <w:spacing w:after="0" w:line="19" w:lineRule="exact"/>
        <w:rPr>
          <w:sz w:val="24"/>
          <w:szCs w:val="24"/>
          <w:color w:val="auto"/>
        </w:rPr>
      </w:pPr>
    </w:p>
    <w:p>
      <w:pPr>
        <w:ind w:left="2220" w:hanging="1023"/>
        <w:spacing w:after="0"/>
        <w:tabs>
          <w:tab w:leader="none" w:pos="2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001-34460</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8"/>
          <w:szCs w:val="18"/>
          <w:color w:val="auto"/>
        </w:rPr>
        <w:t>)</w:t>
      </w:r>
    </w:p>
    <w:p>
      <w:pPr>
        <w:spacing w:after="0" w:line="165"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198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4600" w:type="dxa"/>
            <w:vAlign w:val="bottom"/>
          </w:tcPr>
          <w:p>
            <w:pPr>
              <w:jc w:val="right"/>
              <w:ind w:right="514"/>
              <w:spacing w:after="0"/>
              <w:rPr>
                <w:sz w:val="20"/>
                <w:szCs w:val="20"/>
                <w:color w:val="auto"/>
              </w:rPr>
            </w:pPr>
            <w:r>
              <w:rPr>
                <w:rFonts w:ascii="Arial" w:cs="Arial" w:eastAsia="Arial" w:hAnsi="Arial"/>
                <w:sz w:val="18"/>
                <w:szCs w:val="18"/>
                <w:b w:val="1"/>
                <w:bCs w:val="1"/>
                <w:color w:val="auto"/>
              </w:rPr>
              <w:t>13-3818604</w:t>
            </w:r>
          </w:p>
        </w:tc>
        <w:tc>
          <w:tcPr>
            <w:tcW w:w="0" w:type="dxa"/>
            <w:vAlign w:val="bottom"/>
          </w:tcPr>
          <w:p>
            <w:pPr>
              <w:spacing w:after="0"/>
              <w:rPr>
                <w:sz w:val="1"/>
                <w:szCs w:val="1"/>
                <w:color w:val="auto"/>
              </w:rPr>
            </w:pPr>
          </w:p>
        </w:tc>
      </w:tr>
      <w:tr>
        <w:trPr>
          <w:trHeight w:val="184"/>
        </w:trPr>
        <w:tc>
          <w:tcPr>
            <w:tcW w:w="198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 of</w:t>
            </w:r>
          </w:p>
        </w:tc>
        <w:tc>
          <w:tcPr>
            <w:tcW w:w="4600" w:type="dxa"/>
            <w:vAlign w:val="bottom"/>
          </w:tcPr>
          <w:p>
            <w:pPr>
              <w:jc w:val="center"/>
              <w:ind w:left="243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82"/>
        </w:trPr>
        <w:tc>
          <w:tcPr>
            <w:tcW w:w="1980" w:type="dxa"/>
            <w:vAlign w:val="bottom"/>
          </w:tcPr>
          <w:p>
            <w:pPr>
              <w:jc w:val="center"/>
              <w:ind w:right="162"/>
              <w:spacing w:after="0"/>
              <w:rPr>
                <w:sz w:val="20"/>
                <w:szCs w:val="20"/>
                <w:color w:val="auto"/>
              </w:rPr>
            </w:pPr>
            <w:r>
              <w:rPr>
                <w:rFonts w:ascii="Arial" w:cs="Arial" w:eastAsia="Arial" w:hAnsi="Arial"/>
                <w:sz w:val="14"/>
                <w:szCs w:val="14"/>
                <w:color w:val="auto"/>
                <w:w w:val="95"/>
              </w:rPr>
              <w:t>incorporation or organization)</w:t>
            </w:r>
          </w:p>
        </w:tc>
        <w:tc>
          <w:tcPr>
            <w:tcW w:w="4600" w:type="dxa"/>
            <w:vAlign w:val="bottom"/>
            <w:vMerge w:val="restart"/>
          </w:tcPr>
          <w:p>
            <w:pPr>
              <w:jc w:val="center"/>
              <w:ind w:right="1954"/>
              <w:spacing w:after="0"/>
              <w:rPr>
                <w:sz w:val="20"/>
                <w:szCs w:val="20"/>
                <w:color w:val="auto"/>
              </w:rPr>
            </w:pPr>
            <w:r>
              <w:rPr>
                <w:rFonts w:ascii="Arial" w:cs="Arial" w:eastAsia="Arial" w:hAnsi="Arial"/>
                <w:sz w:val="18"/>
                <w:szCs w:val="18"/>
                <w:b w:val="1"/>
                <w:bCs w:val="1"/>
                <w:color w:val="auto"/>
                <w:w w:val="89"/>
              </w:rPr>
              <w:t>10680 Treena St., Suite 600</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4600" w:type="dxa"/>
            <w:vAlign w:val="bottom"/>
          </w:tcPr>
          <w:p>
            <w:pPr>
              <w:jc w:val="center"/>
              <w:ind w:right="1974"/>
              <w:spacing w:after="0"/>
              <w:rPr>
                <w:sz w:val="20"/>
                <w:szCs w:val="20"/>
                <w:color w:val="auto"/>
              </w:rPr>
            </w:pPr>
            <w:r>
              <w:rPr>
                <w:rFonts w:ascii="Arial" w:cs="Arial" w:eastAsia="Arial" w:hAnsi="Arial"/>
                <w:sz w:val="18"/>
                <w:szCs w:val="18"/>
                <w:b w:val="1"/>
                <w:bCs w:val="1"/>
                <w:color w:val="auto"/>
                <w:w w:val="90"/>
              </w:rPr>
              <w:t>San Diego, CA 92131</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(858) 812-7300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1" w:lineRule="exact"/>
        <w:rPr>
          <w:sz w:val="24"/>
          <w:szCs w:val="24"/>
          <w:color w:val="auto"/>
        </w:rPr>
      </w:pPr>
    </w:p>
    <w:tbl>
      <w:tblPr>
        <w:tblLayout w:type="fixed"/>
        <w:tblInd w:w="23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90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91"/>
              </w:rPr>
              <w:t>Title of Each Class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79"/>
        </w:trPr>
        <w:tc>
          <w:tcPr>
            <w:tcW w:w="4300" w:type="dxa"/>
            <w:vAlign w:val="bottom"/>
            <w:gridSpan w:val="3"/>
          </w:tcPr>
          <w:p>
            <w:pPr>
              <w:jc w:val="center"/>
              <w:ind w:right="2360"/>
              <w:spacing w:after="0"/>
              <w:rPr>
                <w:sz w:val="20"/>
                <w:szCs w:val="20"/>
                <w:color w:val="auto"/>
              </w:rPr>
            </w:pPr>
            <w:r>
              <w:rPr>
                <w:rFonts w:ascii="Arial" w:cs="Arial" w:eastAsia="Arial" w:hAnsi="Arial"/>
                <w:sz w:val="14"/>
                <w:szCs w:val="14"/>
                <w:color w:val="auto"/>
                <w:w w:val="93"/>
              </w:rPr>
              <w:t>Common Stock, par value $0.001</w:t>
            </w: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ind w:left="340" w:right="3400"/>
        <w:spacing w:after="0" w:line="23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320"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chapter)is not contained herein, and will not be contained, to the best of registrant’s knowledge, in definitive proxy or information statements incorporated by reference in Part III of this Form 10-K or any amendment to this Form 10-K. o</w:t>
      </w:r>
    </w:p>
    <w:p>
      <w:pPr>
        <w:spacing w:after="0" w:line="93" w:lineRule="exact"/>
        <w:rPr>
          <w:sz w:val="24"/>
          <w:szCs w:val="24"/>
          <w:color w:val="auto"/>
        </w:rPr>
      </w:pPr>
    </w:p>
    <w:p>
      <w:pPr>
        <w:ind w:right="28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980" w:type="dxa"/>
        <w:tblCellMar>
          <w:top w:w="0" w:type="dxa"/>
          <w:left w:w="0" w:type="dxa"/>
          <w:bottom w:w="0" w:type="dxa"/>
          <w:right w:w="0" w:type="dxa"/>
        </w:tblCellMar>
      </w:tblPr>
      <w:tr>
        <w:trPr>
          <w:trHeight w:val="226"/>
        </w:trPr>
        <w:tc>
          <w:tcPr>
            <w:tcW w:w="3920" w:type="dxa"/>
            <w:vAlign w:val="bottom"/>
          </w:tcPr>
          <w:p>
            <w:pPr>
              <w:jc w:val="center"/>
              <w:ind w:right="118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2920" w:type="dxa"/>
            <w:vAlign w:val="bottom"/>
          </w:tcPr>
          <w:p>
            <w:pPr>
              <w:jc w:val="center"/>
              <w:ind w:left="1168"/>
              <w:spacing w:after="0"/>
              <w:rPr>
                <w:sz w:val="20"/>
                <w:szCs w:val="20"/>
                <w:color w:val="auto"/>
              </w:rPr>
            </w:pPr>
            <w:r>
              <w:rPr>
                <w:rFonts w:ascii="Arial" w:cs="Arial" w:eastAsia="Arial" w:hAnsi="Arial"/>
                <w:sz w:val="14"/>
                <w:szCs w:val="14"/>
                <w:color w:val="auto"/>
                <w:w w:val="96"/>
              </w:rPr>
              <w:t>Accelerated filer o</w:t>
            </w:r>
          </w:p>
        </w:tc>
        <w:tc>
          <w:tcPr>
            <w:tcW w:w="0" w:type="dxa"/>
            <w:vAlign w:val="bottom"/>
          </w:tcPr>
          <w:p>
            <w:pPr>
              <w:spacing w:after="0"/>
              <w:rPr>
                <w:sz w:val="1"/>
                <w:szCs w:val="1"/>
                <w:color w:val="auto"/>
              </w:rPr>
            </w:pPr>
          </w:p>
        </w:tc>
      </w:tr>
      <w:tr>
        <w:trPr>
          <w:trHeight w:val="268"/>
        </w:trPr>
        <w:tc>
          <w:tcPr>
            <w:tcW w:w="3920" w:type="dxa"/>
            <w:vAlign w:val="bottom"/>
          </w:tcPr>
          <w:p>
            <w:pPr>
              <w:jc w:val="center"/>
              <w:ind w:right="1168"/>
              <w:spacing w:after="0"/>
              <w:rPr>
                <w:sz w:val="20"/>
                <w:szCs w:val="20"/>
                <w:color w:val="auto"/>
              </w:rPr>
            </w:pPr>
            <w:r>
              <w:rPr>
                <w:rFonts w:ascii="Arial" w:cs="Arial" w:eastAsia="Arial" w:hAnsi="Arial"/>
                <w:sz w:val="14"/>
                <w:szCs w:val="14"/>
                <w:color w:val="auto"/>
                <w:w w:val="93"/>
              </w:rPr>
              <w:t>Non-accelerated filer o</w:t>
            </w:r>
          </w:p>
        </w:tc>
        <w:tc>
          <w:tcPr>
            <w:tcW w:w="2920" w:type="dxa"/>
            <w:vAlign w:val="bottom"/>
          </w:tcPr>
          <w:p>
            <w:pPr>
              <w:jc w:val="center"/>
              <w:ind w:left="1168"/>
              <w:spacing w:after="0"/>
              <w:rPr>
                <w:sz w:val="20"/>
                <w:szCs w:val="20"/>
                <w:color w:val="auto"/>
              </w:rPr>
            </w:pPr>
            <w:r>
              <w:rPr>
                <w:rFonts w:ascii="Arial" w:cs="Arial" w:eastAsia="Arial" w:hAnsi="Arial"/>
                <w:sz w:val="14"/>
                <w:szCs w:val="14"/>
                <w:color w:val="auto"/>
                <w:w w:val="93"/>
              </w:rPr>
              <w:t>Smaller reporting company o</w:t>
            </w:r>
          </w:p>
        </w:tc>
        <w:tc>
          <w:tcPr>
            <w:tcW w:w="0" w:type="dxa"/>
            <w:vAlign w:val="bottom"/>
          </w:tcPr>
          <w:p>
            <w:pPr>
              <w:spacing w:after="0"/>
              <w:rPr>
                <w:sz w:val="1"/>
                <w:szCs w:val="1"/>
                <w:color w:val="auto"/>
              </w:rPr>
            </w:pPr>
          </w:p>
        </w:tc>
      </w:tr>
      <w:tr>
        <w:trPr>
          <w:trHeight w:val="203"/>
        </w:trPr>
        <w:tc>
          <w:tcPr>
            <w:tcW w:w="3920" w:type="dxa"/>
            <w:vAlign w:val="bottom"/>
          </w:tcPr>
          <w:p>
            <w:pPr>
              <w:jc w:val="center"/>
              <w:ind w:right="1168"/>
              <w:spacing w:after="0"/>
              <w:rPr>
                <w:sz w:val="20"/>
                <w:szCs w:val="20"/>
                <w:color w:val="auto"/>
              </w:rPr>
            </w:pPr>
            <w:r>
              <w:rPr>
                <w:rFonts w:ascii="Arial" w:cs="Arial" w:eastAsia="Arial" w:hAnsi="Arial"/>
                <w:sz w:val="14"/>
                <w:szCs w:val="14"/>
                <w:color w:val="auto"/>
                <w:w w:val="94"/>
              </w:rPr>
              <w:t>(Do not check if a smaller reporting company)</w:t>
            </w:r>
          </w:p>
        </w:tc>
        <w:tc>
          <w:tcPr>
            <w:tcW w:w="2920" w:type="dxa"/>
            <w:vAlign w:val="bottom"/>
            <w:vMerge w:val="restart"/>
          </w:tcPr>
          <w:p>
            <w:pPr>
              <w:jc w:val="center"/>
              <w:ind w:left="1168"/>
              <w:spacing w:after="0"/>
              <w:rPr>
                <w:sz w:val="20"/>
                <w:szCs w:val="20"/>
                <w:color w:val="auto"/>
              </w:rPr>
            </w:pPr>
            <w:r>
              <w:rPr>
                <w:rFonts w:ascii="Arial" w:cs="Arial" w:eastAsia="Arial" w:hAnsi="Arial"/>
                <w:sz w:val="14"/>
                <w:szCs w:val="14"/>
                <w:color w:val="auto"/>
                <w:w w:val="94"/>
              </w:rPr>
              <w:t>Emerging growth company o</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420"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36" w:lineRule="exact"/>
        <w:rPr>
          <w:sz w:val="24"/>
          <w:szCs w:val="24"/>
          <w:color w:val="auto"/>
        </w:rPr>
      </w:pPr>
    </w:p>
    <w:p>
      <w:pPr>
        <w:ind w:firstLine="324"/>
        <w:spacing w:after="0" w:line="277"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29, 2018, the last business day of the registrant’s most recently completed second fiscal quarter, was approximately $1,013.2 billion,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29, 2018 because such persons may be deemed to be affiliates. This determination of affiliate status is not necessarily a conclusive determination for any other purpose.</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2019, 104,046,886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243840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260985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Items 10, 11, 12, 13 and 14 of Part III of this annual report on Form 10-K incorporate information by reference from the registrant’s definitive proxy statement to be filed pursuant to Regulation 14A in connection with the registrant’s 2019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20" w:type="dxa"/>
            <w:vAlign w:val="bottom"/>
            <w:gridSpan w:val="11"/>
          </w:tcPr>
          <w:p>
            <w:pPr>
              <w:jc w:val="center"/>
              <w:ind w:right="164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8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rPr>
              <w:t>FORM 10-K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1"/>
          </w:tcPr>
          <w:p>
            <w:pPr>
              <w:jc w:val="center"/>
              <w:ind w:right="1600"/>
              <w:spacing w:after="0"/>
              <w:rPr>
                <w:sz w:val="20"/>
                <w:szCs w:val="20"/>
                <w:color w:val="auto"/>
              </w:rPr>
            </w:pPr>
            <w:r>
              <w:rPr>
                <w:rFonts w:ascii="Arial" w:cs="Arial" w:eastAsia="Arial" w:hAnsi="Arial"/>
                <w:sz w:val="18"/>
                <w:szCs w:val="18"/>
                <w:b w:val="1"/>
                <w:bCs w:val="1"/>
                <w:color w:val="auto"/>
                <w:w w:val="98"/>
              </w:rPr>
              <w:t>FOR THE FISCAL YEAR ENDED DECEMBER 30, 2018</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gridSpan w:val="8"/>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0" w:type="dxa"/>
            <w:vAlign w:val="bottom"/>
            <w:gridSpan w:val="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1"/>
                <w:szCs w:val="21"/>
                <w:color w:val="auto"/>
              </w:rPr>
            </w:pPr>
          </w:p>
        </w:tc>
        <w:tc>
          <w:tcPr>
            <w:tcW w:w="460" w:type="dxa"/>
            <w:vAlign w:val="bottom"/>
            <w:gridSpan w:val="4"/>
          </w:tcPr>
          <w:p>
            <w:pPr>
              <w:spacing w:after="0"/>
              <w:rPr>
                <w:sz w:val="21"/>
                <w:szCs w:val="21"/>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220" w:type="dxa"/>
            <w:vAlign w:val="bottom"/>
            <w:gridSpan w:val="1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4">
              <w:r>
                <w:rPr>
                  <w:rFonts w:ascii="Arial" w:cs="Arial" w:eastAsia="Arial" w:hAnsi="Arial"/>
                  <w:sz w:val="18"/>
                  <w:szCs w:val="18"/>
                  <w:color w:val="0000EE"/>
                  <w:w w:val="80"/>
                </w:rPr>
                <w:t>Item 1A.</w:t>
              </w:r>
            </w:hyperlink>
          </w:p>
        </w:tc>
        <w:tc>
          <w:tcPr>
            <w:tcW w:w="460" w:type="dxa"/>
            <w:vAlign w:val="bottom"/>
            <w:gridSpan w:val="4"/>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7960" w:type="dxa"/>
            <w:vAlign w:val="bottom"/>
            <w:gridSpan w:val="1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34">
              <w:r>
                <w:rPr>
                  <w:rFonts w:ascii="Arial" w:cs="Arial" w:eastAsia="Arial" w:hAnsi="Arial"/>
                  <w:sz w:val="18"/>
                  <w:szCs w:val="18"/>
                  <w:color w:val="0000EE"/>
                  <w:w w:val="80"/>
                </w:rPr>
                <w:t>Item 1B.</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2.</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682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3.</w:t>
              </w:r>
            </w:hyperlink>
          </w:p>
        </w:tc>
        <w:tc>
          <w:tcPr>
            <w:tcW w:w="540" w:type="dxa"/>
            <w:vAlign w:val="bottom"/>
            <w:gridSpan w:val="5"/>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4.</w:t>
              </w:r>
            </w:hyperlink>
          </w:p>
        </w:tc>
        <w:tc>
          <w:tcPr>
            <w:tcW w:w="540" w:type="dxa"/>
            <w:vAlign w:val="bottom"/>
            <w:gridSpan w:val="5"/>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3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5.</w:t>
              </w:r>
            </w:hyperlink>
          </w:p>
        </w:tc>
        <w:tc>
          <w:tcPr>
            <w:tcW w:w="540" w:type="dxa"/>
            <w:vAlign w:val="bottom"/>
            <w:gridSpan w:val="5"/>
          </w:tcPr>
          <w:p>
            <w:pPr>
              <w:spacing w:after="0"/>
              <w:rPr>
                <w:sz w:val="21"/>
                <w:szCs w:val="21"/>
                <w:color w:val="auto"/>
              </w:rPr>
            </w:pPr>
          </w:p>
        </w:tc>
        <w:tc>
          <w:tcPr>
            <w:tcW w:w="8340" w:type="dxa"/>
            <w:vAlign w:val="bottom"/>
            <w:gridSpan w:val="18"/>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the Registrant’s Common Equity, Related Stockholder Matters and Issuer Purchases of Equity Securities</w:t>
              </w:r>
            </w:hyperlink>
          </w:p>
        </w:tc>
        <w:tc>
          <w:tcPr>
            <w:tcW w:w="52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6.</w:t>
              </w:r>
            </w:hyperlink>
          </w:p>
        </w:tc>
        <w:tc>
          <w:tcPr>
            <w:tcW w:w="540" w:type="dxa"/>
            <w:vAlign w:val="bottom"/>
            <w:gridSpan w:val="5"/>
          </w:tcPr>
          <w:p>
            <w:pPr>
              <w:spacing w:after="0"/>
              <w:rPr>
                <w:sz w:val="21"/>
                <w:szCs w:val="21"/>
                <w:color w:val="auto"/>
              </w:rPr>
            </w:pPr>
          </w:p>
        </w:tc>
        <w:tc>
          <w:tcPr>
            <w:tcW w:w="83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52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7.</w:t>
              </w:r>
            </w:hyperlink>
          </w:p>
        </w:tc>
        <w:tc>
          <w:tcPr>
            <w:tcW w:w="540" w:type="dxa"/>
            <w:vAlign w:val="bottom"/>
            <w:gridSpan w:val="5"/>
          </w:tcPr>
          <w:p>
            <w:pPr>
              <w:spacing w:after="0"/>
              <w:rPr>
                <w:sz w:val="21"/>
                <w:szCs w:val="21"/>
                <w:color w:val="auto"/>
              </w:rPr>
            </w:pPr>
          </w:p>
        </w:tc>
        <w:tc>
          <w:tcPr>
            <w:tcW w:w="6460" w:type="dxa"/>
            <w:vAlign w:val="bottom"/>
            <w:gridSpan w:val="1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7">
              <w:r>
                <w:rPr>
                  <w:rFonts w:ascii="Arial" w:cs="Arial" w:eastAsia="Arial" w:hAnsi="Arial"/>
                  <w:sz w:val="18"/>
                  <w:szCs w:val="18"/>
                  <w:color w:val="0000EE"/>
                  <w:w w:val="80"/>
                </w:rPr>
                <w:t>Item 7A.</w:t>
              </w:r>
            </w:hyperlink>
          </w:p>
        </w:tc>
        <w:tc>
          <w:tcPr>
            <w:tcW w:w="460" w:type="dxa"/>
            <w:vAlign w:val="bottom"/>
            <w:gridSpan w:val="4"/>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7">
              <w:r>
                <w:rPr>
                  <w:rFonts w:ascii="Arial" w:cs="Arial" w:eastAsia="Arial" w:hAnsi="Arial"/>
                  <w:sz w:val="18"/>
                  <w:szCs w:val="18"/>
                  <w:color w:val="0000EE"/>
                  <w:w w:val="83"/>
                </w:rPr>
                <w:t>Item 8.</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7">
              <w:r>
                <w:rPr>
                  <w:rFonts w:ascii="Arial" w:cs="Arial" w:eastAsia="Arial" w:hAnsi="Arial"/>
                  <w:sz w:val="18"/>
                  <w:szCs w:val="18"/>
                  <w:color w:val="0000EE"/>
                  <w:w w:val="83"/>
                </w:rPr>
                <w:t>Item 9.</w:t>
              </w:r>
            </w:hyperlink>
          </w:p>
        </w:tc>
        <w:tc>
          <w:tcPr>
            <w:tcW w:w="540" w:type="dxa"/>
            <w:vAlign w:val="bottom"/>
            <w:gridSpan w:val="5"/>
          </w:tcPr>
          <w:p>
            <w:pPr>
              <w:spacing w:after="0"/>
              <w:rPr>
                <w:sz w:val="21"/>
                <w:szCs w:val="21"/>
                <w:color w:val="auto"/>
              </w:rPr>
            </w:pPr>
          </w:p>
        </w:tc>
        <w:tc>
          <w:tcPr>
            <w:tcW w:w="6480" w:type="dxa"/>
            <w:vAlign w:val="bottom"/>
            <w:gridSpan w:val="16"/>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7">
              <w:r>
                <w:rPr>
                  <w:rFonts w:ascii="Arial" w:cs="Arial" w:eastAsia="Arial" w:hAnsi="Arial"/>
                  <w:sz w:val="18"/>
                  <w:szCs w:val="18"/>
                  <w:color w:val="0000EE"/>
                  <w:w w:val="80"/>
                </w:rPr>
                <w:t>Item 9A.</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8">
              <w:r>
                <w:rPr>
                  <w:rFonts w:ascii="Arial" w:cs="Arial" w:eastAsia="Arial" w:hAnsi="Arial"/>
                  <w:sz w:val="18"/>
                  <w:szCs w:val="18"/>
                  <w:color w:val="0000EE"/>
                  <w:w w:val="80"/>
                </w:rPr>
                <w:t>Item 9B.</w:t>
              </w:r>
            </w:hyperlink>
          </w:p>
        </w:tc>
        <w:tc>
          <w:tcPr>
            <w:tcW w:w="460" w:type="dxa"/>
            <w:vAlign w:val="bottom"/>
            <w:gridSpan w:val="4"/>
          </w:tcPr>
          <w:p>
            <w:pPr>
              <w:spacing w:after="0"/>
              <w:rPr>
                <w:sz w:val="21"/>
                <w:szCs w:val="21"/>
                <w:color w:val="auto"/>
              </w:rPr>
            </w:pPr>
          </w:p>
        </w:tc>
        <w:tc>
          <w:tcPr>
            <w:tcW w:w="1700" w:type="dxa"/>
            <w:vAlign w:val="bottom"/>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1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8">
              <w:r>
                <w:rPr>
                  <w:rFonts w:ascii="Arial" w:cs="Arial" w:eastAsia="Arial" w:hAnsi="Arial"/>
                  <w:sz w:val="18"/>
                  <w:szCs w:val="18"/>
                  <w:color w:val="0000EE"/>
                  <w:w w:val="82"/>
                </w:rPr>
                <w:t>Item 10.</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8">
              <w:r>
                <w:rPr>
                  <w:rFonts w:ascii="Arial" w:cs="Arial" w:eastAsia="Arial" w:hAnsi="Arial"/>
                  <w:sz w:val="18"/>
                  <w:szCs w:val="18"/>
                  <w:color w:val="0000EE"/>
                  <w:w w:val="82"/>
                </w:rPr>
                <w:t>Item 11.</w:t>
              </w:r>
            </w:hyperlink>
          </w:p>
        </w:tc>
        <w:tc>
          <w:tcPr>
            <w:tcW w:w="460" w:type="dxa"/>
            <w:vAlign w:val="bottom"/>
            <w:gridSpan w:val="4"/>
          </w:tcPr>
          <w:p>
            <w:pPr>
              <w:spacing w:after="0"/>
              <w:rPr>
                <w:sz w:val="21"/>
                <w:szCs w:val="21"/>
                <w:color w:val="auto"/>
              </w:rPr>
            </w:pPr>
          </w:p>
        </w:tc>
        <w:tc>
          <w:tcPr>
            <w:tcW w:w="408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478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12.</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 Stockholder Matters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13.</w:t>
              </w:r>
            </w:hyperlink>
          </w:p>
        </w:tc>
        <w:tc>
          <w:tcPr>
            <w:tcW w:w="460" w:type="dxa"/>
            <w:vAlign w:val="bottom"/>
            <w:gridSpan w:val="4"/>
          </w:tcPr>
          <w:p>
            <w:pPr>
              <w:spacing w:after="0"/>
              <w:rPr>
                <w:sz w:val="21"/>
                <w:szCs w:val="21"/>
                <w:color w:val="auto"/>
              </w:rPr>
            </w:pPr>
          </w:p>
        </w:tc>
        <w:tc>
          <w:tcPr>
            <w:tcW w:w="7280" w:type="dxa"/>
            <w:vAlign w:val="bottom"/>
            <w:gridSpan w:val="1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14.</w:t>
              </w:r>
            </w:hyperlink>
          </w:p>
        </w:tc>
        <w:tc>
          <w:tcPr>
            <w:tcW w:w="460" w:type="dxa"/>
            <w:vAlign w:val="bottom"/>
            <w:gridSpan w:val="4"/>
          </w:tcPr>
          <w:p>
            <w:pPr>
              <w:spacing w:after="0"/>
              <w:rPr>
                <w:sz w:val="21"/>
                <w:szCs w:val="21"/>
                <w:color w:val="auto"/>
              </w:rPr>
            </w:pPr>
          </w:p>
        </w:tc>
        <w:tc>
          <w:tcPr>
            <w:tcW w:w="544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Principal Accounting Fees and Services</w:t>
              </w:r>
            </w:hyperlink>
          </w:p>
        </w:tc>
        <w:tc>
          <w:tcPr>
            <w:tcW w:w="342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IV</w:t>
              </w:r>
            </w:hyperlink>
          </w:p>
        </w:tc>
        <w:tc>
          <w:tcPr>
            <w:tcW w:w="3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15.</w:t>
              </w:r>
            </w:hyperlink>
          </w:p>
        </w:tc>
        <w:tc>
          <w:tcPr>
            <w:tcW w:w="460" w:type="dxa"/>
            <w:vAlign w:val="bottom"/>
            <w:gridSpan w:val="4"/>
          </w:tcPr>
          <w:p>
            <w:pPr>
              <w:spacing w:after="0"/>
              <w:rPr>
                <w:sz w:val="21"/>
                <w:szCs w:val="21"/>
                <w:color w:val="auto"/>
              </w:rPr>
            </w:pPr>
          </w:p>
        </w:tc>
        <w:tc>
          <w:tcPr>
            <w:tcW w:w="2900" w:type="dxa"/>
            <w:vAlign w:val="bottom"/>
            <w:gridSpan w:val="10"/>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Exhibits, Financial Statement Schedules</w:t>
              </w:r>
            </w:hyperlink>
          </w:p>
        </w:tc>
        <w:tc>
          <w:tcPr>
            <w:tcW w:w="59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63">
              <w:r>
                <w:rPr>
                  <w:rFonts w:ascii="Arial" w:cs="Arial" w:eastAsia="Arial" w:hAnsi="Arial"/>
                  <w:sz w:val="18"/>
                  <w:szCs w:val="18"/>
                  <w:color w:val="0000EE"/>
                  <w:w w:val="82"/>
                </w:rPr>
                <w:t>Item 16.</w:t>
              </w:r>
            </w:hyperlink>
          </w:p>
        </w:tc>
        <w:tc>
          <w:tcPr>
            <w:tcW w:w="460" w:type="dxa"/>
            <w:vAlign w:val="bottom"/>
            <w:gridSpan w:val="4"/>
          </w:tcPr>
          <w:p>
            <w:pPr>
              <w:spacing w:after="0"/>
              <w:rPr>
                <w:sz w:val="21"/>
                <w:szCs w:val="21"/>
                <w:color w:val="auto"/>
              </w:rPr>
            </w:pPr>
          </w:p>
        </w:tc>
        <w:tc>
          <w:tcPr>
            <w:tcW w:w="290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Form 10-K Summary</w:t>
              </w:r>
            </w:hyperlink>
          </w:p>
        </w:tc>
        <w:tc>
          <w:tcPr>
            <w:tcW w:w="59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50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4"/>
                <w:szCs w:val="24"/>
                <w:color w:val="auto"/>
              </w:rPr>
            </w:pPr>
          </w:p>
        </w:tc>
        <w:tc>
          <w:tcPr>
            <w:tcW w:w="3900" w:type="dxa"/>
            <w:vAlign w:val="bottom"/>
            <w:gridSpan w:val="9"/>
          </w:tcPr>
          <w:p>
            <w:pPr>
              <w:jc w:val="center"/>
              <w:ind w:left="21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Kratos is a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 key element of our business plan is to make Company-funded investments related to key platforms, products and systems, so that we own the related intellectual property, providing us designed in, sole and single source positions with our offerings.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space and satellite communications, microwave electronics, cyber security/warfare, missile defense, C5ISR (as defined below) and training systems. Our workforce is primarily engineering and technically oriented with a significant number of employees holding national security clearances. Much of our work is performed at customer locations, or in a secure facility. Our primary end customers are national and homeland security related agencies.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111111"/>
        </w:rPr>
        <w:t>On February 9, 2018, the Congress approved and the President signed the Bipartisan Budget Act of 2018, which provided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111111"/>
        </w:rPr>
        <w:t>spending limits created by the Budget Control Act of 2011 (“BCA”) would be increased by approximately $300 billion over the next two years;</w:t>
      </w:r>
    </w:p>
    <w:p>
      <w:pPr>
        <w:spacing w:after="0" w:line="34" w:lineRule="exact"/>
        <w:rPr>
          <w:rFonts w:ascii="Arial" w:cs="Arial" w:eastAsia="Arial" w:hAnsi="Arial"/>
          <w:sz w:val="17"/>
          <w:szCs w:val="17"/>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defense spending would be increased by $80 billion in FY (as defined below) 2018 and by $85 billion in the current FY, to approximately $700 billion and $705 billion, respectively;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domestic spending would be increased by $63 billion in FY 2018 and by $68 billion in the current FY;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Congress would suspend the debt limit through March 2019.</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The Congress and the President also executed a fifth continuing resolution authorization through March 23, 2018, to provide congressional appropriators the time required to appropriately document and allocate the authorized spending. On March 23, 2018, the President signed the Omnibus Appropriations Act for FY 2018, which provided $1.3 trillion in discretionary funding for federal agencies. In total for FY 2018, Congress appropriated approximately $700 billion for national security, including approximately $630 billion for base discretionary funding and approximately $70 billion in Overseas Contingency Operations (“OCO”) funding. The U.S. Government’s fiscal year (“FY”) ends September 30.</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September 28, 2018, full-year appropriations for FY 2019 were enacted representing over half of discretionary federal spending. For FY 2019, Congress appropriated approximately $716 billion for national security, including approximately $647 billion for base discretionary funding and approximately $69 billion in OCO funding. Continuing resolutions provided funding for certain agencies (including NASA and other civil agencies) through December 21, 2018. On December 22, 2018, U.S. Government agencies that had not yet received full-year appropriations and did not otherwise have funding entered into a temporary shutdown. On January 25, 2019, a third continuing resolution was enacted, which funded these agencies through February 15, 2019. On February 15, 2019 a spending bill was enacted to fund these agencies for the remainder of FY 2019. The federal budget and debt ceiling are expected to continue to be the subject of considerable debate, which could have a significant impact on defense spending broadly and the Company’s programs in particular.</w:t>
      </w:r>
    </w:p>
    <w:p>
      <w:pPr>
        <w:spacing w:after="0" w:line="19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budget environment, including budget caps mandated by the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for FY 2020. If annual appropriations bills are not timely enacted for FY 2020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historically operated in three reportable segments. The Kratos Government Solutions (“KGS”) reportable segment is comprised of an aggregation of KGS operating segments, including our microwave electronic products, space and satellite communications, modular systems and defense and rocket support services operating segments. The Unmanned Systems (“US”) reportable segment consists of our unmanned aerial system and unmanned ground and seaborne system businesses. The Public Safety &amp; Security reportable segment (which was divested in June 2018 and has been classified as discontinued operations - see Note 8 of the Notes to Consolidated Financial Statements contained within this Annual Report) previously provided independent integrated solutions for advanced homeland security, public safety, critical infrastructure, and security and surveillance systems for government and commercial applications.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June 11, 2018, we completed the sale of all the issued and outstanding capital stock of Kratos Public Safety &amp; Security Solutions, Inc., a Delaware corporation and wholly owned subsidiary of the Company (“PSS”), to Securitas Electronic Security, Inc., a Delaware corporation (“Buyer”). Pursuant to the terms of that certain Stock Purchase Agreement, dated February 28, 2018, by and among Kratos, PSS and the Buyer-, the Buyer agreed to purchase all of the issued and outstanding capital stock of PSS for a purchase price of $69 million in cash, subject to a closing net working capital adjustment (the “Transaction”). We are currently in a dispute with the Buyer regarding the closing net working capital adjustment. The amount in dispute is approximately $8 million. We currently expect to receive approximately $70 million of aggregate net cash proceeds from the Transaction, after taking into account amounts to be paid by us pursuant to a negotiated transaction services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agreement between us and the Buyer, receipt of approximately $7.0 million in net working capital retained by the Company, and associated transaction fees and expenses, excluding the impact of the final settlement and determination of the closing net working capital adjustment. We currently expect that the net working capital retained by the Company will be collected by the first half of 2019 once certain legacy projects are completed and the project close-out process has been completed. The Company currently expects to recognize a net break-even on the sale of the Public Safety &amp; Security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13 of the Notes to Consolidated Financial Statements contained within this Annual Report. From a customer and solutions perspective, we view our business as an integrated whole, leveraging skills and assets wherever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believe that our intellectual property, proprietary products, and technology are strongly aligned with certain of the highest priority spending areas of the DoD, and the DoD’s focus on leveraging technology to defeat or deter peer and near-peer adversaries. We also believe that our proven ability to rapidly design, develop, demonstrate and field leading technology products and systems at an affordable cost differentiates us from our competitors. We believe that our longstanding customer relationships, and the designed-in position of our systems, technology and products into our customers’ platforms, programs and systems, provide a unique competitive advantage and position us well for accelerated growth.</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Specialized national security focus aligned with mission-critical national security priorities. </w:t>
      </w:r>
      <w:r>
        <w:rPr>
          <w:rFonts w:ascii="Arial" w:cs="Arial" w:eastAsia="Arial" w:hAnsi="Arial"/>
          <w:sz w:val="17"/>
          <w:szCs w:val="17"/>
          <w:color w:val="auto"/>
        </w:rPr>
        <w:t>Continued concerns related to the threats posed by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foreign nations, including nations with peer or near peer capabilities have caused the U.S. Government to identify national security as an area of functional and spending priority. Budget pressures, particularly related to DoD spending, have placed a premium on developing and fielding low-cost, high-technology solutions to assist in national security missions. While recent budget pressures have at times caused delays in orders for our business, current budget projections, including the pending fiscal 2020 DoD budget, suggest defense spending will increase over the next few years. The improving outlook for defense spending is primarily focused on enhanced power projection, warfighting readiness, lethality, and recapitalization of key strategic defense systems to address peer and near peer threats. Our primary capabilities and areas of focus, listed below, are strongly aligned with the objectives of the U.S. Government as outlined in the DoD’s Strategic Review Document which was released in 2018:</w:t>
      </w:r>
    </w:p>
    <w:p>
      <w:pPr>
        <w:spacing w:after="0" w:line="17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aerial drone, unmanned ground and unmanned seaborne systems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Satellite communications and radio frequency interference detection location and mitigation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Microwave electronics supporting warfare, missile, radar and communication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Electronic warfare, attack, missile, and radar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Ballistic missile defense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Command, control and combat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and information assurance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Specialized training systems and operational readiness</w:t>
      </w:r>
    </w:p>
    <w:p>
      <w:pPr>
        <w:spacing w:after="0" w:line="21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i w:val="1"/>
          <w:iCs w:val="1"/>
          <w:color w:val="auto"/>
        </w:rPr>
        <w:t xml:space="preserve">IP-centric defense company with proprietary products and technology which address critical current and emerging threats faced by U.S. and allied militaries. </w:t>
      </w:r>
      <w:r>
        <w:rPr>
          <w:rFonts w:ascii="Arial" w:cs="Arial" w:eastAsia="Arial" w:hAnsi="Arial"/>
          <w:sz w:val="17"/>
          <w:szCs w:val="17"/>
          <w:color w:val="auto"/>
        </w:rPr>
        <w:t>As a technology-focused defense company at the forefront of the DoD’s strategy for technology rich and affordable systems, our current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growing portfolio of proprietary systems, products, solutions, and related intellectual property addresses some of the most critical needs of U.S. and allied militaries in the fields of unmanned systems, space &amp; satellite communications, microwave electronics, cyber security/warfare, missile defense, combat and training systems. A key element of our customers’ strategy, and where we have invested significantly, is the development of capabilities and intellectual property addressing the recent challenges faced by U.S. and allied militaries in Anti-Access and Aerial-Denial (“A2/AD”) environments. This is evidenced by our significant investment in high-performance Unmanned Aerial Drone System (“UADS”) platforms and technology, which has culminated in a series of Unmanned Combat Aerial System (“UCAS”) contract wins. Additionally, with our space &amp; satellite and terrestrial ground segment command, control, radio frequency interference monitoring, geolocation and mitigation products and capabilities, we believe we are well-positioned to capitalize on the 2019 DoD budget request of $9.3 billion for space investments, a significant portion of which is for the development and protection of U.S. national security space assets and infrastructure. Accordingly, our proprietary products,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systems and technologies are developed and refined with the goal of enabling our customers to maintain an advantage over the advanced and constantly evolving threats of adversaries, at an affordable cost. In many instances, we are one of the few companies that produce the mission-critical technology our customers require, or we outperformed our peers in a competitive bidding process. We maintain a strategy of internally funding research and development and owning the intellectual property of many of these high-performance capabilities and systems.</w:t>
      </w:r>
    </w:p>
    <w:p>
      <w:pPr>
        <w:spacing w:after="0" w:line="187"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i w:val="1"/>
          <w:iCs w:val="1"/>
          <w:color w:val="auto"/>
        </w:rPr>
        <w:t xml:space="preserve">Technology-driven company aligned with and supporting our customers’ increased innovation, technology, and strategic national security initiatives, with focus on speed and affordability. </w:t>
      </w:r>
      <w:r>
        <w:rPr>
          <w:rFonts w:ascii="Arial" w:cs="Arial" w:eastAsia="Arial" w:hAnsi="Arial"/>
          <w:sz w:val="17"/>
          <w:szCs w:val="17"/>
          <w:color w:val="auto"/>
        </w:rPr>
        <w:t>As the DoD works to increase or maintain its technological advantage over adversaries, it has continued its efforts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breakthrough technologies for national security, accelerate innovation to the warfighter, and repurpose current capabilities to create cost-effective, disruptive technology advances. With our focus on delivering proven leading edge systems, products and technologies that address the most critical current and emerging threats, our customers include some of the most technologically advanced organizations of the defense establishment, including the Defense Innovation Unit (“DIU”) (formerly the Defense Innovation Unit Experimental (“DIUx”)), Defense Advanced Research Projects Agency (“DARPA”), Air Force Research Laboratory (“AFRL”), the Strategic Capabilities Office (SCO), the Strategic Command (STRATCOM), the National Aeronautics and Space Administration, the U.S. intelligence community, and other confidential customers. We believe our focus on constant innovation, capability improvements across our product and solutions portfolio, speed of development, and production and affordability are key differentiators that align us with and address our customers’ key initiatives.</w:t>
      </w:r>
    </w:p>
    <w:p>
      <w:pPr>
        <w:spacing w:after="0" w:line="178"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i w:val="1"/>
          <w:iCs w:val="1"/>
          <w:color w:val="auto"/>
        </w:rPr>
        <w:t xml:space="preserve">In-depth understanding of customer missions. </w:t>
      </w:r>
      <w:r>
        <w:rPr>
          <w:rFonts w:ascii="Arial" w:cs="Arial" w:eastAsia="Arial" w:hAnsi="Arial"/>
          <w:sz w:val="16"/>
          <w:szCs w:val="16"/>
          <w:color w:val="auto"/>
        </w:rPr>
        <w:t>We have a reputation for successfully and rapidly designing, developing, demonstrating and fielding</w:t>
      </w:r>
      <w:r>
        <w:rPr>
          <w:rFonts w:ascii="Arial" w:cs="Arial" w:eastAsia="Arial" w:hAnsi="Arial"/>
          <w:sz w:val="16"/>
          <w:szCs w:val="16"/>
          <w:i w:val="1"/>
          <w:iCs w:val="1"/>
          <w:color w:val="auto"/>
        </w:rPr>
        <w:t xml:space="preserve"> </w:t>
      </w:r>
      <w:r>
        <w:rPr>
          <w:rFonts w:ascii="Arial" w:cs="Arial" w:eastAsia="Arial" w:hAnsi="Arial"/>
          <w:sz w:val="16"/>
          <w:szCs w:val="16"/>
          <w:color w:val="auto"/>
        </w:rPr>
        <w:t>mission-critical products, solutions and services to our customers, at an affordable cost. Our long-term relationships with the U.S. Air Force, U.S. Army, U.S. Navy and other national security related customers and agencies enable us to develop an in-depth understanding of their missions, problems and technical requirements. In addition, a substantial number of our employees are located at our customer locations, at secure manufacturing facilities or at critical infrastructure locations, all of which provides Kratos with valuable strategic insight into our customers’ ongoing missions and future program and mission requirements. This understanding of our customers’ missions, requirements, and needs, in conjunction with the strategic location of our employees, enables us to offer technical solutions tailored to our customers’ specific requirements and evolving mission objectives. In addition, once our products are “designed in” and we are on-site with a customer and providing our products and solutions, we have historically been successful in winning new and recompete business.</w:t>
      </w:r>
    </w:p>
    <w:p>
      <w:pPr>
        <w:spacing w:after="0" w:line="166"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Kratos is one of the industry leaders in high performance, jet powered, unmanned aerial target drone systems which are designed to replicate state of the art adversarial fighter aircraft, missiles and other threats. Kratos is the sole source or primary unmanned aerial target drone system provider to the U.S. Air Force, Navy, Army, and numerous allied foreign defense agencies. Leveraging off of this technology, for which Kratos owns the intellectual property, we made a significant investment over the past six years developing Kratos’ first UCAS, our Unmanned Tactical Aerial Platform (“UTAP-22”), now formally called “Mako.” After successfully achieving the Mako’s first concept flights at the end of 2015, in 2016 we received a $12.6 million single-award contract to demonstrate certain payload integration and loyal wingman teaming with manned aircraft in a major military exercise. At the time, this contract was one of the largest awarded contracts by the DIUx. We are currently under contract with several additional customers related to Kratos’ Mako.</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select sample of Kratos’ other key Unmanned Aerial System (“UAS”) products and contracts includes:</w:t>
      </w:r>
    </w:p>
    <w:p>
      <w:pPr>
        <w:spacing w:after="0" w:line="225" w:lineRule="exact"/>
        <w:rPr>
          <w:sz w:val="20"/>
          <w:szCs w:val="20"/>
          <w:color w:val="auto"/>
        </w:rPr>
      </w:pPr>
    </w:p>
    <w:p>
      <w:pPr>
        <w:ind w:left="1300" w:right="160" w:hanging="320"/>
        <w:spacing w:after="0" w:line="27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2017, we successfully advanced to Phase II of the Gremlins program, awarded by DARPA, the U.S. Government’s leader in breakthrough technologies for national security, teamed with our partner company, Dynetics. In 2018, as part of the Dynetics led team, we were selected for award on Phase III of the Gremlins program to demonstrate safe and reliable launch and aerial recovery of multiple unmanned drone system aircraft, capable of employing and recovering diverse distributed payloads in volley quantities.</w:t>
      </w:r>
    </w:p>
    <w:p>
      <w:pPr>
        <w:spacing w:after="0" w:line="90" w:lineRule="exact"/>
        <w:rPr>
          <w:rFonts w:ascii="Arial" w:cs="Arial" w:eastAsia="Arial" w:hAnsi="Arial"/>
          <w:sz w:val="17"/>
          <w:szCs w:val="17"/>
          <w:color w:val="auto"/>
        </w:rPr>
      </w:pPr>
    </w:p>
    <w:p>
      <w:pPr>
        <w:ind w:left="1300" w:right="14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2016, we were awarded the AFRL Low Cost Attritable Strike Demonstration (“LCASD”) UCAS single-award cost share contract. The LCASD is an approximately 30 foot by 22 foot unmanned strike aerial drone system. Our customer expects the initial flight of this leading technology UAS to occur in the first quarter of 2019.</w:t>
      </w:r>
    </w:p>
    <w:p>
      <w:pPr>
        <w:spacing w:after="0" w:line="100" w:lineRule="exact"/>
        <w:rPr>
          <w:rFonts w:ascii="Arial" w:cs="Arial" w:eastAsia="Arial" w:hAnsi="Arial"/>
          <w:sz w:val="18"/>
          <w:szCs w:val="18"/>
          <w:color w:val="auto"/>
        </w:rPr>
      </w:pPr>
    </w:p>
    <w:p>
      <w:pPr>
        <w:ind w:left="1300" w:hanging="320"/>
        <w:spacing w:after="0" w:line="30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redeveloped our Air Force Subscale Aerial Target BQM-167 into what we believe to be the highest performance unmanned aircraft in the world, the U.S. Navy Sub-Sonic Aerial Target (“SSAT”) Drone BQM-177A, with low rate initial production awarded to Kratos in June 2017. In 2018, delivery of the first production aerial targets was made to the U.S. Navy. In addition, our customer, Naval Air Systems Command (NAVAIR) announced that it expects to award a quantity of up to 60 BQM-177As with deliveries in 2020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2021. We expect the SSAT program to become one of the largest and most important to Kratos in the near term.</w:t>
      </w:r>
    </w:p>
    <w:p>
      <w:pPr>
        <w:spacing w:after="0" w:line="158" w:lineRule="exact"/>
        <w:rPr>
          <w:sz w:val="20"/>
          <w:szCs w:val="20"/>
          <w:color w:val="auto"/>
        </w:rPr>
      </w:pPr>
    </w:p>
    <w:p>
      <w:pPr>
        <w:ind w:left="1300" w:right="60" w:hanging="320"/>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2018, we received a single award $109 million maximum value three year production contract for Air Force Subscale Aerial Target BQM-167A, with $27 million being initially obligated at the time of award for 30 Lot 14 BQM-167A aerial targets and production support.</w:t>
      </w:r>
    </w:p>
    <w:p>
      <w:pPr>
        <w:spacing w:after="0" w:line="42" w:lineRule="exact"/>
        <w:rPr>
          <w:rFonts w:ascii="Arial" w:cs="Arial" w:eastAsia="Arial" w:hAnsi="Arial"/>
          <w:sz w:val="16"/>
          <w:szCs w:val="16"/>
          <w:color w:val="auto"/>
        </w:rPr>
      </w:pPr>
    </w:p>
    <w:p>
      <w:pPr>
        <w:ind w:left="1300" w:right="60" w:hanging="320"/>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2018, we received a ten-year, sole source, single award framework contract from QinetiQ UK for Kratos’ MQM-178 Firejet aerial targets, spares, ground support equipment, technical services, and training. In 2018, we were awarded a prime contract for the Aerial Target Systems 2 (ATS-2), Multiple Award Indefinite Delivery Indefinite Quantity (“IDIQ”) Contract with a ceiling value of $93.3 million, and a five year period of performance.</w:t>
      </w:r>
    </w:p>
    <w:p>
      <w:pPr>
        <w:spacing w:after="0" w:line="105" w:lineRule="exact"/>
        <w:rPr>
          <w:rFonts w:ascii="Arial" w:cs="Arial" w:eastAsia="Arial" w:hAnsi="Arial"/>
          <w:sz w:val="18"/>
          <w:szCs w:val="18"/>
          <w:color w:val="auto"/>
        </w:rPr>
      </w:pPr>
    </w:p>
    <w:p>
      <w:pPr>
        <w:ind w:left="1300" w:right="60" w:hanging="320"/>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2018, we received a sole source, single award multi-year IDIQ contract from Swedish Defence Materiel Administration for our MQM-178 Firejet aerial target aircraft and associated ground support equipment, spares, payloads, components, expendables and support services. The first order under the three-year IDIQ contract is expected in the first half of 2019. Additionally, there are two three-year exercisable option periods for a total potential contract performance term of nine years.</w:t>
      </w:r>
    </w:p>
    <w:p>
      <w:pPr>
        <w:spacing w:after="0" w:line="200" w:lineRule="exact"/>
        <w:rPr>
          <w:sz w:val="20"/>
          <w:szCs w:val="20"/>
          <w:color w:val="auto"/>
        </w:rPr>
      </w:pPr>
    </w:p>
    <w:p>
      <w:pPr>
        <w:spacing w:after="0" w:line="257"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We believe that our internally developed and owned intellectual property allows us to provide more capable jet powered, unmanned aircraft, designed to fly in A2/AD environments and with performance capabilities equal to or greater than fourth generation manned jet fighter aircraft, at an affordable cost. Kratos’ tactical UAS provide force multiplication and augmentation for manned high performance fighter aircraft. We believe that there are very few high-performance UAS that are as advanced as our technologies addressing the A2/AD environment, which the DoD has identified as a U.S. capabilities gap. As such, consistent with the needs and requirements of the U.S. and allied militaries, we believe that our leadership in these types of high performance unmanned aircraft provides us with a future market opportunity of these types of low-cost, high-performance systems.</w:t>
      </w:r>
    </w:p>
    <w:p>
      <w:pPr>
        <w:spacing w:after="0" w:line="178"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We are also an industry leader in ground-based command, control and communications systems for satellites, and a leader in related radio frequency interference identification, geolocation and mitigation. Our primary customers include the U.S. Air Force, Space Command and other agencies. Our microwave electronics business products have designed-in positions on critical combat system programs, including Barak, Gripen, Iron Dome, Sling of David, F-15, F-16, Gripen, and Arrow. Our advanced capabilities in the training systems and solutions market, including for aircraft and combat vehicles, have allowed us to successfully remain at the forefront of defense industry readiness initiatives. We believe our strategy of internally funding the research and development of many of our systems, products, solutions and capabilities will continue to solidify our position in high growth markets, such as high performance UADS, satellite communications, microwave electronics and training systems, and allow us to grow, over the long-term, at a rate greater than that of the industry.</w:t>
      </w:r>
    </w:p>
    <w:p>
      <w:pPr>
        <w:spacing w:after="0" w:line="192"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i w:val="1"/>
          <w:iCs w:val="1"/>
          <w:color w:val="auto"/>
        </w:rPr>
        <w:t xml:space="preserve">Diverse base of key contracts with low concentration. </w:t>
      </w:r>
      <w:r>
        <w:rPr>
          <w:rFonts w:ascii="Arial" w:cs="Arial" w:eastAsia="Arial" w:hAnsi="Arial"/>
          <w:sz w:val="18"/>
          <w:szCs w:val="18"/>
          <w:color w:val="auto"/>
        </w:rPr>
        <w:t>Many of our contracts are single-award and/or sole source in nature, where we are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awardee by the customer. In many cases, our ability to obtain single award, sole source contracts is due to our intellectual property, proprietary products, historical performance qualifications, relative experience and affordability. 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w:t>
      </w:r>
    </w:p>
    <w:p>
      <w:pPr>
        <w:spacing w:after="0" w:line="193"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We have a highly diverse base of customers and contracts with no contract representing more than 6% of 2018 revenue. Our fixed-price contracts, the majority of which are production contracts, represent approximately 86% of our 2018 revenue. Our cost-plus-fee contracts and time and materials contracts represent approximately 9% and 5%, respectively, of our 2018 revenue. We believe our diverse base of key contracts and low reliance on any one contract provides us with a stable, balanced revenue stream. Our recent major contract awards, including a $93.3 million potential value contract with the U.S. Army’s Target Management Office (TMO), $30 million in scope increases on multiple training platforms, $109 million maximum value three year production contract for the Air Force Subscale Aerial Target program, $38.6 million additional task orders awarded on Foreign Military Sales (FMS) to support the Royal Saudi Naval Forces, $67.5 million single award prime contract to support the Naval Warfare Center, Dahlgren Division Electromagnetic and Sensor Systems Department through their Radar Systems Division, and multiple space and satellite communications awards have continued to allow us to grow the business while maintaining a diverse contract base.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30, 2018 and December 31, 2017, our total backlog (see Backlog below)</w:t>
      </w:r>
      <w:r>
        <w:rPr>
          <w:rFonts w:ascii="Arial" w:cs="Arial" w:eastAsia="Arial" w:hAnsi="Arial"/>
          <w:sz w:val="16"/>
          <w:szCs w:val="16"/>
          <w:i w:val="1"/>
          <w:iCs w:val="1"/>
          <w:color w:val="auto"/>
        </w:rPr>
        <w:t xml:space="preserve"> </w:t>
      </w:r>
      <w:r>
        <w:rPr>
          <w:rFonts w:ascii="Arial" w:cs="Arial" w:eastAsia="Arial" w:hAnsi="Arial"/>
          <w:sz w:val="16"/>
          <w:szCs w:val="16"/>
          <w:color w:val="auto"/>
        </w:rPr>
        <w:t>was approximately $620.7 million and $519.9 million respectively, of which approximately $537.2 million was funded in 2018 and $457.3 million was funded in 2017.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on and support long term, multi-year/multi-decade programs, which provides significant operational and financial visibility to our Company.</w:t>
      </w:r>
    </w:p>
    <w:p>
      <w:pPr>
        <w:spacing w:after="0" w:line="15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Highly skilled employees and an experienced management team. </w:t>
      </w:r>
      <w:r>
        <w:rPr>
          <w:rFonts w:ascii="Arial" w:cs="Arial" w:eastAsia="Arial" w:hAnsi="Arial"/>
          <w:sz w:val="17"/>
          <w:szCs w:val="17"/>
          <w:color w:val="auto"/>
        </w:rPr>
        <w:t>We deliver our systems, products and services through a skilled and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technically oriented workforce of approximately 2,600 employees. Our senior managers have significant experience with U.S. Government agencies, the U.S. military and U.S. Government contractors. A significant number of Kratos employees hold national security clearances. Members of our management team have experience growing businesses both organically and through acquisitions and delivering significant value to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strategy is to focus on our core business areas, including unmanned systems, space and satellite communications, cyber security, microwave electronics, missile defense and training systems, which are closely aligned with the DoD’s mission and funding priorities. We will continue to invest in differentiating systems, products, technology and intellectual property. We intend to be the leader in rapidly developing, demonstrating and delivering to the warfighter proven leading technology systems, at an affordable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Growth</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focused on generating internal growth by capitalizing on our ability to rapidly develop, demonstrate and field leading technology systems and products at an affordable cost. We will make targeted discretionary investments in mission critical DoD priority areas, including unmanned systems, space and satellite communications, cyber security, microwave electronics, missile defense and training systems, which have the highest potential for growth based on recent DoD funding requests, and in which we will retain the intellectual property rights.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Expand technology product, solution and service offerings provided to existing customers. </w:t>
      </w:r>
      <w:r>
        <w:rPr>
          <w:rFonts w:ascii="Arial" w:cs="Arial" w:eastAsia="Arial" w:hAnsi="Arial"/>
          <w:sz w:val="18"/>
          <w:szCs w:val="18"/>
          <w:color w:val="auto"/>
        </w:rPr>
        <w:t>We are focused on expanding the technology,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solutions we provide to our current customers by leveraging our strong relationships, technical capabilities, intellectual property and past performance qualifications as well as by offering a wider range of comprehensive low-cost technology leading and proven products and solutions. In regard to areas of specialization, our product and solution offerings include the manufacturing of specialized defense electronics; integrated technology solutions for satellite command, control and communications; specialized high performance UADS and drone aircraft for tactical and threat representation target purposes; and Unmanned Ground Systems (“UGS”) and Unmanned Seaborne Systems (“USS”).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1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technology base, intellectual property ownership, contract portfolio, and product, solution and service offerings. We are also aggressively pursuing several national security priority areas, including high performance UADS, satellite communications command, control, communication and signal monitoring products, microwave electronics for missiles, radars, electronic warfare and communications, cyber security solutions, specialized training systems, autonomy and artificial intelligence systems, robotics, directed energy systems, hypersonic systems, electromagnetic rail gun systems and next generation ballistic missile targets. We are also assessing new tactical program areas and platforms to pursue that are consistent with our core capabilities, technology and intellectual property.</w:t>
      </w:r>
    </w:p>
    <w:p>
      <w:pPr>
        <w:spacing w:after="0" w:line="10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Expand customer and contract base. </w:t>
      </w:r>
      <w:r>
        <w:rPr>
          <w:rFonts w:ascii="Arial" w:cs="Arial" w:eastAsia="Arial" w:hAnsi="Arial"/>
          <w:sz w:val="18"/>
          <w:szCs w:val="18"/>
          <w:color w:val="auto"/>
        </w:rPr>
        <w:t>We are focused on expanding our customer base into areas with significant growth opportunities as indicated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FY 2019 DoD budget request and the DoD Strategic Document,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both to pursue larger program opportunities, higher value work and to further diversify our revenue base across additional U.S. Government, international and commercial customers.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Improve operating margins. </w:t>
      </w:r>
      <w:r>
        <w:rPr>
          <w:rFonts w:ascii="Arial" w:cs="Arial" w:eastAsia="Arial" w:hAnsi="Arial"/>
          <w:sz w:val="17"/>
          <w:szCs w:val="17"/>
          <w:color w:val="auto"/>
        </w:rPr>
        <w:t>We believe that we have opportunities to increase our operating margins and improve profitability by capitalizing on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investments as our business grows, production of our products and systems increases and related revenues increase. We are proactively focused on continuously improving efficiencies, reducing costs, and concentrating our efforts on operational excellence.</w:t>
      </w:r>
    </w:p>
    <w:p>
      <w:pPr>
        <w:spacing w:after="0" w:line="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Invest in strategic growth areas. </w:t>
      </w:r>
      <w:r>
        <w:rPr>
          <w:rFonts w:ascii="Arial" w:cs="Arial" w:eastAsia="Arial" w:hAnsi="Arial"/>
          <w:sz w:val="17"/>
          <w:szCs w:val="17"/>
          <w:color w:val="auto"/>
        </w:rPr>
        <w:t>Over the past several years, we have made significant internally funded investments in strategic growth areas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unmanned tactical aircraft drone systems. Specifically, we have increased internally funded research and development, capital expenditures and infrastructure investments, including executive management, bid, proposal and new business capture, pursuit and related expenses. We have made these investments with the intention of developing, demonstrating, fielding and bringing to production high performance jet powered unmanned aerial combat systems. These investments also allow us to retain the intellectual property rights, design and data packages for these platforms and systems, and to ultimately secure sole source production positions in these strategic growth areas. Specifically, since 2012, we have invested over $100 million in our UAS through internally funded research, development and contract design retrofit costs for new platforms under development and capital expenditures for aircraft and related equipment related to this strategic growth area.</w:t>
      </w:r>
    </w:p>
    <w:p>
      <w:pPr>
        <w:spacing w:after="0" w:line="98" w:lineRule="exact"/>
        <w:rPr>
          <w:sz w:val="20"/>
          <w:szCs w:val="20"/>
          <w:color w:val="auto"/>
        </w:rPr>
      </w:pPr>
    </w:p>
    <w:p>
      <w:pPr>
        <w:ind w:left="980" w:right="12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invested in internally funded research, development and capital expenditures to build our own UTAP-22 (Mako) UAS from 2012 to 2015, and demonstrated the capabilities of the UTAP-22 Mako in a flight demonstration in the fall of 2015. As a result, we were awarded an initial $12.6 million prime contract from the DIUx for sensor integration and flight demonstration of our UTAP-22 Mako unmanned aerial system the following year. Under this effort, we integrated certain sensors into our UTAP-22 Mako and participated in a large, complex flight exercise in 2017.</w:t>
      </w:r>
    </w:p>
    <w:p>
      <w:pPr>
        <w:spacing w:after="0" w:line="107" w:lineRule="exact"/>
        <w:rPr>
          <w:rFonts w:ascii="Arial" w:cs="Arial" w:eastAsia="Arial" w:hAnsi="Arial"/>
          <w:sz w:val="18"/>
          <w:szCs w:val="18"/>
          <w:color w:val="auto"/>
        </w:rPr>
      </w:pPr>
    </w:p>
    <w:p>
      <w:pPr>
        <w:ind w:left="980" w:right="10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received a $40.8 million single award, cost-share contract from the AFRL for the LCASD. Under the LCASD contract award, we are designing, developing, and will deliver, demonstrate and test a technical baseline for a high-speed long-range, low-cost limited life-strike UAS. For our investment, we will retain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 Our customer expects the initial flight of this leading technology UAS to occur in the first quarter of 2019.</w:t>
      </w:r>
    </w:p>
    <w:p>
      <w:pPr>
        <w:spacing w:after="0" w:line="112" w:lineRule="exact"/>
        <w:rPr>
          <w:rFonts w:ascii="Arial" w:cs="Arial" w:eastAsia="Arial" w:hAnsi="Arial"/>
          <w:sz w:val="18"/>
          <w:szCs w:val="18"/>
          <w:color w:val="auto"/>
        </w:rPr>
      </w:pPr>
    </w:p>
    <w:p>
      <w:pPr>
        <w:ind w:left="980" w:right="20" w:hanging="324"/>
        <w:spacing w:after="0" w:line="272"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were awarded one of four prime contract awards from DARPA for the Gremlins program. Under the Gremlins program, DARPA envisions a swarm of approximately 20 high performance unmanned aerial vehicles that are deployed by an inflight aircraft, and are later recovered, inflight, by an aircraft. The approximate $3.9 million Phase I contracts were awarded to four competing companies, with the intent to ultimately down select to one finalist company over a period of approximately 36 months. In 2017, we successfully advanced to Phase II of the Gremlin’s program, teamed with our partner company Dynetics. In 2018, as part of the Dynetics-led team, we were selected for award on Phase III of the Gremlins program to demonstrate safe and reliable launch and aerial recovery of multiple unmanned drone system aircraft, capable of employing and recovering diverse distributed payloads in volley quantities.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Capitalize on corporate infrastructure investments. </w:t>
      </w:r>
      <w:r>
        <w:rPr>
          <w:rFonts w:ascii="Arial" w:cs="Arial" w:eastAsia="Arial" w:hAnsi="Arial"/>
          <w:sz w:val="17"/>
          <w:szCs w:val="17"/>
          <w:color w:val="auto"/>
        </w:rPr>
        <w:t>In recent periods, we have made significant investments in our senior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related to cyber security threats to our Company, increased and changing regulations we are subject to, and the changing national security industry environment. These investments also included hiring senior executives with significant experience in the national security industry,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 security protection and related regulatory requirements, and expanding our backlog and bid and proposal pipeline. We expect to be allocating additional resources in our pursuit of new, larger and highly technical prime contract opportunities. We believe our management experience and corporate infrastructure can support a company with a much larger revenue base than ours. Accordingly, we believe that, to the extent our revenue grows, we will be able to leverage this infrastructure base and increase our operating margins.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 representative list of customers in our KGS and US segments during 2018 included the U.S. Air Force, U.S. Army, U.S. Navy, U.S. Marines, Missile Defense Agency, Space Command, the Department of Homeland Security, the National Aeronautics and Space Administration, FMS, the U.S. Southern Command, STRATCOM, the Strategic Capabilities Office (SCO), DIU or DIUx, the Rapid Capabilities Offices, the U.S. intelligence community and certain confidential customers.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72%, 75% and 73% of total revenues in 2018, 2017, and 2016, respectively.</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from foreign customers were approximately $114.3 million or 19%, $84.7 million or 14%, and $80.1 million or 15% of total revenue for the years ended December 30, 2018, December 31, 2017, and December 25,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Effective January 1, 2018, we adopted the requirements of Accounting Standards Codification 606, Revenue from Contracts with Customers (“ASC 606”), utilizing the modified retrospective method as discussed in Note 1 of the Notes to Consolidated Financial Statements contained within this Annual Report. Since our adoption of ASC 606, revenues from remaining performance obligations, also referred to as total backlog, are now calculated as the dollar value of our remaining performance obligations on executed contracts. As of December 30, 2018, our backlog was approximately $620.7 million, of which $537.2 million was funded. We expect to recognize approximately 66.7% of the remaining total backlog as revenue in 2019, an additional 13.7% in 2020 and the balance thereafter. The adoption of ASC 606 resulted in a reduction of approximately $136.6 million of our total backlog as of December 31, 2017. Our comparable total backlog balance as of December 31, 2017, applying the requirements under ASC 606, was approximately $519.9 million of which $457.3 million was funded.</w:t>
      </w:r>
    </w:p>
    <w:p>
      <w:pPr>
        <w:spacing w:after="0" w:line="19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IDIQ contracts, only awarded or funded task orders are included for backlog purposes.</w:t>
      </w:r>
    </w:p>
    <w:p>
      <w:pPr>
        <w:spacing w:after="0" w:line="16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30, 2018, we had a work force of approximately 2,600 full-time, part-time and on-call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market is competitive and includes a number of companies in the U.S. defense and national security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BAE Systems, L3, and Boeing. While we view other government contractors as competitors, we also team with these same companies in joint proposals or in the delivery of our products, solutions and services for customers. Tier two competitors include smaller government contractors such as Mercury Computer, Qinetiq, Cobham, Aerojet Rocketdyne and AAR.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the principal competitive factors in our ability to win new business include our strategy of focusing on priority DoD requirements and funding areas, our intellectual property, proprietary products, technology and our ability to rapidly develop, demonstrate and deliver systems to the warfighter at an affordable cost.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requirements is also a key differentiator.</w:t>
      </w:r>
    </w:p>
    <w:p>
      <w:pPr>
        <w:spacing w:after="0" w:line="1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U.S. defense, IT, and services markets, the U.S. Government has stressed competition and affordability in connection with its future procurement of products and services. This has led to fewer sole source awards, as well as more emphasis on cost competitiveness, with contract awards issued on a Low Price Technically Acceptable (“LPTA”) basis rather than a best value basis, which has negatively impacted our Defense and Rocket Support Services (“DRSS”) business in our KGS segment. In addition, competitor bid protests have become more prevalent in the current competitive environment, resulting in further delay of contract procurement activity.</w:t>
      </w:r>
    </w:p>
    <w:p>
      <w:pPr>
        <w:spacing w:after="0" w:line="10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majority of our government services business is included in our DRSS business. This cost competitive environment resulted in an impairment in the carrying value of our DRSS business in the fourth quarter of 2017. Approximately 10% of Kratos’ business for the year ended December 30, 2018 is IT or government services based. In 2010, Kratos changed its strategy to focus on being a system, product, technology and intellectual property based company and we deemphasized our focus in our legacy government services businesses. For 2018, our legacy government services business generated revenues of approximately $59.6 million. See Note 2 of the Notes to Consolidated Financial Statements contained within this Annual Report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$15.6 million, $17.8 million and $13.9 million in 2018, 2017, and 2016,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and electronic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December 30, 2018, we held a number of U.S. and foreign patents. We do not consider our business to be materially dependent upon any individual patent. We will continue to file and pursue patent applications when and where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appropriate to attempt to protect our rights in our proprietary technologies. We also encourage our employees to continue to invent and develop new technologies so as to maintain our competitiveness in the marketplace.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or have rights to use certain trademarks, service marks and trade names that we use in conjunction with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trademarks have also been registered in selected foreign countries.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89" w:lineRule="exact"/>
        <w:rPr>
          <w:sz w:val="20"/>
          <w:szCs w:val="20"/>
          <w:color w:val="auto"/>
        </w:rPr>
      </w:pPr>
    </w:p>
    <w:p>
      <w:pPr>
        <w:ind w:left="1300" w:right="16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administration, and performance under government contracts;</w:t>
      </w:r>
    </w:p>
    <w:p>
      <w:pPr>
        <w:spacing w:after="0" w:line="89"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the Truth in Negotiations Act), which requires certification and disclosure of all cost and pricing data in connection with contract negotiations;</w:t>
      </w:r>
    </w:p>
    <w:p>
      <w:pPr>
        <w:spacing w:after="0" w:line="89" w:lineRule="exact"/>
        <w:rPr>
          <w:rFonts w:ascii="Arial" w:cs="Arial" w:eastAsia="Arial" w:hAnsi="Arial"/>
          <w:sz w:val="18"/>
          <w:szCs w:val="18"/>
          <w:color w:val="auto"/>
        </w:rPr>
      </w:pPr>
    </w:p>
    <w:p>
      <w:pPr>
        <w:ind w:left="1300" w:right="84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Accounting Standards, which impose accounting requirements that govern our right to reimbursement under cost-based government contracts;</w:t>
      </w:r>
    </w:p>
    <w:p>
      <w:pPr>
        <w:spacing w:after="0" w:line="89"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advantages;</w:t>
      </w:r>
    </w:p>
    <w:p>
      <w:pPr>
        <w:spacing w:after="0" w:line="89" w:lineRule="exact"/>
        <w:rPr>
          <w:rFonts w:ascii="Arial" w:cs="Arial" w:eastAsia="Arial" w:hAnsi="Arial"/>
          <w:sz w:val="18"/>
          <w:szCs w:val="18"/>
          <w:color w:val="auto"/>
        </w:rPr>
      </w:pPr>
    </w:p>
    <w:p>
      <w:pPr>
        <w:ind w:left="1300" w:right="400" w:hanging="320"/>
        <w:spacing w:after="0" w:line="34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42" w:lineRule="exact"/>
        <w:rPr>
          <w:rFonts w:ascii="Arial" w:cs="Arial" w:eastAsia="Arial" w:hAnsi="Arial"/>
          <w:sz w:val="16"/>
          <w:szCs w:val="16"/>
          <w:color w:val="auto"/>
        </w:rPr>
      </w:pPr>
    </w:p>
    <w:p>
      <w:pPr>
        <w:ind w:left="1300" w:right="1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8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1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business may require compliance with state or local laws designed to limit the uses of personal user information gathered online or require online services to establish privacy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Availability</w:t>
      </w:r>
    </w:p>
    <w:p>
      <w:pPr>
        <w:spacing w:after="0" w:line="14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procure critical material, components, products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Our manufacturing operations are subject to many requirements under environmental laws.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 We have management programs and processes in place that are intended to minimize the potential for violations of these laws.</w:t>
      </w:r>
    </w:p>
    <w:p>
      <w:pPr>
        <w:spacing w:after="0" w:line="9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8"/>
          <w:szCs w:val="18"/>
          <w:i w:val="1"/>
          <w:iCs w:val="1"/>
          <w:color w:val="auto"/>
        </w:rPr>
        <w:t>www.kratosdefense.com</w:t>
      </w:r>
      <w:r>
        <w:rPr>
          <w:rFonts w:ascii="Arial" w:cs="Arial" w:eastAsia="Arial" w:hAnsi="Arial"/>
          <w:sz w:val="18"/>
          <w:szCs w:val="18"/>
          <w:color w:val="auto"/>
        </w:rPr>
        <w:t>. The SEC also maintains an Internet site that contains our reports, proxy and information statements, and other information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www.sec.gov.</w:t>
      </w:r>
    </w:p>
    <w:p>
      <w:pPr>
        <w:spacing w:after="0" w:line="10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fiscal 2018, 2017 and 2016, we generated 72%, 75% and 73%,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8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our programs in particular.</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budget environment, including budget caps mandated by the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for FY 2020. If annual appropriations bills are not timely enacted for FY 2020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us and the entire defense industry.</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92"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3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1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product availability.</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rely on other companies to provide major components for our products. For instance, we build the airframe, electronics and flight control systems for our unmanned aerial systems. We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7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also are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16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24" w:lineRule="exact"/>
        <w:rPr>
          <w:sz w:val="20"/>
          <w:szCs w:val="20"/>
          <w:color w:val="auto"/>
        </w:rPr>
      </w:pPr>
    </w:p>
    <w:p>
      <w:pPr>
        <w:ind w:left="1300" w:right="560" w:hanging="320"/>
        <w:spacing w:after="0" w:line="224" w:lineRule="exact"/>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divert sales from us by winning very large</w:t>
      </w:r>
      <w:r>
        <w:rPr>
          <w:rFonts w:ascii="MS PGothic" w:cs="MS PGothic" w:eastAsia="MS PGothic" w:hAnsi="MS PGothic"/>
          <w:sz w:val="16"/>
          <w:szCs w:val="16"/>
          <w:color w:val="auto"/>
        </w:rPr>
        <w:t>‑</w:t>
      </w:r>
      <w:r>
        <w:rPr>
          <w:rFonts w:ascii="Arial" w:cs="Arial" w:eastAsia="Arial" w:hAnsi="Arial"/>
          <w:sz w:val="16"/>
          <w:szCs w:val="16"/>
          <w:color w:val="auto"/>
        </w:rPr>
        <w:t>scale government contracts, a risk that is enhanced by the recent trend in government procurement practices to bundle services into larger contracts and the recent trend of making award determinations on a LPTA basis;</w:t>
      </w: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9" w:lineRule="exact"/>
        <w:rPr>
          <w:rFonts w:ascii="Arial" w:cs="Arial" w:eastAsia="Arial" w:hAnsi="Arial"/>
          <w:sz w:val="18"/>
          <w:szCs w:val="18"/>
          <w:color w:val="auto"/>
        </w:rPr>
      </w:pPr>
    </w:p>
    <w:p>
      <w:pPr>
        <w:ind w:left="1300" w:right="260" w:hanging="320"/>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our relationships with current customers, including our ability to continue to win competitively awarded engagements in which we are the incumbent.</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the UAS and UGS markets do not experience significant growth, if we cannot expand our customer base or if our products do not achieve broad acceptance, then we may not be able to achieve our anticipated level of growth.</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fiscal year ended December 30, 2018, our US segment accounted for 21.5% of our total revenue. We cannot accurately predict the future growth rate or size of this market. Demand for our products may not increase, or may decrease, either generally or in specific markets, for particular types of products or during particular time periods. There are only a 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9" w:lineRule="exact"/>
        <w:rPr>
          <w:rFonts w:ascii="Arial" w:cs="Arial" w:eastAsia="Arial" w:hAnsi="Arial"/>
          <w:sz w:val="18"/>
          <w:szCs w:val="18"/>
          <w:color w:val="auto"/>
        </w:rPr>
      </w:pPr>
    </w:p>
    <w:p>
      <w:pPr>
        <w:ind w:left="660" w:right="40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market our US products and services outside the U.S. due to U.S. government regulations;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1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then we may not be able to achieve our anticipated level of growth and our revenue and results of operations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General Services Administration (“GSA”) contracts or GWACs could impair our ability to attract new business.</w:t>
      </w:r>
    </w:p>
    <w:p>
      <w:pPr>
        <w:spacing w:after="0" w:line="13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29"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suspend work under existing multiple year contracts and related task orders if the necessary funds are not appropriated by Congress;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in-sourcing could result in loss of business opportunities and personnel.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continuation of in-sourcing at a faster-than-expected rate could have an adverse effect on our business,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 security threats, and other disruptions.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Many of the systems we develop, install and maintain involve managing and protecting information involved in intelligence, national security and other sensitive or classified U.S. Government functions. We face various security threats, including cyber security threats, to gain unauthorized access to this sensitive information. Such threats can come from external as well as internal sources.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customers. Further, any losses we incur from such a security breach could exceed the policy limits under our errors and omissions and product liability insurance. Any losses we incur, any damage to our reputation or any limitations on our eligibility for additional work resulting from a security breach could materially reduce our revenue and could have a material adverse effect on our business, financial condition and results of operations.</w:t>
      </w:r>
    </w:p>
    <w:p>
      <w:pPr>
        <w:spacing w:after="0" w:line="16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 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customers could assert claims against us for damages or refunds.</w:t>
      </w:r>
    </w:p>
    <w:p>
      <w:pPr>
        <w:spacing w:after="0" w:line="2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81"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lose revenue due to adverse customer reaction;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required to provide additional services to a customer at no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cause customers to postpone, cancel or fail to renew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customers;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ensure that provisions in our customer contracts will be legally sufficient to protect us if we are sued.</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8"/>
          <w:szCs w:val="18"/>
          <w:b w:val="1"/>
          <w:bCs w:val="1"/>
          <w:color w:val="auto"/>
        </w:rPr>
        <w:t>.</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54" w:lineRule="exact"/>
        <w:rPr>
          <w:sz w:val="20"/>
          <w:szCs w:val="20"/>
          <w:color w:val="auto"/>
        </w:rPr>
      </w:pPr>
    </w:p>
    <w:p>
      <w:pPr>
        <w:ind w:right="2480"/>
        <w:spacing w:after="0" w:line="342"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factors that may cause our financial results to fluctuate from quarter to quarter include those addressed elsewhere in this Item 1A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and the following factors, among others:</w:t>
      </w:r>
    </w:p>
    <w:p>
      <w:pPr>
        <w:spacing w:after="0" w:line="211"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remediating unknown defects, errors or performance problems of our product offerings;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variable purchasing patterns under GSA contracts, GWACs, blanket purchase agreements and other IDIQ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420" w:hanging="320"/>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$90.0 million Amended and Restated Credit and Security Agreement, dated November 20, 2017 (as amended, the “Credit Agreement”), by and among the Company, the lenders named therein, SunTrust Bank, as Agent (the “Agent”), and SunTrust Robinson Humphrey, Inc. as Lead Arranger and Sole Book Runner. In addition, fluctuations in our financial results could cause our stock price to decline. See the risks and uncertainties related to our ability to raise additional capital below in </w:t>
      </w:r>
      <w:r>
        <w:rPr>
          <w:rFonts w:ascii="Arial" w:cs="Arial" w:eastAsia="Arial" w:hAnsi="Arial"/>
          <w:sz w:val="16"/>
          <w:szCs w:val="16"/>
          <w:i w:val="1"/>
          <w:iCs w:val="1"/>
          <w:color w:val="auto"/>
        </w:rPr>
        <w:t>“We may need additional capital to fund the growth of our business, and financing may not be available on favorable terms or at all.”</w:t>
      </w:r>
    </w:p>
    <w:p>
      <w:pPr>
        <w:spacing w:after="0" w:line="165"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price contracts in our total contract mix.</w:t>
      </w:r>
    </w:p>
    <w:p>
      <w:pPr>
        <w:spacing w:after="0" w:line="2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13% and 82%, respectively, of our federal business revenues for the year ended December 30, 2018. To the extent that we enter into more cost-plus-fee or less fixed-price contracts in proportion to our total contract mix in the future, our margins and operating results may suffer.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another contractor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30, 2018, goodwill represented approximately 42% of our total assets. We periodically review the carrying values of our goodwill to determine whether such carrying values exceed the fair value.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identification and measurement of impairment involves the estimation of the fair value of reporting units.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Given the current market conditions and continued economic uncertainty in the U.S. defense industry, including sequestration and issues surrounding the national debt ceiling, our future revenues, profits and cash flows could be substantially lower than our current projections. Current market conditions including increased price competitiveness specifically in the government services space, and procurements awarded on an LPTA rather than best value basis, can significantly impact our current projections, which specifically resulted in an impairment of the carrying value in 2017 of our goodwill balance in our DRSS reporting unit within our KGS reportable segment.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performance criteria on new unmanned systems platforms, and acceptance of new unmanned systems platforms on a technical basis as well as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30, 2018,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future growth depends on penetrating new markets, adapting existing products to new applications, and introducing new products and services that achieve market acceptance. We plan to incur substantial research and development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costs as part of our efforts to design, develop and commercialize new products and services and enhance existing products. We spent $15.6 million, or 2.5% of our revenue, in our fiscal year ended December 30, 2018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We currently anticipate that our available capital resources, including the cash we raised in our recent equity offerings, the net proceeds from the divestiture of our PSS business, amounts available under our Credit Agreement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which require significant amounts of working capital to fund such growth.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acquisitions and future acquisitions could prove difficult to integrate, disrupt our business, dilute stockholder value and strain our resources.</w:t>
      </w:r>
    </w:p>
    <w:p>
      <w:pPr>
        <w:spacing w:after="0" w:line="24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in the past and may, in the future,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93"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1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U.S. Government customers and disrupt the management of our business.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30" w:lineRule="exact"/>
        <w:rPr>
          <w:sz w:val="20"/>
          <w:szCs w:val="20"/>
          <w:color w:val="auto"/>
        </w:rPr>
      </w:pPr>
    </w:p>
    <w:p>
      <w:pPr>
        <w:ind w:right="700" w:firstLine="648"/>
        <w:spacing w:after="0" w:line="259" w:lineRule="auto"/>
        <w:rPr>
          <w:sz w:val="20"/>
          <w:szCs w:val="20"/>
          <w:color w:val="auto"/>
        </w:rPr>
      </w:pPr>
      <w:r>
        <w:rPr>
          <w:rFonts w:ascii="Arial" w:cs="Arial" w:eastAsia="Arial" w:hAnsi="Arial"/>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4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 unable to realize any benefit from our cost reduction and restructuring efforts and our profitability may be hurt or our business otherwise might be adversely affected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engaged in cost reduction and restructuring activities in the past, including recent restructuring actions in our modular systems business and our divestiture of the Public Safety &amp; Security business, and we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derived from our international business could be subject to global economic downturn and hardship.</w:t>
      </w:r>
    </w:p>
    <w:p>
      <w:pPr>
        <w:spacing w:after="0" w:line="347" w:lineRule="exact"/>
        <w:rPr>
          <w:sz w:val="20"/>
          <w:szCs w:val="20"/>
          <w:color w:val="auto"/>
        </w:rPr>
      </w:pPr>
    </w:p>
    <w:p>
      <w:pPr>
        <w:ind w:left="80" w:right="60" w:firstLine="648"/>
        <w:spacing w:after="0" w:line="293" w:lineRule="auto"/>
        <w:rPr>
          <w:sz w:val="20"/>
          <w:szCs w:val="20"/>
          <w:color w:val="auto"/>
        </w:rPr>
      </w:pPr>
      <w:r>
        <w:rPr>
          <w:rFonts w:ascii="Arial" w:cs="Arial" w:eastAsia="Arial" w:hAnsi="Arial"/>
          <w:sz w:val="16"/>
          <w:szCs w:val="16"/>
          <w:color w:val="auto"/>
        </w:rPr>
        <w:t>Our international business represents 19% of our total revenue for the year ended December 30, 2018,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In particular, recent events have caused increased attention on U.S. defense sales to the Kingdom of Saudi Arabia (“KSA”). Although we currently do not expect to be prevented from doing business in KSA, which represents nearly 8% of our sales (which are through FMS), if government action impairs our ability to fulfill our contractual obligations or otherwise to continue to do business in KSA, it could have an adverse effect on our financial results.</w:t>
      </w:r>
    </w:p>
    <w:p>
      <w:pPr>
        <w:spacing w:after="0" w:line="70" w:lineRule="exact"/>
        <w:rPr>
          <w:sz w:val="20"/>
          <w:szCs w:val="20"/>
          <w:color w:val="auto"/>
        </w:rPr>
      </w:pPr>
    </w:p>
    <w:p>
      <w:pPr>
        <w:ind w:left="80" w:right="20" w:firstLine="648"/>
        <w:spacing w:after="0" w:line="286" w:lineRule="auto"/>
        <w:rPr>
          <w:sz w:val="20"/>
          <w:szCs w:val="20"/>
          <w:color w:val="auto"/>
        </w:rPr>
      </w:pPr>
      <w:r>
        <w:rPr>
          <w:rFonts w:ascii="Arial" w:cs="Arial" w:eastAsia="Arial" w:hAnsi="Arial"/>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exposes us to additional risks.</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outside of the U.S. are subject to risks that are inherent in conducting business under non-U.S. laws, regulations and customs, including those related to:</w:t>
      </w:r>
    </w:p>
    <w:p>
      <w:pPr>
        <w:spacing w:after="0" w:line="25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foreign currency exchange rate fluctuations, potentially reducing the U.S. dollars we receive for sales denominated in foreign currency;</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that unfriendly nations or groups could boycott our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conditions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increased costs associated with overlapping tax structures;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import-export control;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obtain required U.S. government agency issued export licenses to ship our product overseas;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longer accounts receivable cycles in certain foreign countries, whether due to cultural differences, exchange rate fluctuation or other factors;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technology transfer restrictions;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distribution networks;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employees.</w:t>
      </w:r>
    </w:p>
    <w:p>
      <w:pPr>
        <w:spacing w:after="0" w:line="211" w:lineRule="exact"/>
        <w:rPr>
          <w:sz w:val="20"/>
          <w:szCs w:val="20"/>
          <w:color w:val="auto"/>
        </w:rPr>
      </w:pPr>
    </w:p>
    <w:p>
      <w:pPr>
        <w:ind w:left="80" w:right="80" w:firstLine="648"/>
        <w:spacing w:after="0" w:line="269"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 them could adversely affect our financial position, results of operations, or cash flows.</w:t>
      </w:r>
    </w:p>
    <w:p>
      <w:pPr>
        <w:spacing w:after="0" w:line="18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materially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could adversely affect our cash flow, financial condition and business.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December 30, 2018, we had approximately $294.2 million of total indebtedness outstanding, which includes $5.8 million of unamortized debt issuance costs. As a result of this indebtedness, our interest payment obligations are significant. The degree to which we are leveraged could have adverse effects on our business, including the following:</w:t>
      </w:r>
    </w:p>
    <w:p>
      <w:pPr>
        <w:spacing w:after="0" w:line="181"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 w:lineRule="exact"/>
        <w:rPr>
          <w:rFonts w:ascii="Arial" w:cs="Arial" w:eastAsia="Arial" w:hAnsi="Arial"/>
          <w:sz w:val="18"/>
          <w:szCs w:val="18"/>
          <w:color w:val="auto"/>
        </w:rPr>
      </w:pPr>
    </w:p>
    <w:p>
      <w:pPr>
        <w:ind w:left="1300" w:right="180" w:hanging="320"/>
        <w:spacing w:after="0" w:line="265"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23" w:lineRule="exact"/>
        <w:rPr>
          <w:rFonts w:ascii="Arial" w:cs="Arial" w:eastAsia="Arial" w:hAnsi="Arial"/>
          <w:sz w:val="18"/>
          <w:szCs w:val="18"/>
          <w:color w:val="auto"/>
        </w:rPr>
      </w:pPr>
    </w:p>
    <w:p>
      <w:pPr>
        <w:jc w:val="both"/>
        <w:ind w:left="1300" w:right="10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6.5% Notes (as defined below) tendered to us if there is a change of control, which would constitute a default under the Indenture (as defined below) governing our 6.5% Notes and under our Credit Agreement;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8"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6"/>
          <w:szCs w:val="16"/>
          <w:color w:val="auto"/>
        </w:rPr>
        <w:t>‑</w:t>
      </w:r>
      <w:r>
        <w:rPr>
          <w:rFonts w:ascii="Arial" w:cs="Arial" w:eastAsia="Arial" w:hAnsi="Arial"/>
          <w:sz w:val="16"/>
          <w:szCs w:val="16"/>
          <w:color w:val="auto"/>
        </w:rPr>
        <w:t>acceleration or cross</w:t>
      </w:r>
      <w:r>
        <w:rPr>
          <w:rFonts w:ascii="MS PGothic" w:cs="MS PGothic" w:eastAsia="MS PGothic" w:hAnsi="MS PGothic"/>
          <w:sz w:val="16"/>
          <w:szCs w:val="16"/>
          <w:color w:val="auto"/>
        </w:rPr>
        <w:t>‑</w:t>
      </w:r>
      <w:r>
        <w:rPr>
          <w:rFonts w:ascii="Arial" w:cs="Arial" w:eastAsia="Arial" w:hAnsi="Arial"/>
          <w:sz w:val="16"/>
          <w:szCs w:val="16"/>
          <w:color w:val="auto"/>
        </w:rPr>
        <w:t>default rights between the relevant agreements. In addition, the holders of our 6.5% Notes could foreclose against the assets securing the 6.5% Notes and we could be forced into bankruptcy or liquidation and/or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20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more debt, which may increase the risks associated with our leverage, including our ability to service our indebtedness.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credit ratings or macroeconomic conditions may affect our liquidity, increasing borrowing costs and limiting our financing options.</w:t>
      </w:r>
    </w:p>
    <w:p>
      <w:pPr>
        <w:spacing w:after="0" w:line="208"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December 30, 2018, approximately 13% of our consolidated assets, based on book value, and 15% of our consolidated revenues for the year ended December 30, 2018, were held by foreign subsidiaries, which do not guarantee the 6.5%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Indenture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restrictions contained in the Indenture and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the method for determining LIBOR and the potential replacement of LIBOR may affect interest rates on our credit facilities and interest rate swaps.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LIBOR, the London interbank offered rate, is the basic rate of interest used in lending between banks on the London interbank market and is widely used as a reference for setting the interest rate on loans globally. Interest rates under our Credit Agreement are based partly on the LIBOR rate. 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If the method for calculation of LIBOR changes, if LIBOR is no longer available or if lenders have increased costs due to changes in LIBOR, we may suffer from potential increases in interest rates on our borrowings under the Credit Agreement. Further, we may need to renegotiate our credit facilities or any other borrowings that utilize LIBOR as a factor in determining the interest rate to replace LIBOR with the new standard that is established.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harmed by intellectual property infringement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cause harm to our business.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Environmental and Legal Issues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ability to invoice and receive timely payment on contracts, perform contracts or compete for contracts with the U.S. Government.</w:t>
      </w:r>
    </w:p>
    <w:p>
      <w:pPr>
        <w:spacing w:after="0" w:line="225"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We have submitted incurred cost claims through 2017. The actual indirect cost audits by the DCAA have been completed for our subsidiaries for fiscal 2016. Although we have recorded contract revenues subsequent to fiscal 2016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employees or others acting on our behalf may engage in misconduct or other improper activities, which could cause us to lose contracts or cause us to incur costs.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30, 2018.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may distract us from operating our business, and adverse judgments or settlements could adversely affect our financial results and operations.</w:t>
      </w:r>
    </w:p>
    <w:p>
      <w:pPr>
        <w:spacing w:after="0" w:line="26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14 of the Notes to Consolidated Financial Statements contained within this Annual Report for a further discussion of our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severe weather conditions could disrupt our business and result in loss of revenue or higher expenses.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price of our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7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for our common stock to decline</w:t>
      </w:r>
      <w:r>
        <w:rPr>
          <w:rFonts w:ascii="Arial" w:cs="Arial" w:eastAsia="Arial" w:hAnsi="Arial"/>
          <w:sz w:val="18"/>
          <w:szCs w:val="18"/>
          <w:color w:val="auto"/>
        </w:rPr>
        <w:t>.</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11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r>
        <w:rPr>
          <w:rFonts w:ascii="Arial" w:cs="Arial" w:eastAsia="Arial" w:hAnsi="Arial"/>
          <w:sz w:val="18"/>
          <w:szCs w:val="18"/>
          <w:color w:val="auto"/>
        </w:rPr>
        <w:t>.</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is restricted by both the Indenture and the Credit Agreement. Any determination to pay dividends in the future will be at the discretion of our board of directors and will be dependent upon our future financial condition, results of operations and capital requirements, general business conditions and other relevant factors as determined by our board of directors. See “Dividend Policy.”</w:t>
      </w:r>
    </w:p>
    <w:p>
      <w:pPr>
        <w:spacing w:after="0" w:line="1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4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74" w:lineRule="exact"/>
        <w:rPr>
          <w:sz w:val="20"/>
          <w:szCs w:val="20"/>
          <w:color w:val="auto"/>
        </w:rPr>
      </w:pPr>
    </w:p>
    <w:p>
      <w:pPr>
        <w:ind w:left="1360" w:hanging="380"/>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super-majority requirement to amend our certificate of incorporation or bylaws;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directors, and not stockholders, to fill vacancies on our board of directors.</w:t>
      </w:r>
    </w:p>
    <w:p>
      <w:pPr>
        <w:spacing w:after="0" w:line="23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At December 30, 2018, we owned or leased approximately 1.5 million square feet of floor space at 42 separate locations, primarily in the U.S., for manufacturing, warehousing, research and development, administration and various other uses. At December 30, 2018, we leased to third parties 141,451 square feet of our leased facilities, and had vacant floor space of 20,000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major operations at the following locations:</w:t>
      </w:r>
    </w:p>
    <w:p>
      <w:pPr>
        <w:spacing w:after="0" w:line="14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Kratos Government Solutions</w:t>
      </w:r>
      <w:r>
        <w:rPr>
          <w:rFonts w:ascii="Arial" w:cs="Arial" w:eastAsia="Arial" w:hAnsi="Arial"/>
          <w:sz w:val="18"/>
          <w:szCs w:val="18"/>
          <w:color w:val="auto"/>
        </w:rPr>
        <w:t>: Huntsville, AL; San Diego, CA; Colorado Springs, CO; Orlando, FL; Baltimore and Lanham, MD; Dallastown, PA;</w:t>
      </w:r>
      <w:r>
        <w:rPr>
          <w:rFonts w:ascii="Arial" w:cs="Arial" w:eastAsia="Arial" w:hAnsi="Arial"/>
          <w:sz w:val="18"/>
          <w:szCs w:val="18"/>
          <w:b w:val="1"/>
          <w:bCs w:val="1"/>
          <w:color w:val="auto"/>
        </w:rPr>
        <w:t xml:space="preserve"> </w:t>
      </w:r>
      <w:r>
        <w:rPr>
          <w:rFonts w:ascii="Arial" w:cs="Arial" w:eastAsia="Arial" w:hAnsi="Arial"/>
          <w:sz w:val="18"/>
          <w:szCs w:val="18"/>
          <w:color w:val="auto"/>
        </w:rPr>
        <w:t>and Alexandria and Chantilly, VA. Locations outside the U.S. include France, Israel, Norway, and the United Kingdom.</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Unmanned Systems: </w:t>
      </w:r>
      <w:r>
        <w:rPr>
          <w:rFonts w:ascii="Arial" w:cs="Arial" w:eastAsia="Arial" w:hAnsi="Arial"/>
          <w:sz w:val="18"/>
          <w:szCs w:val="18"/>
          <w:color w:val="auto"/>
        </w:rPr>
        <w:t>Roseville and Sacramento, CA; Fort Walton Beach, FL, and Oklahoma City, OK.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 San Diego, CA.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floor space at December 30,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Square feet (in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1,224</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Unmanned Systems</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254</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(includes San Diego, operations of KGS and US segments)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57"/>
        </w:trPr>
        <w:tc>
          <w:tcPr>
            <w:tcW w:w="90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1,504</w:t>
            </w:r>
          </w:p>
        </w:tc>
      </w:tr>
      <w:tr>
        <w:trPr>
          <w:trHeight w:val="20"/>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5 of the Notes to Consolidated Financial Statements contained within this Annual Report for information regarding commitments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14 of the Notes to Consolidated Financial Statements contained within this Annual Report for a further discussion of our legal proceedings.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22, 2019, there were 356 shareholders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4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performance graph presents a comparison of the five year cumulative stockholder return on our common stock against the cumulative total return of a broad equity market index, the Russell 2000 Stock Index, and two customized peer groups consisting of the companies listed below, for the period commencing December 31, 2013 and ending December 31, 2018. The performance graph assumes an initial investment of $100 in our common stock and in each of the Russell 2000 Stock Index and the peer groups, and further assumes that all dividends were reinvested and all returns are market-cap weighted. The historical information set forth below is not necessarily indicative of future stock price performance.</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5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Among Kratos Defense &amp; Security Solutions, Inc., the Russell 2000 Index,</w:t>
      </w:r>
    </w:p>
    <w:p>
      <w:pPr>
        <w:jc w:val="center"/>
        <w:ind w:right="-79"/>
        <w:spacing w:after="0"/>
        <w:rPr>
          <w:sz w:val="20"/>
          <w:szCs w:val="20"/>
          <w:color w:val="auto"/>
        </w:rPr>
      </w:pPr>
      <w:r>
        <w:rPr>
          <w:rFonts w:ascii="Arial" w:cs="Arial" w:eastAsia="Arial" w:hAnsi="Arial"/>
          <w:sz w:val="13"/>
          <w:szCs w:val="13"/>
          <w:color w:val="auto"/>
        </w:rPr>
        <w:t>Old Peer Group (1), and New Peer Group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12065</wp:posOffset>
            </wp:positionV>
            <wp:extent cx="5145405"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*$100 invested on 12/31/13 in stock or index, including reinvestment of dividends.</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349" w:lineRule="exact"/>
        <w:rPr>
          <w:sz w:val="20"/>
          <w:szCs w:val="20"/>
          <w:color w:val="auto"/>
        </w:rPr>
      </w:pPr>
    </w:p>
    <w:p>
      <w:pPr>
        <w:ind w:left="340" w:right="2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companies included in the Company’s Old Peer Group are: AAR Corp., Aerojet Rocketdyne Holdings, Inc., AeroVironment Inc., Arotech Corp., Comtech Telecommunications Corp., CPI Aerostructures Inc., Ducommun Inc., Frequency Electronics Inc., and Sparton Corp.</w:t>
      </w:r>
    </w:p>
    <w:p>
      <w:pPr>
        <w:spacing w:after="0" w:line="146" w:lineRule="exact"/>
        <w:rPr>
          <w:rFonts w:ascii="Arial" w:cs="Arial" w:eastAsia="Arial" w:hAnsi="Arial"/>
          <w:sz w:val="17"/>
          <w:szCs w:val="17"/>
          <w:color w:val="auto"/>
        </w:rPr>
      </w:pPr>
    </w:p>
    <w:p>
      <w:pPr>
        <w:ind w:left="340" w:right="2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companies included in the Company’s New Peer Group are: AAR Corp., Aerojet Rocketdyne Holdings, Inc., AeroVironment Inc., Arotech Corp., Comtech Telecommunications Corp., CPI Aerostructures Inc., Ducommun Inc., Frequency Electronics Inc., and Mercury Systems Inc.</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in millions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30, 2018</w:t>
            </w: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25, 2016</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2015</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28, 2014</w:t>
            </w:r>
          </w:p>
        </w:tc>
        <w:tc>
          <w:tcPr>
            <w:tcW w:w="0" w:type="dxa"/>
            <w:vAlign w:val="bottom"/>
          </w:tcPr>
          <w:p>
            <w:pPr>
              <w:spacing w:after="0"/>
              <w:rPr>
                <w:sz w:val="1"/>
                <w:szCs w:val="1"/>
                <w:color w:val="auto"/>
              </w:rPr>
            </w:pPr>
          </w:p>
        </w:tc>
      </w:tr>
      <w:tr>
        <w:trPr>
          <w:trHeight w:val="26"/>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Consolidated Statements of Operations Data:</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4"/>
              </w:rPr>
              <w:t>Income (loss) from continuing operations per common share:</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per common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income (loss) per common share:</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569"/>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30, 2018</w:t>
            </w: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25, 2016</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2015</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28, 2014</w:t>
            </w:r>
          </w:p>
        </w:tc>
        <w:tc>
          <w:tcPr>
            <w:tcW w:w="0" w:type="dxa"/>
            <w:vAlign w:val="bottom"/>
          </w:tcPr>
          <w:p>
            <w:pPr>
              <w:spacing w:after="0"/>
              <w:rPr>
                <w:sz w:val="1"/>
                <w:szCs w:val="1"/>
                <w:color w:val="auto"/>
              </w:rPr>
            </w:pPr>
          </w:p>
        </w:tc>
      </w:tr>
      <w:tr>
        <w:trPr>
          <w:trHeight w:val="26"/>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Consolidated Balance Sheet Data:</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282.5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Short-term debt</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519.3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20"/>
                <w:szCs w:val="20"/>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254.2</w:t>
            </w:r>
          </w:p>
        </w:tc>
        <w:tc>
          <w:tcPr>
            <w:tcW w:w="10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We incurred acquisition-related expenses of $0.2 million for fiscal 2014. The 2014 Consolidated Statement of Operations Data includes a loss on extinguishment of debt of $39.1 million related to the refinance of the $625.0 million 10% Senior Secured Notes due in 2017 (the “10% Notes”) with the $625.0 million 7.00% Senior Secured Notes due in 2019 (the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“7% Notes”). The 2014 Consolidated Balance Sheet Data reflects the refinancing of the 10% Notes with the 7% Notes. The net proceeds of the 7% Notes was $618.5 million after an original issue discount of $6.5 million. We utilized the net proceeds from the 7% Notes, a $41.0 million draw on the Credit Agreement, as well as cash from operations to extinguish the 10% Notes.</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2015 Consolidated Statement of Operations Data includes an $80.8 million gain on the disposal of discontinued operations before taxes and a loss of $3.4 million on extinguishment of debt. The 2015 Consolidated Balance Sheet Data includes repayment of $41.0 million outstanding on our Credit Agreement and the repurchase of $175.0 million of our 7% Notes at par.</w:t>
      </w:r>
    </w:p>
    <w:p>
      <w:pPr>
        <w:spacing w:after="0" w:line="181"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The 2016 Consolidated Balance Sheet Data includes our equity offering of 13.4 million shares of common stock, which generated net proceeds of $76.2 million and our use of $14.1 million of the net proceeds from the offering to buy back and redeem approximately $14.5 million of our 7% Notes. The 2016 Consolidated Statement of Operations Data and Consolidated Balance Sheet Data were impacted by an $18.7 million loss accrual recorded in 2016 on the LCASD cost share contract, which is expected to be incurred by us over the period of performance of the contract, and was incurred in order to retain the intellectual property rights for the new LCASD platform.</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2017 Consolidated Statement of Operations Data and Consolidated Balance Sheet Data includes a $24.2 million impairment of the carrying value of the goodwill of our DRSS reporting unit within our KGS segment and a $17.3 million loss on extinguishment of debt related to the refinancing of the remaining $372.8 million outstanding balance of the 7% Notes. The 2017 Consolidated Balance Sheet Data also includes our equity offerings of approximately 28.0 million shares of common stock, which generated net proceeds of $269.1 million and our use of $64.0 million of the net proceeds from the offering to buy back and redeem approximately $62.7 million of our 7% Notes. The 2017 Consolidated Balance Sheet Data also reflects the refinancing of the remaining $372.8 million of our 7% Notes with $300.0 million of 6.5% Notes. We incurred debt issuance costs of $6.6 million associated with the new 6.5% Notes. We utilized the net proceeds from the 6.5% Notes, along with cash of $89.7 million to extinguish the 7% Notes.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training systems, missile defense, C5ISR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 force is primarily technically oriented and highly skilled with a significant number of employees holding national security clearances. Our entire organization is focused on executing our strategy of becoming the leading technology and intellectual property based company in our industry.</w:t>
      </w:r>
    </w:p>
    <w:p>
      <w:pPr>
        <w:spacing w:after="0" w:line="16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primary end customers are U.S. Government agencies, including the DoD, intelligence agencies, and other national and homeland security related agencies. We also conduct business with local, state and foreign governments and domestic and international commercial customers. In fiscal 2018, 2017 and 2016, we generated 72%, 75% and 73%, respectively, of our total revenues from contracts with the U.S. Government (including all branches of the U.S. military and including FMS), either as a prime contractor or a subcontractor. We believe our stable customer base, strong customer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w:t>
      </w:r>
    </w:p>
    <w:p>
      <w:pPr>
        <w:spacing w:after="0" w:line="2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budget environment, including budget caps mandated by the BCA for fiscal years 2020 and 2021,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for FY 2020. If annual appropriations bills are not timely enacted for FY 2020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33"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our Company and the entire defense industry.</w:t>
      </w:r>
    </w:p>
    <w:p>
      <w:pPr>
        <w:spacing w:after="0" w:line="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2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operate in two reportable segments. The KGS reportable segment is comprised of an aggregation of KGS operating segments, including microwave electronic products, satellite communications, training systems, modular systems, and defense and rocket support services. The US reportable segment consists of our unmanned aerial, unmanned ground and unmanned seaborne system businesses. Our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We organize our business segments based primarily on the nature of the products, solutions and services offered.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June 11, 2018, we completed the sale of all the issued and outstanding capital stock of PSS to Buyer for a purchase price of $69 million in cash, subject to a closing net working capital adjustment.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currently expect to receive approximately $70 million of aggregate net cash proceeds from the Transaction, after taking into account amounts to be paid by us pursuant to a negotiated transaction services agreement between us and the Buyer, receipt of approximately $7.0 million in net working capital retained by the Company, and associated transaction fees and expenses, excluding the impact of the final settlement and determination of the closing net working capital adjustment. We are currently in a dispute with the Buyer regarding the closing net working capital adjustment. The amount in dispute is approximately $8 million. We currently expect that the net working capital retained by the Company will be collected by the first half of 2019 once certain legacy projects are completed and the project close-out process has been completed. The Company currently expects to recognize a net break-even on the sale of the Public Safety &amp; Security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additional information regarding discontinued operations, see Note 8 of the Notes to Consolidated Financial Statements contained within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30, 2018, we consider the following factors to be important in understanding our financial statements.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KGS’ and US’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Effective January 1, 2018, we adopted the requirements of ASC 606, utilizing the modified retrospective method as discussed in Note 1 of the Notes to Consolidated Financial Statements contained within this Annual Report</w:t>
      </w:r>
    </w:p>
    <w:p>
      <w:pPr>
        <w:spacing w:after="0" w:line="17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 xml:space="preserve">The reported results for 2018 reflect the application of ASC 606 guidance while the reported results for periods prior to January 1, 2018 were prepared under the guidance of Financial Accounting Standards Board (“FASB”) ASC 605, </w:t>
      </w:r>
      <w:r>
        <w:rPr>
          <w:rFonts w:ascii="Arial" w:cs="Arial" w:eastAsia="Arial" w:hAnsi="Arial"/>
          <w:sz w:val="16"/>
          <w:szCs w:val="16"/>
          <w:i w:val="1"/>
          <w:iCs w:val="1"/>
          <w:color w:val="auto"/>
        </w:rPr>
        <w:t>Revenue Recognition (“ASC 605”).</w:t>
      </w:r>
      <w:r>
        <w:rPr>
          <w:rFonts w:ascii="Arial" w:cs="Arial" w:eastAsia="Arial" w:hAnsi="Arial"/>
          <w:sz w:val="16"/>
          <w:szCs w:val="16"/>
          <w:color w:val="auto"/>
        </w:rPr>
        <w:t xml:space="preserve"> The adoption of ASC 606 represents a change in accounting principle. In accordance with ASC 606, revenue is recognized when a customer obtains control of promised services and products. The amount of revenue recognized reflects the consideration that we expect to be entitled to receive in exchange for these services and products.</w:t>
      </w:r>
    </w:p>
    <w:p>
      <w:pPr>
        <w:spacing w:after="0" w:line="1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Prior to the adoption of ASC 606, we recognized the majority of our revenues using the percentage-of-completion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 rather than as the products are delivered.</w:t>
      </w:r>
    </w:p>
    <w:p>
      <w:pPr>
        <w:spacing w:after="0" w:line="18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30, 2018 to the Year Ended December 31,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30, 2018 and December 31, 2017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71"/>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284.4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485.1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 product sales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97"/>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618.0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603.3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5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417.3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55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618.0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Revenues increased $14.7 million to $618.0 million for the year ended December 30, 2018 from $603.3 million for the year ended December 31, 2017. The increase in revenues was the result of an increase of $3.5 million in our KGS segment revenues primarily resulting from an increase in Kratos’ training solutions business of $22.0 million, a $6.0 million impact from the acceleration in revenue recognition resulting from the implementation of ASC 606, offset by a reduction of $17.1 million in our legacy government services revenues which have continued to be impacted by the commoditization experienced in the government services industry as well as the impact of contracts being awarded on an LPTA basis and by a reduction of $3.7 million in our C5ISR modular systems business, and a reduction of $3.7 million of other services related business. Increased revenues of $11.2 million in our US segment resulted from the approximately $24.0 million impact from the acceleration in revenue recognition resulting from the implementation of ASC 606 that was positively affected by recent contract awards for our aerial target products, with approximately $11.3 million attributable to the AFSAT Lot 14 award of approximately $27 million in 2018, which is recorded under the percentage-of-completion cost-to-cost method as compared to the percentage-of-completion units-of-delivery method under ASC 605. In addition, work performed to manufacture Firejet high performance unmanned aerial systems under the recent awards from the U.S. Army and the Swedish Defence Materiel Administration are both now also recognized using the percentage-of-completion cost-to-cost method method versus the percentage-of-completion units-of-delivery method under ASC 605. These increases were partially offset by reductions related to work completed under our initial contract with the DIUx and certain foreign governments.</w:t>
      </w:r>
    </w:p>
    <w:p>
      <w:pPr>
        <w:spacing w:after="0" w:line="17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Product sales increased $11.8 million to $417.3 million for the year ended December 30, 2018 from $405.5 million for the year ended December 31, 2017, primarily as a result of a $30.0 million impact from the acceleration in revenue recognition resulting from the implementation of ASC 606, that was positively affected by an increase in production activity in our US segment under the percentage-of-completion cost-to-cost method method versus the percentage-of-completion units-of-delivery method under ASC 605. As a percentage of total revenue, product sales were 67.5% for the year ended December 30, 2018, as compared to 67.2% for the year ended December 31, 2017. Service revenues increased by $2.9 million to $200.7 million for the year ended December 30, 2018, from $197.8 million for the year ended December 31,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described in our “Critical Accounting Principles and Estimates” below and in the Notes to Consolidated Financial Statements contained within this Annual Report, prior to the adoption of ASC 606, we recognized the majority of our revenues using the percentage-of-completion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83"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to $448.3 million for the year ended December 30, 2018, from $445.7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The $2.6 million increase in cost of revenues was primarily a result of increased revenue discussed above.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Gross margin percentage increased to 27.5% for the year ended December 30, 2018, compared to 26.1% for the year ended December 31, 2017. Margins on services increased to 31.3% for the year ended December 30, 2018 from 29.9% for the year ended December 31, 2017, due primarily to a more favorable mix of revenues including the Company’s de-emphasis of lower margin opportunities. Margins on product sales increased for the year ended December 30, 2018, as compared to December 31, 2017 to 25.6% from 24.3%, respectively, primarily as a result of a change in the mix of products sold including the Company’s de-emphasis of lower margin opportunities. Margins in the KGS segment increased to 29.1% for the year ended December 30, 2018 from 27.5% for the year ended December 31, 2017, primarily due to a more favorable mix of products produced including the Company’s de-emphasis of lower margin opportunities. Margins in the US segment increased to 21.3% for the year ended December 30, 2018 from 20.5% for the year ended December 31, 2017, primarily due to a more favorable mix of products produced and shipped in the year ended December 30, 2018, the migration from development to production on certain platforms and the leverage on the overhead and manufacturing base due to the increase in production volumes and a de-emphasis of lower margin opportunities.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(SG&amp;A). </w:t>
      </w:r>
      <w:r>
        <w:rPr>
          <w:rFonts w:ascii="Arial" w:cs="Arial" w:eastAsia="Arial" w:hAnsi="Arial"/>
          <w:sz w:val="17"/>
          <w:szCs w:val="17"/>
          <w:color w:val="auto"/>
        </w:rPr>
        <w:t>SG&amp;A decreased $7.5 million to $119.8 million for the year ended December 30, 2018, from</w:t>
      </w:r>
      <w:r>
        <w:rPr>
          <w:rFonts w:ascii="Arial" w:cs="Arial" w:eastAsia="Arial" w:hAnsi="Arial"/>
          <w:sz w:val="17"/>
          <w:szCs w:val="17"/>
          <w:i w:val="1"/>
          <w:iCs w:val="1"/>
          <w:color w:val="auto"/>
        </w:rPr>
        <w:t xml:space="preserve"> </w:t>
      </w:r>
      <w:r>
        <w:rPr>
          <w:rFonts w:ascii="Arial" w:cs="Arial" w:eastAsia="Arial" w:hAnsi="Arial"/>
          <w:sz w:val="17"/>
          <w:szCs w:val="17"/>
          <w:color w:val="auto"/>
        </w:rPr>
        <w:t>$127.3 million for the year ended December 31, 2017. The decrease was primarily the result of cost reduction actions taken by the Company and the reduction of amortization of intangibles as a result of them being fully amortized in 2018. As a percentage of revenues, SG&amp;A decreased to 19.4% for the year ended December 30, 2018 from 21.1% for the year ended December 31, 2017. Excluding amortization of intangibles of $5.9 million for the year ended December 30, 2018, and amortization of intangibles of $10.4 million for the year ended December 31, 2017, SG&amp;A decreased as a percentage of revenues to 18.4% from 19.4% for the year ended December 30, 2018 and December 31, 2017, respectively.</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Internal research and development (IR&amp;D) expenses. </w:t>
      </w:r>
      <w:r>
        <w:rPr>
          <w:rFonts w:ascii="Arial" w:cs="Arial" w:eastAsia="Arial" w:hAnsi="Arial"/>
          <w:sz w:val="18"/>
          <w:szCs w:val="18"/>
          <w:color w:val="auto"/>
        </w:rPr>
        <w:t>IR&amp;D expenses decreased to $15.6 million for the year ended December 30, 2018 from $17.8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2017. As a percentage of revenues, IR&amp;D decreased to 2.5% of revenues for the year ended December 30, 2018 from 3.0% of revenues for the year ended December 31, 2017. IR&amp;D expenditures are primarily related to investments we are making in coordination with our customers, with the objective of the Company owning the data package of a new system or platforms, or a “designed-in” position on our products on certain new long-term program opportunities.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The expense of $3.8 million for the year ended December 30, 2018, was primarily due to a litigation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now been finalized, and related legal costs of approximately $2.8 million, and employee termination costs of approximately $1.0 million related to personnel reduction actions taken in 2018. The expense of $0.3 million for the year ended December 31, 2017, was related to employee termination costs associated with personnel reduction actions taken during the year.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Impairment of goodwill includes a charge of $24.2 million for the year ended December 31, 2017 resulting from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of the carrying value of the goodwill balance of our DRSS reporting unit within the KGS segment. There was no impairment charge for the year ended December 30, 2018.</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decreased to $21.8 million from $45.1 million for the years ended December 30, 2018 and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respectively. The decrease in expense of $23.3 million was primarily related to a $17.3 million loss on the extinguishment of the 7% Notes in 2017, a reduction in net interest of $7.8 million to $20.8 million for the year ended December 30, 2018 from $28.6 million for the year ended December 31, 2017 as a result of the Company’s refinancing of its 7% Notes in November 2017, which resulted in a reduced borrowing rate from 7.0% to 6.5% and a reduced outstanding principal balance from $431 million to $300 million, offset by foreign currency transaction losses for the year ended December 30, 2018 as compared to foreign currency transaction gains in the year ended December 31, 2017.</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Provision (benefit) for income taxes from continuing operations. </w:t>
      </w:r>
      <w:r>
        <w:rPr>
          <w:rFonts w:ascii="Arial" w:cs="Arial" w:eastAsia="Arial" w:hAnsi="Arial"/>
          <w:sz w:val="18"/>
          <w:szCs w:val="18"/>
          <w:color w:val="auto"/>
        </w:rPr>
        <w:t>The benefit for income taxes from continuing operations changed to a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$4.6 million on income from continuing operations before income taxes of $8.7 million for the year ended December 30, 2018 from a benefit of $10.2 million on a loss of $57.1 million from continuing operations before income taxes for the year ended December 31, 2017. The tax provision for the year ended December 30, 2018 was primarily comprised of an increase in uncertain tax positions of $4.0 million, in addition to state and foreign taxes. The tax provision for the year ended December 31, 2017 was primarily comprised of foreign and state taxes offset by a $13.2 million deferred tax benefit as a result of enactment of the Tax Cuts and Jobs Act of 2017 (the “2017 Tax Act”).</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Effective January 1, 2018, the 2017 Tax Act requires the acceleration of revenue for tax purposes for certain types of revenue. The new rules require that we do not defer revenue on our unbilled accounts receivable later than the amounts are recognized in revenue for book purposes. This change impacts several accounting methods previously used by us and is expected to result in an acceleration of taxability of such revenue beginning in 2018 as compared with prior U.S. tax laws. Additionally, future interest deductions of the Company will be limited to 30% of tax adjusted EBITDA through 2021.</w:t>
      </w:r>
    </w:p>
    <w:p>
      <w:pPr>
        <w:spacing w:after="0" w:line="154"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The loss from discontinued operations was $7.6 million for the year ended December 30, 2018,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 a loss of $6.7 million from operating activities through the completion of the Transaction and approximately $2.7 million of transaction-related expenses. The income from discontinued operations was $4.2 million from operating activities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2017 to the Year Ended December 25,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31, 2017 and December 25, 2016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197.8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481.6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 product sales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60.6 %</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603.3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11.3 %</w:t>
            </w:r>
          </w:p>
        </w:tc>
      </w:tr>
      <w:tr>
        <w:trPr>
          <w:trHeight w:val="311"/>
        </w:trPr>
        <w:tc>
          <w:tcPr>
            <w:tcW w:w="5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197.8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26.5 %</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603.3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increased $61.4 million to $603.3 million for the year ended December 31, 2017 from $541.9 million for the year ended December 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increase in revenues was the result of increased revenues of $15.5 million in our KGS segment primarily resulting from increased shipments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work performed in our satellite communications business of approximately $14.1 million, our simulation and training systems business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$16.1 million and our specialized ground equipment products business of $4.4 million. These increases were offset by a reduction in our government services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of approximately $19.2 million, which has been impacted by continued commoditization and price competiveness in the government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industry due to contract awards on a LPTA basis rather than on a best value basis. Increased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of $45.9 million in our US segment resulted from recent contract awards in unmanned combat aerial systems which includes the commencement in July 2017 of low rate initial production of our SSAT/177 aerial targets for the U.S. Navy, as well as an increase in shipments of other unmanned aerial target systems.</w:t>
      </w:r>
    </w:p>
    <w:p>
      <w:pPr>
        <w:spacing w:after="0" w:line="12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Product sales increased $84.9 million to $405.5 million for the year ended December 31, 2017 from $320.6 million for the year ended December 25, 2016, primarily as a result of the increase in product shipments due to the factors discussed above in our KGS and US segments. As a percentage of total revenue, product sales were 67.2% for the year ended December 31, 2017, as compared to 59.2% for the year ended December 25, 2016. Service revenues decreased by $23.5 million to $197.8 million for the year ended December 31, 2017, from $221.3 million for the year ended December 25, 2016, primarily due to the decline in our legacy government services business discussed previously.</w:t>
      </w:r>
    </w:p>
    <w:p>
      <w:pPr>
        <w:spacing w:after="0" w:line="173"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to $445.7 million for the year ended December 31, 2017, from $421.4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25, 2016. The $24.3 million increase in cost of revenues was primarily a result of increased revenue discussed above.</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Gross margin percentage increased to 26.1% for the year ended December 31, 2017, compared to 22.2% for the year ended December 25, 2016. Margins on services increased to 29.9% for the year ended December 31, 2017 from 26.8% for the year ended December 25, 2016, due primarily to a more favorable mix of revenues and due to the impact of cost reduction actions that we took in 2016 in our modular systems business. Margins on product sales increased for the year ended December 31, 2017, as compared to December 25, 2016 to 24.3% from 19.1%, respectively, primarily as a result of a change in the mix of products sold, and the ramp in production in our US segment as we have commenced low rate initial production on our SSAT/177 program for the U.S. Navy. In addition, the 2016 gross profit and gross margin included an $18.7 million loss accrual recorded on the LCASD cost share contract incurred in order to retain the intellectual property rights for the new LCASD platform. Margins in the KGS segment increased to 27.5% for the year ended December 31, 2017 from 26.3% for the year ended December 25, 2016, primarily as a result of change in the mix of products sold. Margins in the US segment increased to 20.5% for the year ended December 31, 2017 from (2.9)% for the year ended December 25, 2016, which reflects the ramp in low rate initial production, the increase in revenues and the effect from the $18.7 million loss accrual recorded on the LCASD cost share contract during 2016.</w:t>
      </w:r>
    </w:p>
    <w:p>
      <w:pPr>
        <w:spacing w:after="0" w:line="16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(SG&amp;A). </w:t>
      </w:r>
      <w:r>
        <w:rPr>
          <w:rFonts w:ascii="Arial" w:cs="Arial" w:eastAsia="Arial" w:hAnsi="Arial"/>
          <w:sz w:val="17"/>
          <w:szCs w:val="17"/>
          <w:color w:val="auto"/>
        </w:rPr>
        <w:t>SG&amp;A increased $12.7 million to $127.3 million for the year ended December 31, 2017, from</w:t>
      </w:r>
      <w:r>
        <w:rPr>
          <w:rFonts w:ascii="Arial" w:cs="Arial" w:eastAsia="Arial" w:hAnsi="Arial"/>
          <w:sz w:val="17"/>
          <w:szCs w:val="17"/>
          <w:i w:val="1"/>
          <w:iCs w:val="1"/>
          <w:color w:val="auto"/>
        </w:rPr>
        <w:t xml:space="preserve"> </w:t>
      </w:r>
      <w:r>
        <w:rPr>
          <w:rFonts w:ascii="Arial" w:cs="Arial" w:eastAsia="Arial" w:hAnsi="Arial"/>
          <w:sz w:val="17"/>
          <w:szCs w:val="17"/>
          <w:color w:val="auto"/>
        </w:rPr>
        <w:t>$114.6 million for the year ended December 25, 2016. The increase was primarily the result of the increase in revenues described previously. As a percentage of revenues, SG&amp;A remained the same at 21.1% for fiscal 2017 and 21.1% for fiscal 2016. Excluding amortization of intangibles of $10.4 million for the year ended December 31, 2017, and amortization of intangibles of $10.5 million for the year ended December 25, 2016, SG&amp;A increased slightly as a percentage of revenues to 19.4% from 19.2% for the year ended December 31, 2017 and December 25, 2016, respectively.</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Internal research and development (IR&amp;D) expenses. </w:t>
      </w:r>
      <w:r>
        <w:rPr>
          <w:rFonts w:ascii="Arial" w:cs="Arial" w:eastAsia="Arial" w:hAnsi="Arial"/>
          <w:sz w:val="18"/>
          <w:szCs w:val="18"/>
          <w:color w:val="auto"/>
        </w:rPr>
        <w:t>IR&amp;D expenses increased to $17.8 million for the year ended December 31, 2017 from $13.9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25, 2016. As a percentage of revenues, IR&amp;D increased to 3.0% of revenues for the year ended December 31, 2017 from 2.6% of revenues for the year ended December 25, 2016. IR&amp;D expenditures are primarily related to investments we are making in conjunction with our customers and prospective customers, with the objectives of our products being the new platform for or “designed in” to certain new long term program opportunities and our owning certain intellectual property rights for products that support these programs primarily in our unmanned systems and microwave electronic businesses as well as technology upgrades and refresh activities that are necessary for the next generation of our existing product lines primarily in our satellite and space communications business.</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Restructuring Expenses and Other. </w:t>
      </w:r>
      <w:r>
        <w:rPr>
          <w:rFonts w:ascii="Arial" w:cs="Arial" w:eastAsia="Arial" w:hAnsi="Arial"/>
          <w:sz w:val="17"/>
          <w:szCs w:val="17"/>
          <w:color w:val="auto"/>
        </w:rPr>
        <w:t>The expense of $0.3 million for the year ended December 31, 2017, was related to employee termination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personnel reduction actions taken during the year. The expense of $10.0 million for the year ended December 25, 2016, was due to a $9.2 million charge that was recorded in the Company’s modular systems business as a result of the closure of one of its manufacturing facilities, as well as, the exit from certain lower margin product business lines and employee termination costs related to personnel reduction actions taken in the first quarter of 2016. The restructuring charge recorded in our modular systems business was comprised of $4.9 million related to fixed and intangible assets, of which $1.4 million was recorded in the fourth quarter of 2016 reflecting the write-down to estimated fair value of one of its facilities, $3.0 million related to exited product lines and $1.3 million related to excess facilities.</w:t>
      </w:r>
    </w:p>
    <w:p>
      <w:pPr>
        <w:spacing w:after="0" w:line="178"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Impairment of goodwill includes a charge of $24.2 million for the year ended December 31, 2017 resulting from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of the carrying value of the goodwill balance of our DRSS reporting unit within the KGS segment. The majority of this business includes our legacy government services business, which we deemphasized in 2010 and no longer consider a core business area. The expected future performance for the DRSS reporting unit has been adversely impacted by competitive pressures and commoditization resulting from lower priced technically acceptable awards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rather than awards based on best value. Specifically, we lost two sizable five-year contract opportunities, which significantly impacted the expected future financial performance of the DRSS business.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to $45.1 million from $33.8 million for the years ended December 31, 2017 and December 25,</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The increase in expense of $11.3 million was primarily related to a $17.3 million loss on the extinguishment of the 7% Notes in 2017, a reduction in net interest of $6.1 million to $28.6 million for the year ended December 31, 2017 from $34.7 million for the year ended December 25, 2016 as a result of the Company’s repurchase and extinguishment of approximately $77.2 million of our 7% Notes since the fourth quarter of 2016.</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Provision (benefit) for income taxes from continuing operations. </w:t>
      </w:r>
      <w:r>
        <w:rPr>
          <w:rFonts w:ascii="Arial" w:cs="Arial" w:eastAsia="Arial" w:hAnsi="Arial"/>
          <w:sz w:val="17"/>
          <w:szCs w:val="17"/>
          <w:color w:val="auto"/>
        </w:rPr>
        <w:t>The provision for income taxes from continuing operations changed to a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$10.2 million on a loss from continuing operations before income taxes of $57.1 million for the year ended December 31, 2017 from an expense of $5.8 million on a loss of $51.8 million from continuing operations before income taxes for the year ended December 25, 2016. The tax benefit for the year ended December 31, 2017 was primarily comprised of foreign and state taxes offset by a tax benefit for the decrease of $13.2 million in the indefinite life deferred tax liability as a result of enactment of the 2017 Tax Act. Effective January 1, 2018, the 2017 Tax Act requires the acceleration of revenue for tax purposes for certain types of revenue. The new rules require that we do not defer revenue on our unbilled accounts receivable later than the amounts are recognized in revenue for book purposes. This change impacts several accounting methods previously used by us and is expected to result in an acceleration of taxability of such revenue beginning in 2018 as compared with prior U.S. tax laws. Additionally, future interest deductions of the company will be limited to 30% of tax adjusted EBITDA through 2021.</w:t>
      </w:r>
    </w:p>
    <w:p>
      <w:pPr>
        <w:spacing w:after="0" w:line="18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income from discontinued operations was $4.2 million for the year ended December 31,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loss from discontinued operations was $2.9 million for the year ended December 25,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of December 30, 2018, we had cash and cash equivalents of $182.7 million compared with cash and cash equivalents of $130.5 million as of December 31, 2017, which includes $12.0 million and $10.7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 Included in our cash and cash equivalents at December 30, 2018 are net proceeds of approximately $66 million we received as a result of our divestiture of our PSS business.</w:t>
      </w:r>
    </w:p>
    <w:p>
      <w:pPr>
        <w:spacing w:after="0" w:line="178" w:lineRule="exact"/>
        <w:rPr>
          <w:sz w:val="20"/>
          <w:szCs w:val="20"/>
          <w:color w:val="auto"/>
        </w:rPr>
      </w:pPr>
    </w:p>
    <w:p>
      <w:pPr>
        <w:ind w:right="1040" w:firstLine="648"/>
        <w:spacing w:after="0" w:line="293" w:lineRule="auto"/>
        <w:rPr>
          <w:sz w:val="20"/>
          <w:szCs w:val="20"/>
          <w:color w:val="auto"/>
        </w:rPr>
      </w:pPr>
      <w:r>
        <w:rPr>
          <w:rFonts w:ascii="Arial" w:cs="Arial" w:eastAsia="Arial" w:hAnsi="Arial"/>
          <w:sz w:val="18"/>
          <w:szCs w:val="18"/>
          <w:color w:val="auto"/>
        </w:rPr>
        <w:t>During 2017, we sold approximately 28.0 million shares of our common stock in underwritten public offerings, raising net proceeds of approximately $269.1 million, after deducting underwriting fees and other offering expenses.</w:t>
      </w:r>
    </w:p>
    <w:p>
      <w:pPr>
        <w:spacing w:after="0" w:line="1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20, 2017, we issued and sold $300 million aggregate principal amount of 6.5% Notes in a private placement pursuant to Rule 144A and Regulation S under the Securities Act of 1933, as amended. The proceeds from the 6.5% Notes were used to redeem our existing 7% Senior Secured Notes due 2019 (“7% Notes”) and to pay all fees and expenses, including premium and unpaid interest, if any, related thereto. We incurred debt issuance costs of $6.6 million associated with the new 6.5% Notes. We utilized the net proceeds from the sale of the 6.5% Notes, as well as cash from our recent equity offering to extinguish the outstanding 7% Notes.</w:t>
      </w:r>
    </w:p>
    <w:p>
      <w:pPr>
        <w:spacing w:after="0" w:line="18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total reacquisition price of the 7% Notes was $385.2 million, including a $12.0 million call premium, and $0.3 million of accrued interest. During 2017, we decreased long term indebtedness by $135.5 million utilizing cash on hand and the proceeds from the 6.5% Notes, resulting in a loss on extinguishment of debt of $17.3 million during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total debt, including principal due on the 6.5% Notes, other term debt, and debt issuance costs of $5.8 million, decreased by $0.1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$294.2 million as of December 30, 2018 from $294.3 million as of December 31, 2017. The decrease in total debt was due to the principal payment required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our ten-year term loan with a bank in Israel, which was paid in full in 2018, offset partially by the amortization of deferred financing costs on our 6.5%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use our operating cash flow to finance trade accounts receivable, fund necessary increases in inventory, which may include leaning forward to procure long-lead materials for certain of our unmanned systems programs at our customers’ request, prior to receipt of customer contractual funding documents, fund capital expenditures, our IR&amp;D investments, and our ongoing operations, service our debt and make strategic acquisitions. Financing trade accounts receivable is necessary because,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average, our customers do not pay us as quickly as we pay our vendors and employees for their goods and services since a number of our receivables are contractually billable and due to us only when certain contractual milestones are achieved, certain of which are not achieved until final shipment and acceptance of our products.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increased to 140 days as of December 30, 2018 from 128 days as of December 31, 2017. Our DSOs can fluctuate from period to period,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of our large training systems deliveries, and therefore we are unable to contractually bill for amounts outstanding related to those milestones at this time. We are currently in dispute with an international customer in our US segment over approximately $11.2 million in unbilled receivables outstanding as of December 30, 2018. The dispute concerns the completion of flight requirements and contractual milestones.</w:t>
      </w:r>
    </w:p>
    <w:p>
      <w:pPr>
        <w:spacing w:after="0" w:line="16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2018</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25, 2016</w:t>
            </w:r>
          </w:p>
        </w:tc>
      </w:tr>
      <w:tr>
        <w:trPr>
          <w:trHeight w:val="243"/>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cash provided by and used in operating activities was impacted by interest expense we paid related to our senior secured notes. We paid $20.5 million, $28.3 million, and $32.4 million in interest expense in 2018, 2017, and 2016, respectively. Cash provided by (used in) operating activities in 2018, 2017 and 2016 was also negatively impacted by discretionary investments we have made in internally funded research and development of $15.6 million in 2018, $17.8 million in 2017 and $13.9 million in 2016, contract development costs on new platforms in our US segment, and increased SG&amp;A expenditures primarily related to business capture pursuits in the tactical unmanned aircraft systems initiatives, as well as changes in working capital accounts. The net use in working capital accounts for 2018 and 2017 includes approximately $3.6 and $7.7 million, respectively, of internal development product development investments that are non-capital expenditures we are making related to the LCASD or “Valkyrie”. The increase in cash provided by operating activities in 2018 compared to 2017 reflects the increased operating income generated in 2018 as a result of the increase in revenues, a more favorable mix of revenues and the leverage on the Company’s manufacturing overhead and administrative infrastructure.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provided by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2018</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25, 2016</w:t>
            </w: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Net cash provided by (used in) investing activities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Net cash provided by investing activities from continuing operations for year ended December 30, 2018 was positively impacted by the approximately $66.0 million net proceeds, net of related transaction expenses, received from the Transaction. We currently expect to receive approximately $70 million of aggregate net cash proceeds from the Transaction, after taking into account amounts to be paid by us pursuant to a negotiated transaction services agreement between us and the Buyer, receipt of approximately $7.0 million in net working capital retained by us, and associated transaction fees and expenses, excluding the impact of the final settlement and determination of the closing net working capital adjustment. We are currently in a dispute with the Buyer regarding the closing net working capital adjustment. The amount in dispute is approximately $8.0 million. We currently expect that the net working capital retained by the Company will be collected in the first half of 2019 once certain legacy projects are completed and the project close-out process has been completed. These proceeds were partially offset by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capital expenditures of $22.6 million, which consist of investments in machinery, computer hardware and software and improvement of our physical properties in order to maintain suitable conditions in which to conduct our business, capital expenditures of $13.2 million in our US segment to build Company-owned tactical aircraft and related equipment related to the LCASD and UTAP-22 or Mako platforms, as well as, capital expenditures of $2.9 million related to a previous strategic investment in a satellite signal monitoring, signal intelligence and location identification technology and product line to enhance our existing space and satellite communications business offering.</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Net cash used in investing activities from continuing operations for 2017 and 2016 was primarily driven by capital expenditures, which reflects investments we made for certain machinery, test equipment, demonstration units and Company-owned aircraft in our unmanned aerial systems business, and to a lesser degree, investments we made in our microwave electronic products business, and our space and satellite communications business. The 2017 capital expenditures included approximately $13.2 million related to investments we are making in our US segment to build Company-owned tactical aircraft and related equipment related to the LCASD and UTAP-22 or Mako platforms. In addition, we used $5.1 million during the fourth quarter of 2016 to fund a strategic initial investment in a satellite signal monitoring, signal intelligence and location identification technology and product line to enhance our existing space and satellite communications business offering.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2018</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25, 2016</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76.2</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under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restricted stock units, employee stock options, and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r>
      <w:tr>
        <w:trPr>
          <w:trHeight w:val="20"/>
        </w:trPr>
        <w:tc>
          <w:tcPr>
            <w:tcW w:w="6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Net cash provided by financing activities from continuing operations was $1.7 million for the year ended December 30, 2018, which includes $1.1 million of fees paid in the beginning of 2018 related to the equity offerings that were completed in 2017. Net cash provided by financing activities from continuing operations for the year ended December 31, 2017 included $269.1 million in net proceeds from the equity offerings we completed in the first and fourth quarters of 2017 and $300.0 million in proceeds from the issuance of our 6.5% Notes. The net proceeds from the issuance of our 6.5% Notes along with approximately $155.1 million from the proceeds from the equity offerings was used to buy back and redeem approximately $435.5 million of our 7% Notes. Net cash flows provided by financing activities for the year ended December 25, 2016 included $76.2 million in net proceeds from the equity offering we completed in the fourth quarter of 2016, $14.1 million of which was used to buy back and redeem approximately $14.5 million of our 7% Notes.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2018</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4"/>
                <w:szCs w:val="14"/>
                <w:b w:val="1"/>
                <w:bCs w:val="1"/>
                <w:color w:val="auto"/>
                <w:w w:val="99"/>
              </w:rPr>
              <w:t>December 25, 2016</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cash flows of discontinued operations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investing cash flows of discontinued operations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net operating cash flow of discontinued operations for the year ended December 30, 2018 is substantially related to the discontinued operations of our PSS business unit, which includes the payment of $3.5 million to the Buyer of the PSS business pursuant to a negotiated transaction services agreement. The investing cash flow provided by discontinued operations for the year ended December 25, 2016 reflects the reimbursement of taxes from the buyer of our wholly owned subsidiary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Herley Industries, Inc. (“Herley”) and certain of Herley’s subsidiaries, including Herley-CTI, Inc., EW Simulation Technology, Ltd. and Stapor Research,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“Herley Entities”) received in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The net proceeds from the issuance of the 6.5% Notes were $295.5 million after expenses of $4.5 million. We utilized the net proceeds from the sale of the 6.5% Notes, as well as cash from our recent equity offering to extinguish our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the “Guarantees”)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our assets.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Indenture contains covenants limiting, among other things, our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w:t>
      </w:r>
    </w:p>
    <w:p>
      <w:pPr>
        <w:jc w:val="both"/>
        <w:ind w:firstLine="8"/>
        <w:spacing w:after="0" w:line="255"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(i) enter into transactions with affiliates; and (j) enter into agreements restricting our ability and certain of our subsidiaries’ ability to pay dividends. These covenants are subject to a number of exceptions. As of December 30, 2018, we were in compliance with the covenants contained in the Indenture governing the 6.5% Notes.</w:t>
      </w:r>
    </w:p>
    <w:p>
      <w:pPr>
        <w:spacing w:after="0" w:line="19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5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we refinanced our $625.0 million in outstanding 10% Notes with $625.0 million of newly issued 7% Notes. The net proceeds from the issuance of the 7% Notes was $618.5 million after an original issue discount of $6.5 million. We incurred debt issuance costs of $8.8 million associated with the new 7% Notes. We utilized the net proceeds from the 7%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 On October 16, 2014, we exchanged the outstanding 7% Notes for an equal amount of 7% Notes that had been registered under the Act.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7% Notes were governed by the Indenture, dated May 14, 2014, among the Company, all of the Company’s 100% owned domestic subsidiaries, as the Subsidiary Guarantors and Wilmington Trust, National Association, as Trustee and Collateral Agent. We paid interest on the 7%Notes semi-annually, in arrears, on May 15 and November 15 of each year. The 7% Notes included customary covenants and events of default as well as a consolidated fixed charge ratio of 2.0:1 for the incurrence of additional indebtedness.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year ended December 27, 2015, we repurchased $175.0 million of the 7% Notes at par, in accordance with the Indenture and on August 21, 2015 paid down the $41.0 million outstanding on the $110.0 million Credit Agreement. The total reacquisition price of the 7% Notes was $178.4 million including the write off of $1.8 million of unamortized issue costs, $1.4 million of unamortized discount, and incurred $0.2 million of legal fees, which resulted in a loss on extinguishment of debt of $3.4 million.</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year ended December 25, 2016, we repurchased and extinguished $14.5 million of the outstanding 7% Notes which resulted in a gain of $0.4 million offset by $0.1 million of unamortized issuance cost and $0.1 million of unamortized discount resulting in a net gain of $0.2 million, in accordance with the terms of the Indenture.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year ended December 31, 2017, we redeemed and extinguished the remaining $435.5 million of outstanding 7% Notes as of December 25, 2016, which resulted in a loss on extinguishment of debt of $13.4 million and the realization of $2.3 million of unamortized issuance cost and $1.6 million of unamortized discount, resulting in a loss on extinguishment of debt of $17.3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we entered into a $110.0 million Credit and Security Agreement, dated May 14, 2014 (as amended from time to time,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our accounts receivable, inventory, deposit accounts, securities accounts, cash, securities and general intangibles (other than intellectual property). The obligations under the Credit Agreement are secured by a second priority lien, junior to the lien securing our senior secured notes, on all of our other assets.</w:t>
      </w:r>
    </w:p>
    <w:p>
      <w:pPr>
        <w:spacing w:after="0" w:line="18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December 30, 2018,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7% Notes with proceeds from the sale of the Herley Entities shall be deemed to have occurred on the first day of the most recently completed four quarterly reporting periods prior to the sale.</w:t>
      </w:r>
    </w:p>
    <w:p>
      <w:pPr>
        <w:spacing w:after="0" w:line="17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was placed in escrow by the Buyer to cover the amount of such outstanding letters of credit, should the letters of credit be pulled.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20, 2017, we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 line loan. Base rate revolving loans and swing 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 line loans and</w:t>
      </w:r>
    </w:p>
    <w:p>
      <w:pPr>
        <w:spacing w:after="0" w:line="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 held eligible raw materials inventory, work-in-process inventory, and applicable reserves.</w:t>
      </w:r>
    </w:p>
    <w:p>
      <w:pPr>
        <w:spacing w:after="0" w:line="15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measurement of a minimum fixed charge coverage ratio was modified in the November 2017 amended and restated Credit Agreement to be required to be measured if Excess Availability, as defined in the Credit Agreement, is less than fifty percent of the lesser of the Borrowing Base or the Total Commitment Amount, each as defined in the Credit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December 30, 2018, there were no borrowings outstanding on the Credit Agreement and $9.7 million was outstanding on letters of credit, resulting in net borrowing base availability of $51.4 million. We were in compliance with the financial covenants of the Credit Agreement as of December 30,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assumed a $10.0 million ten-year term loan with a bank in Israel that Herley entered into on September 16, 2008 in connection with the acquisition of one of its wholly owned subsidiaries. The term loan was paid in full in the quarter ended September 30,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at December 30, 2018, and the effect such obligations could have on our liquidity and cash flow in future periods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Payments Due/Forecast by Period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6"/>
        </w:trPr>
        <w:tc>
          <w:tcPr>
            <w:tcW w:w="35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2020 - 2021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2022 - 2023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 and After</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 of interest(1)</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Estimated interest on debt(2)</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136.5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39.0</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orders(3)</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leases(4)</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117.2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63.1</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Unrecognized tax benefits, including interest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3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and penalties(5)</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380"/>
              <w:spacing w:after="0"/>
              <w:rPr>
                <w:sz w:val="20"/>
                <w:szCs w:val="20"/>
                <w:color w:val="auto"/>
              </w:rPr>
            </w:pPr>
            <w:r>
              <w:rPr>
                <w:rFonts w:ascii="Arial" w:cs="Arial" w:eastAsia="Arial" w:hAnsi="Arial"/>
                <w:sz w:val="18"/>
                <w:szCs w:val="18"/>
                <w:color w:val="auto"/>
                <w:w w:val="93"/>
              </w:rPr>
              <w:t>Total commitments and recorded liabilities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686.1</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152.3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402.1</w:t>
            </w:r>
          </w:p>
        </w:tc>
      </w:tr>
      <w:tr>
        <w:trPr>
          <w:trHeight w:val="20"/>
        </w:trPr>
        <w:tc>
          <w:tcPr>
            <w:tcW w:w="3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9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6.5% Notes in the aggregate outstanding principal amount of $300.0 million are due November 30, 2025. See Note 4 in the Notes to Consolidated Financial Statements contained within this Annual Report for further details.</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interest payments on the 6.5% Notes. See Note 4 in the Notes to Consolidated Financial Statements contained within in this Annual Report for further details.</w:t>
      </w:r>
    </w:p>
    <w:p>
      <w:pPr>
        <w:spacing w:after="0" w:line="170"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70"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entered into or acquired various non-cancelable operating lease agreements that expire on various dates through 2033. The amounts include $2.4 million in excess facility costs and exclude expected sublease income. See Note 5 in the Notes to Consolidated Financial Statements contained within this Annual Report for further details.</w:t>
      </w:r>
    </w:p>
    <w:p>
      <w:pPr>
        <w:spacing w:after="0" w:line="181"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30, 2018, we have an $8.1 million noncurrent liability for uncertain tax positions and a $6.4 million guarantor liability, all of which may result in cash payments. The future payments related to uncertain tax positions have not been presented in the table above due to the uncertainty of the amounts and timing of cash settlements with the taxing authorities.</w:t>
      </w:r>
    </w:p>
    <w:p>
      <w:pPr>
        <w:spacing w:after="0" w:line="18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As of December 30, 2018, we have $9.7 million of standby letters of credit outstanding. Our letters of credit are primarily related to milestone payments received from foreign customers for which the customer has not yet received the product. Additional information regarding our financial commitments at December 30, 2018 is provided in the Notes to Consolidated Financial Statements contained in this Annual Report, specifically Note 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believe our cash on hand, together with funds available under the Credit Agreement and cash expected to be generated from operating activities will be sufficient to fund our anticipated working capital and other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stock-based compensation,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6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generate our revenue primarily from three different types of contractual arrangements: cost-plus-fee contracts, time-and-materials 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 Effective January 1, 2018, we adopted the requirements of</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ASC 606, utilizing the modified retrospective method as discussed in Note 1 of the Notes to Consolidated Financial Statements contained within this Annual Report.</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reported results for 2018 reflect the application of ASC 606 guidance while the reported results for periods prior to January 1, 2018 were prepared under the guidance of ASC 605. The adoption of ASC 606 represents a change in accounting principle. In accordance with ASC 606, revenue is recognized when a customer obtains control of promised services and products. The amount of revenue recognized reflects the consideration that we expect to be entitled to receive in exchange for these services and products.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Prior to the adoption of ASC 606, we recognized the majority of our revenues using the percentage-of-completion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w:t>
      </w:r>
    </w:p>
    <w:p>
      <w:pPr>
        <w:spacing w:after="0" w:line="16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 whether each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promised good or service is distinct. We then recognize as revenue the amount of the transaction price that is allocated to the respective performance obligation when (or as) the performance obligation is satisfied.</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The majority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 We classify contract revenues as product sales or service revenues depending upon the predominant attributes of the relevant underlying contracts.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From time to time, we may proceed with work based on customer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customer, communications with the customer regarding funding status, and our knowledge of available funding for the contract or program.</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potential inability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2"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 FASB ASC</w:t>
      </w:r>
      <w:r>
        <w:rPr>
          <w:rFonts w:ascii="Arial" w:cs="Arial" w:eastAsia="Arial" w:hAnsi="Arial"/>
          <w:sz w:val="16"/>
          <w:szCs w:val="16"/>
          <w:i w:val="1"/>
          <w:iCs w:val="1"/>
          <w:color w:val="auto"/>
        </w:rPr>
        <w:t xml:space="preserve"> Topic 360 Property, Plant, and Equipment </w:t>
      </w:r>
      <w:r>
        <w:rPr>
          <w:rFonts w:ascii="Arial" w:cs="Arial" w:eastAsia="Arial" w:hAnsi="Arial"/>
          <w:sz w:val="16"/>
          <w:szCs w:val="16"/>
          <w:color w:val="auto"/>
        </w:rPr>
        <w:t>(“Topic 360</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Topic 360 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spacing w:after="0" w:line="253" w:lineRule="auto"/>
        <w:rPr>
          <w:sz w:val="20"/>
          <w:szCs w:val="20"/>
          <w:color w:val="auto"/>
        </w:rPr>
      </w:pPr>
      <w:r>
        <w:rPr>
          <w:rFonts w:ascii="Arial" w:cs="Arial" w:eastAsia="Arial" w:hAnsi="Arial"/>
          <w:sz w:val="18"/>
          <w:szCs w:val="18"/>
          <w:color w:val="auto"/>
        </w:rPr>
        <w:t>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9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8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based 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We perform our impairment test for goodwill in accordance with ASC </w:t>
      </w:r>
      <w:r>
        <w:rPr>
          <w:rFonts w:ascii="Arial" w:cs="Arial" w:eastAsia="Arial" w:hAnsi="Arial"/>
          <w:sz w:val="17"/>
          <w:szCs w:val="17"/>
          <w:i w:val="1"/>
          <w:iCs w:val="1"/>
          <w:color w:val="auto"/>
        </w:rPr>
        <w:t>Topic 350, Intangibles-Goodwill and Other (</w:t>
      </w:r>
      <w:r>
        <w:rPr>
          <w:rFonts w:ascii="Arial" w:cs="Arial" w:eastAsia="Arial" w:hAnsi="Arial"/>
          <w:sz w:val="17"/>
          <w:szCs w:val="17"/>
          <w:color w:val="auto"/>
        </w:rPr>
        <w:t>“Topic 350”</w:t>
      </w:r>
      <w:r>
        <w:rPr>
          <w:rFonts w:ascii="Arial" w:cs="Arial" w:eastAsia="Arial" w:hAnsi="Arial"/>
          <w:sz w:val="17"/>
          <w:szCs w:val="17"/>
          <w:i w:val="1"/>
          <w:iCs w:val="1"/>
          <w:color w:val="auto"/>
        </w:rPr>
        <w:t>)</w:t>
      </w:r>
      <w:r>
        <w:rPr>
          <w:rFonts w:ascii="Arial" w:cs="Arial" w:eastAsia="Arial" w:hAnsi="Arial"/>
          <w:sz w:val="17"/>
          <w:szCs w:val="17"/>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73"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KGS has four operating segments: Defense Rocket Support Services (“DRSS”), Microwave Electronics Division (“ME”), Technical and Training Solutions (“TTS”), and Modular Systems (“MS”) that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US reportable segment provides unmanned aerial systems, unmanned ground, and unmanned seaborne systems. We have identified our reporting units to be the DRSS, ME, TTS, and MS operating segments, within the KGS reportable segment, and the US reportable segment, each of which will be tested for potential impairment in our fiscal year 2018 annual test.</w:t>
      </w:r>
    </w:p>
    <w:p>
      <w:pPr>
        <w:spacing w:after="0" w:line="1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also perform impairment tests for goodwill whenever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on the last business day of fiscal October and assume a control premium.</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70" w:lineRule="exact"/>
        <w:rPr>
          <w:sz w:val="20"/>
          <w:szCs w:val="20"/>
          <w:color w:val="auto"/>
        </w:rPr>
      </w:pPr>
    </w:p>
    <w:p>
      <w:pPr>
        <w:ind w:left="980" w:right="80" w:hanging="324"/>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ind w:left="980" w:right="18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ind w:left="980" w:right="140" w:hanging="324"/>
        <w:spacing w:after="0" w:line="29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23" w:lineRule="exact"/>
        <w:rPr>
          <w:rFonts w:ascii="Arial" w:cs="Arial" w:eastAsia="Arial" w:hAnsi="Arial"/>
          <w:sz w:val="18"/>
          <w:szCs w:val="18"/>
          <w:color w:val="auto"/>
        </w:rPr>
      </w:pPr>
    </w:p>
    <w:p>
      <w:pPr>
        <w:ind w:left="980" w:right="60" w:hanging="324"/>
        <w:spacing w:after="0" w:line="271"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We use an estimated control premium in reconciling the aggregate value of our reporting units to our market capitalization. As discussed in </w:t>
      </w:r>
      <w:r>
        <w:rPr>
          <w:rFonts w:ascii="Arial" w:cs="Arial" w:eastAsia="Arial" w:hAnsi="Arial"/>
          <w:sz w:val="17"/>
          <w:szCs w:val="17"/>
          <w:i w:val="1"/>
          <w:iCs w:val="1"/>
          <w:color w:val="auto"/>
        </w:rPr>
        <w:t>Topic 350</w:t>
      </w:r>
      <w:r>
        <w:rPr>
          <w:rFonts w:ascii="Arial" w:cs="Arial" w:eastAsia="Arial" w:hAnsi="Arial"/>
          <w:sz w:val="17"/>
          <w:szCs w:val="17"/>
          <w:color w:val="auto"/>
        </w:rPr>
        <w:t>, control premiums may effectively cause a company’s aggregate fair value of its reporting unit(s) to exceed its current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fourth quarter of 2017, as a result of our annual impairment test of the carrying value of our goodwill balances, we recorded a non-cash impairment charge of $24.2 million against the carrying value of the goodwill of our DRSS reporting unit within the KGS segment, which includes our legacy government services business. In 2010, we changed our strategy to focus on being a systems, product, technology and intellectual property based company and deemphasized the legacy government services businesses. Over the past several years, similar to other businesses operating in the federal government technical services space, this business has been adversely impacted by competitive pressures and commoditization resulting from LPTA awards rather than awards based on best value or that are technologically or performance differentiated. Specifically, we lost two sizable five-year contract opportunities where Kratos was underbid on cost, which significantly impacted the expected future financial performance of this business.</w:t>
      </w:r>
    </w:p>
    <w:p>
      <w:pPr>
        <w:spacing w:after="0" w:line="16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goodwill of the US and KGS reportable segments, after the impact of the impairment recorded during the fourth quarter of 2017, was $97.3 million and $328.4 million, respectively, at December 30, 2018.</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determining the fair value of our reporting units, there are key assumptions related to our future operating performance and revenue growth. If the actual operating performance and financial results are not consistent with our assumptions, a further impairment in our $425.7 million goodwill and $16.1 million long-lived intangibles could occur in future periods. In particular, the US reporting unit fair value includes assumptions that the development of the high performance UCAS product is successful and we are awarded future contracts for the UCAS product and other new tactical unmanned aircraft systems. Additionally, the US reporting unit fair value assumes that the U.S. Navy will exercise options under the existing current contract and we will commence low rate initial production for the Sub-Sonic Aerial Target. For certain of our reporting units, the fair value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179" w:lineRule="exact"/>
        <w:rPr>
          <w:sz w:val="20"/>
          <w:szCs w:val="20"/>
          <w:color w:val="auto"/>
        </w:rPr>
      </w:pPr>
    </w:p>
    <w:p>
      <w:pPr>
        <w:ind w:left="980" w:right="20" w:hanging="324"/>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and political factors that could impact the success of new products, especially related to new unmanned systems platforms.</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It is not possible at this time to determine if an impairment charge would result from these factors, or, if it does, whether such charge would be material. We will continue to monitor our goodwill for potential impairment indicators.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FASB ASC</w:t>
      </w:r>
      <w:r>
        <w:rPr>
          <w:rFonts w:ascii="Arial" w:cs="Arial" w:eastAsia="Arial" w:hAnsi="Arial"/>
          <w:sz w:val="17"/>
          <w:szCs w:val="17"/>
          <w:i w:val="1"/>
          <w:iCs w:val="1"/>
          <w:color w:val="auto"/>
        </w:rPr>
        <w:t xml:space="preserve"> Topic 740 Income Taxes </w:t>
      </w:r>
      <w:r>
        <w:rPr>
          <w:rFonts w:ascii="Arial" w:cs="Arial" w:eastAsia="Arial" w:hAnsi="Arial"/>
          <w:sz w:val="17"/>
          <w:szCs w:val="17"/>
          <w:color w:val="auto"/>
        </w:rPr>
        <w:t>(“</w:t>
      </w:r>
      <w:r>
        <w:rPr>
          <w:rFonts w:ascii="Arial" w:cs="Arial" w:eastAsia="Arial" w:hAnsi="Arial"/>
          <w:sz w:val="17"/>
          <w:szCs w:val="17"/>
          <w:i w:val="1"/>
          <w:iCs w:val="1"/>
          <w:color w:val="auto"/>
        </w:rPr>
        <w:t>Topic 740</w:t>
      </w:r>
      <w:r>
        <w:rPr>
          <w:rFonts w:ascii="Arial" w:cs="Arial" w:eastAsia="Arial" w:hAnsi="Arial"/>
          <w:sz w:val="17"/>
          <w:szCs w:val="17"/>
          <w:color w:val="auto"/>
        </w:rPr>
        <w:t>”) provides the accounting treatment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uncertainty in income taxes recognized in an enterprise’s financial statements.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also provides guidance on derecognizing, classification, interest and penalties, accounting in interim periods, disclosure and transition.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a valuation allowance at December 30, 2018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8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2018 effective tax rate at December 30, 2018 for annual and interim reporting periods could be impacted if uncertain tax positions that are not recognized at December 30, 2018 are settled at an amount which differs from our estimate. Finally, during 2018 and thereafter, if we are impacted by a change in the valuation allowance as of December 30, 2018 resulting from a change in judgment regarding the realizability of deferred tax assets beyond December 30, 2018, such effect will be recognized in the interim period in which the change occurs.</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Contingencies and litigation. </w:t>
      </w:r>
      <w:r>
        <w:rPr>
          <w:rFonts w:ascii="Arial" w:cs="Arial" w:eastAsia="Arial" w:hAnsi="Arial"/>
          <w:sz w:val="18"/>
          <w:szCs w:val="18"/>
          <w:color w:val="auto"/>
        </w:rPr>
        <w:t>We are currently involved in certain legal proceedings. We estimate a range of liability related to pending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where 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w:t>
      </w:r>
      <w:r>
        <w:rPr>
          <w:rFonts w:ascii="Arial" w:cs="Arial" w:eastAsia="Arial" w:hAnsi="Arial"/>
          <w:sz w:val="18"/>
          <w:szCs w:val="18"/>
          <w:i w:val="1"/>
          <w:iCs w:val="1"/>
          <w:color w:val="auto"/>
        </w:rPr>
        <w:t>Topic 450 Contingencies.</w:t>
      </w:r>
      <w:r>
        <w:rPr>
          <w:rFonts w:ascii="Arial" w:cs="Arial" w:eastAsia="Arial" w:hAnsi="Arial"/>
          <w:sz w:val="18"/>
          <w:szCs w:val="18"/>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Note 14 of the Notes to Consolidated Financial Statements contained within this Annual Report for a further discussion of our legal proceedings.</w:t>
      </w:r>
    </w:p>
    <w:p>
      <w:pPr>
        <w:spacing w:after="0" w:line="18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 FASB ASC</w:t>
      </w:r>
      <w:r>
        <w:rPr>
          <w:rFonts w:ascii="Arial" w:cs="Arial" w:eastAsia="Arial" w:hAnsi="Arial"/>
          <w:sz w:val="18"/>
          <w:szCs w:val="18"/>
          <w:i w:val="1"/>
          <w:iCs w:val="1"/>
          <w:color w:val="auto"/>
        </w:rPr>
        <w:t xml:space="preserve"> Topic 718, Compensation-Stock Compensation </w:t>
      </w:r>
      <w:r>
        <w:rPr>
          <w:rFonts w:ascii="Arial" w:cs="Arial" w:eastAsia="Arial" w:hAnsi="Arial"/>
          <w:sz w:val="18"/>
          <w:szCs w:val="18"/>
          <w:color w:val="auto"/>
        </w:rPr>
        <w:t>(“</w:t>
      </w:r>
      <w:r>
        <w:rPr>
          <w:rFonts w:ascii="Arial" w:cs="Arial" w:eastAsia="Arial" w:hAnsi="Arial"/>
          <w:sz w:val="18"/>
          <w:szCs w:val="18"/>
          <w:i w:val="1"/>
          <w:iCs w:val="1"/>
          <w:color w:val="auto"/>
        </w:rPr>
        <w:t>Topic 718</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the measurement and recognition of compensation expense for all stock-based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and directors based on estimated fair values.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valuation provisions of </w:t>
      </w:r>
      <w:r>
        <w:rPr>
          <w:rFonts w:ascii="Arial" w:cs="Arial" w:eastAsia="Arial" w:hAnsi="Arial"/>
          <w:sz w:val="17"/>
          <w:szCs w:val="17"/>
          <w:i w:val="1"/>
          <w:iCs w:val="1"/>
          <w:color w:val="auto"/>
        </w:rPr>
        <w:t>Topic 718</w:t>
      </w:r>
      <w:r>
        <w:rPr>
          <w:rFonts w:ascii="Arial" w:cs="Arial" w:eastAsia="Arial" w:hAnsi="Arial"/>
          <w:sz w:val="17"/>
          <w:szCs w:val="17"/>
          <w:color w:val="auto"/>
        </w:rPr>
        <w:t xml:space="preserve"> apply to new awards and to awards that are outstanding on the effective date and subsequently modified or canceled. We use the Black-Scholes option pricing model and a lattice options pricing model for market condition options to estimate the fair value at the grant date. The Black-Scholes option pricing model was developed for use in estimating the fair value of traded options which have no vesting restrictions and are fully transferable. The lattice options pricing model breaks down the time to expiration into potentially a very large number of time intervals, or steps, which makes it possible to check at every point in an option’s life for the possibility of early exercise. Our employee stock options and restricted stock awards are generally subject to vesting restrictions and are generally not transferable.</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Estimates of stock-based compensation expenses are significant to our Consolidated Financial Statements, but these expenses are based on the valuation provisions of </w:t>
      </w:r>
      <w:r>
        <w:rPr>
          <w:rFonts w:ascii="Arial" w:cs="Arial" w:eastAsia="Arial" w:hAnsi="Arial"/>
          <w:sz w:val="18"/>
          <w:szCs w:val="18"/>
          <w:i w:val="1"/>
          <w:iCs w:val="1"/>
          <w:color w:val="auto"/>
        </w:rPr>
        <w:t>Topic 718</w:t>
      </w:r>
      <w:r>
        <w:rPr>
          <w:rFonts w:ascii="Arial" w:cs="Arial" w:eastAsia="Arial" w:hAnsi="Arial"/>
          <w:sz w:val="18"/>
          <w:szCs w:val="18"/>
          <w:color w:val="auto"/>
        </w:rPr>
        <w:t xml:space="preserve"> and will never result in the payment of cash by us. For this reason,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and because we do not view stock-based compensation to be significant as related to our operational performance, we exclude estimated stock-based compensation expense when evaluating the business performance of our operating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See Note 1 of the Notes to Consolidated Financial Statements contained within this Annual Report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and Foreign Currency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We currently enter into limited foreign currency forward contracts to manage foreign currency exchange rate risk because exchange rate fluctuations have had, and we expect will have, minimal impact on our operating results and cash flows.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cash and cash equivalents as of December 30, 2018 were $182.7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operated, can provide only reasonable assurance of achieving the desired control objectives, and management necessarily was required to apply its judgment in evaluating the cost benefit relationship of possible controls and procedures.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15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the results of our evaluation, our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our internal control over financial reporting was effective at the reasonable assurance level as of December 30, 2018.</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30, 2018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2019 Annual Meeting of Stockholders or an amendment to this Annual Report to be filed with the SEC within 120 days after the close of our fiscal year ended December 30,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2019 Annual Meeting of Stockholders or an amendment to this Annual Report to be filed with the SEC within 120 days after the close of our fiscal year ended December 30,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2019 Annual Meeting of Stockholders or an amendment to this Annual Report to be filed with the SEC within 120 days after the close of our fiscal year ended December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2019 Annual Meeting of Stockholders or an amendment to this Annual Report to be filed with the SEC within 120 days after the close of our fiscal year ended December 30,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2019 Annual Meeting of Stockholders or an amendment to this Annual Report to be filed with the SEC within 120 days after the close of our fiscal year ended December 30, 2018.</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Statements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(a)(1)</w:t>
        <w:tab/>
        <w:t>Financial Statements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schedules have been omitted because they are not applicable or are not required or the information required to be set forth therein is included in the Consolidated Financial Statements or the notes thereto.</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20" w:type="dxa"/>
            <w:vAlign w:val="bottom"/>
            <w:tcBorders>
              <w:top w:val="single" w:sz="8" w:color="auto"/>
              <w:bottom w:val="single" w:sz="8" w:color="0000FF"/>
            </w:tcBorders>
            <w:gridSpan w:val="23"/>
          </w:tcPr>
          <w:p>
            <w:pPr>
              <w:spacing w:after="0" w:line="202" w:lineRule="exact"/>
              <w:rPr>
                <w:rFonts w:ascii="Arial" w:cs="Arial" w:eastAsia="Arial" w:hAnsi="Arial"/>
                <w:sz w:val="18"/>
                <w:szCs w:val="18"/>
                <w:color w:val="0000FF"/>
                <w:w w:val="87"/>
              </w:rPr>
            </w:pPr>
            <w:hyperlink r:id="rId15">
              <w:r>
                <w:rPr>
                  <w:rFonts w:ascii="Arial" w:cs="Arial" w:eastAsia="Arial" w:hAnsi="Arial"/>
                  <w:sz w:val="18"/>
                  <w:szCs w:val="18"/>
                  <w:color w:val="0000FF"/>
                  <w:w w:val="87"/>
                </w:rPr>
                <w:t>Stock Purchase Agreement, dated May 31, 2015, by and</w:t>
              </w:r>
            </w:hyperlink>
          </w:p>
        </w:tc>
        <w:tc>
          <w:tcPr>
            <w:tcW w:w="180" w:type="dxa"/>
            <w:vAlign w:val="bottom"/>
            <w:tcBorders>
              <w:top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among Kratos Defense &amp; Security Solutions, Inc., Herley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Industries, Inc., Ultra Electronics Holdings plc and Ultra</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Electronics Defense Inc.</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tcBorders>
              <w:bottom w:val="single" w:sz="8" w:color="0000FF"/>
            </w:tcBorders>
            <w:gridSpan w:val="18"/>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Stock Purchase Agreement, dated February 28, 2018</w:t>
              </w:r>
            </w:hyperlink>
          </w:p>
        </w:tc>
        <w:tc>
          <w:tcPr>
            <w:tcW w:w="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among Kratos Defense &amp; Security Solutions, Inc.,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Public Safety &amp;Security Solutions, Inc. and Securitas</w:t>
              </w:r>
            </w:hyperlink>
          </w:p>
        </w:tc>
        <w:tc>
          <w:tcPr>
            <w:tcW w:w="280" w:type="dxa"/>
            <w:vAlign w:val="bottom"/>
            <w:tcBorders>
              <w:top w:val="single" w:sz="8" w:color="0000FF"/>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Electronic Security, Inc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20"/>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Certificate of Incorporation of</w:t>
              </w:r>
            </w:hyperlink>
          </w:p>
        </w:tc>
        <w:tc>
          <w:tcPr>
            <w:tcW w:w="3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Kratos Defense &amp; Security Solutions, Inc., as amended.</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14"/>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Second Amended and Restated Bylaws of Kratos</w:t>
              </w:r>
            </w:hyperlink>
          </w:p>
        </w:tc>
        <w:tc>
          <w:tcPr>
            <w:tcW w:w="6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Defense &amp; Security Solutions, Inc., as amended.</w:t>
              </w:r>
            </w:hyperlink>
          </w:p>
        </w:tc>
        <w:tc>
          <w:tcPr>
            <w:tcW w:w="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tcBorders>
              <w:bottom w:val="single" w:sz="8" w:color="0000FF"/>
            </w:tcBorders>
            <w:gridSpan w:val="6"/>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Specimen Stock Certificate.</w:t>
              </w:r>
            </w:hyperlink>
          </w:p>
        </w:tc>
        <w:tc>
          <w:tcPr>
            <w:tcW w:w="216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6"/>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Indenture, dated as of May 14, 2014, among Kratos</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Defense &amp; Security Solutions, Inc., as Issuer, the</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Guarantors as named therein and party thereto,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Wilmington Trust, National Association, as Trustee and</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Collateral Agent (including the Form of 7.00% Senior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Secured Notes due 2019).</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Indenture, dated as of November 20, 2017, among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Guarantors party thereto, and Wilmington Trust, National</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Association, as Trustee and Collateral Agent.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First Supplemental Indenture, dated as of December 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2017, among Kratos Defense &amp; Security Solutions,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as Issuer, the Guarantor as party thereto, and Wilmington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Trust,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Indemnification Agreement by and between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Kratos Defense &amp; Security Solutions, Inc. and its</w:t>
              </w:r>
            </w:hyperlink>
          </w:p>
        </w:tc>
        <w:tc>
          <w:tcPr>
            <w:tcW w:w="240" w:type="dxa"/>
            <w:vAlign w:val="bottom"/>
            <w:tcBorders>
              <w:top w:val="single" w:sz="8" w:color="0000FF"/>
            </w:tcBorders>
            <w:gridSpan w:val="3"/>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directors and executive officers.</w:t>
              </w:r>
            </w:hyperlink>
          </w:p>
        </w:tc>
        <w:tc>
          <w:tcPr>
            <w:tcW w:w="18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Amended and Restated 1999 Employee Stock Purchase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Plan.</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FF"/>
            </w:tcBorders>
            <w:gridSpan w:val="9"/>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2000 Nonstatutory Stock Option Plan.</w:t>
              </w:r>
            </w:hyperlink>
          </w:p>
        </w:tc>
        <w:tc>
          <w:tcPr>
            <w:tcW w:w="14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28"/>
          </w:tcPr>
          <w:p>
            <w:pPr>
              <w:spacing w:after="0"/>
              <w:rPr>
                <w:rFonts w:ascii="Arial" w:cs="Arial" w:eastAsia="Arial" w:hAnsi="Arial"/>
                <w:sz w:val="18"/>
                <w:szCs w:val="18"/>
                <w:color w:val="0000FF"/>
              </w:rPr>
            </w:pPr>
            <w:hyperlink r:id="rId26">
              <w:r>
                <w:rPr>
                  <w:rFonts w:ascii="Arial" w:cs="Arial" w:eastAsia="Arial" w:hAnsi="Arial"/>
                  <w:sz w:val="18"/>
                  <w:szCs w:val="18"/>
                  <w:color w:val="0000FF"/>
                </w:rPr>
                <w:t>Form of Stock Option Agreement and Form of Stock</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460" w:type="dxa"/>
            <w:vAlign w:val="bottom"/>
            <w:gridSpan w:val="10"/>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Option Grant Notice used in connection with the 2000</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Nonstatutory Stock Option Plan.</w:t>
              </w:r>
            </w:hyperlink>
          </w:p>
        </w:tc>
        <w:tc>
          <w:tcPr>
            <w:tcW w:w="1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bottom w:val="single" w:sz="8" w:color="0000FF"/>
            </w:tcBorders>
            <w:gridSpan w:val="5"/>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2005 Equity Incentive Plan.</w:t>
              </w:r>
            </w:hyperlink>
          </w:p>
        </w:tc>
        <w:tc>
          <w:tcPr>
            <w:tcW w:w="218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000FF"/>
            </w:tcBorders>
            <w:gridSpan w:val="22"/>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Form of Stock Option Agreement pursuant to the 2005</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Equity Incentive Plan.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2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Filing Date (File No.)   Exhibit</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92"/>
        </w:trPr>
        <w:tc>
          <w:tcPr>
            <w:tcW w:w="13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940" w:type="dxa"/>
            <w:vAlign w:val="bottom"/>
            <w:gridSpan w:val="4"/>
            <w:vMerge w:val="continue"/>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68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688"/>
        </w:trPr>
        <w:tc>
          <w:tcPr>
            <w:tcW w:w="7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5/10/2018</w:t>
            </w:r>
          </w:p>
        </w:tc>
        <w:tc>
          <w:tcPr>
            <w:tcW w:w="68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6"/>
        </w:trPr>
        <w:tc>
          <w:tcPr>
            <w:tcW w:w="7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2/27/2017</w:t>
            </w:r>
          </w:p>
        </w:tc>
        <w:tc>
          <w:tcPr>
            <w:tcW w:w="680" w:type="dxa"/>
            <w:vAlign w:val="bottom"/>
          </w:tcPr>
          <w:p>
            <w:pPr>
              <w:spacing w:after="0"/>
              <w:rPr>
                <w:sz w:val="22"/>
                <w:szCs w:val="22"/>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6"/>
        </w:trPr>
        <w:tc>
          <w:tcPr>
            <w:tcW w:w="7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2/27/2017</w:t>
            </w:r>
          </w:p>
        </w:tc>
        <w:tc>
          <w:tcPr>
            <w:tcW w:w="680" w:type="dxa"/>
            <w:vAlign w:val="bottom"/>
          </w:tcPr>
          <w:p>
            <w:pPr>
              <w:spacing w:after="0"/>
              <w:rPr>
                <w:sz w:val="22"/>
                <w:szCs w:val="22"/>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6"/>
        </w:trPr>
        <w:tc>
          <w:tcPr>
            <w:tcW w:w="7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2/27/2017</w:t>
            </w:r>
          </w:p>
        </w:tc>
        <w:tc>
          <w:tcPr>
            <w:tcW w:w="680" w:type="dxa"/>
            <w:vAlign w:val="bottom"/>
          </w:tcPr>
          <w:p>
            <w:pPr>
              <w:spacing w:after="0"/>
              <w:rPr>
                <w:sz w:val="22"/>
                <w:szCs w:val="22"/>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720" w:type="dxa"/>
            <w:vAlign w:val="bottom"/>
          </w:tcPr>
          <w:p>
            <w:pPr>
              <w:spacing w:after="0"/>
              <w:rPr>
                <w:sz w:val="18"/>
                <w:szCs w:val="18"/>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jc w:val="center"/>
              <w:ind w:left="330"/>
              <w:spacing w:after="0"/>
              <w:rPr>
                <w:sz w:val="20"/>
                <w:szCs w:val="20"/>
                <w:color w:val="auto"/>
              </w:rPr>
            </w:pPr>
            <w:r>
              <w:rPr>
                <w:rFonts w:ascii="Arial" w:cs="Arial" w:eastAsia="Arial" w:hAnsi="Arial"/>
                <w:sz w:val="18"/>
                <w:szCs w:val="18"/>
                <w:color w:val="auto"/>
                <w:w w:val="87"/>
              </w:rPr>
              <w:t>4.1</w:t>
            </w:r>
          </w:p>
        </w:tc>
      </w:tr>
      <w:tr>
        <w:trPr>
          <w:trHeight w:val="68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720" w:type="dxa"/>
            <w:vAlign w:val="bottom"/>
          </w:tcPr>
          <w:p>
            <w:pPr>
              <w:spacing w:after="0"/>
              <w:rPr>
                <w:sz w:val="24"/>
                <w:szCs w:val="24"/>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jc w:val="center"/>
              <w:ind w:left="330"/>
              <w:spacing w:after="0"/>
              <w:rPr>
                <w:sz w:val="20"/>
                <w:szCs w:val="20"/>
                <w:color w:val="auto"/>
              </w:rPr>
            </w:pPr>
            <w:r>
              <w:rPr>
                <w:rFonts w:ascii="Arial" w:cs="Arial" w:eastAsia="Arial" w:hAnsi="Arial"/>
                <w:sz w:val="18"/>
                <w:szCs w:val="18"/>
                <w:color w:val="auto"/>
                <w:w w:val="87"/>
              </w:rPr>
              <w:t>4.1</w:t>
            </w:r>
          </w:p>
        </w:tc>
      </w:tr>
      <w:tr>
        <w:trPr>
          <w:trHeight w:val="68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720" w:type="dxa"/>
            <w:vAlign w:val="bottom"/>
          </w:tcPr>
          <w:p>
            <w:pPr>
              <w:spacing w:after="0"/>
              <w:rPr>
                <w:sz w:val="24"/>
                <w:szCs w:val="24"/>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4"/>
              </w:rPr>
              <w:t>10-K</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jc w:val="center"/>
              <w:ind w:left="330"/>
              <w:spacing w:after="0"/>
              <w:rPr>
                <w:sz w:val="20"/>
                <w:szCs w:val="20"/>
                <w:color w:val="auto"/>
              </w:rPr>
            </w:pPr>
            <w:r>
              <w:rPr>
                <w:rFonts w:ascii="Arial" w:cs="Arial" w:eastAsia="Arial" w:hAnsi="Arial"/>
                <w:sz w:val="18"/>
                <w:szCs w:val="18"/>
                <w:color w:val="auto"/>
                <w:w w:val="87"/>
              </w:rPr>
              <w:t>4.5</w:t>
            </w:r>
          </w:p>
        </w:tc>
      </w:tr>
      <w:tr>
        <w:trPr>
          <w:trHeight w:val="445"/>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08/04/2011</w:t>
            </w:r>
          </w:p>
        </w:tc>
        <w:tc>
          <w:tcPr>
            <w:tcW w:w="720" w:type="dxa"/>
            <w:vAlign w:val="bottom"/>
          </w:tcPr>
          <w:p>
            <w:pPr>
              <w:spacing w:after="0"/>
              <w:rPr>
                <w:sz w:val="24"/>
                <w:szCs w:val="24"/>
                <w:color w:val="auto"/>
              </w:rPr>
            </w:pPr>
          </w:p>
        </w:tc>
      </w:tr>
      <w:tr>
        <w:trPr>
          <w:trHeight w:val="257"/>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10.8</w:t>
            </w:r>
          </w:p>
        </w:tc>
      </w:tr>
      <w:tr>
        <w:trPr>
          <w:trHeight w:val="283"/>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07/31/2017</w:t>
            </w:r>
          </w:p>
        </w:tc>
        <w:tc>
          <w:tcPr>
            <w:tcW w:w="720" w:type="dxa"/>
            <w:vAlign w:val="bottom"/>
          </w:tcPr>
          <w:p>
            <w:pPr>
              <w:spacing w:after="0"/>
              <w:rPr>
                <w:sz w:val="24"/>
                <w:szCs w:val="24"/>
                <w:color w:val="auto"/>
              </w:rPr>
            </w:pPr>
          </w:p>
        </w:tc>
      </w:tr>
      <w:tr>
        <w:trPr>
          <w:trHeight w:val="257"/>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5"/>
              </w:rPr>
              <w:t>S-8</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99.1</w:t>
            </w:r>
          </w:p>
        </w:tc>
      </w:tr>
      <w:tr>
        <w:trPr>
          <w:trHeight w:val="283"/>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11/14/2000</w:t>
            </w:r>
          </w:p>
        </w:tc>
        <w:tc>
          <w:tcPr>
            <w:tcW w:w="720" w:type="dxa"/>
            <w:vAlign w:val="bottom"/>
          </w:tcPr>
          <w:p>
            <w:pPr>
              <w:spacing w:after="0"/>
              <w:rPr>
                <w:sz w:val="24"/>
                <w:szCs w:val="24"/>
                <w:color w:val="auto"/>
              </w:rPr>
            </w:pPr>
          </w:p>
        </w:tc>
      </w:tr>
      <w:tr>
        <w:trPr>
          <w:trHeight w:val="257"/>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(000-27231)</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10.2</w:t>
            </w:r>
          </w:p>
        </w:tc>
      </w:tr>
      <w:tr>
        <w:trPr>
          <w:trHeight w:val="445"/>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11/14/2000</w:t>
            </w:r>
          </w:p>
        </w:tc>
        <w:tc>
          <w:tcPr>
            <w:tcW w:w="720" w:type="dxa"/>
            <w:vAlign w:val="bottom"/>
          </w:tcPr>
          <w:p>
            <w:pPr>
              <w:spacing w:after="0"/>
              <w:rPr>
                <w:sz w:val="24"/>
                <w:szCs w:val="24"/>
                <w:color w:val="auto"/>
              </w:rPr>
            </w:pPr>
          </w:p>
        </w:tc>
      </w:tr>
      <w:tr>
        <w:trPr>
          <w:trHeight w:val="257"/>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(000-27231)</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10.3</w:t>
            </w:r>
          </w:p>
        </w:tc>
      </w:tr>
      <w:tr>
        <w:trPr>
          <w:trHeight w:val="283"/>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08/01/2005</w:t>
            </w:r>
          </w:p>
        </w:tc>
        <w:tc>
          <w:tcPr>
            <w:tcW w:w="720" w:type="dxa"/>
            <w:vAlign w:val="bottom"/>
          </w:tcPr>
          <w:p>
            <w:pPr>
              <w:spacing w:after="0"/>
              <w:rPr>
                <w:sz w:val="24"/>
                <w:szCs w:val="24"/>
                <w:color w:val="auto"/>
              </w:rPr>
            </w:pPr>
          </w:p>
        </w:tc>
      </w:tr>
      <w:tr>
        <w:trPr>
          <w:trHeight w:val="257"/>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5"/>
              </w:rPr>
              <w:t>S-8</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(333-127060)</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99.2</w:t>
            </w:r>
          </w:p>
        </w:tc>
      </w:tr>
      <w:tr>
        <w:trPr>
          <w:trHeight w:val="283"/>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08/01/2005</w:t>
            </w:r>
          </w:p>
        </w:tc>
        <w:tc>
          <w:tcPr>
            <w:tcW w:w="720" w:type="dxa"/>
            <w:vAlign w:val="bottom"/>
          </w:tcPr>
          <w:p>
            <w:pPr>
              <w:spacing w:after="0"/>
              <w:rPr>
                <w:sz w:val="24"/>
                <w:szCs w:val="24"/>
                <w:color w:val="auto"/>
              </w:rPr>
            </w:pPr>
          </w:p>
        </w:tc>
      </w:tr>
      <w:tr>
        <w:trPr>
          <w:trHeight w:val="257"/>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5"/>
              </w:rPr>
              <w:t>S-8</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(333-127060)</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99.1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5500" w:space="120"/>
            <w:col w:w="5800"/>
          </w:cols>
          <w:pgMar w:left="240" w:top="12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3980" w:type="dxa"/>
            <w:vAlign w:val="bottom"/>
            <w:tcBorders>
              <w:bottom w:val="single" w:sz="8" w:color="0000FF"/>
            </w:tcBorders>
            <w:gridSpan w:val="21"/>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Form of Restricted Stock Unit Agreement and Form of</w:t>
              </w:r>
            </w:hyperlink>
          </w:p>
        </w:tc>
        <w:tc>
          <w:tcPr>
            <w:tcW w:w="20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Notice of Grant of Restricted Stock Units under the 2005</w:t>
              </w:r>
            </w:hyperlink>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Equity Incentive Plan.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4180" w:type="dxa"/>
            <w:vAlign w:val="bottom"/>
            <w:gridSpan w:val="27"/>
          </w:tcPr>
          <w:p>
            <w:pPr>
              <w:spacing w:after="0"/>
              <w:rPr>
                <w:rFonts w:ascii="Arial" w:cs="Arial" w:eastAsia="Arial" w:hAnsi="Arial"/>
                <w:sz w:val="18"/>
                <w:szCs w:val="18"/>
                <w:color w:val="0000FF"/>
              </w:rPr>
            </w:pPr>
            <w:hyperlink r:id="rId30">
              <w:r>
                <w:rPr>
                  <w:rFonts w:ascii="Arial" w:cs="Arial" w:eastAsia="Arial" w:hAnsi="Arial"/>
                  <w:sz w:val="18"/>
                  <w:szCs w:val="18"/>
                  <w:color w:val="0000FF"/>
                </w:rPr>
                <w:t>Herley Industries, Inc. 1997 Stock Option Plan.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4180" w:type="dxa"/>
            <w:vAlign w:val="bottom"/>
            <w:gridSpan w:val="27"/>
          </w:tcPr>
          <w:p>
            <w:pPr>
              <w:spacing w:after="0"/>
              <w:rPr>
                <w:rFonts w:ascii="Arial" w:cs="Arial" w:eastAsia="Arial" w:hAnsi="Arial"/>
                <w:sz w:val="18"/>
                <w:szCs w:val="18"/>
                <w:color w:val="0000FF"/>
              </w:rPr>
            </w:pPr>
            <w:hyperlink r:id="rId31">
              <w:r>
                <w:rPr>
                  <w:rFonts w:ascii="Arial" w:cs="Arial" w:eastAsia="Arial" w:hAnsi="Arial"/>
                  <w:sz w:val="18"/>
                  <w:szCs w:val="18"/>
                  <w:color w:val="0000FF"/>
                </w:rPr>
                <w:t>Herley Industries, Inc. 2000 Stock Option Plan.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4"/>
                <w:szCs w:val="24"/>
                <w:color w:val="auto"/>
              </w:rPr>
            </w:pPr>
          </w:p>
        </w:tc>
        <w:tc>
          <w:tcPr>
            <w:tcW w:w="4180" w:type="dxa"/>
            <w:vAlign w:val="bottom"/>
            <w:gridSpan w:val="27"/>
          </w:tcPr>
          <w:p>
            <w:pPr>
              <w:spacing w:after="0"/>
              <w:rPr>
                <w:rFonts w:ascii="Arial" w:cs="Arial" w:eastAsia="Arial" w:hAnsi="Arial"/>
                <w:sz w:val="18"/>
                <w:szCs w:val="18"/>
                <w:color w:val="0000FF"/>
              </w:rPr>
            </w:pPr>
            <w:hyperlink r:id="rId32">
              <w:r>
                <w:rPr>
                  <w:rFonts w:ascii="Arial" w:cs="Arial" w:eastAsia="Arial" w:hAnsi="Arial"/>
                  <w:sz w:val="18"/>
                  <w:szCs w:val="18"/>
                  <w:color w:val="0000FF"/>
                </w:rPr>
                <w:t>Herley Industries, Inc. 2003 Stock Option Plan.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4140" w:type="dxa"/>
            <w:vAlign w:val="bottom"/>
            <w:tcBorders>
              <w:bottom w:val="single" w:sz="8" w:color="0000FF"/>
            </w:tcBorders>
            <w:gridSpan w:val="26"/>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Herley Industries, Inc. Amended and Restated 2006 New</w:t>
              </w:r>
            </w:hyperlink>
          </w:p>
        </w:tc>
        <w:tc>
          <w:tcPr>
            <w:tcW w:w="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Employee Stock Option Plan.</w:t>
              </w:r>
            </w:hyperlink>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2140" w:type="dxa"/>
            <w:vAlign w:val="bottom"/>
            <w:tcBorders>
              <w:top w:val="single" w:sz="8" w:color="0000FF"/>
            </w:tcBorders>
            <w:gridSpan w:val="8"/>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2011 Equity Incentive Plan.</w:t>
              </w:r>
            </w:hyperlink>
          </w:p>
        </w:tc>
        <w:tc>
          <w:tcPr>
            <w:tcW w:w="2040" w:type="dxa"/>
            <w:vAlign w:val="bottom"/>
            <w:gridSpan w:val="19"/>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3940" w:type="dxa"/>
            <w:vAlign w:val="bottom"/>
            <w:tcBorders>
              <w:bottom w:val="single" w:sz="8" w:color="0000FF"/>
            </w:tcBorders>
            <w:gridSpan w:val="19"/>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Notice of Grant of Restricted Stock Units and</w:t>
              </w:r>
            </w:hyperlink>
          </w:p>
        </w:tc>
        <w:tc>
          <w:tcPr>
            <w:tcW w:w="24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Restricted Stock Unit Award Agreement pursuant to the</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2011 Equity Incentive Plan.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1"/>
                <w:szCs w:val="21"/>
                <w:color w:val="auto"/>
              </w:rPr>
            </w:pPr>
          </w:p>
        </w:tc>
        <w:tc>
          <w:tcPr>
            <w:tcW w:w="2020" w:type="dxa"/>
            <w:vAlign w:val="bottom"/>
            <w:tcBorders>
              <w:bottom w:val="single" w:sz="8" w:color="0000FF"/>
            </w:tcBorders>
            <w:gridSpan w:val="7"/>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2014 Equity Incentive Plan.</w:t>
              </w:r>
            </w:hyperlink>
          </w:p>
        </w:tc>
        <w:tc>
          <w:tcPr>
            <w:tcW w:w="2160" w:type="dxa"/>
            <w:vAlign w:val="bottom"/>
            <w:gridSpan w:val="20"/>
          </w:tcPr>
          <w:p>
            <w:pPr>
              <w:spacing w:after="0"/>
              <w:rPr>
                <w:sz w:val="21"/>
                <w:szCs w:val="2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4100" w:type="dxa"/>
            <w:vAlign w:val="bottom"/>
            <w:tcBorders>
              <w:bottom w:val="single" w:sz="8" w:color="0000FF"/>
            </w:tcBorders>
            <w:gridSpan w:val="24"/>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Form of Restricted Stock Unit Grant &amp; Notice and Form</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of Restricted Stock Unit Award Agreement pursuant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the 2014 Equity Incentive Plan.</w:t>
              </w:r>
            </w:hyperlink>
          </w:p>
        </w:tc>
        <w:tc>
          <w:tcPr>
            <w:tcW w:w="1680" w:type="dxa"/>
            <w:vAlign w:val="bottom"/>
            <w:tcBorders>
              <w:top w:val="single" w:sz="8" w:color="0000FF"/>
            </w:tcBorders>
            <w:gridSpan w:val="11"/>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1"/>
                <w:szCs w:val="21"/>
                <w:color w:val="auto"/>
              </w:rPr>
            </w:pPr>
          </w:p>
        </w:tc>
        <w:tc>
          <w:tcPr>
            <w:tcW w:w="4000" w:type="dxa"/>
            <w:vAlign w:val="bottom"/>
            <w:tcBorders>
              <w:bottom w:val="single" w:sz="8" w:color="0000FF"/>
            </w:tcBorders>
            <w:gridSpan w:val="22"/>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Second Amended and Restated Executive Employment</w:t>
              </w:r>
            </w:hyperlink>
          </w:p>
        </w:tc>
        <w:tc>
          <w:tcPr>
            <w:tcW w:w="180" w:type="dxa"/>
            <w:vAlign w:val="bottom"/>
            <w:gridSpan w:val="5"/>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Agreement, dated as of August 4, 2011, by and between</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Kratos Defense &amp; Security Solutions, Inc. and Eric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DeMarco.</w:t>
              </w:r>
            </w:hyperlink>
          </w:p>
        </w:tc>
        <w:tc>
          <w:tcPr>
            <w:tcW w:w="500" w:type="dxa"/>
            <w:vAlign w:val="bottom"/>
            <w:gridSpan w:val="11"/>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1"/>
                <w:szCs w:val="21"/>
                <w:color w:val="auto"/>
              </w:rPr>
            </w:pPr>
          </w:p>
        </w:tc>
        <w:tc>
          <w:tcPr>
            <w:tcW w:w="4140" w:type="dxa"/>
            <w:vAlign w:val="bottom"/>
            <w:tcBorders>
              <w:bottom w:val="single" w:sz="8" w:color="0000FF"/>
            </w:tcBorders>
            <w:gridSpan w:val="26"/>
          </w:tcPr>
          <w:p>
            <w:pPr>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Second Amended and Restated Severance and Change of</w:t>
              </w:r>
            </w:hyperlink>
          </w:p>
        </w:tc>
        <w:tc>
          <w:tcPr>
            <w:tcW w:w="4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Control Agreement, dated as of August 4, 2011, by and</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between Kratos Defense &amp; Security Solutions, Inc.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Deanna Lund.</w:t>
              </w:r>
            </w:hyperlink>
          </w:p>
        </w:tc>
        <w:tc>
          <w:tcPr>
            <w:tcW w:w="20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1"/>
                <w:szCs w:val="21"/>
                <w:color w:val="auto"/>
              </w:rPr>
            </w:pPr>
          </w:p>
        </w:tc>
        <w:tc>
          <w:tcPr>
            <w:tcW w:w="4180" w:type="dxa"/>
            <w:vAlign w:val="bottom"/>
            <w:gridSpan w:val="27"/>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Sublease Agreement, dated as of December 17, 2009, by</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and between Amylin Pharmaceuticals, Inc., as Sublessor,</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and Kratos Defense &amp; Security Solutions, Inc., as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3"/>
              </w:rPr>
            </w:pPr>
            <w:hyperlink r:id="rId40">
              <w:r>
                <w:rPr>
                  <w:rFonts w:ascii="Arial" w:cs="Arial" w:eastAsia="Arial" w:hAnsi="Arial"/>
                  <w:sz w:val="18"/>
                  <w:szCs w:val="18"/>
                  <w:color w:val="0000FF"/>
                  <w:w w:val="83"/>
                </w:rPr>
                <w:t>Sublessee.</w:t>
              </w:r>
            </w:hyperlink>
          </w:p>
        </w:tc>
        <w:tc>
          <w:tcPr>
            <w:tcW w:w="2820" w:type="dxa"/>
            <w:vAlign w:val="bottom"/>
            <w:tcBorders>
              <w:top w:val="single" w:sz="8" w:color="0000FF"/>
            </w:tcBorders>
            <w:gridSpan w:val="11"/>
          </w:tcPr>
          <w:p>
            <w:pPr>
              <w:spacing w:after="0"/>
              <w:rPr>
                <w:sz w:val="17"/>
                <w:szCs w:val="17"/>
                <w:color w:val="auto"/>
              </w:rPr>
            </w:pPr>
          </w:p>
        </w:tc>
        <w:tc>
          <w:tcPr>
            <w:tcW w:w="600" w:type="dxa"/>
            <w:vAlign w:val="bottom"/>
            <w:gridSpan w:val="14"/>
          </w:tcPr>
          <w:p>
            <w:pPr>
              <w:spacing w:after="0"/>
              <w:rPr>
                <w:sz w:val="17"/>
                <w:szCs w:val="17"/>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1"/>
                <w:szCs w:val="21"/>
                <w:color w:val="auto"/>
              </w:rPr>
            </w:pPr>
          </w:p>
        </w:tc>
        <w:tc>
          <w:tcPr>
            <w:tcW w:w="3740" w:type="dxa"/>
            <w:vAlign w:val="bottom"/>
            <w:tcBorders>
              <w:bottom w:val="single" w:sz="8" w:color="0000FF"/>
            </w:tcBorders>
            <w:gridSpan w:val="17"/>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Herley Industries, Inc. Amended and Restated 2010</w:t>
              </w:r>
            </w:hyperlink>
          </w:p>
        </w:tc>
        <w:tc>
          <w:tcPr>
            <w:tcW w:w="440" w:type="dxa"/>
            <w:vAlign w:val="bottom"/>
            <w:gridSpan w:val="10"/>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Stock Plan, and the related Form of Notice of Grant of</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Restricted Stock Units and Restricted Stock Unit Award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Agreement.</w:t>
              </w:r>
            </w:hyperlink>
          </w:p>
        </w:tc>
        <w:tc>
          <w:tcPr>
            <w:tcW w:w="10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1"/>
                <w:szCs w:val="21"/>
                <w:color w:val="auto"/>
              </w:rPr>
            </w:pPr>
          </w:p>
        </w:tc>
        <w:tc>
          <w:tcPr>
            <w:tcW w:w="4180" w:type="dxa"/>
            <w:vAlign w:val="bottom"/>
            <w:gridSpan w:val="27"/>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Amended and Restated Integral Systems, Inc. 2008 Stock</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Incentive Plan, and the related Form of Notice of Grant</w:t>
              </w:r>
            </w:hyperlink>
          </w:p>
        </w:tc>
        <w:tc>
          <w:tcPr>
            <w:tcW w:w="140" w:type="dxa"/>
            <w:vAlign w:val="bottom"/>
            <w:tcBorders>
              <w:top w:val="single" w:sz="8" w:color="0000FF"/>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of Restricted Stock Units and Restricted Stock Units and</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Restricted Stock Unit Award Agreement.</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1"/>
                <w:szCs w:val="21"/>
                <w:color w:val="auto"/>
              </w:rPr>
            </w:pPr>
          </w:p>
        </w:tc>
        <w:tc>
          <w:tcPr>
            <w:tcW w:w="4180" w:type="dxa"/>
            <w:vAlign w:val="bottom"/>
            <w:gridSpan w:val="27"/>
          </w:tcPr>
          <w:p>
            <w:pPr>
              <w:spacing w:after="0"/>
              <w:rPr>
                <w:rFonts w:ascii="Arial" w:cs="Arial" w:eastAsia="Arial" w:hAnsi="Arial"/>
                <w:sz w:val="18"/>
                <w:szCs w:val="18"/>
                <w:color w:val="0000FF"/>
              </w:rPr>
            </w:pPr>
            <w:hyperlink r:id="rId43">
              <w:r>
                <w:rPr>
                  <w:rFonts w:ascii="Arial" w:cs="Arial" w:eastAsia="Arial" w:hAnsi="Arial"/>
                  <w:sz w:val="18"/>
                  <w:szCs w:val="18"/>
                  <w:color w:val="0000FF"/>
                </w:rPr>
                <w:t>Standstill Agreement, dated May 14, 2012, between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Kratos Defense &amp; Security Solutions, Inc., Bandel</w:t>
              </w:r>
            </w:hyperlink>
          </w:p>
        </w:tc>
        <w:tc>
          <w:tcPr>
            <w:tcW w:w="100" w:type="dxa"/>
            <w:vAlign w:val="bottom"/>
            <w:tcBorders>
              <w:top w:val="single" w:sz="8" w:color="0000FF"/>
            </w:tcBorders>
            <w:gridSpan w:val="2"/>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Carano, Oak Investment Partners IX, L.P., Oak IX</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10"/>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Affiliates Fund, L.P., Oak IX Affiliates Fund-A, L.P., Oak</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7"/>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X Affiliates Fund, L.P., Oak Investment Partners X, L.P.,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and Oak Investment Partners XIII, L.P.</w:t>
              </w:r>
            </w:hyperlink>
          </w:p>
        </w:tc>
        <w:tc>
          <w:tcPr>
            <w:tcW w:w="1280" w:type="dxa"/>
            <w:vAlign w:val="bottom"/>
            <w:tcBorders>
              <w:top w:val="single" w:sz="8" w:color="0000FF"/>
            </w:tcBorders>
            <w:gridSpan w:val="14"/>
          </w:tcPr>
          <w:p>
            <w:pPr>
              <w:spacing w:after="0"/>
              <w:rPr>
                <w:sz w:val="17"/>
                <w:szCs w:val="17"/>
                <w:color w:val="auto"/>
              </w:rPr>
            </w:pPr>
          </w:p>
        </w:tc>
        <w:tc>
          <w:tcPr>
            <w:tcW w:w="8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DEF 14A</w:t>
      </w:r>
    </w:p>
    <w:p>
      <w:pPr>
        <w:spacing w:after="0" w:line="200" w:lineRule="exact"/>
        <w:rPr>
          <w:sz w:val="20"/>
          <w:szCs w:val="20"/>
          <w:color w:val="auto"/>
        </w:rPr>
      </w:pP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17"/>
          <w:szCs w:val="17"/>
          <w:color w:val="auto"/>
        </w:rPr>
        <w:t>01/17/2007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(000-27231)</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04/15/2011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11/18/2011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07/31/2017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11/07/2014</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08/04/2011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08/04/2011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7"/>
          <w:szCs w:val="17"/>
          <w:color w:val="auto"/>
        </w:rPr>
        <w:t>03/11/2010</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03/08/2012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(333-179977)</w:t>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03/08/2012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(333-179977)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05/15/2012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99.3</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4.11</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4.13</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4.14</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4.15</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10.2</w:t>
      </w: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99.2</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5"/>
          <w:szCs w:val="15"/>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ectPr>
          <w:pgSz w:w="11900" w:h="16838" w:orient="portrait"/>
          <w:cols w:equalWidth="0" w:num="4">
            <w:col w:w="5480" w:space="140"/>
            <w:col w:w="1040" w:space="640"/>
            <w:col w:w="1040" w:space="720"/>
            <w:col w:w="1159"/>
          </w:cols>
          <w:pgMar w:left="240" w:top="108"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4"/>
                <w:szCs w:val="24"/>
                <w:color w:val="auto"/>
              </w:rPr>
            </w:pPr>
          </w:p>
        </w:tc>
        <w:tc>
          <w:tcPr>
            <w:tcW w:w="3940" w:type="dxa"/>
            <w:vAlign w:val="bottom"/>
            <w:tcBorders>
              <w:bottom w:val="single" w:sz="8" w:color="0000FF"/>
            </w:tcBorders>
            <w:gridSpan w:val="19"/>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Form of Notice of Grant of Restricted Stock Units and</w:t>
              </w:r>
            </w:hyperlink>
          </w:p>
        </w:tc>
        <w:tc>
          <w:tcPr>
            <w:tcW w:w="240" w:type="dxa"/>
            <w:vAlign w:val="bottom"/>
            <w:gridSpan w:val="11"/>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Restricted Stock Unit Award Agreement, entered into</w:t>
              </w:r>
            </w:hyperlink>
          </w:p>
        </w:tc>
        <w:tc>
          <w:tcPr>
            <w:tcW w:w="300" w:type="dxa"/>
            <w:vAlign w:val="bottom"/>
            <w:gridSpan w:val="14"/>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between Kratos Defense &amp; Security Solutions, Inc. and</w:t>
              </w:r>
            </w:hyperlink>
          </w:p>
        </w:tc>
        <w:tc>
          <w:tcPr>
            <w:tcW w:w="1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certain employees of Composite Engineering, Inc.</w:t>
              </w:r>
            </w:hyperlink>
          </w:p>
        </w:tc>
        <w:tc>
          <w:tcPr>
            <w:tcW w:w="560" w:type="dxa"/>
            <w:vAlign w:val="bottom"/>
            <w:gridSpan w:val="19"/>
          </w:tcPr>
          <w:p>
            <w:pPr>
              <w:spacing w:after="0"/>
              <w:rPr>
                <w:sz w:val="17"/>
                <w:szCs w:val="17"/>
                <w:color w:val="auto"/>
              </w:rPr>
            </w:pPr>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85"/>
              </w:rPr>
              <w:t>S-8</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1"/>
                <w:szCs w:val="21"/>
                <w:color w:val="auto"/>
              </w:rPr>
            </w:pPr>
          </w:p>
        </w:tc>
        <w:tc>
          <w:tcPr>
            <w:tcW w:w="3960" w:type="dxa"/>
            <w:vAlign w:val="bottom"/>
            <w:tcBorders>
              <w:bottom w:val="single" w:sz="8" w:color="0000FF"/>
            </w:tcBorders>
            <w:gridSpan w:val="20"/>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Employment Agreement, effective January 1, 2015, by</w:t>
              </w:r>
            </w:hyperlink>
          </w:p>
        </w:tc>
        <w:tc>
          <w:tcPr>
            <w:tcW w:w="220" w:type="dxa"/>
            <w:vAlign w:val="bottom"/>
            <w:gridSpan w:val="10"/>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and between Kratos Defense &amp; Security Solutions, Inc.</w:t>
              </w:r>
            </w:hyperlink>
          </w:p>
        </w:tc>
        <w:tc>
          <w:tcPr>
            <w:tcW w:w="1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and Richard Poirier.</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Bonus Agreement, dated June 1, 2015, by and between</w:t>
              </w:r>
            </w:hyperlink>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Kratos Defense &amp; Security Solutions, Inc. and Richard</w:t>
              </w:r>
            </w:hyperlink>
          </w:p>
        </w:tc>
        <w:tc>
          <w:tcPr>
            <w:tcW w:w="22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Poirier.</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1"/>
                <w:szCs w:val="21"/>
                <w:color w:val="auto"/>
              </w:rPr>
            </w:pPr>
          </w:p>
        </w:tc>
        <w:tc>
          <w:tcPr>
            <w:tcW w:w="3920" w:type="dxa"/>
            <w:vAlign w:val="bottom"/>
            <w:tcBorders>
              <w:bottom w:val="single" w:sz="8" w:color="0000FF"/>
            </w:tcBorders>
            <w:gridSpan w:val="18"/>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Employment Agreement, effective August 5, 2016, by</w:t>
              </w:r>
            </w:hyperlink>
          </w:p>
        </w:tc>
        <w:tc>
          <w:tcPr>
            <w:tcW w:w="260" w:type="dxa"/>
            <w:vAlign w:val="bottom"/>
            <w:gridSpan w:val="12"/>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and between Kratos Defense &amp; Security Solutions, Inc.</w:t>
              </w:r>
            </w:hyperlink>
          </w:p>
        </w:tc>
        <w:tc>
          <w:tcPr>
            <w:tcW w:w="1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0000FF"/>
            </w:tcBorders>
            <w:gridSpan w:val="8"/>
          </w:tcPr>
          <w:p>
            <w:pPr>
              <w:spacing w:after="0" w:line="196" w:lineRule="exact"/>
              <w:rPr>
                <w:rFonts w:ascii="Arial" w:cs="Arial" w:eastAsia="Arial" w:hAnsi="Arial"/>
                <w:sz w:val="18"/>
                <w:szCs w:val="18"/>
                <w:color w:val="0000FF"/>
                <w:w w:val="87"/>
              </w:rPr>
            </w:pPr>
            <w:hyperlink r:id="rId47">
              <w:r>
                <w:rPr>
                  <w:rFonts w:ascii="Arial" w:cs="Arial" w:eastAsia="Arial" w:hAnsi="Arial"/>
                  <w:sz w:val="18"/>
                  <w:szCs w:val="18"/>
                  <w:color w:val="0000FF"/>
                  <w:w w:val="87"/>
                </w:rPr>
                <w:t>and Gerald Beaman.</w:t>
              </w:r>
            </w:hyperlink>
          </w:p>
        </w:tc>
        <w:tc>
          <w:tcPr>
            <w:tcW w:w="2700" w:type="dxa"/>
            <w:vAlign w:val="bottom"/>
            <w:gridSpan w:val="22"/>
          </w:tcPr>
          <w:p>
            <w:pPr>
              <w:spacing w:after="0"/>
              <w:rPr>
                <w:sz w:val="17"/>
                <w:szCs w:val="17"/>
                <w:color w:val="auto"/>
              </w:rPr>
            </w:pPr>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1"/>
                <w:szCs w:val="21"/>
                <w:color w:val="auto"/>
              </w:rPr>
            </w:pPr>
          </w:p>
        </w:tc>
        <w:tc>
          <w:tcPr>
            <w:tcW w:w="3960" w:type="dxa"/>
            <w:vAlign w:val="bottom"/>
            <w:tcBorders>
              <w:bottom w:val="single" w:sz="8" w:color="0000FF"/>
            </w:tcBorders>
            <w:gridSpan w:val="20"/>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Employment Agreement, effective January 1, 2017, by</w:t>
              </w:r>
            </w:hyperlink>
          </w:p>
        </w:tc>
        <w:tc>
          <w:tcPr>
            <w:tcW w:w="220" w:type="dxa"/>
            <w:vAlign w:val="bottom"/>
            <w:gridSpan w:val="10"/>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and between Kratos Defense &amp; Security Solutions, Inc.</w:t>
              </w:r>
            </w:hyperlink>
          </w:p>
        </w:tc>
        <w:tc>
          <w:tcPr>
            <w:tcW w:w="1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and Phil Carrai.</w:t>
              </w:r>
            </w:hyperlink>
          </w:p>
        </w:tc>
        <w:tc>
          <w:tcPr>
            <w:tcW w:w="3040" w:type="dxa"/>
            <w:vAlign w:val="bottom"/>
            <w:gridSpan w:val="25"/>
          </w:tcPr>
          <w:p>
            <w:pPr>
              <w:spacing w:after="0"/>
              <w:rPr>
                <w:sz w:val="17"/>
                <w:szCs w:val="17"/>
                <w:color w:val="auto"/>
              </w:rPr>
            </w:pPr>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rPr>
            </w:pPr>
            <w:hyperlink r:id="rId20">
              <w:r>
                <w:rPr>
                  <w:rFonts w:ascii="Arial" w:cs="Arial" w:eastAsia="Arial" w:hAnsi="Arial"/>
                  <w:sz w:val="18"/>
                  <w:szCs w:val="18"/>
                  <w:color w:val="0000FF"/>
                </w:rPr>
                <w:t>Credit and Security Agreement, dated as of May 14,</w:t>
              </w:r>
            </w:hyperlink>
          </w:p>
        </w:tc>
        <w:tc>
          <w:tcPr>
            <w:tcW w:w="102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2014, among Kratos Defense &amp; Security Solutions, Inc.,</w:t>
              </w:r>
            </w:hyperlink>
          </w:p>
        </w:tc>
        <w:tc>
          <w:tcPr>
            <w:tcW w:w="10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as Borrower, the Lenders named therein, SunTrust Bank,</w:t>
              </w:r>
            </w:hyperlink>
          </w:p>
        </w:tc>
        <w:tc>
          <w:tcPr>
            <w:tcW w:w="6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as Agent, PNC Bank, National Association, as Joint Lead</w:t>
              </w:r>
            </w:hyperlink>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Arranger and Documentation Agent, and SunTrust</w:t>
              </w:r>
            </w:hyperlink>
          </w:p>
        </w:tc>
        <w:tc>
          <w:tcPr>
            <w:tcW w:w="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6"/>
              </w:rPr>
            </w:pPr>
            <w:hyperlink r:id="rId20">
              <w:r>
                <w:rPr>
                  <w:rFonts w:ascii="Arial" w:cs="Arial" w:eastAsia="Arial" w:hAnsi="Arial"/>
                  <w:sz w:val="18"/>
                  <w:szCs w:val="18"/>
                  <w:color w:val="0000FF"/>
                  <w:w w:val="96"/>
                </w:rPr>
                <w:t>Robinson Humphrey, Inc., as Joint Lead Arranger and</w:t>
              </w:r>
            </w:hyperlink>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Sole Book Runner.</w:t>
              </w:r>
            </w:hyperlink>
          </w:p>
        </w:tc>
        <w:tc>
          <w:tcPr>
            <w:tcW w:w="280" w:type="dxa"/>
            <w:vAlign w:val="bottom"/>
            <w:gridSpan w:val="13"/>
          </w:tcPr>
          <w:p>
            <w:pPr>
              <w:spacing w:after="0"/>
              <w:rPr>
                <w:sz w:val="17"/>
                <w:szCs w:val="17"/>
                <w:color w:val="auto"/>
              </w:rPr>
            </w:pPr>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1"/>
                <w:szCs w:val="21"/>
                <w:color w:val="auto"/>
              </w:rPr>
            </w:pPr>
          </w:p>
        </w:tc>
        <w:tc>
          <w:tcPr>
            <w:tcW w:w="3860" w:type="dxa"/>
            <w:vAlign w:val="bottom"/>
            <w:tcBorders>
              <w:bottom w:val="single" w:sz="8" w:color="0000FF"/>
            </w:tcBorders>
            <w:gridSpan w:val="15"/>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Third Amendment to Credit and Security Agreement,</w:t>
              </w:r>
            </w:hyperlink>
          </w:p>
        </w:tc>
        <w:tc>
          <w:tcPr>
            <w:tcW w:w="320" w:type="dxa"/>
            <w:vAlign w:val="bottom"/>
            <w:gridSpan w:val="15"/>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dated May 31, 2015, among Kratos Defense &amp; Security</w:t>
              </w:r>
            </w:hyperlink>
          </w:p>
        </w:tc>
        <w:tc>
          <w:tcPr>
            <w:tcW w:w="16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6"/>
              </w:rPr>
            </w:pPr>
            <w:hyperlink r:id="rId49">
              <w:r>
                <w:rPr>
                  <w:rFonts w:ascii="Arial" w:cs="Arial" w:eastAsia="Arial" w:hAnsi="Arial"/>
                  <w:sz w:val="18"/>
                  <w:szCs w:val="18"/>
                  <w:color w:val="0000FF"/>
                  <w:w w:val="96"/>
                </w:rPr>
                <w:t>Solutions, Inc., as Borrower, each of the Credit Parties</w:t>
              </w:r>
            </w:hyperlink>
          </w:p>
        </w:tc>
        <w:tc>
          <w:tcPr>
            <w:tcW w:w="10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and Required Lenders party thereto and SunTrust Bank as</w:t>
              </w:r>
            </w:hyperlink>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Agent.</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89"/>
              </w:rPr>
              <w:t>10-Q</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1"/>
                <w:szCs w:val="21"/>
                <w:color w:val="auto"/>
              </w:rPr>
            </w:pPr>
          </w:p>
        </w:tc>
        <w:tc>
          <w:tcPr>
            <w:tcW w:w="3940" w:type="dxa"/>
            <w:vAlign w:val="bottom"/>
            <w:tcBorders>
              <w:bottom w:val="single" w:sz="8" w:color="0000FF"/>
            </w:tcBorders>
            <w:gridSpan w:val="19"/>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Fourth Amendment to Credit and Security Agreement,</w:t>
              </w:r>
            </w:hyperlink>
          </w:p>
        </w:tc>
        <w:tc>
          <w:tcPr>
            <w:tcW w:w="240" w:type="dxa"/>
            <w:vAlign w:val="bottom"/>
            <w:gridSpan w:val="11"/>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dated August 20, 2015, among Kratos Defense &amp;</w:t>
              </w:r>
            </w:hyperlink>
          </w:p>
        </w:tc>
        <w:tc>
          <w:tcPr>
            <w:tcW w:w="620" w:type="dxa"/>
            <w:vAlign w:val="bottom"/>
            <w:gridSpan w:val="20"/>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Security Solutions, Inc., as Borrower, each of the Credit</w:t>
              </w:r>
            </w:hyperlink>
          </w:p>
        </w:tc>
        <w:tc>
          <w:tcPr>
            <w:tcW w:w="12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Parties and Required Lenders party thereto and SunTrust</w:t>
              </w:r>
            </w:hyperlink>
          </w:p>
        </w:tc>
        <w:tc>
          <w:tcPr>
            <w:tcW w:w="8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Bank as Agent.</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rPr>
            </w:pPr>
            <w:hyperlink r:id="rId51">
              <w:r>
                <w:rPr>
                  <w:rFonts w:ascii="Arial" w:cs="Arial" w:eastAsia="Arial" w:hAnsi="Arial"/>
                  <w:sz w:val="18"/>
                  <w:szCs w:val="18"/>
                  <w:color w:val="0000FF"/>
                </w:rPr>
                <w:t>Fifth Amendment to Credit and Security Agreement,</w:t>
              </w:r>
            </w:hyperlink>
          </w:p>
        </w:tc>
        <w:tc>
          <w:tcPr>
            <w:tcW w:w="102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dated July 22, 2016, among Kratos Defense &amp; Security</w:t>
              </w:r>
            </w:hyperlink>
          </w:p>
        </w:tc>
        <w:tc>
          <w:tcPr>
            <w:tcW w:w="1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Solutions, Inc., as Borrower, each of the Credit Parties</w:t>
              </w:r>
            </w:hyperlink>
          </w:p>
        </w:tc>
        <w:tc>
          <w:tcPr>
            <w:tcW w:w="10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and Required Lenders party thereto and SunTrust Bank as</w:t>
              </w:r>
            </w:hyperlink>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Agent.</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4"/>
              </w:rPr>
              <w:t>10-K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1"/>
                <w:szCs w:val="21"/>
                <w:color w:val="auto"/>
              </w:rPr>
            </w:pPr>
          </w:p>
        </w:tc>
        <w:tc>
          <w:tcPr>
            <w:tcW w:w="4020" w:type="dxa"/>
            <w:vAlign w:val="bottom"/>
            <w:tcBorders>
              <w:bottom w:val="single" w:sz="8" w:color="0000FF"/>
            </w:tcBorders>
            <w:gridSpan w:val="23"/>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Amended and Restated Credit and Security Agreement,</w:t>
              </w:r>
            </w:hyperlink>
          </w:p>
        </w:tc>
        <w:tc>
          <w:tcPr>
            <w:tcW w:w="160" w:type="dxa"/>
            <w:vAlign w:val="bottom"/>
            <w:gridSpan w:val="7"/>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dated as of November 20, 2017, among Kratos Defense</w:t>
              </w:r>
            </w:hyperlink>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tcBorders>
            <w:gridSpan w:val="22"/>
          </w:tcPr>
          <w:p>
            <w:pPr>
              <w:spacing w:after="0" w:line="196" w:lineRule="exact"/>
              <w:rPr>
                <w:rFonts w:ascii="Arial" w:cs="Arial" w:eastAsia="Arial" w:hAnsi="Arial"/>
                <w:sz w:val="18"/>
                <w:szCs w:val="18"/>
                <w:color w:val="0000FF"/>
                <w:w w:val="97"/>
              </w:rPr>
            </w:pPr>
            <w:hyperlink r:id="rId52">
              <w:r>
                <w:rPr>
                  <w:rFonts w:ascii="Arial" w:cs="Arial" w:eastAsia="Arial" w:hAnsi="Arial"/>
                  <w:sz w:val="18"/>
                  <w:szCs w:val="18"/>
                  <w:color w:val="0000FF"/>
                  <w:w w:val="97"/>
                </w:rPr>
                <w:t>&amp; Security Solutions, Inc., as Borrower, the lenders</w:t>
              </w:r>
            </w:hyperlink>
          </w:p>
        </w:tc>
        <w:tc>
          <w:tcPr>
            <w:tcW w:w="18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named therein, SunTrust Bank, as Agent, and SunTrust</w:t>
              </w:r>
            </w:hyperlink>
          </w:p>
        </w:tc>
        <w:tc>
          <w:tcPr>
            <w:tcW w:w="2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Robinson Humphrey, Inc., as Lead Arranger and Sole</w:t>
              </w:r>
            </w:hyperlink>
          </w:p>
        </w:tc>
        <w:tc>
          <w:tcPr>
            <w:tcW w:w="300" w:type="dxa"/>
            <w:vAlign w:val="bottom"/>
            <w:gridSpan w:val="14"/>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Book Runner.</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1"/>
                <w:szCs w:val="21"/>
                <w:color w:val="auto"/>
              </w:rPr>
            </w:pPr>
          </w:p>
        </w:tc>
        <w:tc>
          <w:tcPr>
            <w:tcW w:w="4180" w:type="dxa"/>
            <w:vAlign w:val="bottom"/>
            <w:gridSpan w:val="30"/>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First Amendment to Amended and Restated Credit and</w:t>
              </w:r>
            </w:hyperlink>
          </w:p>
        </w:tc>
        <w:tc>
          <w:tcPr>
            <w:tcW w:w="102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16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Security Agreement, dated June 11, 2018, among Kratos</w:t>
              </w:r>
            </w:hyperlink>
          </w:p>
        </w:tc>
        <w:tc>
          <w:tcPr>
            <w:tcW w:w="10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Defense &amp; Security Solutions, Inc., as Borrower, each of</w:t>
              </w:r>
            </w:hyperlink>
          </w:p>
        </w:tc>
        <w:tc>
          <w:tcPr>
            <w:tcW w:w="8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the Credit Parties and Required Lenders party thereto and</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SunTrust Bank as Agent.</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9"/>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1"/>
                <w:szCs w:val="21"/>
                <w:color w:val="auto"/>
              </w:rPr>
            </w:pPr>
          </w:p>
        </w:tc>
        <w:tc>
          <w:tcPr>
            <w:tcW w:w="3980" w:type="dxa"/>
            <w:vAlign w:val="bottom"/>
            <w:tcBorders>
              <w:bottom w:val="single" w:sz="8" w:color="0000FF"/>
            </w:tcBorders>
            <w:gridSpan w:val="21"/>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Office Lease, dated as of May 1, 2017, by and between</w:t>
              </w:r>
            </w:hyperlink>
          </w:p>
        </w:tc>
        <w:tc>
          <w:tcPr>
            <w:tcW w:w="200" w:type="dxa"/>
            <w:vAlign w:val="bottom"/>
            <w:gridSpan w:val="9"/>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Kratos Defense &amp; Security Solutions, Inc. and TPP 212</w:t>
              </w:r>
            </w:hyperlink>
          </w:p>
        </w:tc>
        <w:tc>
          <w:tcPr>
            <w:tcW w:w="16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30"/>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Scripps, LLC.</w:t>
              </w:r>
            </w:hyperlink>
          </w:p>
        </w:tc>
        <w:tc>
          <w:tcPr>
            <w:tcW w:w="102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89"/>
              </w:rPr>
              <w:t>10-Q</w:t>
            </w:r>
          </w:p>
        </w:tc>
      </w:tr>
      <w:tr>
        <w:trPr>
          <w:trHeight w:val="507"/>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07/27/2012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(333-182910)</w:t>
      </w:r>
    </w:p>
    <w:p>
      <w:pPr>
        <w:spacing w:after="0" w:line="288" w:lineRule="exact"/>
        <w:rPr>
          <w:sz w:val="20"/>
          <w:szCs w:val="20"/>
          <w:color w:val="auto"/>
        </w:rPr>
      </w:pPr>
    </w:p>
    <w:p>
      <w:pPr>
        <w:ind w:left="80"/>
        <w:spacing w:after="0"/>
        <w:rPr>
          <w:sz w:val="20"/>
          <w:szCs w:val="20"/>
          <w:color w:val="auto"/>
        </w:rPr>
      </w:pPr>
      <w:r>
        <w:rPr>
          <w:rFonts w:ascii="Arial" w:cs="Arial" w:eastAsia="Arial" w:hAnsi="Arial"/>
          <w:sz w:val="17"/>
          <w:szCs w:val="17"/>
          <w:color w:val="auto"/>
        </w:rPr>
        <w:t>03/12/2015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06/02/2015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08/09/2016</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12/08/2016</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7"/>
          <w:szCs w:val="17"/>
          <w:color w:val="auto"/>
        </w:rPr>
        <w:t>05/15/2014</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08/06/2015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7"/>
          <w:szCs w:val="17"/>
          <w:color w:val="auto"/>
        </w:rPr>
        <w:t>08/24/2015</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7"/>
          <w:szCs w:val="17"/>
          <w:color w:val="auto"/>
        </w:rPr>
        <w:t>02/28//2018</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11/21/2017</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7"/>
          <w:szCs w:val="17"/>
          <w:color w:val="auto"/>
        </w:rPr>
        <w:t>06/13/2018</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05/04/2017</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(001-34460)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4.12</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59"/>
        <w:spacing w:after="0"/>
        <w:rPr>
          <w:sz w:val="20"/>
          <w:szCs w:val="20"/>
          <w:color w:val="auto"/>
        </w:rPr>
      </w:pPr>
      <w:r>
        <w:rPr>
          <w:rFonts w:ascii="Arial" w:cs="Arial" w:eastAsia="Arial" w:hAnsi="Arial"/>
          <w:sz w:val="15"/>
          <w:szCs w:val="15"/>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10.2</w:t>
      </w:r>
    </w:p>
    <w:p>
      <w:pPr>
        <w:sectPr>
          <w:pgSz w:w="11900" w:h="16838" w:orient="portrait"/>
          <w:cols w:equalWidth="0" w:num="3">
            <w:col w:w="6580" w:space="720"/>
            <w:col w:w="1040" w:space="720"/>
            <w:col w:w="1159"/>
          </w:cols>
          <w:pgMar w:left="240" w:top="108"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628"/>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38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106">
              <w:r>
                <w:rPr>
                  <w:rFonts w:ascii="Arial" w:cs="Arial" w:eastAsia="Arial" w:hAnsi="Arial"/>
                  <w:sz w:val="18"/>
                  <w:szCs w:val="18"/>
                  <w:color w:val="0000FF"/>
                  <w:w w:val="88"/>
                </w:rPr>
                <w:t>Amended and Restated Lease Agreement, dated as of</w:t>
              </w:r>
            </w:hyperlink>
          </w:p>
        </w:tc>
        <w:tc>
          <w:tcPr>
            <w:tcW w:w="262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4"/>
          </w:tcPr>
          <w:p>
            <w:pPr>
              <w:spacing w:after="0" w:line="196" w:lineRule="exact"/>
              <w:rPr>
                <w:rFonts w:ascii="Arial" w:cs="Arial" w:eastAsia="Arial" w:hAnsi="Arial"/>
                <w:sz w:val="18"/>
                <w:szCs w:val="18"/>
                <w:color w:val="0000FF"/>
              </w:rPr>
            </w:pPr>
            <w:hyperlink w:anchor="page106">
              <w:r>
                <w:rPr>
                  <w:rFonts w:ascii="Arial" w:cs="Arial" w:eastAsia="Arial" w:hAnsi="Arial"/>
                  <w:sz w:val="18"/>
                  <w:szCs w:val="18"/>
                  <w:color w:val="0000FF"/>
                </w:rPr>
                <w:t>January 1, 2019, by and between STORE Capital</w:t>
              </w:r>
            </w:hyperlink>
          </w:p>
        </w:tc>
        <w:tc>
          <w:tcPr>
            <w:tcW w:w="24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3"/>
              </w:rPr>
            </w:pPr>
            <w:hyperlink w:anchor="page106">
              <w:r>
                <w:rPr>
                  <w:rFonts w:ascii="Arial" w:cs="Arial" w:eastAsia="Arial" w:hAnsi="Arial"/>
                  <w:sz w:val="18"/>
                  <w:szCs w:val="18"/>
                  <w:color w:val="0000FF"/>
                  <w:w w:val="93"/>
                </w:rPr>
                <w:t>Acquisitions, LLC and Kratos RT Logic, Inc.</w:t>
              </w:r>
            </w:hyperlink>
          </w:p>
        </w:tc>
        <w:tc>
          <w:tcPr>
            <w:tcW w:w="18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77"/>
        </w:trPr>
        <w:tc>
          <w:tcPr>
            <w:tcW w:w="1280" w:type="dxa"/>
            <w:vAlign w:val="bottom"/>
          </w:tcPr>
          <w:p>
            <w:pPr>
              <w:ind w:lef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4"/>
                <w:szCs w:val="24"/>
                <w:color w:val="auto"/>
              </w:rPr>
            </w:pPr>
          </w:p>
        </w:tc>
        <w:tc>
          <w:tcPr>
            <w:tcW w:w="6480" w:type="dxa"/>
            <w:vAlign w:val="bottom"/>
            <w:gridSpan w:val="14"/>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List of Subsidiaries.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c>
          <w:tcPr>
            <w:tcW w:w="6480" w:type="dxa"/>
            <w:vAlign w:val="bottom"/>
            <w:gridSpan w:val="14"/>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Consent of Independent Registered Public Accounting</w:t>
              </w:r>
            </w:hyperlink>
          </w:p>
        </w:tc>
        <w:tc>
          <w:tcPr>
            <w:tcW w:w="240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61">
              <w:r>
                <w:rPr>
                  <w:rFonts w:ascii="Arial" w:cs="Arial" w:eastAsia="Arial" w:hAnsi="Arial"/>
                  <w:sz w:val="18"/>
                  <w:szCs w:val="18"/>
                  <w:color w:val="0000FF"/>
                  <w:w w:val="92"/>
                </w:rPr>
                <w:t>Firm.</w:t>
              </w:r>
            </w:hyperlink>
          </w:p>
        </w:tc>
        <w:tc>
          <w:tcPr>
            <w:tcW w:w="3520" w:type="dxa"/>
            <w:vAlign w:val="bottom"/>
            <w:tcBorders>
              <w:top w:val="single" w:sz="8" w:color="0000FF"/>
            </w:tcBorders>
            <w:gridSpan w:val="11"/>
          </w:tcPr>
          <w:p>
            <w:pPr>
              <w:spacing w:after="0"/>
              <w:rPr>
                <w:sz w:val="17"/>
                <w:szCs w:val="17"/>
                <w:color w:val="auto"/>
              </w:rPr>
            </w:pPr>
          </w:p>
        </w:tc>
        <w:tc>
          <w:tcPr>
            <w:tcW w:w="256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c>
          <w:tcPr>
            <w:tcW w:w="6480" w:type="dxa"/>
            <w:vAlign w:val="bottom"/>
            <w:gridSpan w:val="14"/>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Certification of Chief Executive Officer pursuant to</w:t>
              </w:r>
            </w:hyperlink>
          </w:p>
        </w:tc>
        <w:tc>
          <w:tcPr>
            <w:tcW w:w="240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9"/>
          </w:tcPr>
          <w:p>
            <w:pPr>
              <w:spacing w:after="0" w:line="196" w:lineRule="exact"/>
              <w:rPr>
                <w:rFonts w:ascii="Arial" w:cs="Arial" w:eastAsia="Arial" w:hAnsi="Arial"/>
                <w:sz w:val="18"/>
                <w:szCs w:val="18"/>
                <w:color w:val="0000FF"/>
                <w:w w:val="97"/>
              </w:rPr>
            </w:pPr>
            <w:hyperlink w:anchor="page162">
              <w:r>
                <w:rPr>
                  <w:rFonts w:ascii="Arial" w:cs="Arial" w:eastAsia="Arial" w:hAnsi="Arial"/>
                  <w:sz w:val="18"/>
                  <w:szCs w:val="18"/>
                  <w:color w:val="0000FF"/>
                  <w:w w:val="97"/>
                </w:rPr>
                <w:t>Section 302 of the Sarbanes Oxley Act of 2002.</w:t>
              </w:r>
            </w:hyperlink>
          </w:p>
        </w:tc>
        <w:tc>
          <w:tcPr>
            <w:tcW w:w="276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6480" w:type="dxa"/>
            <w:vAlign w:val="bottom"/>
            <w:gridSpan w:val="14"/>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Certification of Chief Financial Officer pursuant to</w:t>
              </w:r>
            </w:hyperlink>
          </w:p>
        </w:tc>
        <w:tc>
          <w:tcPr>
            <w:tcW w:w="240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8"/>
          </w:tcPr>
          <w:p>
            <w:pPr>
              <w:spacing w:after="0" w:line="196" w:lineRule="exact"/>
              <w:rPr>
                <w:rFonts w:ascii="Arial" w:cs="Arial" w:eastAsia="Arial" w:hAnsi="Arial"/>
                <w:sz w:val="18"/>
                <w:szCs w:val="18"/>
                <w:color w:val="0000FF"/>
                <w:w w:val="96"/>
              </w:rPr>
            </w:pPr>
            <w:hyperlink w:anchor="page163">
              <w:r>
                <w:rPr>
                  <w:rFonts w:ascii="Arial" w:cs="Arial" w:eastAsia="Arial" w:hAnsi="Arial"/>
                  <w:sz w:val="18"/>
                  <w:szCs w:val="18"/>
                  <w:color w:val="0000FF"/>
                  <w:w w:val="96"/>
                </w:rPr>
                <w:t>Section 302 of the Sarbanes Oxley Act of 2002.</w:t>
              </w:r>
            </w:hyperlink>
          </w:p>
        </w:tc>
        <w:tc>
          <w:tcPr>
            <w:tcW w:w="28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6480" w:type="dxa"/>
            <w:vAlign w:val="bottom"/>
            <w:gridSpan w:val="14"/>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Certification pursuant to 18 U.S.C. Section 1350, as</w:t>
              </w:r>
            </w:hyperlink>
          </w:p>
        </w:tc>
        <w:tc>
          <w:tcPr>
            <w:tcW w:w="240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w:anchor="page164">
              <w:r>
                <w:rPr>
                  <w:rFonts w:ascii="Arial" w:cs="Arial" w:eastAsia="Arial" w:hAnsi="Arial"/>
                  <w:sz w:val="18"/>
                  <w:szCs w:val="18"/>
                  <w:color w:val="0000FF"/>
                  <w:w w:val="89"/>
                </w:rPr>
                <w:t>adopted pursuant to Section 906 of the Sarbanes-Oxley</w:t>
              </w:r>
            </w:hyperlink>
          </w:p>
        </w:tc>
        <w:tc>
          <w:tcPr>
            <w:tcW w:w="25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4"/>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Act of 2002 for Eric M. DeMarco.</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0" w:type="dxa"/>
            <w:vAlign w:val="bottom"/>
            <w:gridSpan w:val="1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6480" w:type="dxa"/>
            <w:vAlign w:val="bottom"/>
            <w:gridSpan w:val="14"/>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Certification pursuant to 18 U.S.C. Section 1350, as</w:t>
              </w:r>
            </w:hyperlink>
          </w:p>
        </w:tc>
        <w:tc>
          <w:tcPr>
            <w:tcW w:w="240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w:anchor="page165">
              <w:r>
                <w:rPr>
                  <w:rFonts w:ascii="Arial" w:cs="Arial" w:eastAsia="Arial" w:hAnsi="Arial"/>
                  <w:sz w:val="18"/>
                  <w:szCs w:val="18"/>
                  <w:color w:val="0000FF"/>
                  <w:w w:val="89"/>
                </w:rPr>
                <w:t>adopted pursuant to Section 906 of the Sarbanes-Oxley</w:t>
              </w:r>
            </w:hyperlink>
          </w:p>
        </w:tc>
        <w:tc>
          <w:tcPr>
            <w:tcW w:w="25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4"/>
          </w:tcPr>
          <w:p>
            <w:pPr>
              <w:spacing w:after="0" w:line="196" w:lineRule="exact"/>
              <w:rPr>
                <w:rFonts w:ascii="Arial" w:cs="Arial" w:eastAsia="Arial" w:hAnsi="Arial"/>
                <w:sz w:val="18"/>
                <w:szCs w:val="18"/>
                <w:color w:val="0000FF"/>
              </w:rPr>
            </w:pPr>
            <w:hyperlink w:anchor="page165">
              <w:r>
                <w:rPr>
                  <w:rFonts w:ascii="Arial" w:cs="Arial" w:eastAsia="Arial" w:hAnsi="Arial"/>
                  <w:sz w:val="18"/>
                  <w:szCs w:val="18"/>
                  <w:color w:val="0000FF"/>
                </w:rPr>
                <w:t>Act of 2002 for Deanna Lund.</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6"/>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Financial statements from the Annual Report on</w:t>
            </w:r>
          </w:p>
        </w:tc>
        <w:tc>
          <w:tcPr>
            <w:tcW w:w="24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Form 10-K of Kratos Defense &amp; Security Solutions, Inc.</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for the year ended December 30, 2018, formatted in</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XBRL: (i) the Consolidated Balance Sheets, (ii) the</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Consolidated Statements of Operations and</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Comprehensive Loss, (iii) the Consolidated Statements of</w:t>
            </w:r>
          </w:p>
        </w:tc>
        <w:tc>
          <w:tcPr>
            <w:tcW w:w="2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Cash Flows, (iv) the Notes to the Consolidated Financial</w:t>
            </w:r>
          </w:p>
        </w:tc>
        <w:tc>
          <w:tcPr>
            <w:tcW w:w="24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auto"/>
              </w:rPr>
              <w:t>Statements.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8"/>
        <w:spacing w:after="0" w:line="308" w:lineRule="auto"/>
        <w:tabs>
          <w:tab w:leader="none" w:pos="282"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15(a)(3) above.</w:t>
      </w:r>
    </w:p>
    <w:p>
      <w:pPr>
        <w:spacing w:after="0" w:line="397" w:lineRule="exact"/>
        <w:rPr>
          <w:sz w:val="20"/>
          <w:szCs w:val="20"/>
          <w:color w:val="auto"/>
        </w:rPr>
      </w:pPr>
    </w:p>
    <w:p>
      <w:pPr>
        <w:ind w:left="660" w:right="8300" w:hanging="652"/>
        <w:spacing w:after="0" w:line="631" w:lineRule="auto"/>
        <w:tabs>
          <w:tab w:leader="none" w:pos="257"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240" w:top="108" w:right="7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Kratos Defense &amp; Security Solutions, Inc.</w:t>
      </w:r>
    </w:p>
    <w:p>
      <w:pPr>
        <w:spacing w:after="0" w:line="387"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r>
      <w:tr>
        <w:trPr>
          <w:trHeight w:val="41"/>
        </w:trPr>
        <w:tc>
          <w:tcPr>
            <w:tcW w:w="560" w:type="dxa"/>
            <w:vAlign w:val="bottom"/>
          </w:tcPr>
          <w:p>
            <w:pPr>
              <w:spacing w:after="0"/>
              <w:rPr>
                <w:sz w:val="3"/>
                <w:szCs w:val="3"/>
                <w:color w:val="auto"/>
              </w:rPr>
            </w:pPr>
          </w:p>
        </w:tc>
        <w:tc>
          <w:tcPr>
            <w:tcW w:w="6080" w:type="dxa"/>
            <w:vAlign w:val="bottom"/>
            <w:tcBorders>
              <w:bottom w:val="single" w:sz="8" w:color="auto"/>
            </w:tcBorders>
          </w:tcPr>
          <w:p>
            <w:pPr>
              <w:spacing w:after="0"/>
              <w:rPr>
                <w:sz w:val="3"/>
                <w:szCs w:val="3"/>
                <w:color w:val="auto"/>
              </w:rPr>
            </w:pPr>
          </w:p>
        </w:tc>
      </w:tr>
      <w:tr>
        <w:trPr>
          <w:trHeight w:val="236"/>
        </w:trPr>
        <w:tc>
          <w:tcPr>
            <w:tcW w:w="56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30"/>
        </w:trPr>
        <w:tc>
          <w:tcPr>
            <w:tcW w:w="560" w:type="dxa"/>
            <w:vAlign w:val="bottom"/>
          </w:tcPr>
          <w:p>
            <w:pPr>
              <w:spacing w:after="0"/>
              <w:rPr>
                <w:sz w:val="19"/>
                <w:szCs w:val="19"/>
                <w:color w:val="auto"/>
              </w:rPr>
            </w:pPr>
          </w:p>
        </w:tc>
        <w:tc>
          <w:tcPr>
            <w:tcW w:w="60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Executive Officer (Principal</w:t>
            </w:r>
          </w:p>
        </w:tc>
      </w:t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8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Officer)</w:t>
            </w:r>
          </w:p>
        </w:tc>
      </w:tr>
    </w:tbl>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Signature</w:t>
      </w:r>
    </w:p>
    <w:p>
      <w:pPr>
        <w:spacing w:after="0" w:line="37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Eric M. DeMarco</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Eric M. DeMarco</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Deanna H. Lund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Deanna H. Lund</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6"/>
          <w:szCs w:val="16"/>
          <w:u w:val="single" w:color="auto"/>
          <w:color w:val="auto"/>
        </w:rPr>
        <w:t>/s/ Maria Cervantes de Burgreen</w:t>
      </w:r>
    </w:p>
    <w:p>
      <w:pPr>
        <w:spacing w:after="0" w:line="46" w:lineRule="exact"/>
        <w:rPr>
          <w:sz w:val="20"/>
          <w:szCs w:val="20"/>
          <w:color w:val="auto"/>
        </w:rPr>
      </w:pPr>
    </w:p>
    <w:p>
      <w:pPr>
        <w:jc w:val="center"/>
        <w:ind w:left="880"/>
        <w:spacing w:after="0"/>
        <w:rPr>
          <w:sz w:val="20"/>
          <w:szCs w:val="20"/>
          <w:color w:val="auto"/>
        </w:rPr>
      </w:pPr>
      <w:r>
        <w:rPr>
          <w:rFonts w:ascii="Arial" w:cs="Arial" w:eastAsia="Arial" w:hAnsi="Arial"/>
          <w:sz w:val="17"/>
          <w:szCs w:val="17"/>
          <w:color w:val="auto"/>
        </w:rPr>
        <w:t>Maria Cervantes de Burgreen</w:t>
      </w:r>
    </w:p>
    <w:p>
      <w:pPr>
        <w:spacing w:after="0" w:line="200" w:lineRule="exact"/>
        <w:rPr>
          <w:sz w:val="20"/>
          <w:szCs w:val="20"/>
          <w:color w:val="auto"/>
        </w:rPr>
      </w:pPr>
    </w:p>
    <w:p>
      <w:pPr>
        <w:spacing w:after="0" w:line="211"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Scott Anderson</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Scott Anderson</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Bandel Carano</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Bandel Carano</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William Hoglund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William Hoglund</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Scot Jarvis</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Scot Jarvis</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Jane E. Judd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Jane E. Judd</w:t>
      </w:r>
    </w:p>
    <w:p>
      <w:pPr>
        <w:spacing w:after="0" w:line="400"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Sam Liberatore</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Sam Liberatore</w:t>
      </w:r>
    </w:p>
    <w:p>
      <w:pPr>
        <w:spacing w:after="0" w:line="400"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Amy Zegart</w:t>
      </w:r>
    </w:p>
    <w:p>
      <w:pPr>
        <w:spacing w:after="0" w:line="2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Title</w:t>
      </w:r>
    </w:p>
    <w:p>
      <w:pPr>
        <w:spacing w:after="0" w:line="3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Vice President, Chief Financial Officer (Principal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Controller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345" w:lineRule="exact"/>
        <w:rPr>
          <w:sz w:val="20"/>
          <w:szCs w:val="20"/>
          <w:color w:val="auto"/>
        </w:rPr>
      </w:pPr>
    </w:p>
    <w:p>
      <w:pPr>
        <w:sectPr>
          <w:pgSz w:w="11900" w:h="16838" w:orient="portrait"/>
          <w:cols w:equalWidth="0" w:num="3">
            <w:col w:w="3900" w:space="720"/>
            <w:col w:w="4340" w:space="660"/>
            <w:col w:w="1740"/>
          </w:cols>
          <w:pgMar w:left="240" w:top="125" w:right="2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60"/>
          </w:cols>
          <w:pgMar w:left="240" w:top="125" w:right="29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084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7660" w:type="dxa"/>
            <w:vAlign w:val="bottom"/>
            <w:gridSpan w:val="6"/>
          </w:tcPr>
          <w:p>
            <w:pPr>
              <w:jc w:val="center"/>
              <w:ind w:right="2580"/>
              <w:spacing w:after="0"/>
              <w:rPr>
                <w:sz w:val="20"/>
                <w:szCs w:val="20"/>
                <w:color w:val="auto"/>
              </w:rPr>
            </w:pPr>
            <w:r>
              <w:rPr>
                <w:rFonts w:ascii="Arial" w:cs="Arial" w:eastAsia="Arial" w:hAnsi="Arial"/>
                <w:sz w:val="18"/>
                <w:szCs w:val="18"/>
                <w:b w:val="1"/>
                <w:bCs w:val="1"/>
                <w:color w:val="auto"/>
              </w:rPr>
              <w:t>INDEX TO CONSOLIDATED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60" w:type="dxa"/>
            <w:vAlign w:val="bottom"/>
            <w:gridSpan w:val="6"/>
          </w:tcPr>
          <w:p>
            <w:pPr>
              <w:jc w:val="center"/>
              <w:ind w:right="260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1080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560" w:type="dxa"/>
            <w:vAlign w:val="bottom"/>
            <w:gridSpan w:val="2"/>
          </w:tcPr>
          <w:p>
            <w:pPr>
              <w:ind w:left="300"/>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F-2</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Balance Sheets as of December 30, 2018 and December 31, 2017</w:t>
              </w:r>
            </w:hyperlink>
          </w:p>
        </w:tc>
        <w:tc>
          <w:tcPr>
            <w:tcW w:w="5100" w:type="dxa"/>
            <w:vAlign w:val="bottom"/>
            <w:gridSpan w:val="4"/>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F-4</w:t>
              </w:r>
            </w:hyperlink>
          </w:p>
        </w:tc>
      </w:tr>
      <w:tr>
        <w:trPr>
          <w:trHeight w:val="250"/>
        </w:trPr>
        <w:tc>
          <w:tcPr>
            <w:tcW w:w="40" w:type="dxa"/>
            <w:vAlign w:val="bottom"/>
          </w:tcPr>
          <w:p>
            <w:pPr>
              <w:spacing w:after="0"/>
              <w:rPr>
                <w:sz w:val="21"/>
                <w:szCs w:val="21"/>
                <w:color w:val="auto"/>
              </w:rPr>
            </w:pPr>
          </w:p>
        </w:tc>
        <w:tc>
          <w:tcPr>
            <w:tcW w:w="105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Operations and Comprehensive Loss for the Years Ended December 30, 2018, December 31, 2017, and December 25,</w:t>
              </w:r>
            </w:hyperlink>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96"/>
        </w:trPr>
        <w:tc>
          <w:tcPr>
            <w:tcW w:w="400" w:type="dxa"/>
            <w:vAlign w:val="bottom"/>
            <w:gridSpan w:val="2"/>
          </w:tcPr>
          <w:p>
            <w:pPr>
              <w:ind w:left="40"/>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2016</w:t>
              </w:r>
            </w:hyperlink>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ind w:left="300"/>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F-5</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800" w:type="dxa"/>
            <w:vAlign w:val="bottom"/>
            <w:gridSpan w:val="9"/>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Consolidated Statements of Stockholders’ Equity for the Years Ended December 30, 2018, December 31, 2017, and December 25, 2016</w:t>
              </w:r>
            </w:hyperlink>
          </w:p>
        </w:tc>
        <w:tc>
          <w:tcPr>
            <w:tcW w:w="560" w:type="dxa"/>
            <w:vAlign w:val="bottom"/>
            <w:gridSpan w:val="2"/>
          </w:tcPr>
          <w:p>
            <w:pPr>
              <w:ind w:left="300"/>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F-6</w:t>
              </w:r>
            </w:hyperlink>
          </w:p>
        </w:tc>
      </w:tr>
      <w:tr>
        <w:trPr>
          <w:trHeight w:val="250"/>
        </w:trPr>
        <w:tc>
          <w:tcPr>
            <w:tcW w:w="40" w:type="dxa"/>
            <w:vAlign w:val="bottom"/>
          </w:tcPr>
          <w:p>
            <w:pPr>
              <w:spacing w:after="0"/>
              <w:rPr>
                <w:sz w:val="21"/>
                <w:szCs w:val="21"/>
                <w:color w:val="auto"/>
              </w:rPr>
            </w:pPr>
          </w:p>
        </w:tc>
        <w:tc>
          <w:tcPr>
            <w:tcW w:w="9780" w:type="dxa"/>
            <w:vAlign w:val="bottom"/>
            <w:tcBorders>
              <w:top w:val="single" w:sz="8" w:color="0000EE"/>
            </w:tcBorders>
            <w:gridSpan w:val="7"/>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Consolidated Statements of Cash Flows for the Years Ended December 30, 2018, December 31, 2017, and December 25, 2016</w:t>
              </w:r>
            </w:hyperlink>
          </w:p>
        </w:tc>
        <w:tc>
          <w:tcPr>
            <w:tcW w:w="10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F-7</w:t>
              </w:r>
            </w:hyperlink>
          </w:p>
        </w:tc>
      </w:tr>
      <w:tr>
        <w:trPr>
          <w:trHeight w:val="250"/>
        </w:trPr>
        <w:tc>
          <w:tcPr>
            <w:tcW w:w="40" w:type="dxa"/>
            <w:vAlign w:val="bottom"/>
          </w:tcPr>
          <w:p>
            <w:pPr>
              <w:spacing w:after="0"/>
              <w:rPr>
                <w:sz w:val="21"/>
                <w:szCs w:val="21"/>
                <w:color w:val="auto"/>
              </w:rPr>
            </w:pPr>
          </w:p>
        </w:tc>
        <w:tc>
          <w:tcPr>
            <w:tcW w:w="9100" w:type="dxa"/>
            <w:vAlign w:val="bottom"/>
            <w:tcBorders>
              <w:top w:val="single" w:sz="8" w:color="0000EE"/>
            </w:tcBorders>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170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F-8</w:t>
              </w:r>
            </w:hyperlink>
          </w:p>
        </w:tc>
      </w:tr>
      <w:tr>
        <w:trPr>
          <w:trHeight w:val="723"/>
        </w:trPr>
        <w:tc>
          <w:tcPr>
            <w:tcW w:w="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gridSpan w:val="5"/>
          </w:tcPr>
          <w:p>
            <w:pPr>
              <w:jc w:val="center"/>
              <w:ind w:right="3660"/>
              <w:spacing w:after="0"/>
              <w:rPr>
                <w:sz w:val="20"/>
                <w:szCs w:val="20"/>
                <w:color w:val="auto"/>
              </w:rPr>
            </w:pPr>
            <w:r>
              <w:rPr>
                <w:rFonts w:ascii="Arial" w:cs="Arial" w:eastAsia="Arial" w:hAnsi="Arial"/>
                <w:sz w:val="18"/>
                <w:szCs w:val="18"/>
                <w:color w:val="auto"/>
                <w:w w:val="96"/>
              </w:rPr>
              <w:t>F-1</w:t>
            </w:r>
          </w:p>
        </w:tc>
        <w:tc>
          <w:tcPr>
            <w:tcW w:w="3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Kratos Defense &amp; Security Solutions,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33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Kratos Defense &amp; Security Solutions, Inc. and subsidiaries (the "Company") as of December 30, 2018 and December 31, 2017, and the related consolidated statements of operations and comprehensive income (loss), stockholders’ equity, and cash flows, for each of the three fiscal years in the period ended December 30, 2018, and the related notes (collectively referred to as the "financial statements"). We also have audited the Company’s internal control over financial reporting as of December 30, 2018,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(COSO).</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30, 2018 and December 31, 2017, and the results of its operations and its cash flows for each of the three fiscal years in the period ended December 30, 2018, in conformity with accounting principles generally accepted in the United States of America. Also, in our opinion, the Company maintained, in all material respects, effective internal control over financial reporting as of December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w:t>
      </w:r>
    </w:p>
    <w:p>
      <w:pPr>
        <w:spacing w:after="0" w:line="33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discussed in Note 1 to the financial statements, the Company has changed its method of accounting for revenue using the modified retrospective transition approach beginning January 1, 2018, relating to the manner in which it accounts for revenues from contracts with customers.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3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0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December 30, 2018 and December 31, 2017</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millions, except par value and number of shares)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-104140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Unbilled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Inventoried costs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current assets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assets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66675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Accrued interest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current liabilities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principal,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Total liabilities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w:t>
      </w:r>
    </w:p>
    <w:p>
      <w:pPr>
        <w:spacing w:after="0" w:line="109" w:lineRule="exact"/>
        <w:rPr>
          <w:sz w:val="20"/>
          <w:szCs w:val="20"/>
          <w:color w:val="auto"/>
        </w:rPr>
      </w:pPr>
    </w:p>
    <w:p>
      <w:pPr>
        <w:ind w:left="180" w:right="340"/>
        <w:spacing w:after="0" w:line="253" w:lineRule="auto"/>
        <w:rPr>
          <w:sz w:val="20"/>
          <w:szCs w:val="20"/>
          <w:color w:val="auto"/>
        </w:rPr>
      </w:pPr>
      <w:r>
        <w:rPr>
          <w:rFonts w:ascii="Arial" w:cs="Arial" w:eastAsia="Arial" w:hAnsi="Arial"/>
          <w:sz w:val="14"/>
          <w:szCs w:val="14"/>
          <w:color w:val="auto"/>
        </w:rPr>
        <w:t>Preferred stock, $0.001 par value, 5,000,000 authorized, 0 shares outstanding at December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wp:posOffset>
            </wp:positionV>
            <wp:extent cx="722947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ind w:left="180"/>
        <w:spacing w:after="0" w:line="253" w:lineRule="auto"/>
        <w:rPr>
          <w:sz w:val="20"/>
          <w:szCs w:val="20"/>
          <w:color w:val="auto"/>
        </w:rPr>
      </w:pPr>
      <w:r>
        <w:rPr>
          <w:rFonts w:ascii="Arial" w:cs="Arial" w:eastAsia="Arial" w:hAnsi="Arial"/>
          <w:sz w:val="14"/>
          <w:szCs w:val="14"/>
          <w:color w:val="auto"/>
        </w:rPr>
        <w:t>Common stock, $0.001 par value, 195,000,000 shares authorized; 103,766,899 and 103,297,525 shares issued and outstanding at December 30, 2018 and December 31, 2017, respectively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2017</w:t>
            </w:r>
          </w:p>
        </w:tc>
      </w:tr>
      <w:tr>
        <w:trPr>
          <w:trHeight w:val="784"/>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182.7</w:t>
            </w:r>
          </w:p>
        </w:tc>
        <w:tc>
          <w:tcPr>
            <w:tcW w:w="120" w:type="dxa"/>
            <w:vAlign w:val="bottom"/>
          </w:tcPr>
          <w:p>
            <w:pPr>
              <w:spacing w:after="0"/>
              <w:rPr>
                <w:sz w:val="24"/>
                <w:szCs w:val="24"/>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130.5</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74.2</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138.1</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49.0</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11.1</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58.6</w:t>
            </w:r>
          </w:p>
        </w:tc>
      </w:tr>
      <w:tr>
        <w:trPr>
          <w:trHeight w:val="204"/>
        </w:trPr>
        <w:tc>
          <w:tcPr>
            <w:tcW w:w="560" w:type="dxa"/>
            <w:vAlign w:val="bottom"/>
          </w:tcPr>
          <w:p>
            <w:pPr>
              <w:spacing w:after="0"/>
              <w:rPr>
                <w:sz w:val="17"/>
                <w:szCs w:val="17"/>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494.7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471.4</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58.0</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425.7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425.7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22.0</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76"/>
        </w:trPr>
        <w:tc>
          <w:tcPr>
            <w:tcW w:w="560" w:type="dxa"/>
            <w:vAlign w:val="bottom"/>
          </w:tcPr>
          <w:p>
            <w:pPr>
              <w:spacing w:after="0"/>
              <w:rPr>
                <w:sz w:val="24"/>
                <w:szCs w:val="24"/>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38.8</w:t>
            </w:r>
          </w:p>
        </w:tc>
      </w:tr>
      <w:tr>
        <w:trPr>
          <w:trHeight w:val="210"/>
        </w:trPr>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1,010.1</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1,024.0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758"/>
        </w:trPr>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4"/>
                <w:szCs w:val="24"/>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34.7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40.9</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30.2</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42.8</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r>
      <w:tr>
        <w:trPr>
          <w:trHeight w:val="204"/>
        </w:trPr>
        <w:tc>
          <w:tcPr>
            <w:tcW w:w="560" w:type="dxa"/>
            <w:vAlign w:val="bottom"/>
          </w:tcPr>
          <w:p>
            <w:pPr>
              <w:spacing w:after="0"/>
              <w:rPr>
                <w:sz w:val="17"/>
                <w:szCs w:val="17"/>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188.9</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294.2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293.5</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24.1</w:t>
            </w:r>
          </w:p>
        </w:tc>
      </w:tr>
      <w:tr>
        <w:trPr>
          <w:trHeight w:val="276"/>
        </w:trPr>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r>
      <w:tr>
        <w:trPr>
          <w:trHeight w:val="210"/>
        </w:trPr>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490.8</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512.5</w:t>
            </w:r>
          </w:p>
        </w:tc>
      </w:tr>
      <w:tr>
        <w:trPr>
          <w:trHeight w:val="865"/>
        </w:trPr>
        <w:tc>
          <w:tcPr>
            <w:tcW w:w="560" w:type="dxa"/>
            <w:vAlign w:val="bottom"/>
          </w:tcPr>
          <w:p>
            <w:pPr>
              <w:spacing w:after="0"/>
              <w:rPr>
                <w:sz w:val="24"/>
                <w:szCs w:val="24"/>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60" w:type="dxa"/>
            <w:vAlign w:val="bottom"/>
          </w:tcPr>
          <w:p>
            <w:pPr>
              <w:spacing w:after="0"/>
              <w:rPr>
                <w:sz w:val="24"/>
                <w:szCs w:val="24"/>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1,244.5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1,233.7</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(724.5)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(720.8)</w:t>
            </w:r>
          </w:p>
        </w:tc>
      </w:tr>
    </w:tbl>
    <w:p>
      <w:pPr>
        <w:spacing w:after="0" w:line="1" w:lineRule="exact"/>
        <w:rPr>
          <w:sz w:val="20"/>
          <w:szCs w:val="20"/>
          <w:color w:val="auto"/>
        </w:rPr>
      </w:pPr>
    </w:p>
    <w:p>
      <w:pPr>
        <w:sectPr>
          <w:pgSz w:w="11900" w:h="16838" w:orient="portrait"/>
          <w:cols w:equalWidth="0" w:num="2">
            <w:col w:w="6520" w:space="220"/>
            <w:col w:w="466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2"/>
        </w:trPr>
        <w:tc>
          <w:tcPr>
            <w:tcW w:w="67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511.5</w:t>
            </w:r>
          </w:p>
        </w:tc>
      </w:tr>
      <w:tr>
        <w:trPr>
          <w:trHeight w:val="204"/>
        </w:trPr>
        <w:tc>
          <w:tcPr>
            <w:tcW w:w="672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1,010.1</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1,024.0</w:t>
            </w: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5"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4"/>
          <w:szCs w:val="14"/>
          <w:b w:val="1"/>
          <w:bCs w:val="1"/>
          <w:color w:val="auto"/>
        </w:rPr>
        <w:t>Years ended December 30, 2018, December 31, 2017, and December 25,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amounts)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Service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Product sales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service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product sales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costs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Selling, general and administrative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of 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Restructuring expenses and other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 (loss) on extinguishment of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income (loss),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other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continuing operations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(benefit) for income taxes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 (Note 8)</w:t>
      </w:r>
    </w:p>
    <w:p>
      <w:pPr>
        <w:spacing w:after="0" w:line="123" w:lineRule="exact"/>
        <w:rPr>
          <w:sz w:val="20"/>
          <w:szCs w:val="20"/>
          <w:color w:val="auto"/>
        </w:rPr>
      </w:pPr>
    </w:p>
    <w:p>
      <w:pPr>
        <w:ind w:left="180"/>
        <w:spacing w:after="0" w:line="253" w:lineRule="auto"/>
        <w:rPr>
          <w:sz w:val="20"/>
          <w:szCs w:val="20"/>
          <w:color w:val="auto"/>
        </w:rPr>
      </w:pPr>
      <w:r>
        <w:rPr>
          <w:rFonts w:ascii="Arial" w:cs="Arial" w:eastAsia="Arial" w:hAnsi="Arial"/>
          <w:sz w:val="14"/>
          <w:szCs w:val="14"/>
          <w:color w:val="auto"/>
        </w:rPr>
        <w:t>Income (loss) from operations of discontinued component (including gain on disposal of $0.0 million for the year ended December 30, 2018)</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income and loss per common share: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loss per common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income and loss per common share: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loss per common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Loss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from above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123" w:lineRule="exact"/>
        <w:rPr>
          <w:sz w:val="20"/>
          <w:szCs w:val="20"/>
          <w:color w:val="auto"/>
        </w:rPr>
      </w:pPr>
    </w:p>
    <w:p>
      <w:pPr>
        <w:ind w:left="180" w:right="960"/>
        <w:spacing w:after="0" w:line="433" w:lineRule="auto"/>
        <w:rPr>
          <w:sz w:val="20"/>
          <w:szCs w:val="20"/>
          <w:color w:val="auto"/>
        </w:rPr>
      </w:pPr>
      <w:r>
        <w:rPr>
          <w:rFonts w:ascii="Arial" w:cs="Arial" w:eastAsia="Arial" w:hAnsi="Arial"/>
          <w:sz w:val="13"/>
          <w:szCs w:val="13"/>
          <w:color w:val="auto"/>
        </w:rPr>
        <w:t>Change in cumulative translation adjustment Postretirement benefit reserve adjustment net of tax expense</w:t>
      </w:r>
    </w:p>
    <w:p>
      <w:pPr>
        <w:spacing w:after="0" w:line="1" w:lineRule="exact"/>
        <w:rPr>
          <w:sz w:val="20"/>
          <w:szCs w:val="20"/>
          <w:color w:val="auto"/>
        </w:rPr>
      </w:pPr>
    </w:p>
    <w:p>
      <w:pPr>
        <w:ind w:left="40" w:right="1900"/>
        <w:spacing w:after="0" w:line="434" w:lineRule="auto"/>
        <w:rPr>
          <w:sz w:val="20"/>
          <w:szCs w:val="20"/>
          <w:color w:val="auto"/>
        </w:rPr>
      </w:pPr>
      <w:r>
        <w:rPr>
          <w:rFonts w:ascii="Arial" w:cs="Arial" w:eastAsia="Arial" w:hAnsi="Arial"/>
          <w:sz w:val="14"/>
          <w:szCs w:val="14"/>
          <w:color w:val="auto"/>
        </w:rPr>
        <w:t>Other comprehensive income (loss), net of tax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2016</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221.3</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320.6</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618.0</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541.9</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162.1</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259.3</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448.3</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445.7</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421.4</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169.7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120.5</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114.6</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13.9</w:t>
            </w:r>
          </w:p>
        </w:tc>
      </w:tr>
      <w:tr>
        <w:trPr>
          <w:trHeight w:val="270"/>
        </w:trPr>
        <w:tc>
          <w:tcPr>
            <w:tcW w:w="48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528"/>
        </w:trPr>
        <w:tc>
          <w:tcPr>
            <w:tcW w:w="480" w:type="dxa"/>
            <w:vAlign w:val="bottom"/>
          </w:tcPr>
          <w:p>
            <w:pPr>
              <w:spacing w:after="0"/>
              <w:rPr>
                <w:sz w:val="24"/>
                <w:szCs w:val="24"/>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70"/>
        </w:trPr>
        <w:tc>
          <w:tcPr>
            <w:tcW w:w="48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r>
      <w:tr>
        <w:trPr>
          <w:trHeight w:val="609"/>
        </w:trPr>
        <w:tc>
          <w:tcPr>
            <w:tcW w:w="480" w:type="dxa"/>
            <w:vAlign w:val="bottom"/>
          </w:tcPr>
          <w:p>
            <w:pPr>
              <w:spacing w:after="0"/>
              <w:rPr>
                <w:sz w:val="24"/>
                <w:szCs w:val="24"/>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(0.94)</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(0.94)</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21"/>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r>
      <w:tr>
        <w:trPr>
          <w:trHeight w:val="528"/>
        </w:trPr>
        <w:tc>
          <w:tcPr>
            <w:tcW w:w="48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-7537450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-7194550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-6851650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-6508115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-6165215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-5822315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-5479415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-5127625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-4784725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-4441825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-4098290</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-3695700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-3352800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-2992120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-2649220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-2289175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-1946275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-1585595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-1242695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-882650</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-187960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600" w:space="440"/>
            <w:col w:w="638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4"/>
          <w:szCs w:val="14"/>
          <w:b w:val="1"/>
          <w:bCs w:val="1"/>
          <w:color w:val="auto"/>
        </w:rPr>
        <w:t>Years ended December 30, 2018, December 31, 2017, and December 25,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20" w:type="dxa"/>
            <w:vAlign w:val="bottom"/>
            <w:gridSpan w:val="4"/>
            <w:vMerge w:val="restart"/>
          </w:tcPr>
          <w:p>
            <w:pPr>
              <w:jc w:val="right"/>
              <w:ind w:right="53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04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Amounts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Additional</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Paid-In 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27, 2015</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873.2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for cash</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57"/>
        </w:trPr>
        <w:tc>
          <w:tcPr>
            <w:tcW w:w="4700" w:type="dxa"/>
            <w:vAlign w:val="bottom"/>
          </w:tcPr>
          <w:p>
            <w:pPr>
              <w:ind w:left="180"/>
              <w:spacing w:after="0" w:line="157" w:lineRule="exact"/>
              <w:rPr>
                <w:sz w:val="20"/>
                <w:szCs w:val="20"/>
                <w:color w:val="auto"/>
              </w:rPr>
            </w:pPr>
            <w:r>
              <w:rPr>
                <w:rFonts w:ascii="Arial" w:cs="Arial" w:eastAsia="Arial" w:hAnsi="Arial"/>
                <w:sz w:val="14"/>
                <w:szCs w:val="14"/>
                <w:color w:val="auto"/>
                <w:w w:val="98"/>
              </w:rPr>
              <w:t>Issuance of common stock for employee stock purchase plan, options and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Balance, December 25, 2016</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956.2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276.4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Issuance of common stock for cash</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268.2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Issuance of common stock for employee stock purchase plan, options and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1,233.7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511.5</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Impact from the adoption of ASC 606 (Note 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7"/>
        </w:trPr>
        <w:tc>
          <w:tcPr>
            <w:tcW w:w="4700" w:type="dxa"/>
            <w:vAlign w:val="bottom"/>
          </w:tcPr>
          <w:p>
            <w:pPr>
              <w:ind w:left="180"/>
              <w:spacing w:after="0" w:line="157" w:lineRule="exact"/>
              <w:rPr>
                <w:sz w:val="20"/>
                <w:szCs w:val="20"/>
                <w:color w:val="auto"/>
              </w:rPr>
            </w:pPr>
            <w:r>
              <w:rPr>
                <w:rFonts w:ascii="Arial" w:cs="Arial" w:eastAsia="Arial" w:hAnsi="Arial"/>
                <w:sz w:val="14"/>
                <w:szCs w:val="14"/>
                <w:color w:val="auto"/>
                <w:w w:val="98"/>
              </w:rPr>
              <w:t>Issuance of common stock for employee stock purchase plan, options and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340"/>
              <w:spacing w:after="0"/>
              <w:rPr>
                <w:sz w:val="20"/>
                <w:szCs w:val="20"/>
                <w:color w:val="auto"/>
              </w:rPr>
            </w:pPr>
            <w:r>
              <w:rPr>
                <w:rFonts w:ascii="Arial" w:cs="Arial" w:eastAsia="Arial" w:hAnsi="Arial"/>
                <w:sz w:val="14"/>
                <w:szCs w:val="14"/>
                <w:color w:val="auto"/>
              </w:rPr>
              <w:t>warrants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issued and related taxes</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Balance, December 30, 2018</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1,244.5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(724.5)</w:t>
            </w:r>
          </w:p>
        </w:tc>
        <w:tc>
          <w:tcPr>
            <w:tcW w:w="10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70" w:name="page71"/>
    <w:bookmarkEnd w:id="7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KRATOS DEFENSE &amp; SECURITY SOLUTIONS, INC. CONSOLIDATED STATEMENTS OF CASH FLOWS Years ended December 30, 2018, December 31, 2017, and December 25, 2016 (in millions)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Adjustments to reconcile income (loss) from continuing operations to net cash provided by (used in)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 charge</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Loss (gain) on extinguishment of debt</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Unbilled receivables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Other assets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708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708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Extinguishment of long-term debt</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(expenses) from the issuance of common stock</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37"/>
        </w:trPr>
        <w:tc>
          <w:tcPr>
            <w:tcW w:w="7080" w:type="dxa"/>
            <w:vAlign w:val="bottom"/>
          </w:tcPr>
          <w:p>
            <w:pPr>
              <w:ind w:left="160"/>
              <w:spacing w:after="0"/>
              <w:rPr>
                <w:sz w:val="20"/>
                <w:szCs w:val="20"/>
                <w:color w:val="auto"/>
              </w:rPr>
            </w:pPr>
            <w:r>
              <w:rPr>
                <w:rFonts w:ascii="Arial" w:cs="Arial" w:eastAsia="Arial" w:hAnsi="Arial"/>
                <w:sz w:val="16"/>
                <w:szCs w:val="16"/>
                <w:color w:val="auto"/>
              </w:rPr>
              <w:t>Repayments under credit facility</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080" w:type="dxa"/>
            <w:vAlign w:val="bottom"/>
          </w:tcPr>
          <w:p>
            <w:pPr>
              <w:ind w:left="180"/>
              <w:spacing w:after="0"/>
              <w:rPr>
                <w:sz w:val="20"/>
                <w:szCs w:val="20"/>
                <w:color w:val="auto"/>
              </w:rPr>
            </w:pPr>
            <w:r>
              <w:rPr>
                <w:rFonts w:ascii="Arial" w:cs="Arial" w:eastAsia="Arial" w:hAnsi="Arial"/>
                <w:sz w:val="16"/>
                <w:szCs w:val="16"/>
                <w:color w:val="auto"/>
                <w:w w:val="93"/>
              </w:rPr>
              <w:t>Proceeds from exercise of restricted stock units, employee stock options, and employee stock purchase</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180"/>
              <w:spacing w:after="0"/>
              <w:rPr>
                <w:sz w:val="20"/>
                <w:szCs w:val="20"/>
                <w:color w:val="auto"/>
              </w:rPr>
            </w:pPr>
            <w:r>
              <w:rPr>
                <w:rFonts w:ascii="Arial" w:cs="Arial" w:eastAsia="Arial" w:hAnsi="Arial"/>
                <w:sz w:val="16"/>
                <w:szCs w:val="16"/>
                <w:color w:val="auto"/>
              </w:rPr>
              <w:t>plan</w:t>
            </w:r>
          </w:p>
        </w:tc>
        <w:tc>
          <w:tcPr>
            <w:tcW w:w="8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130.9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paid during the year for interest</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6"/>
                <w:szCs w:val="16"/>
                <w:color w:val="auto"/>
              </w:rPr>
              <w:t>Net cash paid during the year for income taxes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0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1" w:name="page72"/>
    <w:bookmarkEnd w:id="71"/>
    <w:p>
      <w:pPr>
        <w:ind w:left="40"/>
        <w:spacing w:after="0"/>
        <w:rPr>
          <w:sz w:val="20"/>
          <w:szCs w:val="20"/>
          <w:color w:val="auto"/>
        </w:rPr>
      </w:pPr>
      <w:r>
        <w:rPr>
          <w:rFonts w:ascii="Arial" w:cs="Arial" w:eastAsia="Arial" w:hAnsi="Arial"/>
          <w:sz w:val="16"/>
          <w:szCs w:val="16"/>
          <w:color w:val="auto"/>
        </w:rPr>
        <w:t>Non-cash financing and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20" w:type="dxa"/>
            <w:vAlign w:val="bottom"/>
          </w:tcPr>
          <w:p>
            <w:pPr>
              <w:ind w:left="200"/>
              <w:spacing w:after="0"/>
              <w:rPr>
                <w:sz w:val="20"/>
                <w:szCs w:val="20"/>
                <w:color w:val="auto"/>
              </w:rPr>
            </w:pPr>
            <w:r>
              <w:rPr>
                <w:rFonts w:ascii="Arial" w:cs="Arial" w:eastAsia="Arial" w:hAnsi="Arial"/>
                <w:sz w:val="16"/>
                <w:szCs w:val="16"/>
                <w:color w:val="auto"/>
              </w:rPr>
              <w:t>Capital expenditures included in accounts payable and accrued expenses</w:t>
            </w:r>
          </w:p>
        </w:tc>
        <w:tc>
          <w:tcPr>
            <w:tcW w:w="1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6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Liability for contingent consideration and goodwill related to acquisition</w:t>
            </w:r>
          </w:p>
        </w:tc>
        <w:tc>
          <w:tcPr>
            <w:tcW w:w="1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6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60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Kratos is a mid-tier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missile defense and combat systems. The Company believes that its technology, intellectual property, proprietary products and designed-in positions on its customers’ programs, platforms and systems, and the ability to rapidly develop, demonstrate and field affordable leading technology systems is a competitive advantage and high barrier to entry to the markets in which it operates. The Company’s work force is primarily engineering and technically oriented, highly skilled with a significant number holding national security clearances. The Company’s entire organization is focused on executing its strategy of becoming the leading technology and intellectual property based company in its industry.</w:t>
      </w:r>
    </w:p>
    <w:p>
      <w:pPr>
        <w:spacing w:after="0" w:line="17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historically operated in three reportable segments. The Kratos Government Solutions (“KGS”) reportable segment is comprised of an aggregation of operating segments, including its microwave electronic products, space and satellite communications, modular systems and defense and rocket support services operating segments. The Unmanned Systems (“US”) reportable segment consists of its unmanned aerial system and unmanned ground and seaborne system businesses. The Public Safety &amp; Security (“PSS”) reportable segment (which was divested in June 2018 and has been classified as discontinued operations - see Note 8 of these notes to the consolidated financial statements) previously provided independent integrated solutions for advanced homeland security, public safety, critical infrastructure, and security and surveillance systems for government and commercial applications. The Company organizes its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13 of these notes to consolidated financial statements.</w:t>
      </w:r>
    </w:p>
    <w:p>
      <w:pPr>
        <w:spacing w:after="0" w:line="17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100% owned subsidiaries, for which all intercompany transactions have been eliminated in consolidation.</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There were 52 calendar weeks in the fiscal years ending on December 30, 2018 and December 25, 2016 and 53 calendar weeks in the fiscal year ended on December 31, 2017.</w:t>
      </w:r>
    </w:p>
    <w:p>
      <w:pPr>
        <w:spacing w:after="0" w:line="17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 allowance on the deferred tax asset and uncertain tax positions, contingencies and litigation, contingent acquisition consideration, and stock-based compensation. In the future, the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4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Effective January 1, 2018, the Company adopted FASB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and the related amendments, which are codified into Accounting Standards Codification (“ASC”) 606 (“ASC 606”), which establishes a broad principle that requires entities to assess the products or services promised in contracts with customers at contract inception to determine the appropriate unit at which to record revenues, which is referred to as a performance obligation. Revenue is recognized when control of the promised products or services is transferred to customers, at an amount that reflects the consideration to which the entity expects to be entitled in exchange for those products or services. The new standard supersedes GAAP guidance on revenue recognition and requires the use of more estimates and judgments than the present standards. In addition, the standard requires disclosure of the nature, amount, timing, and uncertainty of revenue and cash flows arising from contracts with customers.</w:t>
      </w:r>
    </w:p>
    <w:p>
      <w:pPr>
        <w:spacing w:after="0" w:line="17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ASC 606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adopted ASC 606 on January 1, 2018, using the modified retrospective method.</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Company recorded a decrease in opening equity of $0.2 million as of January 1, 2018 due to the cumulative impact of adopting ASC 606. The impact of adopting ASC 606 for the year ended December 30, 2018 was an increase of $30.0 million to revenues and a corresponding increase in cost of revenues of $21.9 million. Total net cash provided by operating activities from continuing operations, total net cash provided by investing activities from continuing operations and total net cash provided by financing activities on the Company’s consolidated statements of cash flows were not impacted by the adoption of ASC 606. Discontinued operations were not affected by the implementation of ASC 606.</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The reported results for 2018 reflect the application of ASC 606 guidance while the reported results for periods prior to January 1, 2018 were prepared under the guidance of FASB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adoption of ASC 606 represents a change in accounting principle. In accordance with ASC 606, revenue is recognized when a customer obtains control of promised services and products. The amount of revenue recognized reflects the consideration that the Company expects to be entitled to receive in exchange for these services and products.</w:t>
      </w:r>
    </w:p>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Prior to the adoption of ASC 606, the Company recognized the majority of its revenues using the percentage-of completion method of accounting. Based on the nature of products provided or services performed, revenue was recorded as costs were incurred (the “percentage-of-completion cost-to-cost method”) or as units were delivered (the “percentage-of-completion units-of-delivery method”). For the majority of contracts, the customer obtains control or receives benefits as work is performed on the contract. As a result, under ASC 606 revenue is recognized over a period of time utilizing the percentage-of-completion cost-to-cost method, which better matches the progress on the contract. This change generally results in an acceleration of revenue for contracts that were historically accounted for using the percentage-of-completion units-of-delivery method as revenues are now recognized earlier in the performance period as costs are incurred rather than as units are delivered.</w:t>
      </w:r>
    </w:p>
    <w:p>
      <w:pPr>
        <w:spacing w:after="0" w:line="178"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the Company’s adoption of ASC 606 on January 1, 2018, revenues from remaining performance obligations are now calculated as the dollar value of the remaining performance obligations on executed contracts. On December 30, 2018, the Company had approximately $620.7 million of remaining performance obligations. The Company expects to recognize approximately 66.7% of the remaining performance obligations as revenue in 2019, an additional 13.7% in 2020, and the balance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Due to the nature of the work required to be performed on many performance obligations, the estimation of total revenue and cost at completion is complex, subject to many variables and requires significant judgment. It is common for the Company’s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 performance obligation is recognized in the period the loss is determined. No adjustment on any one contract was material to the Company’s consolidated financial statements for the years ended December 30, 2018, December 31, 2017 and December 25, 2016. Total adjustments were not significant for the years ended December 30, 2018, December 31, 2017 and December 25, 2016. As of December 30, 2018 and December 31, 2017, accrued expenses included the accrual for losses on contracts of $5.1 million and $10.3 million,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30, 2018</w:t>
            </w: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 2018</w:t>
            </w:r>
          </w:p>
        </w:tc>
        <w:tc>
          <w:tcPr>
            <w:tcW w:w="24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Net Change</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Contract assets increased $33.5 million during the year ended December 30, 2018, primarily due to the recognition of revenue related to the satisfaction or partial satisfaction of performance obligations during the year ended December 30, 2018 for which the Company has not yet billed the customers. There were no significant impairment losses related to any receivables or contract assets arising from the Company’s contracts with customers during the year ended December 30, 2018. Contract liabilities decreased $9.8 million during the year ended December 30, 2018, primarily due to revenue recognized in excess of payments received on these performance obligations. For the year ended December 30, 2018, the Company recognized revenue of $35.5 million that was previously included in the beginning balance of contract liabilities.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Year Ended December 30,</w:t>
            </w:r>
          </w:p>
        </w:tc>
      </w:tr>
      <w:tr>
        <w:trPr>
          <w:trHeight w:val="186"/>
        </w:trPr>
        <w:tc>
          <w:tcPr>
            <w:tcW w:w="9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39"/>
        </w:trPr>
        <w:tc>
          <w:tcPr>
            <w:tcW w:w="96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80"/>
              <w:spacing w:after="0"/>
              <w:rPr>
                <w:sz w:val="20"/>
                <w:szCs w:val="20"/>
                <w:color w:val="auto"/>
              </w:rPr>
            </w:pPr>
            <w:r>
              <w:rPr>
                <w:rFonts w:ascii="Arial" w:cs="Arial" w:eastAsia="Arial" w:hAnsi="Arial"/>
                <w:sz w:val="18"/>
                <w:szCs w:val="18"/>
                <w:color w:val="auto"/>
              </w:rPr>
              <w:t>Fixed price</w:t>
            </w:r>
          </w:p>
        </w:tc>
        <w:tc>
          <w:tcPr>
            <w:tcW w:w="440" w:type="dxa"/>
            <w:vAlign w:val="bottom"/>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424.9</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Cost plus fee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r>
      <w:tr>
        <w:trPr>
          <w:trHeight w:val="243"/>
        </w:trPr>
        <w:tc>
          <w:tcPr>
            <w:tcW w:w="9600" w:type="dxa"/>
            <w:vAlign w:val="bottom"/>
          </w:tcPr>
          <w:p>
            <w:pPr>
              <w:ind w:left="80"/>
              <w:spacing w:after="0"/>
              <w:rPr>
                <w:sz w:val="20"/>
                <w:szCs w:val="20"/>
                <w:color w:val="auto"/>
              </w:rPr>
            </w:pPr>
            <w:r>
              <w:rPr>
                <w:rFonts w:ascii="Arial" w:cs="Arial" w:eastAsia="Arial" w:hAnsi="Arial"/>
                <w:sz w:val="18"/>
                <w:szCs w:val="18"/>
                <w:color w:val="auto"/>
              </w:rPr>
              <w:t>Time and materials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27.6</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Kratos Government Solutions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Unmanned Systems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Fixed price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Cost plus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Time and materials</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Unmanned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104.8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132.9</w:t>
      </w:r>
    </w:p>
    <w:p>
      <w:pPr>
        <w:spacing w:after="0" w:line="77" w:lineRule="exact"/>
        <w:rPr>
          <w:sz w:val="20"/>
          <w:szCs w:val="20"/>
          <w:color w:val="auto"/>
        </w:rPr>
      </w:pPr>
    </w:p>
    <w:p>
      <w:pPr>
        <w:ind w:left="1280" w:hanging="1276"/>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618.0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63500</wp:posOffset>
            </wp:positionV>
            <wp:extent cx="11576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900" w:space="720"/>
            <w:col w:w="1800"/>
          </w:cols>
          <w:pgMar w:left="240" w:top="125" w:right="2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Revenue by customer was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Year Ended December 30,</w:t>
            </w:r>
          </w:p>
        </w:tc>
      </w:tr>
      <w:tr>
        <w:trPr>
          <w:trHeight w:val="192"/>
        </w:trPr>
        <w:tc>
          <w:tcPr>
            <w:tcW w:w="9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2018</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324"/>
        </w:trPr>
        <w:tc>
          <w:tcPr>
            <w:tcW w:w="9480" w:type="dxa"/>
            <w:vAlign w:val="bottom"/>
          </w:tcPr>
          <w:p>
            <w:pPr>
              <w:ind w:left="8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333.5</w:t>
            </w:r>
          </w:p>
        </w:tc>
      </w:tr>
      <w:tr>
        <w:trPr>
          <w:trHeight w:val="324"/>
        </w:trPr>
        <w:tc>
          <w:tcPr>
            <w:tcW w:w="9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r>
      <w:tr>
        <w:trPr>
          <w:trHeight w:val="243"/>
        </w:trPr>
        <w:tc>
          <w:tcPr>
            <w:tcW w:w="9480" w:type="dxa"/>
            <w:vAlign w:val="bottom"/>
          </w:tcPr>
          <w:p>
            <w:pPr>
              <w:ind w:left="80"/>
              <w:spacing w:after="0"/>
              <w:rPr>
                <w:sz w:val="20"/>
                <w:szCs w:val="20"/>
                <w:color w:val="auto"/>
              </w:rPr>
            </w:pPr>
            <w:r>
              <w:rPr>
                <w:rFonts w:ascii="Arial" w:cs="Arial" w:eastAsia="Arial" w:hAnsi="Arial"/>
                <w:sz w:val="18"/>
                <w:szCs w:val="18"/>
                <w:color w:val="auto"/>
              </w:rPr>
              <w:t>U.S. Commercial and other customers</w:t>
            </w: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55.6</w:t>
            </w:r>
          </w:p>
        </w:tc>
      </w:tr>
      <w:tr>
        <w:trPr>
          <w:trHeight w:val="27"/>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9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485.1</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Unmanned Systems</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9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113.5</w:t>
            </w:r>
          </w:p>
        </w:tc>
      </w:tr>
      <w:tr>
        <w:trPr>
          <w:trHeight w:val="324"/>
        </w:trPr>
        <w:tc>
          <w:tcPr>
            <w:tcW w:w="9480" w:type="dxa"/>
            <w:vAlign w:val="bottom"/>
          </w:tcPr>
          <w:p>
            <w:pPr>
              <w:ind w:left="8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18.3</w:t>
            </w:r>
          </w:p>
        </w:tc>
      </w:tr>
      <w:tr>
        <w:trPr>
          <w:trHeight w:val="270"/>
        </w:trPr>
        <w:tc>
          <w:tcPr>
            <w:tcW w:w="9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U.S. Commercial and other customers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9480" w:type="dxa"/>
            <w:vAlign w:val="bottom"/>
          </w:tcPr>
          <w:p>
            <w:pPr>
              <w:ind w:left="1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132.9</w:t>
            </w:r>
          </w:p>
        </w:tc>
      </w:tr>
      <w:tr>
        <w:trPr>
          <w:trHeight w:val="27"/>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618.0</w:t>
            </w:r>
          </w:p>
        </w:tc>
      </w:tr>
      <w:tr>
        <w:trPr>
          <w:trHeight w:val="20"/>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firstLine="8"/>
        <w:spacing w:after="0" w:line="276" w:lineRule="auto"/>
        <w:tabs>
          <w:tab w:leader="none" w:pos="187"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03" w:lineRule="exact"/>
        <w:rPr>
          <w:rFonts w:ascii="Arial" w:cs="Arial" w:eastAsia="Arial" w:hAnsi="Arial"/>
          <w:sz w:val="22"/>
          <w:szCs w:val="22"/>
          <w:color w:val="auto"/>
          <w:vertAlign w:val="superscript"/>
        </w:rPr>
      </w:pPr>
    </w:p>
    <w:p>
      <w:pPr>
        <w:ind w:right="180" w:firstLine="8"/>
        <w:spacing w:after="0" w:line="330" w:lineRule="auto"/>
        <w:tabs>
          <w:tab w:leader="none" w:pos="178" w:val="left"/>
        </w:tabs>
        <w:numPr>
          <w:ilvl w:val="0"/>
          <w:numId w:val="37"/>
        </w:numPr>
        <w:rPr>
          <w:rFonts w:ascii="Arial" w:cs="Arial" w:eastAsia="Arial" w:hAnsi="Arial"/>
          <w:sz w:val="20"/>
          <w:szCs w:val="20"/>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3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customer, communications with the customer regarding funding status, and its knowledge of available funding for the contract or program. As of December 30, 2018 and December 31, 2017, approximately $3.8 million and $1.9 million, respectively, of the Company’s unbilled accounts receivable balance were under an authorization to proceed or work order from its customers where a formal purchase order had not yet been received.</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6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Inventoried costs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193"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Research and Development</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Costs incurred in research and development activities are expensed as incurred in accordance with FASB ASC Topic 730</w:t>
      </w:r>
      <w:r>
        <w:rPr>
          <w:rFonts w:ascii="Arial" w:cs="Arial" w:eastAsia="Arial" w:hAnsi="Arial"/>
          <w:sz w:val="18"/>
          <w:szCs w:val="18"/>
          <w:i w:val="1"/>
          <w:iCs w:val="1"/>
          <w:color w:val="auto"/>
        </w:rPr>
        <w:t>,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accordance with the recognition standards established by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6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accounts for stock-based compensation in accordance with ASC Topic 718</w:t>
      </w:r>
      <w:r>
        <w:rPr>
          <w:rFonts w:ascii="Arial" w:cs="Arial" w:eastAsia="Arial" w:hAnsi="Arial"/>
          <w:sz w:val="18"/>
          <w:szCs w:val="18"/>
          <w:i w:val="1"/>
          <w:iCs w:val="1"/>
          <w:color w:val="auto"/>
        </w:rPr>
        <w:t>, Compensation-Stock Compensation</w:t>
      </w:r>
      <w:r>
        <w:rPr>
          <w:rFonts w:ascii="Arial" w:cs="Arial" w:eastAsia="Arial" w:hAnsi="Arial"/>
          <w:sz w:val="18"/>
          <w:szCs w:val="18"/>
          <w:color w:val="auto"/>
        </w:rPr>
        <w:t xml:space="preserve">. All of the Company’s stock-based compensation plans are considered equity plans under </w:t>
      </w:r>
      <w:r>
        <w:rPr>
          <w:rFonts w:ascii="Arial" w:cs="Arial" w:eastAsia="Arial" w:hAnsi="Arial"/>
          <w:sz w:val="18"/>
          <w:szCs w:val="18"/>
          <w:i w:val="1"/>
          <w:iCs w:val="1"/>
          <w:color w:val="auto"/>
        </w:rPr>
        <w:t>Topic 718</w:t>
      </w:r>
      <w:r>
        <w:rPr>
          <w:rFonts w:ascii="Arial" w:cs="Arial" w:eastAsia="Arial" w:hAnsi="Arial"/>
          <w:sz w:val="18"/>
          <w:szCs w:val="18"/>
          <w:color w:val="auto"/>
        </w:rPr>
        <w:t>, and compensation expense recognized is net of estimated forfeitures over the vesting period. The Company issues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years ended December 30, 2018, December 31, 2017 and December 25, 2016, there were no incremental tax benefits from stock options exercised in the periods. The following table shows the amounts recognized in the consolidated financial statements for 2018, 2017 and 2016 for stock-based compensation expense related to stock options, stock awards and stock offered under the Company’s employee stock purchase plan (in millions,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w w:val="92"/>
              </w:rPr>
              <w:t>Total cost of employee stock-based compensation included in operating income (loss) from</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Impact on net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w:t>
            </w:r>
          </w:p>
        </w:tc>
        <w:tc>
          <w:tcPr>
            <w:tcW w:w="6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Allowance for Doubtful Accounts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gridSpan w:val="2"/>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accounts for 2018, 2017 and 2016. The table identifies the additional provisions each year as well as the write-offs that utilized the allowance (in millions).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3040" w:type="dxa"/>
            <w:vAlign w:val="bottom"/>
            <w:gridSpan w:val="3"/>
          </w:tcPr>
          <w:p>
            <w:pPr>
              <w:jc w:val="center"/>
              <w:ind w:left="1214"/>
              <w:spacing w:after="0"/>
              <w:rPr>
                <w:sz w:val="20"/>
                <w:szCs w:val="20"/>
                <w:color w:val="auto"/>
              </w:rPr>
            </w:pPr>
            <w:r>
              <w:rPr>
                <w:rFonts w:ascii="Arial" w:cs="Arial" w:eastAsia="Arial" w:hAnsi="Arial"/>
                <w:sz w:val="14"/>
                <w:szCs w:val="14"/>
                <w:b w:val="1"/>
                <w:bCs w:val="1"/>
                <w:color w:val="auto"/>
                <w:w w:val="91"/>
              </w:rPr>
              <w:t>Balance at Beginning</w:t>
            </w:r>
          </w:p>
        </w:tc>
        <w:tc>
          <w:tcPr>
            <w:tcW w:w="26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Provisions</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Write-offs/Recoveries</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Balance at End of Year</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 Year</w:t>
            </w: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25, 2016</w:t>
            </w:r>
          </w:p>
        </w:tc>
        <w:tc>
          <w:tcPr>
            <w:tcW w:w="174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Year ended December 31, 2017</w:t>
            </w:r>
          </w:p>
        </w:tc>
        <w:tc>
          <w:tcPr>
            <w:tcW w:w="17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30, 2018</w:t>
            </w: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7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 has restricted cash accounts of approximately $0.3 million at December 30, 2018 and $0.4 million at December 31, 2017. As of December 30, 2018 and December 31, 2017, restricted cash consists primarily of a deposit securing foreign letters of credit related to payment and performance bonds on international contracts.</w:t>
      </w:r>
    </w:p>
    <w:p>
      <w:pPr>
        <w:spacing w:after="0" w:line="17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are depreciated predominately using the straight-line method, with the following lives: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 39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3 – 10</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 – 10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Vehicles, furniture, and office equipment</w:t>
            </w:r>
          </w:p>
        </w:tc>
        <w:tc>
          <w:tcPr>
            <w:tcW w:w="24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9"/>
        </w:trPr>
        <w:tc>
          <w:tcPr>
            <w:tcW w:w="90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Shorter of useful life or length</w:t>
            </w:r>
          </w:p>
        </w:tc>
      </w:tr>
      <w:tr>
        <w:trPr>
          <w:trHeight w:val="23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lease</w:t>
            </w:r>
          </w:p>
        </w:tc>
      </w:tr>
      <w:tr>
        <w:trPr>
          <w:trHeight w:val="27"/>
        </w:trPr>
        <w:tc>
          <w:tcPr>
            <w:tcW w:w="90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 classifies assets and liabilities as held for sale (“disposal group”) when management, having the authority to approve the action, commits to a plan to sell the disposal group, the sale is probable within one year, and the disposal group is available for immediate sale in its present condition. The Company also considers whether an active program to locate a buyer has been initiated, whether the disposal group is marketed actively for sale at a price that is reasonable in relation to its current fair value, and whether actions required to complete the plan indicate that it is unlikely that significant changes to the plan will be made or the plan will be withdrawn.</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the time of classifying assets as held for sale and at the end of each reporting period, the Company compares the carrying value of these assets to estimates of fair value to assess for impairment. The Company compares the carrying value to estimates of fair value utilizing the assistance of third-party broker opinions of value to assist in its fair value estimates.</w:t>
      </w:r>
    </w:p>
    <w:p>
      <w:pPr>
        <w:spacing w:after="0" w:line="18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In the third quarter of 2016, the Company’s management, following the closure of its manufacturing facility in South Carolina, committed to a plan to sell the Walterboro building facility reported within the KGS segment. At that time, the building facility had a carrying value of $1.9 million and was classified as held for sale. In the fourth quarter of 2016, after not receiving any viable offers to purchase the building facility, the Company decided to reclassify the building facility from held for sale to held for use. In accordance with ASC </w:t>
      </w:r>
      <w:r>
        <w:rPr>
          <w:rFonts w:ascii="Arial" w:cs="Arial" w:eastAsia="Arial" w:hAnsi="Arial"/>
          <w:sz w:val="17"/>
          <w:szCs w:val="17"/>
          <w:i w:val="1"/>
          <w:iCs w:val="1"/>
          <w:color w:val="auto"/>
        </w:rPr>
        <w:t>Topic 360-10, Property, Plant and Equipment - Disposal of Long-Lived Assets</w:t>
      </w:r>
      <w:r>
        <w:rPr>
          <w:rFonts w:ascii="Arial" w:cs="Arial" w:eastAsia="Arial" w:hAnsi="Arial"/>
          <w:sz w:val="17"/>
          <w:szCs w:val="17"/>
          <w:color w:val="auto"/>
        </w:rPr>
        <w:t>, utilizing the assistance of a third-party broker to assist in the estimating of fair value, the remeasured fair value of the building was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$500,000. The impairment loss of $1.4 million was recorded at that time and is reflected in restructuring expenses and other in the consolidated statements of operations and comprehensive loss for the year ended December 25, 2016.</w:t>
      </w:r>
    </w:p>
    <w:p>
      <w:pPr>
        <w:spacing w:after="0" w:line="17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commencement date, which is generally when the Company is given the right of access to the space and begins to make improvements in preparation for intended use.</w:t>
      </w:r>
    </w:p>
    <w:p>
      <w:pPr>
        <w:spacing w:after="0" w:line="16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In accordance with the provisions of ASC </w:t>
      </w:r>
      <w:r>
        <w:rPr>
          <w:rFonts w:ascii="Arial" w:cs="Arial" w:eastAsia="Arial" w:hAnsi="Arial"/>
          <w:sz w:val="18"/>
          <w:szCs w:val="18"/>
          <w:i w:val="1"/>
          <w:iCs w:val="1"/>
          <w:color w:val="auto"/>
        </w:rPr>
        <w:t>Topic 350, 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Impairment of Long-Lived Assets and Long-Lived Assets to Be Disposed Of</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Long-lived assets are reviewed for impairment in accordance with ASC </w:t>
      </w:r>
      <w:r>
        <w:rPr>
          <w:rFonts w:ascii="Arial" w:cs="Arial" w:eastAsia="Arial" w:hAnsi="Arial"/>
          <w:sz w:val="16"/>
          <w:szCs w:val="16"/>
          <w:i w:val="1"/>
          <w:iCs w:val="1"/>
          <w:color w:val="auto"/>
        </w:rPr>
        <w:t>Topic 360, 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5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ASC Topic 825</w:t>
      </w:r>
      <w:r>
        <w:rPr>
          <w:rFonts w:ascii="Arial" w:cs="Arial" w:eastAsia="Arial" w:hAnsi="Arial"/>
          <w:sz w:val="18"/>
          <w:szCs w:val="18"/>
          <w:i w:val="1"/>
          <w:iCs w:val="1"/>
          <w:color w:val="auto"/>
        </w:rPr>
        <w:t>, Financial Instruments,</w:t>
      </w:r>
      <w:r>
        <w:rPr>
          <w:rFonts w:ascii="Arial" w:cs="Arial" w:eastAsia="Arial" w:hAnsi="Arial"/>
          <w:sz w:val="18"/>
          <w:szCs w:val="18"/>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18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Debt Issuance Costs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18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Interest expense, net is summarized in the following table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incurred primarily on the Company’s Senior Secured Notes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Miscellaneous interest income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w:t>
            </w:r>
          </w:p>
        </w:tc>
        <w:tc>
          <w:tcPr>
            <w:tcW w:w="6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Foreign Currency</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gridSpan w:val="2"/>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aggregate foreign currency transaction gain (loss) included in determining net loss for the years ended December 30, 2018, December 31, 2017, and December 25, 2016 was approximately $(1.1) million, $0.4 million, and $0.4 million, respectively, which is included in other income (expense), net on the accompanying consolidated statements of operations and comprehensive loss.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among other things, allows a company to elect an optional transition method that applies the new lease requirements through a cumulative-effect adjustment in the period of adoption. The Company adopted the standard on January 1, 2019 using the optional transition method.</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has made substantial progress in executing its implementation plan. The Company has revised controls and processes to address the lease standard and has completed the implementation and data input for our lease accounting software tool. The Company is electing the package of practical expedients, which, among other things, allows carry-forward of prior lease classifications under the prior standard. However, the Company is not electing to adopt the hindsight practical expedient and is therefore maintaining the lease terms previously determined under the prior lease standard. Adoption of the standard is expected to have an estimated impact of approximately $68 million on the consolidated balance sheet for the addition of lease assets and liabilities.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 2016-02 also requires expanded disclosure regarding the amounts, timing and uncertainties of cash flows related to a company’s lease portfolio. The Company is evaluating these disclosure requirements and is incorporating the collection of relevant data into its processes in preparation for disclosure in 2019.</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noted in (e) Revenue Recognition above, effective January 1, 2018, the Company adopted ASC 606, through the use of the modified-retrospective method. The cumulative effects of applying the new guidance to all contracts with customers that were not completed as of January 1, 2018 was recorded as a decrease in opening equity of $0.2 million. Additional disclosures have been included in (e) Revenue Recognition above in accordance with the ASU.</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changes were made to the Company’s consolidated balance sheet on January 1, 2018 as a result of the adoption of ASC 606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Adjusted</w:t>
            </w:r>
          </w:p>
        </w:tc>
      </w:t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ASC 606</w:t>
            </w:r>
          </w:p>
        </w:tc>
        <w:tc>
          <w:tcPr>
            <w:tcW w:w="200" w:type="dxa"/>
            <w:vAlign w:val="bottom"/>
          </w:tcPr>
          <w:p>
            <w:pPr>
              <w:spacing w:after="0"/>
              <w:rPr>
                <w:sz w:val="17"/>
                <w:szCs w:val="17"/>
                <w:color w:val="auto"/>
              </w:rPr>
            </w:pPr>
          </w:p>
        </w:tc>
        <w:tc>
          <w:tcPr>
            <w:tcW w:w="106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January 1, 2018</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Adjustment</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January 1, 2018</w:t>
            </w: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Unbilled receivables,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139.4</w:t>
            </w: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Inventoried costs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r>
      <w:tr>
        <w:trPr>
          <w:trHeight w:val="243"/>
        </w:trPr>
        <w:tc>
          <w:tcPr>
            <w:tcW w:w="7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40.3</w:t>
            </w: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r>
      <w:tr>
        <w:trPr>
          <w:trHeight w:val="243"/>
        </w:trPr>
        <w:tc>
          <w:tcPr>
            <w:tcW w:w="7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(721.0)</w:t>
            </w:r>
          </w:p>
        </w:tc>
      </w:tr>
    </w:tbl>
    <w:p>
      <w:pPr>
        <w:spacing w:after="0" w:line="37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the impacts of ASC 606 adoption on the Company’s operating income from continuing operations for the year ended December 30, 2018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December 30, 2018</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Balances Without</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Adoption of ASC</w:t>
            </w:r>
          </w:p>
        </w:tc>
        <w:tc>
          <w:tcPr>
            <w:tcW w:w="18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Effect of Change</w:t>
            </w:r>
          </w:p>
        </w:tc>
      </w:tr>
      <w:tr>
        <w:trPr>
          <w:trHeight w:val="210"/>
        </w:trPr>
        <w:tc>
          <w:tcPr>
            <w:tcW w:w="4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606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2"/>
              <w:spacing w:after="0"/>
              <w:rPr>
                <w:sz w:val="20"/>
                <w:szCs w:val="20"/>
                <w:color w:val="auto"/>
              </w:rPr>
            </w:pPr>
            <w:r>
              <w:rPr>
                <w:rFonts w:ascii="Arial" w:cs="Arial" w:eastAsia="Arial" w:hAnsi="Arial"/>
                <w:sz w:val="16"/>
                <w:szCs w:val="16"/>
                <w:b w:val="1"/>
                <w:bCs w:val="1"/>
                <w:color w:val="auto"/>
              </w:rPr>
              <w:t>Higher/(Lower)</w:t>
            </w:r>
          </w:p>
        </w:tc>
      </w:tr>
      <w:tr>
        <w:trPr>
          <w:trHeight w:val="33"/>
        </w:trPr>
        <w:tc>
          <w:tcPr>
            <w:tcW w:w="44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44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r>
      <w:tr>
        <w:trPr>
          <w:trHeight w:val="237"/>
        </w:trPr>
        <w:tc>
          <w:tcPr>
            <w:tcW w:w="4440" w:type="dxa"/>
            <w:vAlign w:val="bottom"/>
          </w:tcPr>
          <w:p>
            <w:pPr>
              <w:ind w:left="120"/>
              <w:spacing w:after="0"/>
              <w:rPr>
                <w:sz w:val="20"/>
                <w:szCs w:val="20"/>
                <w:color w:val="auto"/>
              </w:rPr>
            </w:pPr>
            <w:r>
              <w:rPr>
                <w:rFonts w:ascii="Arial" w:cs="Arial" w:eastAsia="Arial" w:hAnsi="Arial"/>
                <w:sz w:val="18"/>
                <w:szCs w:val="18"/>
                <w:color w:val="auto"/>
              </w:rPr>
              <w:t>Total costs</w:t>
            </w:r>
          </w:p>
        </w:tc>
        <w:tc>
          <w:tcPr>
            <w:tcW w:w="2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r>
      <w:tr>
        <w:trPr>
          <w:trHeight w:val="27"/>
        </w:trPr>
        <w:tc>
          <w:tcPr>
            <w:tcW w:w="44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37"/>
        </w:trPr>
        <w:tc>
          <w:tcPr>
            <w:tcW w:w="444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817"/>
        </w:trPr>
        <w:tc>
          <w:tcPr>
            <w:tcW w:w="4440" w:type="dxa"/>
            <w:vAlign w:val="bottom"/>
          </w:tcPr>
          <w:p>
            <w:pPr>
              <w:spacing w:after="0"/>
              <w:rPr>
                <w:sz w:val="24"/>
                <w:szCs w:val="24"/>
                <w:color w:val="auto"/>
              </w:rPr>
            </w:pPr>
          </w:p>
        </w:tc>
        <w:tc>
          <w:tcPr>
            <w:tcW w:w="2420" w:type="dxa"/>
            <w:vAlign w:val="bottom"/>
          </w:tcPr>
          <w:p>
            <w:pPr>
              <w:ind w:left="1100"/>
              <w:spacing w:after="0"/>
              <w:rPr>
                <w:sz w:val="20"/>
                <w:szCs w:val="20"/>
                <w:color w:val="auto"/>
              </w:rPr>
            </w:pPr>
            <w:r>
              <w:rPr>
                <w:rFonts w:ascii="Arial" w:cs="Arial" w:eastAsia="Arial" w:hAnsi="Arial"/>
                <w:sz w:val="18"/>
                <w:szCs w:val="18"/>
                <w:color w:val="auto"/>
              </w:rPr>
              <w:t>F-18</w:t>
            </w: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the impacts of ASC 606 adoption on the Company’s consolidated balance sheet as of December 30, 2018 (in millions):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w w:val="94"/>
              </w:rPr>
              <w:t>December 30, 2018</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Balances Without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Adoption of ASC</w:t>
            </w:r>
          </w:p>
        </w:tc>
        <w:tc>
          <w:tcPr>
            <w:tcW w:w="160" w:type="dxa"/>
            <w:vAlign w:val="bottom"/>
          </w:tcPr>
          <w:p>
            <w:pPr>
              <w:spacing w:after="0"/>
              <w:rPr>
                <w:sz w:val="17"/>
                <w:szCs w:val="17"/>
                <w:color w:val="auto"/>
              </w:rPr>
            </w:pPr>
          </w:p>
        </w:tc>
        <w:tc>
          <w:tcPr>
            <w:tcW w:w="14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Effect of Change</w:t>
            </w:r>
          </w:p>
        </w:tc>
      </w:tr>
      <w:tr>
        <w:trPr>
          <w:trHeight w:val="210"/>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8"/>
                <w:szCs w:val="18"/>
                <w:color w:val="auto"/>
              </w:rPr>
            </w:pPr>
          </w:p>
        </w:tc>
        <w:tc>
          <w:tcPr>
            <w:tcW w:w="136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73"/>
              <w:spacing w:after="0"/>
              <w:rPr>
                <w:sz w:val="20"/>
                <w:szCs w:val="20"/>
                <w:color w:val="auto"/>
              </w:rPr>
            </w:pPr>
            <w:r>
              <w:rPr>
                <w:rFonts w:ascii="Arial" w:cs="Arial" w:eastAsia="Arial" w:hAnsi="Arial"/>
                <w:sz w:val="16"/>
                <w:szCs w:val="16"/>
                <w:b w:val="1"/>
                <w:bCs w:val="1"/>
                <w:color w:val="auto"/>
              </w:rPr>
              <w:t>Higher/(Lower)</w:t>
            </w:r>
          </w:p>
        </w:tc>
      </w:tr>
      <w:tr>
        <w:trPr>
          <w:trHeight w:val="33"/>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Unbilled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r>
      <w:tr>
        <w:trPr>
          <w:trHeight w:val="243"/>
        </w:trPr>
        <w:tc>
          <w:tcPr>
            <w:tcW w:w="6720" w:type="dxa"/>
            <w:vAlign w:val="bottom"/>
          </w:tcPr>
          <w:p>
            <w:pPr>
              <w:ind w:left="60"/>
              <w:spacing w:after="0"/>
              <w:rPr>
                <w:sz w:val="20"/>
                <w:szCs w:val="20"/>
                <w:color w:val="auto"/>
              </w:rPr>
            </w:pPr>
            <w:r>
              <w:rPr>
                <w:rFonts w:ascii="Arial" w:cs="Arial" w:eastAsia="Arial" w:hAnsi="Arial"/>
                <w:sz w:val="18"/>
                <w:szCs w:val="18"/>
                <w:color w:val="auto"/>
              </w:rPr>
              <w:t>Inventoried costs</w:t>
            </w:r>
          </w:p>
        </w:tc>
        <w:tc>
          <w:tcPr>
            <w:tcW w:w="1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8.1</w:t>
            </w:r>
          </w:p>
        </w:tc>
      </w:tr>
    </w:tbl>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Goodwill and Other Intangible Assets</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its fiscal October or when evidence of potential impairment exists.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5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KGS reportable segment has four operating segments: Defense Rocket Support Services (“DRSS”), Microwave Electronics (“ME”), Technical and Training Solutions (“TTS”), and Modular Systems (“MS”).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US reportable segment consists of its unmanned aerial system, unmanned ground, and unmanned seaborne system businesses.</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Company identified its reporting units to be the DRSS, ME, TTS, MS, and US operating segments. 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based upon the last business day of fiscal October and assumes a control premium. The Company uses this methodology to determine the fair value of its reporting units for comparison to their corresponding book values because there are no observable inputs available, a Level 3 measurement (See Note 9).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adopted ASU 2017-04 which amends the guidance to simplify the subsequent measurement of goodwill by removing Step 2 of the goodwill impairment test. This new guidance requires an entity to perform its annual, or interim, goodwill impairment test by comparing the fair value of a reporting unit with its carrying amount. An entity should recognize an impairment charge for the amount by which the carrying amount exceeds the reporting unit’s fair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In determining the fair value for the reporting units, there are key assumptions relating to future operating performance and revenue growth. If the actual operating performance and financial results are not consistent with the Company’s assumptions, an impairment of the remaining balance in its $425.7 million goodwill could occur in future periods. Market factors that could impact the Company’s ability to successfully develop new products include the successful completion of certain unmanned system platforms and the successful acceptance of new unmanned system platforms, including from a political and budgetary standpoint. For example, the US reporting unit fair value includes assumptions that the development of the high performance Unmanned Combat Aerial System (“UCAS”) product is successful and the Company is awarded future contracts for the UCAS product and other new tactical aerial systems. Additionally, the US reporting unit fair value assumes that the Company will receive follow on orders for the Sub-Sonic Aerial Target, which is currently under contract with the U.S. Navy.</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fourth quarter of 2017, as a result of the Company’s annual impairment test of the carrying value of its goodwill balances, the Company recorded an impairment charge of $24.2 million of the carrying value of the goodwill of its DRSS business reported in its KGS segment, which majority of business and revenue includes the Company’s legacy government services business. In 2010, the Company changed its strategy to focus on being a system, product, technology and intellectual property based company and deemphasized its legacy government services businesses which are no longer considered a core business. Over the past several years, similar to other businesses operating in the federal government technical services space, this business has been adversely impacted by competitive pressures and commoditization resulting from lower priced technically acceptable awards rather than awards based on best value or that are technologically or performance differentiated. Specifically, the Company lost two sizable five-year contract opportunities where Kratos was underbid on cost, which significantly impacted the expected future financial performance of this business. There was no impairment recognized for the year ended December 30, 2018.</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amounts of goodwill as of December 30, 2018 and December 31, 2017 by reportable segment are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left="377"/>
              <w:spacing w:after="0"/>
              <w:rPr>
                <w:sz w:val="20"/>
                <w:szCs w:val="20"/>
                <w:color w:val="auto"/>
              </w:rPr>
            </w:pPr>
            <w:r>
              <w:rPr>
                <w:rFonts w:ascii="Arial" w:cs="Arial" w:eastAsia="Arial" w:hAnsi="Arial"/>
                <w:sz w:val="14"/>
                <w:szCs w:val="14"/>
                <w:b w:val="1"/>
                <w:bCs w:val="1"/>
                <w:color w:val="auto"/>
                <w:w w:val="92"/>
              </w:rPr>
              <w:t>As of December 30, 2018</w:t>
            </w:r>
          </w:p>
        </w:tc>
        <w:tc>
          <w:tcPr>
            <w:tcW w:w="66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KGS</w:t>
            </w:r>
          </w:p>
        </w:tc>
        <w:tc>
          <w:tcPr>
            <w:tcW w:w="240" w:type="dxa"/>
            <w:vAlign w:val="bottom"/>
          </w:tcPr>
          <w:p>
            <w:pPr>
              <w:spacing w:after="0"/>
              <w:rPr>
                <w:sz w:val="22"/>
                <w:szCs w:val="22"/>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4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253.3</w:t>
            </w:r>
          </w:p>
        </w:tc>
      </w:tr>
      <w:tr>
        <w:trPr>
          <w:trHeight w:val="27"/>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acquired finite-lived and indefinite-lived intangible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30, 2018</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31, 2017</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F-20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The aggregate amortization expense for finite-lived intangible assets was $5.9 million, $10.4 million and $10.5 million, for the years ended December 30, 2018, December 31, 2017, and December 25, 2016, respectively. The Company records all amortization expense in selling, general and administrative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estimated future amortization expense of acquired intangible assets with finite lives as of December 30, 2018 is as follows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57"/>
        </w:trPr>
        <w:tc>
          <w:tcPr>
            <w:tcW w:w="972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w:t>
            </w:r>
          </w:p>
        </w:tc>
      </w:tr>
      <w:tr>
        <w:trPr>
          <w:trHeight w:val="20"/>
        </w:trPr>
        <w:tc>
          <w:tcPr>
            <w:tcW w:w="9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consolidated balance sheets consists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Cash and cash equivalents at December 30, 2018 and December 31, 2017 were $182.7 million and $130.5 million, respectively, and approximated their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Receivables including amounts due under long-term contracts are summarized as follows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30, 2018</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current</w:t>
            </w: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 current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accounts receivable</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212.3</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Unbilled receivables represent the balance of recoverable costs and accrued profit, composed principally of revenue recognized on contracts for which billings have not been presented to the customer because the amounts were earned but not contractually billable as of the balance sheet date.</w:t>
      </w:r>
    </w:p>
    <w:p>
      <w:pPr>
        <w:spacing w:after="0" w:line="12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Substantially all accounts receivable at December 30, 2018, are expected to be collected in 2019. The Company does not believe it has significant exposure to credit risk, as accounts receivable and the related unbilled amounts are primarily from contracts where the end customer is the U.S. Government.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where the Company is the prime contractor included in accounts receivable,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4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Unbilled</w:t>
            </w:r>
          </w:p>
        </w:tc>
        <w:tc>
          <w:tcPr>
            <w:tcW w:w="4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U.S. Government contract receivables</w:t>
            </w:r>
          </w:p>
        </w:tc>
        <w:tc>
          <w:tcPr>
            <w:tcW w:w="4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4580" w:type="dxa"/>
            <w:vAlign w:val="bottom"/>
            <w:gridSpan w:val="2"/>
          </w:tcPr>
          <w:p>
            <w:pPr>
              <w:jc w:val="right"/>
              <w:ind w:right="3060"/>
              <w:spacing w:after="0"/>
              <w:rPr>
                <w:sz w:val="20"/>
                <w:szCs w:val="20"/>
                <w:color w:val="auto"/>
              </w:rPr>
            </w:pPr>
            <w:r>
              <w:rPr>
                <w:rFonts w:ascii="Arial" w:cs="Arial" w:eastAsia="Arial" w:hAnsi="Arial"/>
                <w:sz w:val="18"/>
                <w:szCs w:val="18"/>
                <w:color w:val="auto"/>
              </w:rPr>
              <w:t>F-21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Inventoried costs, net of progress payments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30,</w:t>
            </w:r>
          </w:p>
        </w:tc>
        <w:tc>
          <w:tcPr>
            <w:tcW w:w="18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Subtotal inventoried costs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inventoried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i w:val="1"/>
                <w:iCs w:val="1"/>
                <w:color w:val="auto"/>
              </w:rPr>
              <w:t>Property, plant and equipment, net (in millions)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30, 2018</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and office equipment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Depreciation expense was $12.0 million, $11.8 million and $12.0 million for the years ended December 30, 2018, December 31, 2017, and December 25, 2016, respectively.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and the guarantees (as set forth in the Indenture, the “Guarantees”)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w:t>
      </w:r>
    </w:p>
    <w:p>
      <w:pPr>
        <w:jc w:val="both"/>
        <w:ind w:firstLine="8"/>
        <w:spacing w:after="0" w:line="281" w:lineRule="auto"/>
        <w:tabs>
          <w:tab w:leader="none" w:pos="25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w:t>
      </w:r>
    </w:p>
    <w:p>
      <w:pPr>
        <w:spacing w:after="0" w:line="1" w:lineRule="exact"/>
        <w:rPr>
          <w:rFonts w:ascii="Arial" w:cs="Arial" w:eastAsia="Arial" w:hAnsi="Arial"/>
          <w:sz w:val="16"/>
          <w:szCs w:val="16"/>
          <w:color w:val="auto"/>
        </w:rPr>
      </w:pPr>
    </w:p>
    <w:p>
      <w:pPr>
        <w:ind w:firstLine="8"/>
        <w:spacing w:after="0" w:line="323" w:lineRule="auto"/>
        <w:tabs>
          <w:tab w:leader="none" w:pos="2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enter into agreements restricting the Company’s ability and certain of its subsidiaries’ ability to pay dividends. These covenants are subject to a number of exceptions. As of December 30, 2018, the Company was in compliance with the covenants contained in the Indenture governing the 6.5% Notes.</w:t>
      </w:r>
    </w:p>
    <w:p>
      <w:pPr>
        <w:spacing w:after="0" w:line="13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5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4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Company refinanced its $625.0 million 10% Senior Secured Notes due in 2017 (the “10% Notes”) with $625.0 million of newly issued 7.00% Senior Secured Notes due in 2019 (the “7% Notes”). The net proceeds from the issuance of the 7% Notes was $618.5 million after an original issue discount of $6.5 million. The Company incurred debt issuance costs of $8.8 million associated with the new 7% Notes. The Company utilized the net proceeds from the 7%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 On October 16, 2014, the Company exchanged the outstanding 7% Notes for an equal amount of 7% Notes that had been registered under the Act.</w:t>
      </w:r>
    </w:p>
    <w:p>
      <w:pPr>
        <w:spacing w:after="0" w:line="19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7% Notes were governed by an Indenture dated May 14, 2014 among the Company, certain of the Company’s subsidiaries and Wilmington Trust, National Association, as Trustee and Collateral Agent. The Company paid interest on the 7% Notes semi-annually, in arrears, on May 15 and November 15 of each year. The 7% Notes included customary covenants and events of default as well as a consolidated fixed charge ratio of 2.0:1 for the incurrence of additional indebtedness. During the year ended December 27, 2015, paid down the $41.0 million outstanding on the $110.0 million Credit Agreement and repurchased $175.0 million of the 7% Notes at par, in accordance with the Indenture. In connection with the $175.0 million repurchase of 7% Notes, the Company wrote off $1.8 million of unamortized issue costs, $1.4 million of unamortized discount, and incurred $0.2 million of legal fees, which resulted in a loss on extinguishment of debt of $3.4 million.</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During the year ended December 25, 2016, the Company repurchased and extinguished $14.5 million of the outstanding 7% Notes, which resulted in a gain of $0.4 million offset by $0.1 million of unamortized issuance cost and $0.1 million of unamortized discount resulting in a net gain of $0.2 million.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year ended December 31, 2017, the Company redeemed and extinguished the remaining $435.5 million of outstanding 7% Notes as of December 25, 2016, which resulted in a loss on extinguishment of debt of $13.4 million and the realization of $2.3 million of unamortized issuance cost and $1.6 million of unamortized discount resulting in a loss on extinguishment of debt of $17.3 million.</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May 14, 2014, the Company entered into a $110.0 million Credit and Security Agreement, dated May 14, 2014 (as amended from time to time,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the Company’s accounts receivable, inventory, deposit accounts, securities accounts, cash, securities and general intangibles (other than intellectual property). The obligations under the Credit Agreement are secured by a second priority lien, junior to the lien securing the Notes, on all of the Company’s other assets.</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December 30, 2018,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7% Notes with proceeds from the sale of the Herley Entities shall be deemed to have occurred on the first day of the most recently completed four quarterly reporting periods prior to the sale.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was placed in escrow by the Buyer to cover the amount of such outstanding letters of credit, should the letters of credit be pulled.</w:t>
      </w:r>
    </w:p>
    <w:p>
      <w:pPr>
        <w:spacing w:after="0" w:line="15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November 20, 2017, the Company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2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 held eligible raw materials inventory, work-in-process inventory, and applicable reserves</w:t>
      </w:r>
      <w:r>
        <w:rPr>
          <w:rFonts w:ascii="Arial" w:cs="Arial" w:eastAsia="Arial" w:hAnsi="Arial"/>
          <w:sz w:val="18"/>
          <w:szCs w:val="18"/>
          <w:b w:val="1"/>
          <w:bCs w:val="1"/>
          <w:i w:val="1"/>
          <w:iCs w:val="1"/>
          <w:color w:val="auto"/>
        </w:rPr>
        <w:t>.</w:t>
      </w:r>
    </w:p>
    <w:p>
      <w:pPr>
        <w:spacing w:after="0" w:line="19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measurement of a minimum fixed charge coverage ratio was modified in the November 2017 amended and restated Credit Agreement to be required to be measured if Excess Availability, as defined in the Credit Agreement, is less than fifty percent of the lesser of the Borrowing Base or the Total Commitment Amount, each as defined in the Credit Agreement.</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As of December 30, 2018, there were no borrowings outstanding on the Credit Agreement; there was $9.7 million outstanding on letters of credit, resulting in net borrowing base availability of $51.4 million. The Company was in compliance with the financial covenants of the Credit Agreement as of December 30,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a $10.0 million 10-year term loan with a bank in Israel entered into on September 16, 2008 in connection with the acquisition of one of its wholly owned subsidiaries. The term loan was paid in full in the year ended December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30, 2018 and December 31, 2017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30,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0"/>
              </w:rPr>
              <w:t>As of 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9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0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of December 30, 2018, the difference between the carrying amount of $294.2 million and the principal amount of $300.0 million presented in the previous table, is the unamortized debt issuance costs of $5.8 million, which are being accreted to interest expense over the term of the related debt. As of December 31, 2017, the difference between the carrying amount of $294.3 million and the principal amount of $300.8 million presented in the above table is the unamortized debt issuance costs of $6.5 million, which are being accreted to interest expense over the term of the related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maturity of long-term debt is $300.0 million in 2025.</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Lease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certain facilities and equipment under operating leases having terms expiring at various dates through 2033.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operating leases as of December 30, 2018, which does not include $4.3 million in sublease income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89"/>
              </w:rPr>
              <w:t>Operating Leases</w:t>
            </w: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9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0"/>
        </w:trPr>
        <w:tc>
          <w:tcPr>
            <w:tcW w:w="9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Gross rent expense under operating leases for the years ended December 30, 2018, December 31, 2017, and December 25, 2016 was $23.7 million, $18.6 million, and $18.7 million, respectively. Total sublease income for the years ended December 30, 2018, December 31, 2017, and December 25, 2016, totaling $3.3 million, $3.4 million, and $3.3 million, respectively, has been netted against rent expense.</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Company’s accrual for excess facilities was $2.4 million and $3.3 million, as of December 30, 2018 and December 31, 2017, respectively. The accruals are included in other current liabilities and other long-term liabilities on the consolidated balance sheets. The Company estimates that the remaining accrual will be paid through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accrual for excess facilities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Excess Facilities</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Adjustment of excess facility accrual</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of excess facility accrual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of $4.4 million, and $3.0 million, at December 30, 2018 and December 31, 2017, respectively, to reflect the excess of rent expense over cash payments since inception of the respective leases.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Loss Per Common Share</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ASC </w:t>
      </w:r>
      <w:r>
        <w:rPr>
          <w:rFonts w:ascii="Arial" w:cs="Arial" w:eastAsia="Arial" w:hAnsi="Arial"/>
          <w:sz w:val="18"/>
          <w:szCs w:val="18"/>
          <w:i w:val="1"/>
          <w:iCs w:val="1"/>
          <w:color w:val="auto"/>
        </w:rPr>
        <w:t>Topic 260</w:t>
      </w:r>
      <w:r>
        <w:rPr>
          <w:rFonts w:ascii="Arial" w:cs="Arial" w:eastAsia="Arial" w:hAnsi="Arial"/>
          <w:sz w:val="18"/>
          <w:szCs w:val="18"/>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260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Under </w:t>
      </w:r>
      <w:r>
        <w:rPr>
          <w:rFonts w:ascii="Arial" w:cs="Arial" w:eastAsia="Arial" w:hAnsi="Arial"/>
          <w:sz w:val="18"/>
          <w:szCs w:val="18"/>
          <w:i w:val="1"/>
          <w:iCs w:val="1"/>
          <w:color w:val="auto"/>
        </w:rPr>
        <w:t>Topic 260</w:t>
      </w:r>
      <w:r>
        <w:rPr>
          <w:rFonts w:ascii="Arial" w:cs="Arial" w:eastAsia="Arial" w:hAnsi="Arial"/>
          <w:sz w:val="18"/>
          <w:szCs w:val="18"/>
          <w:color w:val="auto"/>
        </w:rPr>
        <w:t>,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30, 2018</w:t>
            </w: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tcPr>
          <w:p>
            <w:pPr>
              <w:jc w:val="right"/>
              <w:ind w:right="19"/>
              <w:spacing w:after="0"/>
              <w:rPr>
                <w:sz w:val="20"/>
                <w:szCs w:val="20"/>
                <w:color w:val="auto"/>
              </w:rPr>
            </w:pPr>
            <w:r>
              <w:rPr>
                <w:rFonts w:ascii="Arial" w:cs="Arial" w:eastAsia="Arial" w:hAnsi="Arial"/>
                <w:sz w:val="14"/>
                <w:szCs w:val="14"/>
                <w:b w:val="1"/>
                <w:bCs w:val="1"/>
                <w:color w:val="auto"/>
                <w:w w:val="98"/>
              </w:rPr>
              <w:t>December 25, 2016</w:t>
            </w:r>
          </w:p>
        </w:tc>
      </w:tr>
      <w:tr>
        <w:trPr>
          <w:trHeight w:val="243"/>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from stock options and awards</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Income Taxes</w:t>
      </w:r>
    </w:p>
    <w:p>
      <w:pPr>
        <w:spacing w:after="0" w:line="39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December 2017, the 2017 Tax Act was enacted. The 2017 Tax Act includes a number of changes to existing U.S. tax laws that impact the Company, most notably a reduction of the U.S. corporate income tax rate from 35% to 21% for tax years beginning after December 31, 2017. The 2017 Tax Act also provides for a one-time transition tax on certain foreign earnings and the acceleration of depreciation for certain assets placed into service after September 27, 2017 as well as prospective changes beginning in 2018, including repeal of the domestic manufacturing deduction, acceleration of tax revenue recognition, modification of NOL carryforwards, capitalization of research and development expenditures (starting in 2022), additional limitations on executive compensation deductions and limitations on the deductibility of interest.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on December 22, 2017, the Securities and Exchange Commission (SEC) issued Staff Accounting Bulletin No. 118 (“SAB 118”), which provided companies with additional guidance on how to account for the 2017 Tax Act in their financial statements, allowing companies to use a measurement period. As of December 31, 2017, we made a reasonable estimate of the effects on our existing deferred tax balances and the one-time transition tax on previously undistributed foreign earnings in accordance with SAB 118.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the date of enactment, the Company had a net deferred tax asset for the difference between the tax basis and the book basis of the U.S. assets and liabilities. A significant portion of this deferred tax asset balance was subject to a valuation allowance. Due to the 2017 Tax Act, the future impact associated with the reversal of the net deferred tax asset will be subject to tax at a lower corporate tax rate. Consequently in 2017, the Company recorded a $40 million reduction to the its deferred tax asset due to the remeasurement of the U.S. deferred tax assets and liabilities for the reduction in the corporate tax rate from 35% to 21%. At December 30, 2018, the Company has finalized its provisional estimate for the remeasurement of existing deferred tax balances with no additional adjustment.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Transition Tax</w:t>
      </w:r>
    </w:p>
    <w:p>
      <w:pPr>
        <w:spacing w:after="0" w:line="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one-time transition tax is based on the Company’s total post-1986 earnings and profit (“E&amp;P”) for which they had previously deferred U.S. income taxes. In 2017, the Company recorded a provisional amount for a one-time transition tax, resulting in a $6.2 million decrease to deferred tax assets due to the reduction in net operating loss carryforwards. The decrease to deferred tax assets was offset by a corresponding decrease to the valuation allowance. In 2018, the Company recorded a $2.2 million decrease to deferred tax assets to finalize the provisional calculation for the one-time transition tax for foreign E&amp;P. This refinement was a result of completing the data gathering and analysis based on the 2017 Tax Act and guidance issued to date in 2018, including IRS Notices 2018-07, 2018-13 and 2018-26. No provision has been made for deferred taxes related to any remaining historical outside basis differences in the Company’s non-U.S. subsidiaries as it continues to assert indefinite reinvestment on outside basis differences not related to amounts that have been previously taxed in the U.S. or undistributed earnings generated after December 31, 2017.</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changes described above, the 2017 Act imposes a U.S. tax on global intangible low taxed income (“GILTI”) that is earned by certain foreign affiliates owned by a U.S. shareholder. The computation of GILTI is generally intended to impose tax on the earnings of a foreign corporation that are deemed to exceed a certain threshold return relative to the underlying business investment. The Company has made a policy election to treat future taxes related to GILTI as a current period expense in the reporting period in which the tax is incurred.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Effective January 1, 2018, the 2017 Tax Act requires the acceleration of revenue for tax purposes for certain types of revenue. The new rules require the Company to not defer revenue on unbilled accounts receivable later than when the amounts are recognized as revenue for book purposes. This change impacts several accounting methods previously used by the Company and is expected to result in an acceleration of taxability of such revenue in 2018 as compared with prior U.S. tax laws. Additionally, future interest deductions of the Company will be limited to 30% of tax adjusted EBITDA through 2021.</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income (loss) from continuing operations before income taxes for the years ended December 30, 2018,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25, 2016 are comprised of the following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27"/>
        </w:trPr>
        <w:tc>
          <w:tcPr>
            <w:tcW w:w="7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7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provision (benefit) for income taxes from continuing operations for the years ended December 30, 2018, December 31, 2017, and December 25, 2016 are comprised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Current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Total Federal</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Current</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Total State and local</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Current</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7080" w:type="dxa"/>
            <w:vAlign w:val="bottom"/>
          </w:tcPr>
          <w:p>
            <w:pPr>
              <w:ind w:left="360"/>
              <w:spacing w:after="0"/>
              <w:rPr>
                <w:sz w:val="20"/>
                <w:szCs w:val="20"/>
                <w:color w:val="auto"/>
              </w:rPr>
            </w:pPr>
            <w:r>
              <w:rPr>
                <w:rFonts w:ascii="Arial" w:cs="Arial" w:eastAsia="Arial" w:hAnsi="Arial"/>
                <w:sz w:val="18"/>
                <w:szCs w:val="18"/>
                <w:color w:val="auto"/>
              </w:rPr>
              <w:t>Total Foreign</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A reconciliation of the total income tax provision (benefit) to the amount computed by applying the statutory federal income tax rate of 21% to the income from continuing operations before income taxes for the year ended December 30, 2018, and applying the statutory federal income tax rate of 35% to the loss from continuing operations before income taxes for the years ended December 31, 2017 and December 25, 2016 is as follows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State taxes, net of federal tax benefit and valuation allowance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in tax rates between U.S. and foreign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in reserve for uncertain tax positions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to indefinite life items and separate state deferred taxes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One-time transition tax on previously undistributed foreign earnings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 in deferred taxes related to disposition</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related to the 2017 Tax Act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deferred tax liabilities as of December 30, 2018 and December 31, 2017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Sundry accruals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Vacation accrual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Payroll related accruals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accruals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loss carryforwards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 During fiscal 2018, the Company recorded a net increase in its valuation allowance of $4.7 million.</w:t>
      </w:r>
    </w:p>
    <w:p>
      <w:pPr>
        <w:spacing w:after="0" w:line="15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At December 30, 2018, the Company had federal tax loss carryforwards of $346.9 million and various state tax loss carryforwards of $263.1 million. The federal tax loss carryforwards will begin to expire in 2020 and state tax loss carryforwards will begin to expire in 2019 in certain states. Additionally, the state capital loss carryforward generated in 2018 will begin to expire in 2023.</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are subject to separate limitations that may further restrict the use of Acquired NOLs. As a result, the Company’s federal annual utilization of NOL carryforwards was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 ended December 30, 2018,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 As discussed elsewhere, deferred tax assets relating to the NOLs and credit carryforwards are offset by a full valuation allowance. In addition, utilization of state tax loss carryforwards is dependent upon sufficient taxable income apportioned to the states.</w:t>
      </w:r>
    </w:p>
    <w:p>
      <w:pPr>
        <w:spacing w:after="0" w:line="17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has not provided deferred U.S. income taxes or foreign withholding taxes of approximately $8.4 million on temporary differences relating to the outside basis in its investment in foreign subsidiaries, which are essentially permanent in duration. As of December 31, 2017, all accumulated undistributed earnings of our foreign subsidiaries were subject to the one-time transition tax on foreign earnings required by the 2017 Tax Act. It is the Company’s intention to permanently reinvest undistributed earnings of its foreign subsidiaries. As of December 30, 2018, the Company has $12.0 million of cash and cash equivalents available for distribution.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NOL carryforwards. Generally, the Company’s tax years for 2002 and later are subject to examination by various foreign tax authorities, as well.</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2018 the Company was notified by the Internal Revenue Service that its federal income tax return for the calendar year ending December 27, 2015 has been selected for examination. The Company is currently in the process of responding to the information requested. Additionally, the Company had previously been notified by the New York State Department of Taxation and Finance that it had been selected for examination for the calendar years income tax returns ending December 28, 2014, December 27, 2015, and December 25, 2016. As of December 30, 2018, the New York State examination has been finalized with no significant impact to the tax years identified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27, 2015</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Decreases related to disposition</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federal tax rate</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disposition</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as of December 30, 2018</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Included in the balance of unrecognized tax benefits at December 30, 2018, are $17.7 million of tax benefits that, if recognized, would affect the effective tax rate. Included in this amount is $11.2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years ended December 30, 2018, December 31, 2017 and December 25, 2016, the Company recorded $0.6 million, $0.5 million, and $0.9 million, respectively, in interest or penalties. These amounts are netted by a benefit for interest and penalties related to the reversal of prior positions and the disposition of PSS as noted above, of $1.1 million, $0.2 million, and $0.0 million for the years ended December 30, 2018, December 31, 2017, and December 25, 2016, respectively. As of December 30, 2018, December 31, 2017, and December 25, 2016, the Company had recorded total interest and penalties of $1.6 million, $2.2 million and $1.9 million, respectively.</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believes that it is reasonably possible that as much as $0.1 million of the liabilities for uncertain tax positions will expire within 12 months of December 30, 2018 due to the expiration of various applicable statues of limitations.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Discontinued Operations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currently expects to receive approximately $70 million of aggregate net cash proceeds from the Transaction, after taking into account amounts to be paid by the Company pursuant to a negotiated transaction services agreement between the Company and Buyer, receipt by the Company of approximately $7.0 million in net working capital retained by the Company, and associated transaction fees and expenses, excluding the impact of the final settlement and determination of the closing working capital adjustment. The Company currently expects that the net working capital retained by the Company will be collected by the first half of 2019 once certain legacy projects are completed and the project close-out process has been completed. The Company incurred approximately $2.7 million of transaction related costs, which has been reflected in the loss from discontinued operations in the periods incurred. The Company currently expects to recognize a net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8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terms of the Indenture (as defined below) for the Company’s 6.5% Notes (as defined below) require that the net cash proceeds from asset dispositions (within 360 days from the date of any such sale) be either utilized to (i) repay or prepay amounts outstanding under the Credit Agreement (as defined below)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currently intends to utilize the net proceeds from the Transaction to fund growth initiatives by making investments in similar collateral in accordance with the terms of the Indenture.</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In accordance with ASC 360-10-45-9,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360) and ASC 205-20-45-3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(Topic 205), PSS and its subsidiaries have been reported in discontinued operations in the accompanying consolidated financial statements for all periods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30, 2018</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3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December 25, 2016</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net income (expense) items that are not major</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Gain on disposal of discontinued operations before income taxes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 (loss) of discontinued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Operating results for 2018 are through the date of divestiture of June 11, 2018. Revenue and operating results for the year ended December 30, 2018 reflect the performance on the contracts and working capital retained by the Company. Revenue and operating results for year ended December 30, 2018 were impacted by approximately $2.0 million of cost adjustments on certain security system deployment projects for a mass transit authority. Transaction expenses of $2.7 million, primarily comprised of investment advisory fees, legal fees, and other direct transaction expenses related to the Transaction, were included in Other (income) expense, net for the year ended December 30, 2018. Depreciation expense included in Selling, general and administrative expenses was $0.1 million, $0.3 million and $0.3 million for the years ended December 30, 2018, December 31, 2017, and December 25, 2016 respectively.</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Intra-period tax allocation rules require the Company to allocate its provision for income taxes between continuing operations and other categories of earnings. Upon closing of the PSS sale, amounts historically carried as unrecognized tax benefits were reclassified to guarantor liability in accordance with ASC 460. As a result of the reclassification, the Company recorded a $2.1 million tax benefit in discontinued operations for the year ended December 30,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30, 2018 and December 31, 2017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3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30, 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56.0</w:t>
            </w:r>
          </w:p>
        </w:tc>
      </w:tr>
      <w:tr>
        <w:trPr>
          <w:trHeight w:val="27"/>
        </w:trPr>
        <w:tc>
          <w:tcPr>
            <w:tcW w:w="5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5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0"/>
        </w:trPr>
        <w:tc>
          <w:tcPr>
            <w:tcW w:w="5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5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r>
      <w:tr>
        <w:trPr>
          <w:trHeight w:val="20"/>
        </w:trPr>
        <w:tc>
          <w:tcPr>
            <w:tcW w:w="5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
        </w:trPr>
        <w:tc>
          <w:tcPr>
            <w:tcW w:w="5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5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Billings in excess of cost and earnings on uncompleted contracts</w:t>
            </w:r>
          </w:p>
        </w:tc>
        <w:tc>
          <w:tcPr>
            <w:tcW w:w="3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5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0"/>
        </w:trPr>
        <w:tc>
          <w:tcPr>
            <w:tcW w:w="5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1"/>
        </w:trPr>
        <w:tc>
          <w:tcPr>
            <w:tcW w:w="5120" w:type="dxa"/>
            <w:vAlign w:val="bottom"/>
          </w:tcPr>
          <w:p>
            <w:pPr>
              <w:ind w:left="40"/>
              <w:spacing w:after="0"/>
              <w:rPr>
                <w:sz w:val="20"/>
                <w:szCs w:val="20"/>
                <w:color w:val="auto"/>
              </w:rPr>
            </w:pPr>
            <w:r>
              <w:rPr>
                <w:rFonts w:ascii="Arial" w:cs="Arial" w:eastAsia="Arial" w:hAnsi="Arial"/>
                <w:sz w:val="18"/>
                <w:szCs w:val="18"/>
                <w:color w:val="auto"/>
              </w:rPr>
              <w:t>Other long-term liabilities of discontinued operations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0"/>
        </w:trPr>
        <w:tc>
          <w:tcPr>
            <w:tcW w:w="5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3160" w:type="dxa"/>
            <w:vAlign w:val="bottom"/>
            <w:gridSpan w:val="2"/>
          </w:tcPr>
          <w:p>
            <w:pPr>
              <w:jc w:val="right"/>
              <w:ind w:right="2310"/>
              <w:spacing w:after="0"/>
              <w:rPr>
                <w:sz w:val="20"/>
                <w:szCs w:val="20"/>
                <w:color w:val="auto"/>
              </w:rPr>
            </w:pPr>
            <w:r>
              <w:rPr>
                <w:rFonts w:ascii="Arial" w:cs="Arial" w:eastAsia="Arial" w:hAnsi="Arial"/>
                <w:sz w:val="18"/>
                <w:szCs w:val="18"/>
                <w:color w:val="auto"/>
              </w:rPr>
              <w:t>F-32</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ASC Topic 820</w:t>
      </w:r>
      <w:r>
        <w:rPr>
          <w:rFonts w:ascii="Arial" w:cs="Arial" w:eastAsia="Arial" w:hAnsi="Arial"/>
          <w:sz w:val="17"/>
          <w:szCs w:val="17"/>
          <w:i w:val="1"/>
          <w:iCs w:val="1"/>
          <w:color w:val="auto"/>
        </w:rPr>
        <w:t>, Fair Value Measurement,</w:t>
      </w:r>
      <w:r>
        <w:rPr>
          <w:rFonts w:ascii="Arial" w:cs="Arial" w:eastAsia="Arial" w:hAnsi="Arial"/>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Common Stock</w:t>
      </w:r>
    </w:p>
    <w:p>
      <w:pPr>
        <w:spacing w:after="0" w:line="243"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On November 23, 2016, the Company sold approximately 13.4 million shares of its common stock at a purchase price of $6.00 per share in an underwritten public offering. The Company received gross proceeds of approximately $80.5 million. After deducting underwriting fees and other offering expenses, the Company received approximately $76.2 million in net proceeds. The Company used $14.1 million of the net proceeds from this transaction to redeem approximately $14.5 million of its Notes.</w:t>
      </w:r>
    </w:p>
    <w:p>
      <w:pPr>
        <w:spacing w:after="0" w:line="13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March 7, 2017 and September 12, 2017, the Company sold approximately 11.9 million and 16.1 million, respectively, shares of common stock at a purchase price of $7.25 and $12.25, respectively, per share in underwritten public offerings. The Company received gross proceeds of approximately $283.5 million. After deducting underwriting fees and other offering expenses, the Company received approximately $269.1 million in net proceeds. The Company used the net proceeds to repurchase and extinguish $135.5 million of its outstanding 7% Notes.</w:t>
      </w:r>
    </w:p>
    <w:p>
      <w:pPr>
        <w:spacing w:after="0" w:line="18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remainder of the funds will be used for general corporate purposes, including funding expected growth and strategic investments in the Company’s high performance unmanned aerial vehicle business area and other new programs under contract.</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Stock Option Plans and Restricted Stock Unit Plans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6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 In May 2017, the Company’s shareholders approved an amendment to the 2014 Plan to increase the aggregate number of shares that may be issued under the plan by 2,500,000 shares.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Board may grant equity-based awards to selected employees, directors and consultants of the Company pursuant to its 2014 Plan. As of December 30, 2018, there were 2,864,476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5"/>
              </w:rPr>
              <w:t>10.0</w:t>
            </w:r>
          </w:p>
        </w:tc>
        <w:tc>
          <w:tcPr>
            <w:tcW w:w="12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Volatility(2)</w:t>
            </w: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800" w:type="dxa"/>
            <w:vAlign w:val="bottom"/>
          </w:tcPr>
          <w:p>
            <w:pPr>
              <w:ind w:left="20"/>
              <w:spacing w:after="0"/>
              <w:rPr>
                <w:sz w:val="20"/>
                <w:szCs w:val="20"/>
                <w:color w:val="auto"/>
              </w:rPr>
            </w:pPr>
            <w:r>
              <w:rPr>
                <w:rFonts w:ascii="Arial" w:cs="Arial" w:eastAsia="Arial" w:hAnsi="Arial"/>
                <w:sz w:val="18"/>
                <w:szCs w:val="18"/>
                <w:color w:val="auto"/>
              </w:rPr>
              <w:t>- 53.4%</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w:t>
            </w:r>
          </w:p>
        </w:tc>
        <w:tc>
          <w:tcPr>
            <w:tcW w:w="800" w:type="dxa"/>
            <w:vAlign w:val="bottom"/>
          </w:tcPr>
          <w:p>
            <w:pPr>
              <w:ind w:left="20"/>
              <w:spacing w:after="0"/>
              <w:rPr>
                <w:sz w:val="20"/>
                <w:szCs w:val="20"/>
                <w:color w:val="auto"/>
              </w:rPr>
            </w:pPr>
            <w:r>
              <w:rPr>
                <w:rFonts w:ascii="Arial" w:cs="Arial" w:eastAsia="Arial" w:hAnsi="Arial"/>
                <w:sz w:val="18"/>
                <w:szCs w:val="18"/>
                <w:color w:val="auto"/>
              </w:rPr>
              <w:t>- 55.0%</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w:t>
            </w:r>
          </w:p>
        </w:tc>
        <w:tc>
          <w:tcPr>
            <w:tcW w:w="780" w:type="dxa"/>
            <w:vAlign w:val="bottom"/>
          </w:tcPr>
          <w:p>
            <w:pPr>
              <w:ind w:left="20"/>
              <w:spacing w:after="0"/>
              <w:rPr>
                <w:sz w:val="20"/>
                <w:szCs w:val="20"/>
                <w:color w:val="auto"/>
              </w:rPr>
            </w:pPr>
            <w:r>
              <w:rPr>
                <w:rFonts w:ascii="Arial" w:cs="Arial" w:eastAsia="Arial" w:hAnsi="Arial"/>
                <w:sz w:val="18"/>
                <w:szCs w:val="18"/>
                <w:color w:val="auto"/>
              </w:rPr>
              <w:t>- 55.8%</w:t>
            </w:r>
          </w:p>
        </w:tc>
      </w:tr>
      <w:tr>
        <w:trPr>
          <w:trHeight w:val="27"/>
        </w:trPr>
        <w:tc>
          <w:tcPr>
            <w:tcW w:w="67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Forfeiture rate(3)</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yield(4)</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229" w:lineRule="exact"/>
        <w:rPr>
          <w:sz w:val="20"/>
          <w:szCs w:val="20"/>
          <w:color w:val="auto"/>
        </w:rPr>
      </w:pPr>
    </w:p>
    <w:p>
      <w:pPr>
        <w:ind w:left="1240" w:hanging="260"/>
        <w:spacing w:after="0"/>
        <w:tabs>
          <w:tab w:leader="none" w:pos="1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46" w:lineRule="exact"/>
        <w:rPr>
          <w:rFonts w:ascii="Arial" w:cs="Arial" w:eastAsia="Arial" w:hAnsi="Arial"/>
          <w:sz w:val="16"/>
          <w:szCs w:val="16"/>
          <w:color w:val="auto"/>
        </w:rPr>
      </w:pPr>
    </w:p>
    <w:p>
      <w:pPr>
        <w:ind w:left="1240" w:hanging="260"/>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2018, 2017, and 2016, the Company estimated implied volatility based upon trailing volatility.</w:t>
      </w:r>
    </w:p>
    <w:p>
      <w:pPr>
        <w:spacing w:after="0" w:line="9" w:lineRule="exact"/>
        <w:rPr>
          <w:rFonts w:ascii="Arial" w:cs="Arial" w:eastAsia="Arial" w:hAnsi="Arial"/>
          <w:sz w:val="18"/>
          <w:szCs w:val="18"/>
          <w:color w:val="auto"/>
        </w:rPr>
      </w:pPr>
    </w:p>
    <w:p>
      <w:pPr>
        <w:ind w:left="1620" w:right="520" w:hanging="640"/>
        <w:spacing w:after="0" w:line="250" w:lineRule="auto"/>
        <w:tabs>
          <w:tab w:leader="none" w:pos="12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w:t>
      </w:r>
    </w:p>
    <w:p>
      <w:pPr>
        <w:ind w:left="1240" w:hanging="260"/>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summary of the status of the Company’s stock option plan as of December 30, 2018, and changes in options outstanding under the plan for the year ended December 30, 2018, is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Under</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70"/>
        </w:trPr>
        <w:tc>
          <w:tcPr>
            <w:tcW w:w="65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(000’s)</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Options outstanding at December 31, 2017</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4,224.8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outstanding at December 30, 2018</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768</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6,587.5</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30, 2018</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6,586.5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30, 2018, there was $0.0 of total unrecognized stock-based compensation expense related to nonvested options. Upon exercise of an option, the Company issues new shares of common stock.</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years ended December 30, 2018, December 31, 2017, and December 25, 2016, the following values relate to the grants and exercises under the Company’s option plans: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4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options granted</w:t>
            </w: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 (in thousands)</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486"/>
        </w:trPr>
        <w:tc>
          <w:tcPr>
            <w:tcW w:w="4840" w:type="dxa"/>
            <w:vAlign w:val="bottom"/>
          </w:tcPr>
          <w:p>
            <w:pPr>
              <w:spacing w:after="0"/>
              <w:rPr>
                <w:sz w:val="24"/>
                <w:szCs w:val="24"/>
                <w:color w:val="auto"/>
              </w:rPr>
            </w:pPr>
          </w:p>
        </w:tc>
        <w:tc>
          <w:tcPr>
            <w:tcW w:w="2560" w:type="dxa"/>
            <w:vAlign w:val="bottom"/>
            <w:gridSpan w:val="2"/>
          </w:tcPr>
          <w:p>
            <w:pPr>
              <w:jc w:val="right"/>
              <w:ind w:right="154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90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92"/>
        </w:trPr>
        <w:tc>
          <w:tcPr>
            <w:tcW w:w="90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(000’s)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Date Fair Value</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2017</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2,258</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Grants</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1,119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11.08</w:t>
            </w:r>
          </w:p>
        </w:tc>
      </w:tr>
      <w:tr>
        <w:trPr>
          <w:trHeight w:val="27"/>
        </w:trPr>
        <w:tc>
          <w:tcPr>
            <w:tcW w:w="9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but not released</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9040" w:type="dxa"/>
            <w:vAlign w:val="bottom"/>
          </w:tcPr>
          <w:p>
            <w:pPr>
              <w:ind w:left="40"/>
              <w:spacing w:after="0"/>
              <w:rPr>
                <w:sz w:val="20"/>
                <w:szCs w:val="20"/>
                <w:color w:val="auto"/>
              </w:rPr>
            </w:pPr>
            <w:r>
              <w:rPr>
                <w:rFonts w:ascii="Arial" w:cs="Arial" w:eastAsia="Arial" w:hAnsi="Arial"/>
                <w:sz w:val="18"/>
                <w:szCs w:val="18"/>
                <w:color w:val="auto"/>
              </w:rPr>
              <w:t>Nonvested balance at December 30, 2018</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3,293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8.22</w:t>
            </w:r>
          </w:p>
        </w:tc>
      </w:tr>
      <w:tr>
        <w:trPr>
          <w:trHeight w:val="20"/>
        </w:trPr>
        <w:tc>
          <w:tcPr>
            <w:tcW w:w="9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As of December 30, 2018, there was $13.1 million of total unrecognized stock-based compensation expense related to nonvested restricted stock units which is expected to be recognized over a remaining weighted-average vesting period of 2.4 years. The fair value of restricted stock unit awards that vested in 2018, 2017, and 2016 was $0.8 million, $6.3 million, and $4.7 million, respectively.</w:t>
      </w:r>
    </w:p>
    <w:p>
      <w:pPr>
        <w:spacing w:after="0" w:line="17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Amended and Restated Employee Stock Purchase Plan</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August 1999, the Board approved the 1999 Employee Stock Purchase Plan (as amended from time to time, the “Purchase Plan”). A total of 5,200,000 shares of common stock had been previously approved for reservation of the Company’s common stock for purchase by employees under the Purchase Plan. In May 2017, the Company’s shareholders approved an amendment to the Purchase Plan to increase the maximum number of shares of common stock that may be issued under the Purchase Plan by 3,000,000 shares.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30, 2018, the cumulative number of shares of common stock that have been issued under the Purchase Plan is 5.4 million and approximately 2.8 million shares are available for future issuance. During fiscal 2018, approximately 371,000 shares were issued under the plan at an average price of $9.54.</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Kratos’ Purchase Plan shares for 2018 was estimated using the Black-Scholes option pricing model. The assumptions and resulting fair values of options granted for 2018, 2017 and 2016 were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Offering</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Offering</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January 1 to</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Risk-free interest rate(2)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1.53% - 2.11%</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0.62% - 1.14%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0.36% - 0.49%</w:t>
            </w:r>
          </w:p>
        </w:tc>
      </w:tr>
      <w:tr>
        <w:trPr>
          <w:trHeight w:val="27"/>
        </w:trPr>
        <w:tc>
          <w:tcPr>
            <w:tcW w:w="6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40.24% - 44.83%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44.38% - 53.70%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53.00% - 55.55%</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dividend yield(4)</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 per share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$3.03</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w:t>
            </w:r>
          </w:p>
        </w:tc>
      </w:tr>
      <w:tr>
        <w:trPr>
          <w:trHeight w:val="27"/>
        </w:trPr>
        <w:tc>
          <w:tcPr>
            <w:tcW w:w="60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96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expected term is equivalent to the offering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(2)The risk-free interest rate is based on U.S. Treasury yields in effect at the time of grant with a term equal to the expected term.</w:t>
      </w:r>
    </w:p>
    <w:p>
      <w:pPr>
        <w:spacing w:after="0" w:line="23" w:lineRule="exact"/>
        <w:rPr>
          <w:sz w:val="20"/>
          <w:szCs w:val="20"/>
          <w:color w:val="auto"/>
        </w:rPr>
      </w:pPr>
    </w:p>
    <w:p>
      <w:pPr>
        <w:ind w:left="1360" w:hanging="380"/>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30, 2018, there was no material unrecognized compensation expense related to the Purchase Plan.</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Retirement Plans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$3.9 million in 2018, $3.8 million in 2017, and $3.5 million in 2016.</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Significant Customers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$447.0 million, $451.9 million, and $396.7 million or 72%, 75%, and 73%, of total revenue for the years ended December 30, 2018, December 31, 2017, and December 25, 2016, respectively.</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operates in two reportable segments. The KGS reportable segment is comprised of an aggregation of KGS operating segments, including DRSS, ME, TTS, and MS.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w:t>
      </w:r>
    </w:p>
    <w:p>
      <w:pPr>
        <w:spacing w:after="0" w:line="15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6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As discussed in “Discontinued Operations” in Note 8 of these notes to consolidated financial statements, the Company began reporting the PSS business as discontinued operations effective in the first quarter of fiscal 2018. Prior to the decision to sell the PSS business, the Company reported their financial results in a separate PSS reportable segment.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PSS business were not allocable to discontinued operations, prior period corporate costs have been reallocated amongst the continuing reportable segments.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Revenues, operating income (loss) and assets disclosed below provided by the Company’s reportable segments for the years ended December 30, 2018, December 31, 2017, and December 25, 2016,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244.8</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Kratos Government Solutions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466.1</w:t>
            </w: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75.8</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Unmanned Systems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r>
      <w:tr>
        <w:trPr>
          <w:trHeight w:val="297"/>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618.0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603.3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541.9</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97"/>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depreciation and amortization</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activities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 from continuing operations</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Revenues from foreign customers were approximately $114.3 million or 19%, $84.7 million or 14% and $80.1 million or 15% of total revenue for the years ended December 30, 2018, December 31, 2017, and December 25, 2016, respectively.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Included in the 2016 operating losses for the US reportable segment is an $18.7 million loss accrual recorded on the Air Force Research Laboratory (“AFRL”) Low-Cost Attritable Strike UAS Demonstration (“LCASD”) cost share contract awarded in July 2016.</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Included in the 2017 operating loss for the KGS reportable segment is a $24.2 million impairment of the carrying value of the goodwill of the DRSS business within the KGS segment.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Included in the 2016 operating income for the KGS reportable segment is a $9.2 million charge that was recorded in the Company’s MS business as a result of the closure of one of its manufacturing facilities, and the exit from certain lower margin product business 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Reportable segment assets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25,</w:t>
            </w:r>
          </w:p>
        </w:tc>
      </w:tr>
      <w:tr>
        <w:trPr>
          <w:trHeight w:val="192"/>
        </w:trPr>
        <w:tc>
          <w:tcPr>
            <w:tcW w:w="7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609.8</w:t>
            </w: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172.1</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92.0</w:t>
            </w: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w:t>
            </w:r>
          </w:p>
        </w:tc>
      </w:tr>
      <w:tr>
        <w:trPr>
          <w:trHeight w:val="257"/>
        </w:trPr>
        <w:tc>
          <w:tcPr>
            <w:tcW w:w="77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948.6</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Assets of foreign subsidiaries in the KGS segment were $126.7 million, $116.7 million and $113.7 million as of December 30, 2018, December 31, 2017 and December 25, 2016,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and Regulatory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On July 28, 2015, the Company received a determination letter from the Defense Contract Management Agency (“DCMA”) regarding what DCMA believed were certain unallowable costs for one of the Company’s subsidiaries with respect to fiscal year 2007. In April 2016, the Company reached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Quarterly Financial Data (Unaudited)</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As discussed in “Discontinued Operations” in Note 8 of these notes to consolidated financial statements, the Company began reporting the PSS business as discontinued operations effective in the first quarter of fiscal 2018. Accordingly, the financial results for the PSS business have been reported in discontinued operations for all periods presented.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Summarized quarterly data for the years ended December 30, 2018 and December 31, 2017, is as follows (in millions,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4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2018</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0.05</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Net income (loss) per common share</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0.05</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0.05</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Net income (loss) per common share</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0.04</w:t>
            </w:r>
          </w:p>
        </w:tc>
      </w:tr>
      <w:tr>
        <w:trPr>
          <w:trHeight w:val="531"/>
        </w:trPr>
        <w:tc>
          <w:tcPr>
            <w:tcW w:w="4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24"/>
                <w:szCs w:val="24"/>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4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rPr>
              <w:t>Quarter</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2017</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166.3</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466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discontinued operations</w:t>
            </w:r>
          </w:p>
        </w:tc>
        <w:tc>
          <w:tcPr>
            <w:tcW w:w="3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Net loss per common share</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466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discontinued operations</w:t>
            </w:r>
          </w:p>
        </w:tc>
        <w:tc>
          <w:tcPr>
            <w:tcW w:w="3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Net loss per common share</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702"/>
        </w:trPr>
        <w:tc>
          <w:tcPr>
            <w:tcW w:w="4660" w:type="dxa"/>
            <w:vAlign w:val="bottom"/>
          </w:tcPr>
          <w:p>
            <w:pPr>
              <w:spacing w:after="0"/>
              <w:rPr>
                <w:sz w:val="24"/>
                <w:szCs w:val="24"/>
                <w:color w:val="auto"/>
              </w:rPr>
            </w:pPr>
          </w:p>
        </w:tc>
        <w:tc>
          <w:tcPr>
            <w:tcW w:w="3380" w:type="dxa"/>
            <w:vAlign w:val="bottom"/>
            <w:gridSpan w:val="2"/>
          </w:tcPr>
          <w:p>
            <w:pPr>
              <w:jc w:val="right"/>
              <w:ind w:right="2160"/>
              <w:spacing w:after="0"/>
              <w:rPr>
                <w:sz w:val="20"/>
                <w:szCs w:val="20"/>
                <w:color w:val="auto"/>
              </w:rPr>
            </w:pPr>
            <w:r>
              <w:rPr>
                <w:rFonts w:ascii="Arial" w:cs="Arial" w:eastAsia="Arial" w:hAnsi="Arial"/>
                <w:sz w:val="18"/>
                <w:szCs w:val="18"/>
                <w:color w:val="auto"/>
              </w:rPr>
              <w:t>F-39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the fourth quarter of 2017, the Company recorded an impairment of $24.2 million of the carrying value of the goodwill related to its DRSS reporting unit within its KGS reportable segment. The Company also recorded a $15.2 million loss on extinguishment of debt in the fourth quarter of 2017 related to the redemption and extinguishment of the Company’s 7% Notes.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27, 2019, the Company entered into a Purchase Agreement to acquire 80.1% of the issued and outstanding membership interests of FTT Core, LLC, a Delaware limited liability company, and 80.1% of the issued and outstanding shares of Florida Turbine Technologies, Inc., a Florida corporation for a total purchase price of $60 million consisting of cash of $33 million and Kratos common stock valued at approximately $27 million. The acquisition was completed on February 27,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10.34</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AMENDED AND RESTATED LEASE AGREEMENT</w:t>
      </w:r>
    </w:p>
    <w:p>
      <w:pPr>
        <w:spacing w:after="0" w:line="200" w:lineRule="exact"/>
        <w:rPr>
          <w:sz w:val="20"/>
          <w:szCs w:val="20"/>
          <w:color w:val="auto"/>
        </w:rPr>
      </w:pPr>
    </w:p>
    <w:p>
      <w:pPr>
        <w:spacing w:after="0" w:line="232"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b w:val="1"/>
          <w:bCs w:val="1"/>
          <w:color w:val="auto"/>
        </w:rPr>
        <w:t xml:space="preserve">THIS AMENDED AND RESTATED LEASE AGREEMENT </w:t>
      </w:r>
      <w:r>
        <w:rPr>
          <w:rFonts w:ascii="Arial" w:cs="Arial" w:eastAsia="Arial" w:hAnsi="Arial"/>
          <w:sz w:val="20"/>
          <w:szCs w:val="20"/>
          <w:color w:val="auto"/>
        </w:rPr>
        <w:t>(this “</w:t>
      </w:r>
      <w:r>
        <w:rPr>
          <w:rFonts w:ascii="Arial" w:cs="Arial" w:eastAsia="Arial" w:hAnsi="Arial"/>
          <w:sz w:val="20"/>
          <w:szCs w:val="20"/>
          <w:u w:val="single" w:color="auto"/>
          <w:color w:val="auto"/>
        </w:rPr>
        <w:t>Lease</w:t>
      </w:r>
      <w:r>
        <w:rPr>
          <w:rFonts w:ascii="Arial" w:cs="Arial" w:eastAsia="Arial" w:hAnsi="Arial"/>
          <w:sz w:val="20"/>
          <w:szCs w:val="20"/>
          <w:color w:val="auto"/>
        </w:rPr>
        <w:t>”) is made as of January 1, 2019 (the “</w:t>
      </w:r>
      <w:r>
        <w:rPr>
          <w:rFonts w:ascii="Arial" w:cs="Arial" w:eastAsia="Arial" w:hAnsi="Arial"/>
          <w:sz w:val="20"/>
          <w:szCs w:val="20"/>
          <w:u w:val="single" w:color="auto"/>
          <w:color w:val="auto"/>
        </w:rPr>
        <w:t>Effective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STORE CAPITAL ACQUISITIONS, 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Lessor</w:t>
      </w:r>
      <w:r>
        <w:rPr>
          <w:rFonts w:ascii="Arial" w:cs="Arial" w:eastAsia="Arial" w:hAnsi="Arial"/>
          <w:sz w:val="20"/>
          <w:szCs w:val="20"/>
          <w:color w:val="auto"/>
        </w:rPr>
        <w:t xml:space="preserve">”), whose address is 8377 E. Hartford Drive, Suite 100, Scottsdale, Arizona 85255, and </w:t>
      </w:r>
      <w:r>
        <w:rPr>
          <w:rFonts w:ascii="Arial" w:cs="Arial" w:eastAsia="Arial" w:hAnsi="Arial"/>
          <w:sz w:val="20"/>
          <w:szCs w:val="20"/>
          <w:b w:val="1"/>
          <w:bCs w:val="1"/>
          <w:color w:val="auto"/>
        </w:rPr>
        <w:t>KRATOS RT LOGIC, INC.</w:t>
      </w:r>
      <w:r>
        <w:rPr>
          <w:rFonts w:ascii="Arial" w:cs="Arial" w:eastAsia="Arial" w:hAnsi="Arial"/>
          <w:sz w:val="20"/>
          <w:szCs w:val="20"/>
          <w:color w:val="auto"/>
        </w:rPr>
        <w:t>, a Colorado corporation. (formerly known as REAL TIME LOGIC, INC.) (“</w:t>
      </w:r>
      <w:r>
        <w:rPr>
          <w:rFonts w:ascii="Arial" w:cs="Arial" w:eastAsia="Arial" w:hAnsi="Arial"/>
          <w:sz w:val="20"/>
          <w:szCs w:val="20"/>
          <w:u w:val="single" w:color="auto"/>
          <w:color w:val="auto"/>
        </w:rPr>
        <w:t>Lessee</w:t>
      </w:r>
      <w:r>
        <w:rPr>
          <w:rFonts w:ascii="Arial" w:cs="Arial" w:eastAsia="Arial" w:hAnsi="Arial"/>
          <w:sz w:val="20"/>
          <w:szCs w:val="20"/>
          <w:color w:val="auto"/>
        </w:rPr>
        <w:t xml:space="preserve">”), whose address is 12515 Academy Ridge View, Colorado Springs, Colorado 80921. Capitalized terms not defined herein shall have the meanings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259" w:lineRule="exact"/>
        <w:rPr>
          <w:sz w:val="20"/>
          <w:szCs w:val="20"/>
          <w:color w:val="auto"/>
        </w:rPr>
      </w:pPr>
    </w:p>
    <w:p>
      <w:pPr>
        <w:jc w:val="both"/>
        <w:ind w:firstLine="621"/>
        <w:spacing w:after="0"/>
        <w:rPr>
          <w:sz w:val="20"/>
          <w:szCs w:val="20"/>
          <w:color w:val="auto"/>
        </w:rPr>
      </w:pPr>
      <w:r>
        <w:rPr>
          <w:rFonts w:ascii="Arial" w:cs="Arial" w:eastAsia="Arial" w:hAnsi="Arial"/>
          <w:sz w:val="20"/>
          <w:szCs w:val="20"/>
          <w:color w:val="auto"/>
        </w:rPr>
        <w:t>This Lease amends and restates in its entirety (a) that certain Lease Agreement (Existing Building Area) dated as of May 31, 2017, as amended from time to time, by and between Lessor and Lessee, and (b) that certain Lease Agreement (New Building Area) dated as of May 31, 2017, as amended from time to time, by and between Lessor and Lessee (collectively, the “</w:t>
      </w:r>
      <w:r>
        <w:rPr>
          <w:rFonts w:ascii="Arial" w:cs="Arial" w:eastAsia="Arial" w:hAnsi="Arial"/>
          <w:sz w:val="20"/>
          <w:szCs w:val="20"/>
          <w:u w:val="single" w:color="auto"/>
          <w:color w:val="auto"/>
        </w:rPr>
        <w:t>Previous Lease</w:t>
      </w:r>
      <w:r>
        <w:rPr>
          <w:rFonts w:ascii="Arial" w:cs="Arial" w:eastAsia="Arial" w:hAnsi="Arial"/>
          <w:sz w:val="20"/>
          <w:szCs w:val="20"/>
          <w:color w:val="auto"/>
        </w:rPr>
        <w:t>”) by and between Lessor and Lessee. The terms of the Previous Lease shall remain in force and effect until the Previous Lease terminates at 11:59 p.m. on the date immediately prior to the Effective Date. The terms contained in this Lease shall apply to and be effective with respect to the period from and after the Effective Date, without novation, replacement or substitution of the Previous Lease.</w:t>
      </w:r>
    </w:p>
    <w:p>
      <w:pPr>
        <w:spacing w:after="0" w:line="213"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color w:val="auto"/>
        </w:rPr>
        <w:t>In consideration of the mutual covenants and agreements herein contained, Lessor and Lessee hereby covenant and agree as follows:</w:t>
      </w:r>
    </w:p>
    <w:p>
      <w:pPr>
        <w:spacing w:after="0" w:line="299"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ARTICLE I BASIC LEASE TERMS</w:t>
      </w:r>
    </w:p>
    <w:p>
      <w:pPr>
        <w:spacing w:after="0" w:line="108"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1.01. Property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street address and legal description of the Property is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hereto</w:t>
      </w:r>
      <w:r>
        <w:rPr>
          <w:rFonts w:ascii="Arial" w:cs="Arial" w:eastAsia="Arial" w:hAnsi="Arial"/>
          <w:sz w:val="20"/>
          <w:szCs w:val="20"/>
          <w:b w:val="1"/>
          <w:bCs w:val="1"/>
          <w:color w:val="auto"/>
        </w:rPr>
        <w:t xml:space="preserve"> </w:t>
      </w:r>
      <w:r>
        <w:rPr>
          <w:rFonts w:ascii="Arial" w:cs="Arial" w:eastAsia="Arial" w:hAnsi="Arial"/>
          <w:sz w:val="20"/>
          <w:szCs w:val="20"/>
          <w:color w:val="auto"/>
        </w:rPr>
        <w:t>and incorporated herein.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1.02. Initial Term Expiration Date</w:t>
      </w:r>
      <w:r>
        <w:rPr>
          <w:rFonts w:ascii="Arial" w:cs="Arial" w:eastAsia="Arial" w:hAnsi="Arial"/>
          <w:sz w:val="20"/>
          <w:szCs w:val="20"/>
          <w:color w:val="auto"/>
        </w:rPr>
        <w:t>. December 31, 2033.</w:t>
      </w:r>
    </w:p>
    <w:p>
      <w:pPr>
        <w:spacing w:after="0" w:line="216" w:lineRule="exact"/>
        <w:rPr>
          <w:sz w:val="20"/>
          <w:szCs w:val="20"/>
          <w:color w:val="auto"/>
        </w:rPr>
      </w:pPr>
    </w:p>
    <w:p>
      <w:pPr>
        <w:ind w:left="640"/>
        <w:spacing w:after="0"/>
        <w:tabs>
          <w:tab w:leader="none" w:pos="3860" w:val="left"/>
        </w:tabs>
        <w:rPr>
          <w:sz w:val="20"/>
          <w:szCs w:val="20"/>
          <w:color w:val="auto"/>
        </w:rPr>
      </w:pPr>
      <w:r>
        <w:rPr>
          <w:rFonts w:ascii="Arial" w:cs="Arial" w:eastAsia="Arial" w:hAnsi="Arial"/>
          <w:sz w:val="20"/>
          <w:szCs w:val="20"/>
          <w:b w:val="1"/>
          <w:bCs w:val="1"/>
          <w:color w:val="auto"/>
        </w:rPr>
        <w:t>Section 1.03. Extension Options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Two (2) extensions of five (5) years each, as described in Section 3.02.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1.04. Term Expiration Date (if fully extended)</w:t>
      </w:r>
      <w:r>
        <w:rPr>
          <w:rFonts w:ascii="Arial" w:cs="Arial" w:eastAsia="Arial" w:hAnsi="Arial"/>
          <w:sz w:val="20"/>
          <w:szCs w:val="20"/>
          <w:color w:val="auto"/>
        </w:rPr>
        <w:t>. December 31, 2043. 4.01.</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1.05. Initial Base Annual Rental</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$2,667,565.25, payable pursuant to Section</w:t>
      </w:r>
    </w:p>
    <w:p>
      <w:pPr>
        <w:spacing w:after="0" w:line="270" w:lineRule="exact"/>
        <w:rPr>
          <w:sz w:val="20"/>
          <w:szCs w:val="20"/>
          <w:color w:val="auto"/>
        </w:rPr>
      </w:pPr>
    </w:p>
    <w:p>
      <w:pPr>
        <w:ind w:right="400" w:firstLine="621"/>
        <w:spacing w:after="0" w:line="272" w:lineRule="auto"/>
        <w:rPr>
          <w:sz w:val="20"/>
          <w:szCs w:val="20"/>
          <w:color w:val="auto"/>
        </w:rPr>
      </w:pPr>
      <w:r>
        <w:rPr>
          <w:rFonts w:ascii="Arial" w:cs="Arial" w:eastAsia="Arial" w:hAnsi="Arial"/>
          <w:sz w:val="20"/>
          <w:szCs w:val="20"/>
          <w:b w:val="1"/>
          <w:bCs w:val="1"/>
          <w:color w:val="auto"/>
        </w:rPr>
        <w:t>Section 1.06. Rental Adjustment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lesser of (i) 2%, or (ii) 1.0 times the change in the Price Index, as described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4.02.</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Section 1.07. Adjustment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June 1, 2019, and annually thereafter during the Lease Term (including any Extension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Term).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1.08. Guarantor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Kratos Defense &amp; Security Solutions,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1.09. Lessee Tax Identification No</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74-3063615.</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369" w:right="239" w:bottom="1440" w:gutter="0" w:footer="0" w:header="0"/>
        </w:sectPr>
      </w:pPr>
    </w:p>
    <w:bookmarkStart w:id="106" w:name="page107"/>
    <w:bookmarkEnd w:id="106"/>
    <w:p>
      <w:pPr>
        <w:ind w:left="660"/>
        <w:spacing w:after="0"/>
        <w:rPr>
          <w:sz w:val="20"/>
          <w:szCs w:val="20"/>
          <w:color w:val="auto"/>
        </w:rPr>
      </w:pPr>
      <w:r>
        <w:rPr>
          <w:rFonts w:ascii="Arial" w:cs="Arial" w:eastAsia="Arial" w:hAnsi="Arial"/>
          <w:sz w:val="20"/>
          <w:szCs w:val="20"/>
          <w:b w:val="1"/>
          <w:bCs w:val="1"/>
          <w:color w:val="auto"/>
        </w:rPr>
        <w:t>Section 1.10. Lessor Tax Identification No</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45-2674893.</w:t>
      </w:r>
    </w:p>
    <w:p>
      <w:pPr>
        <w:spacing w:after="0" w:line="337"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ARTICLE II LEASE OF PROPERTY</w:t>
      </w:r>
    </w:p>
    <w:p>
      <w:pPr>
        <w:spacing w:after="0" w:line="108"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b w:val="1"/>
          <w:bCs w:val="1"/>
          <w:color w:val="auto"/>
        </w:rPr>
        <w:t>Section 2.01. Lease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Lessee’s payment of the Rental and other Monetary Obligations and Lessee’s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all other obligations hereunder, Lessor hereby leases to Lessee, and Lessee hereby takes and hires, the Property, “AS IS” and “WHERE IS” without representation or warranty by Lessor, and subject to the existing state of title, the parties in possession, any statement of facts which an accurate survey or physical inspection might reveal, and all Legal Requirements now or hereafter in effect.</w:t>
      </w:r>
    </w:p>
    <w:p>
      <w:pPr>
        <w:spacing w:after="0" w:line="181"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b w:val="1"/>
          <w:bCs w:val="1"/>
          <w:color w:val="auto"/>
        </w:rPr>
        <w:t>Section 2.02. Quiet Enjoyment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So long as Lessee shall pay the Rental and other Monetary Obligations provided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Lease and shall keep and perform all of the terms, covenants and conditions on its part contained herein and subject to the rights of Lessor under Section 12.02, Lessee shall have, subject to the terms and conditions set forth herein, the right to the peaceful and quiet enjoyment and occupancy of the Property.</w:t>
      </w:r>
    </w:p>
    <w:p>
      <w:pPr>
        <w:spacing w:after="0" w:line="176"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2.03. Warranty License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hereby grants to Lessee during the Lease Term a license to use and enforce all</w:t>
      </w:r>
      <w:r>
        <w:rPr>
          <w:rFonts w:ascii="Arial" w:cs="Arial" w:eastAsia="Arial" w:hAnsi="Arial"/>
          <w:sz w:val="20"/>
          <w:szCs w:val="20"/>
          <w:b w:val="1"/>
          <w:bCs w:val="1"/>
          <w:color w:val="auto"/>
        </w:rPr>
        <w:t xml:space="preserve"> </w:t>
      </w:r>
      <w:r>
        <w:rPr>
          <w:rFonts w:ascii="Arial" w:cs="Arial" w:eastAsia="Arial" w:hAnsi="Arial"/>
          <w:sz w:val="20"/>
          <w:szCs w:val="20"/>
          <w:color w:val="auto"/>
        </w:rPr>
        <w:t>warranties, guaranties, indemnities and similar rights (collectively, the “</w:t>
      </w:r>
      <w:r>
        <w:rPr>
          <w:rFonts w:ascii="Arial" w:cs="Arial" w:eastAsia="Arial" w:hAnsi="Arial"/>
          <w:sz w:val="20"/>
          <w:szCs w:val="20"/>
          <w:u w:val="single" w:color="auto"/>
          <w:color w:val="auto"/>
        </w:rPr>
        <w:t>Warranties</w:t>
      </w:r>
      <w:r>
        <w:rPr>
          <w:rFonts w:ascii="Arial" w:cs="Arial" w:eastAsia="Arial" w:hAnsi="Arial"/>
          <w:sz w:val="20"/>
          <w:szCs w:val="20"/>
          <w:color w:val="auto"/>
        </w:rPr>
        <w:t>”) which Lessor may have against any manufacturer, seller, engineer, contractor or builder in respect of any of the Property. Such license shall remain in effect until the expiration or earlier termination of this Lease, whereupon such license shall cease and Lessee shall have no further rights with respect to all of the Warranties without any further notice. Lessor shall also retain the right to enforce any Warranties upon the occurrence of an Event of Default. Lessee shall enforce the Warranties in accordance with their respective terms.</w:t>
      </w:r>
    </w:p>
    <w:p>
      <w:pPr>
        <w:spacing w:after="0" w:line="179"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LEASE TERM; EXTENSION</w:t>
      </w:r>
    </w:p>
    <w:p>
      <w:pPr>
        <w:spacing w:after="0" w:line="21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3.01. Initial Term</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initial term of this Lease (“</w:t>
      </w:r>
      <w:r>
        <w:rPr>
          <w:rFonts w:ascii="Arial" w:cs="Arial" w:eastAsia="Arial" w:hAnsi="Arial"/>
          <w:sz w:val="20"/>
          <w:szCs w:val="20"/>
          <w:u w:val="single" w:color="auto"/>
          <w:color w:val="auto"/>
        </w:rPr>
        <w:t>Initial Term</w:t>
      </w:r>
      <w:r>
        <w:rPr>
          <w:rFonts w:ascii="Arial" w:cs="Arial" w:eastAsia="Arial" w:hAnsi="Arial"/>
          <w:sz w:val="20"/>
          <w:szCs w:val="20"/>
          <w:color w:val="auto"/>
        </w:rPr>
        <w:t>”) shall expire at midnight on December 31, 2033,</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terminated sooner as provided in this Lease and as may be extended as provided herein. The time period during which this Lease shall actually be in effect, including any Extension Term, is referred to as the “</w:t>
      </w:r>
      <w:r>
        <w:rPr>
          <w:rFonts w:ascii="Arial" w:cs="Arial" w:eastAsia="Arial" w:hAnsi="Arial"/>
          <w:sz w:val="20"/>
          <w:szCs w:val="20"/>
          <w:u w:val="single" w:color="auto"/>
          <w:color w:val="auto"/>
        </w:rPr>
        <w:t>Lease Term</w:t>
      </w:r>
      <w:r>
        <w:rPr>
          <w:rFonts w:ascii="Arial" w:cs="Arial" w:eastAsia="Arial" w:hAnsi="Arial"/>
          <w:sz w:val="20"/>
          <w:szCs w:val="20"/>
          <w:color w:val="auto"/>
        </w:rPr>
        <w:t>.”</w:t>
      </w:r>
    </w:p>
    <w:p>
      <w:pPr>
        <w:spacing w:after="0" w:line="226"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b w:val="1"/>
          <w:bCs w:val="1"/>
          <w:color w:val="auto"/>
        </w:rPr>
        <w:t>Section 3.02. Extensions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this Lease has expired or has been sooner terminated, or an Event of Default has</w:t>
      </w:r>
      <w:r>
        <w:rPr>
          <w:rFonts w:ascii="Arial" w:cs="Arial" w:eastAsia="Arial" w:hAnsi="Arial"/>
          <w:sz w:val="20"/>
          <w:szCs w:val="20"/>
          <w:b w:val="1"/>
          <w:bCs w:val="1"/>
          <w:color w:val="auto"/>
        </w:rPr>
        <w:t xml:space="preserve"> </w:t>
      </w:r>
      <w:r>
        <w:rPr>
          <w:rFonts w:ascii="Arial" w:cs="Arial" w:eastAsia="Arial" w:hAnsi="Arial"/>
          <w:sz w:val="20"/>
          <w:szCs w:val="20"/>
          <w:color w:val="auto"/>
        </w:rPr>
        <w:t>occurred and is continuing at the time any extension option is exercised, Lessee shall have the right and option (each, an “</w:t>
      </w:r>
      <w:r>
        <w:rPr>
          <w:rFonts w:ascii="Arial" w:cs="Arial" w:eastAsia="Arial" w:hAnsi="Arial"/>
          <w:sz w:val="20"/>
          <w:szCs w:val="20"/>
          <w:u w:val="single" w:color="auto"/>
          <w:color w:val="auto"/>
        </w:rPr>
        <w:t>Extension Option</w:t>
      </w:r>
      <w:r>
        <w:rPr>
          <w:rFonts w:ascii="Arial" w:cs="Arial" w:eastAsia="Arial" w:hAnsi="Arial"/>
          <w:sz w:val="20"/>
          <w:szCs w:val="20"/>
          <w:color w:val="auto"/>
        </w:rPr>
        <w:t>”) to extend the Initial Term for the Property for two (2) additional successive periods of five (5) years each (each, an “</w:t>
      </w:r>
      <w:r>
        <w:rPr>
          <w:rFonts w:ascii="Arial" w:cs="Arial" w:eastAsia="Arial" w:hAnsi="Arial"/>
          <w:sz w:val="20"/>
          <w:szCs w:val="20"/>
          <w:u w:val="single" w:color="auto"/>
          <w:color w:val="auto"/>
        </w:rPr>
        <w:t>Extension Term</w:t>
      </w:r>
      <w:r>
        <w:rPr>
          <w:rFonts w:ascii="Arial" w:cs="Arial" w:eastAsia="Arial" w:hAnsi="Arial"/>
          <w:sz w:val="20"/>
          <w:szCs w:val="20"/>
          <w:color w:val="auto"/>
        </w:rPr>
        <w:t>”), pursuant to the terms and conditions of this Lease then in effect.</w:t>
      </w:r>
    </w:p>
    <w:p>
      <w:pPr>
        <w:spacing w:after="0" w:line="17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3.03. Notice of Exercise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may only exercise the Extension Options by giving written notice thereof to</w:t>
      </w:r>
      <w:r>
        <w:rPr>
          <w:rFonts w:ascii="Arial" w:cs="Arial" w:eastAsia="Arial" w:hAnsi="Arial"/>
          <w:sz w:val="20"/>
          <w:szCs w:val="20"/>
          <w:b w:val="1"/>
          <w:bCs w:val="1"/>
          <w:color w:val="auto"/>
        </w:rPr>
        <w:t xml:space="preserve"> </w:t>
      </w:r>
      <w:r>
        <w:rPr>
          <w:rFonts w:ascii="Arial" w:cs="Arial" w:eastAsia="Arial" w:hAnsi="Arial"/>
          <w:sz w:val="20"/>
          <w:szCs w:val="20"/>
          <w:color w:val="auto"/>
        </w:rPr>
        <w:t>Lessor of its election to do so no later than one hundred twenty (120) days prior to the expiration of the then-current Lease Term. If written notice of the exercise of any Extension Option is not received by Lessor by the applicable dates described</w:t>
      </w: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82" w:right="239" w:bottom="1440" w:gutter="0" w:footer="0" w:header="0"/>
        </w:sectPr>
      </w:pPr>
    </w:p>
    <w:bookmarkStart w:id="107" w:name="page108"/>
    <w:bookmarkEnd w:id="107"/>
    <w:p>
      <w:pPr>
        <w:jc w:val="both"/>
        <w:spacing w:after="0" w:line="243" w:lineRule="auto"/>
        <w:rPr>
          <w:sz w:val="20"/>
          <w:szCs w:val="20"/>
          <w:color w:val="auto"/>
        </w:rPr>
      </w:pPr>
      <w:r>
        <w:rPr>
          <w:rFonts w:ascii="Arial" w:cs="Arial" w:eastAsia="Arial" w:hAnsi="Arial"/>
          <w:sz w:val="20"/>
          <w:szCs w:val="20"/>
          <w:color w:val="auto"/>
        </w:rPr>
        <w:t>above, then this Lease shall terminate on the last day of the Initial Term or, if applicable, the last day of the Extension Term then in effect. Upon the request of Lessor or Lessee, the parties hereto will, at the expense of the requesting party, execute and exchange an instrument in recordable form setting forth the extension of the Lease Term in accordance with this Section 3.03.</w:t>
      </w:r>
    </w:p>
    <w:p>
      <w:pPr>
        <w:spacing w:after="0" w:line="182"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3.04. Removal of Personalty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expiration of the Lease Term, and if there is no then-existing continuing</w:t>
      </w:r>
      <w:r>
        <w:rPr>
          <w:rFonts w:ascii="Arial" w:cs="Arial" w:eastAsia="Arial" w:hAnsi="Arial"/>
          <w:sz w:val="20"/>
          <w:szCs w:val="20"/>
          <w:b w:val="1"/>
          <w:bCs w:val="1"/>
          <w:color w:val="auto"/>
        </w:rPr>
        <w:t xml:space="preserve"> </w:t>
      </w:r>
      <w:r>
        <w:rPr>
          <w:rFonts w:ascii="Arial" w:cs="Arial" w:eastAsia="Arial" w:hAnsi="Arial"/>
          <w:sz w:val="20"/>
          <w:szCs w:val="20"/>
          <w:color w:val="auto"/>
        </w:rPr>
        <w:t>Event of Default, Lessee may remove from the Property all personal property (subject to any rights of Lessee’s Institutional Lenders) belonging to Lessee. Lessee shall repair any damage caused by such removal and shall leave the Property clean and in good and working condition and repair inside and out, subject to normal wear and tear, casualty and condemnation. Any property of Lessee left on the Property on the tenth day following the expiration of the Lease Term shall, at Lessor’s option, automatically and immediately become the property of Lessor.</w:t>
      </w:r>
    </w:p>
    <w:p>
      <w:pPr>
        <w:spacing w:after="0" w:line="179"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RENTAL AND OTHER MONETARY OBLIGATIONS</w:t>
      </w:r>
    </w:p>
    <w:p>
      <w:pPr>
        <w:spacing w:after="0" w:line="216"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b w:val="1"/>
          <w:bCs w:val="1"/>
          <w:color w:val="auto"/>
        </w:rPr>
        <w:t>Section 4.01. Base Monthly Rental</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Lease Term, on or before the first day of each calendar month, Lessee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pay in advance the Base Monthly Rental then in effect. If the Effective Date is a date other than the first day of the month, Lessee shall pay to Lessor on the Effective Date the Base Monthly Rental prorated by multiplying the Base Monthly Rental by a fraction, the numerator of which is the number of days remaining in the month (including the Effective Date) for which Rental is being paid, and the denominator of which is the total number of days in such month.</w:t>
      </w:r>
    </w:p>
    <w:p>
      <w:pPr>
        <w:spacing w:after="0" w:line="181"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4.02. Adjustments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Lease Term (including any Extension Term), on the first Adjustment Date and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each Adjustment Date thereafter, the Base Annual Rental shall increase by an amount equal to the Rental Adjustment;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Base Annual Rental be reduced as a result of the application of the Rental Adjustment.</w:t>
      </w:r>
    </w:p>
    <w:p>
      <w:pPr>
        <w:spacing w:after="0" w:line="172"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4.03. Additional Rental</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pay and discharge, as additional rental (“</w:t>
      </w:r>
      <w:r>
        <w:rPr>
          <w:rFonts w:ascii="Arial" w:cs="Arial" w:eastAsia="Arial" w:hAnsi="Arial"/>
          <w:sz w:val="20"/>
          <w:szCs w:val="20"/>
          <w:u w:val="single" w:color="auto"/>
          <w:color w:val="auto"/>
        </w:rPr>
        <w:t>Additional Rental</w:t>
      </w:r>
      <w:r>
        <w:rPr>
          <w:rFonts w:ascii="Arial" w:cs="Arial" w:eastAsia="Arial" w:hAnsi="Arial"/>
          <w:sz w:val="20"/>
          <w:szCs w:val="20"/>
          <w:color w:val="auto"/>
        </w:rPr>
        <w:t>”), all sums of</w:t>
      </w:r>
      <w:r>
        <w:rPr>
          <w:rFonts w:ascii="Arial" w:cs="Arial" w:eastAsia="Arial" w:hAnsi="Arial"/>
          <w:sz w:val="20"/>
          <w:szCs w:val="20"/>
          <w:b w:val="1"/>
          <w:bCs w:val="1"/>
          <w:color w:val="auto"/>
        </w:rPr>
        <w:t xml:space="preserve"> </w:t>
      </w:r>
      <w:r>
        <w:rPr>
          <w:rFonts w:ascii="Arial" w:cs="Arial" w:eastAsia="Arial" w:hAnsi="Arial"/>
          <w:sz w:val="20"/>
          <w:szCs w:val="20"/>
          <w:color w:val="auto"/>
        </w:rPr>
        <w:t>money required to be paid by Lessee under this Lease which are not specifically referred to as Rental. Lessee shall pay and discharge any Additional Rental when the same shall become due, provided that amounts which are billed to Lessor or any third party, but not to Lessee, shall be paid within fifteen (15) Business Days after Lessor’s demand for payment thereof or, if earlier, when the same are due. In no event shall Lessee be required to pay to Lessor any item of Additional Rental that Lessee is obligated to pay and has paid to any third party pursuant to any provision of this Lease.</w:t>
      </w:r>
    </w:p>
    <w:p>
      <w:pPr>
        <w:spacing w:after="0" w:line="179"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4.04. Rentals to be Net to Lessor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Base Annual Rental payable hereunder shall be net to Lessor, so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shall yield to Lessor the Rentals specified during the Lease Term, and all Costs and obligations of every kind and nature whatsoever relating to the Property shall be performed and paid by Lessee, except as stated elsewhere in the Lease. Lessee shall perform all of its obligations under this Lease at its sole cost and expense. All Rental and other Monetary Obligations which Lessee is required to pay hereunder shall be the unconditional obligation of Lessee and shall be payable in full when due and payable, without notice or demand, and without any setoff, abatement, deferment, deduction or</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52"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counterclaim whatsoever (except for any Monetary Obligations that arise from Lessor’s gross negligence or willful misconduct).</w:t>
      </w:r>
    </w:p>
    <w:p>
      <w:pPr>
        <w:spacing w:after="0" w:line="192"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9"/>
          <w:szCs w:val="19"/>
          <w:b w:val="1"/>
          <w:bCs w:val="1"/>
          <w:color w:val="auto"/>
        </w:rPr>
        <w:t>Section 4.05. Wire Transfer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of the Base Monthly Rental and any other Monetary Obligations payable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Lessor hereunder shall be paid in immediately available funds to the account identified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hereto, or to any other account as Lessor may from time to time designate to Lessee. Each such payment shall be made by Lessee by wire or other electronic transfer of funds, or automatic debit from an account designated by Lessee if so elected by Lessee. Lessee shall continue to pay all Rental and other Monetary Obligations in such manner unless otherwise directed by Lessor. Notwithstanding the foregoing, in the event that Lessee fails, more than twice during any calendar year, to pay the Base Monthly Rental by wire or other electronic transfer of funds when due, Lessee shall deliver to Lessor a complete Authorization Agreement - Pre-Arranged Payments in the form provided by Lessor together with a voided check for account verification, establishing arrangements whereby payments of the Base Monthly Rental are transferred by Automated Clearing House Debit initiated by Lessor.</w:t>
      </w:r>
    </w:p>
    <w:p>
      <w:pPr>
        <w:spacing w:after="0" w:line="169"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b w:val="1"/>
          <w:bCs w:val="1"/>
          <w:color w:val="auto"/>
        </w:rPr>
        <w:t>Section 4.06. Late Charges; Default Interest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delinquent payment not made within three (3) Business Days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such payment is due (provided that such three (3) Business Day grace period shall only be available once in any twelve (12) month period) shall, in addition to any other remedy of Lessor, incur a late charge of five percent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w:t>
      </w:r>
      <w:r>
        <w:rPr>
          <w:rFonts w:ascii="Arial" w:cs="Arial" w:eastAsia="Arial" w:hAnsi="Arial"/>
          <w:sz w:val="20"/>
          <w:szCs w:val="20"/>
          <w:i w:val="1"/>
          <w:iCs w:val="1"/>
          <w:color w:val="auto"/>
        </w:rPr>
        <w:t>provided, however</w:t>
      </w:r>
      <w:r>
        <w:rPr>
          <w:rFonts w:ascii="Arial" w:cs="Arial" w:eastAsia="Arial" w:hAnsi="Arial"/>
          <w:sz w:val="20"/>
          <w:szCs w:val="20"/>
          <w:color w:val="auto"/>
        </w:rPr>
        <w:t>, in no event shall Lessee be obligated to pay a sum of late charge and interest higher than the maximum legal rate then in effect.</w:t>
      </w:r>
    </w:p>
    <w:p>
      <w:pPr>
        <w:spacing w:after="0" w:line="180"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Section 4.07. Holdover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Lessee remains in possession of the Property after the expiration of the term hereof, Lessee,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 Lessor’s option and within Lessor’s sole discretion, may be deemed a tenant on a month-to-month basis and shall continue to pay Rentals and other Monetary Obligations in the amounts herein provided, except that the Base Monthly Rental shall be automatically increased to one hundred twenty-five percent (125%) of the last Base Monthly Rental payable under this Lease, and Lessee shall comply with all the terms of this Lease;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nothing herein nor the acceptance of Rental by Lessor shall be deemed a consent to such holding over. Lessee shall defend (using counsel chosen by Lessee and approved by Lessor), indemnify, protect and hold the Indemnified Parties harmless from and against any and all Losses resulting from Lessee’s failure to surrender possession upon the expiration of the Lease Term.</w:t>
      </w:r>
    </w:p>
    <w:p>
      <w:pPr>
        <w:spacing w:after="0" w:line="182"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4.08. Guaranty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On or before the execution of this Lease, Lessee shall cause Guarantor to execute and deliver</w:t>
      </w:r>
      <w:r>
        <w:rPr>
          <w:rFonts w:ascii="Arial" w:cs="Arial" w:eastAsia="Arial" w:hAnsi="Arial"/>
          <w:sz w:val="20"/>
          <w:szCs w:val="20"/>
          <w:b w:val="1"/>
          <w:bCs w:val="1"/>
          <w:color w:val="auto"/>
        </w:rPr>
        <w:t xml:space="preserve"> </w:t>
      </w:r>
      <w:r>
        <w:rPr>
          <w:rFonts w:ascii="Arial" w:cs="Arial" w:eastAsia="Arial" w:hAnsi="Arial"/>
          <w:sz w:val="20"/>
          <w:szCs w:val="20"/>
          <w:color w:val="auto"/>
        </w:rPr>
        <w:t>to Lessor the Guaranty.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4.09. Security Deposit</w:t>
      </w:r>
      <w:r>
        <w:rPr>
          <w:rFonts w:ascii="Arial" w:cs="Arial" w:eastAsia="Arial" w:hAnsi="Arial"/>
          <w:sz w:val="20"/>
          <w:szCs w:val="20"/>
          <w:color w:val="auto"/>
        </w:rPr>
        <w:t>.</w:t>
      </w:r>
    </w:p>
    <w:p>
      <w:pPr>
        <w:spacing w:after="0" w:line="253" w:lineRule="exact"/>
        <w:rPr>
          <w:sz w:val="20"/>
          <w:szCs w:val="20"/>
          <w:color w:val="auto"/>
        </w:rPr>
      </w:pPr>
    </w:p>
    <w:p>
      <w:pPr>
        <w:jc w:val="both"/>
        <w:ind w:left="660" w:firstLine="646"/>
        <w:spacing w:after="0" w:line="270" w:lineRule="auto"/>
        <w:tabs>
          <w:tab w:leader="none" w:pos="2062" w:val="left"/>
        </w:tabs>
        <w:numPr>
          <w:ilvl w:val="0"/>
          <w:numId w:val="56"/>
        </w:numPr>
        <w:rPr>
          <w:rFonts w:ascii="Arial" w:cs="Arial" w:eastAsia="Arial" w:hAnsi="Arial"/>
          <w:sz w:val="18"/>
          <w:szCs w:val="18"/>
          <w:color w:val="auto"/>
        </w:rPr>
      </w:pPr>
      <w:r>
        <w:rPr>
          <w:rFonts w:ascii="Arial" w:cs="Arial" w:eastAsia="Arial" w:hAnsi="Arial"/>
          <w:sz w:val="20"/>
          <w:szCs w:val="20"/>
          <w:color w:val="auto"/>
        </w:rPr>
        <w:t>Lessee has paid Lessor upon the delivery of the Previous Lease a security deposit in the total amount of $250,000 (the “</w:t>
      </w:r>
      <w:r>
        <w:rPr>
          <w:rFonts w:ascii="Arial" w:cs="Arial" w:eastAsia="Arial" w:hAnsi="Arial"/>
          <w:sz w:val="20"/>
          <w:szCs w:val="20"/>
          <w:u w:val="single" w:color="auto"/>
          <w:color w:val="auto"/>
        </w:rPr>
        <w:t>Security Deposit</w:t>
      </w:r>
      <w:r>
        <w:rPr>
          <w:rFonts w:ascii="Arial" w:cs="Arial" w:eastAsia="Arial" w:hAnsi="Arial"/>
          <w:sz w:val="20"/>
          <w:szCs w:val="20"/>
          <w:color w:val="auto"/>
        </w:rPr>
        <w:t>”) as security for the full and faithful performance by Lessee of each and every term, provision, covenant and condition of this Lease. Upon the occurrence of an Event of Default, Lessor may, but shall not be required to, use, apply or retain the whole or any part of the Security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09" w:name="page110"/>
    <w:bookmarkEnd w:id="109"/>
    <w:p>
      <w:pPr>
        <w:jc w:val="both"/>
        <w:ind w:left="660"/>
        <w:spacing w:after="0"/>
        <w:rPr>
          <w:sz w:val="20"/>
          <w:szCs w:val="20"/>
          <w:color w:val="auto"/>
        </w:rPr>
      </w:pPr>
      <w:r>
        <w:rPr>
          <w:rFonts w:ascii="Arial" w:cs="Arial" w:eastAsia="Arial" w:hAnsi="Arial"/>
          <w:sz w:val="20"/>
          <w:szCs w:val="20"/>
          <w:color w:val="auto"/>
        </w:rPr>
        <w:t xml:space="preserve">Deposit for the payment of any Monetary Obligation (including Rental) in default or for any other sum which Lessor may expend or be required to expend by reason of Lessee’s default, including any damages or deficiency in the reletting of the Property, whether such damages or deficiency accrue before or after summary proceedings or other re-entry by Lessor;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each time Lessor so uses any amount of the Security Deposit, (a) Lessee shall have fifteen (15)</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days to replenish the Security Deposit as described in this Section 4.09(a) before such deficiency begins to bear interest at the Default Rate (which shall thereafter accrue until the Security Deposit has been replenished),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(b) Lessee shall, within thirty (30) days after Lessor’s written request therefor, deposit additional money with Lessor sufficient to restore the Security Deposit to a sum equal to the original amount of the Security Deposit (or the reduced amount of the Security Deposit if reduced pursuant to Section 4.09(c), below).</w:t>
      </w:r>
    </w:p>
    <w:p>
      <w:pPr>
        <w:spacing w:after="0" w:line="226" w:lineRule="exact"/>
        <w:rPr>
          <w:sz w:val="20"/>
          <w:szCs w:val="20"/>
          <w:color w:val="auto"/>
        </w:rPr>
      </w:pPr>
    </w:p>
    <w:p>
      <w:pPr>
        <w:jc w:val="both"/>
        <w:ind w:left="660" w:firstLine="646"/>
        <w:spacing w:after="0" w:line="268" w:lineRule="auto"/>
        <w:tabs>
          <w:tab w:leader="none" w:pos="2072" w:val="left"/>
        </w:tabs>
        <w:numPr>
          <w:ilvl w:val="0"/>
          <w:numId w:val="57"/>
        </w:numPr>
        <w:rPr>
          <w:rFonts w:ascii="Arial" w:cs="Arial" w:eastAsia="Arial" w:hAnsi="Arial"/>
          <w:sz w:val="18"/>
          <w:szCs w:val="18"/>
          <w:color w:val="auto"/>
        </w:rPr>
      </w:pPr>
      <w:r>
        <w:rPr>
          <w:rFonts w:ascii="Arial" w:cs="Arial" w:eastAsia="Arial" w:hAnsi="Arial"/>
          <w:sz w:val="20"/>
          <w:szCs w:val="20"/>
          <w:color w:val="auto"/>
        </w:rPr>
        <w:t>If Lessee shall fully and faithfully comply with all of the terms, provisions, covenants and conditions of this Lease, the Security Deposit, or any balance thereof, shall be returned to Lessee after the time fixed as the expiration of the Lease Term of this Lease and after the removal of Lessee and surrender of possession of the Property to Lessor. In the absence of evidence satisfactory to Lessor of an assignment of the right to receive the Security Deposit, or the remaining balance thereof, Lessor may return the security to the original Lessee, regardless of one or more assignments of this Lease. In case of a sale or transfer of the fee of the Property, or any cessation of Lessor’s interest therein (including in connection with a Lessor bankruptcy or a Lessor default under any of its loans), whether in whole or in part, Lessor shall pay over any unapplied part of the Security Deposit to the succeeding owner of the Property and from and after such payment Lessor shall be relieved of all liability with respect thereto so long as such succeeding owner acknowledges receipt of the Security Deposit (or any remaining portion thereof), in writing, and a copy of such writing is provided to Lessee. The provisions of the preceding sentence shall apply to every subsequent sale or transfer of the fee of the Property, and any successor of Lessor may, upon a sale, transfer or other cessation of the interest of such successor in the Property, whether in whole or in part, pay over any unapplied part of the Security Deposit to the successor owner of the Property and shall thereupon be relieved of all liability with respect thereto so long as such succeeding owner acknowledges receipt of the Security Deposit (or any remaining portion thereof), in writing, and a copy of such writing is provided to Lessee.</w:t>
      </w:r>
    </w:p>
    <w:p>
      <w:pPr>
        <w:spacing w:after="0" w:line="297" w:lineRule="exact"/>
        <w:rPr>
          <w:sz w:val="20"/>
          <w:szCs w:val="20"/>
          <w:color w:val="auto"/>
        </w:rPr>
      </w:pPr>
    </w:p>
    <w:p>
      <w:pPr>
        <w:jc w:val="center"/>
        <w:ind w:left="1000"/>
        <w:spacing w:after="0"/>
        <w:rPr>
          <w:sz w:val="20"/>
          <w:szCs w:val="20"/>
          <w:color w:val="auto"/>
        </w:rPr>
      </w:pPr>
      <w:r>
        <w:rPr>
          <w:rFonts w:ascii="Arial" w:cs="Arial" w:eastAsia="Arial" w:hAnsi="Arial"/>
          <w:sz w:val="20"/>
          <w:szCs w:val="20"/>
          <w:b w:val="1"/>
          <w:bCs w:val="1"/>
          <w:color w:val="auto"/>
        </w:rPr>
        <w:t>ARTICLE V REPRESENTATIONS AND WARRANTIES</w:t>
      </w:r>
    </w:p>
    <w:p>
      <w:pPr>
        <w:spacing w:after="0" w:line="132"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color w:val="auto"/>
        </w:rPr>
        <w:t>The representations and warranties of each party contained in this Article V are being made to induce the other party to enter into this Lease, and the parties have relied, and will continue to rely, upon such representations and warranties.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With respect to Sections 5.01 through 5.07, Lessee represents and warrants to Lessor as follows:</w:t>
      </w:r>
    </w:p>
    <w:p>
      <w:pPr>
        <w:spacing w:after="0" w:line="21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5.01. Organization, Authority and Status of Lessee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has been duly organized or formed, is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its state of formation and is qualified as a foreign corporation to do business in any jurisdiction where such</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10" w:name="page111"/>
    <w:bookmarkEnd w:id="110"/>
    <w:p>
      <w:pPr>
        <w:jc w:val="both"/>
        <w:spacing w:after="0" w:line="241" w:lineRule="auto"/>
        <w:rPr>
          <w:sz w:val="20"/>
          <w:szCs w:val="20"/>
          <w:color w:val="auto"/>
        </w:rPr>
      </w:pPr>
      <w:r>
        <w:rPr>
          <w:rFonts w:ascii="Arial" w:cs="Arial" w:eastAsia="Arial" w:hAnsi="Arial"/>
          <w:sz w:val="20"/>
          <w:szCs w:val="20"/>
          <w:color w:val="auto"/>
        </w:rPr>
        <w:t>qualification is required. All necessary and appropriate action has been taken to authorize the execution, delivery and performance by Lessee of this Lease and of the other documents, instruments and agreements provided for herein. Lessee is not, and if Lessee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Lessee is duly authorized to do so.</w:t>
      </w:r>
    </w:p>
    <w:p>
      <w:pPr>
        <w:spacing w:after="0" w:line="184"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5.02. Enforceability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constitutes the legal, valid and binding obligation of Lessee, enforceable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in accordance with its terms.</w:t>
      </w:r>
    </w:p>
    <w:p>
      <w:pPr>
        <w:spacing w:after="0" w:line="154"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5.03. Litigation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There are no suits, actions, proceedings or investigations pending, or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threatened against or involving any Lessee Entity or the Property before any arbitrator or Governmental Authority which might reasonably result in any Material Adverse Effect.</w:t>
      </w:r>
    </w:p>
    <w:p>
      <w:pPr>
        <w:spacing w:after="0" w:line="172"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5.04. Absence of Breaches or Defaults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is not in default under any document, instrument or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Lessee is a party or by which Lessee, the Property or any of Lessee’s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Lessee is a party or by which Lessee, the Property or any of Lessee’s property is subject or bound.</w:t>
      </w:r>
    </w:p>
    <w:p>
      <w:pPr>
        <w:spacing w:after="0" w:line="179"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b w:val="1"/>
          <w:bCs w:val="1"/>
          <w:color w:val="auto"/>
        </w:rPr>
        <w:t>Section 5.05. Compliance with OFAC Laws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Lessee Entities, and no individual or entity owning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indirectly any interest in any of the Lessee Entities, is an individual or entity whose property or interests are subject to being blocked under any of the OFAC Laws or is otherwise in violation of any of the OFAC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representation contained in this sentence shall not apply to any Person to the extent such Person’s interest is in or through a U.S. Publicly Traded Entity.</w:t>
      </w:r>
    </w:p>
    <w:p>
      <w:pPr>
        <w:spacing w:after="0" w:line="181"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5.06. Solvency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There is no contemplated, pending or threatened Insolvency Event or similar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affecting Lessee or any Lessee Entity. Lessee does not have unreasonably small capital to conduct its business.</w:t>
      </w:r>
    </w:p>
    <w:p>
      <w:pPr>
        <w:spacing w:after="0" w:line="172"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5.07. Ownership</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(i) Lessee, (ii) any Affiliate of Lessee, or (iii) any Person owning ten percent (10%)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of Lessee, owns, directly or indirectly, ten percent (10%) or more of the total voting power or total value of capital stock in STORE Capital Corporation.</w:t>
      </w:r>
    </w:p>
    <w:p>
      <w:pPr>
        <w:spacing w:after="0" w:line="38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With respect to Sections 5.08 through 5.13, Lessor represents and warrants to Lessee as follows:</w:t>
      </w:r>
    </w:p>
    <w:p>
      <w:pPr>
        <w:spacing w:after="0" w:line="21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5.08. Organization, Authority and Status of Lessor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has been duly organized or formed, is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its state of formation and is qualified as a foreign corporation to do business in Colorado. All necessary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52" w:right="239" w:bottom="1440" w:gutter="0" w:footer="0" w:header="0"/>
        </w:sectPr>
      </w:pPr>
    </w:p>
    <w:bookmarkStart w:id="111" w:name="page112"/>
    <w:bookmarkEnd w:id="111"/>
    <w:p>
      <w:pPr>
        <w:jc w:val="both"/>
        <w:spacing w:after="0" w:line="241" w:lineRule="auto"/>
        <w:rPr>
          <w:sz w:val="20"/>
          <w:szCs w:val="20"/>
          <w:color w:val="auto"/>
        </w:rPr>
      </w:pPr>
      <w:r>
        <w:rPr>
          <w:rFonts w:ascii="Arial" w:cs="Arial" w:eastAsia="Arial" w:hAnsi="Arial"/>
          <w:sz w:val="20"/>
          <w:szCs w:val="20"/>
          <w:color w:val="auto"/>
        </w:rPr>
        <w:t>and appropriate action has been taken to authorize the execution, delivery and performance by Lessor of this Lease and of the other documents, instruments and agreements provided for herein. Lessor is not, and if Lessor is a “disregarded entity,” the owner of such disregarded entity is not, a “nonresident alien,” “foreign corporation,” “foreign partnership,” “foreign trust,” “foreign estate,” or any other “person” that is not a “United States Person” as those terms are defined in the Code and the regulations promulgated thereunder. The Person who has executed this Lease on behalf of Lessor is duly authorized to do so.</w:t>
      </w:r>
    </w:p>
    <w:p>
      <w:pPr>
        <w:spacing w:after="0" w:line="185" w:lineRule="exact"/>
        <w:rPr>
          <w:sz w:val="20"/>
          <w:szCs w:val="20"/>
          <w:color w:val="auto"/>
        </w:rPr>
      </w:pPr>
    </w:p>
    <w:p>
      <w:pPr>
        <w:jc w:val="both"/>
        <w:ind w:right="20" w:firstLine="621"/>
        <w:spacing w:after="0" w:line="272" w:lineRule="auto"/>
        <w:rPr>
          <w:sz w:val="20"/>
          <w:szCs w:val="20"/>
          <w:color w:val="auto"/>
        </w:rPr>
      </w:pPr>
      <w:r>
        <w:rPr>
          <w:rFonts w:ascii="Arial" w:cs="Arial" w:eastAsia="Arial" w:hAnsi="Arial"/>
          <w:sz w:val="20"/>
          <w:szCs w:val="20"/>
          <w:b w:val="1"/>
          <w:bCs w:val="1"/>
          <w:color w:val="auto"/>
        </w:rPr>
        <w:t>Section 5.09. Enforceability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constitutes the legal, valid and binding obligation of Lessor, enforceable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in accordance with its terms.</w:t>
      </w:r>
    </w:p>
    <w:p>
      <w:pPr>
        <w:spacing w:after="0" w:line="154"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5.10. Litigation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There are no suits, actions, proceedings or investigations pending, or to the best of its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threatened against or involving any Lessor Entity or the Property before any arbitrator or Governmental Authority which might reasonably result in any Material Adverse Effect.</w:t>
      </w:r>
    </w:p>
    <w:p>
      <w:pPr>
        <w:spacing w:after="0" w:line="172"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5.11. Absence of Breaches or Defaults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is not in default under any document, instrument or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Lessor is a party or by which Lessor, the Property or any of Lessor’s property is subject or bound, which has had, or could reasonably be expected to result in, a Material Adverse Effect. The authorization, execution, delivery and performance of this Lease and the documents, instruments and agreements provided for herein will not result in any breach of or default under any document, instrument or agreement to which Lessor is a party or by which Lessor, the Property or any of Lessor’s property is subject or bound.</w:t>
      </w:r>
    </w:p>
    <w:p>
      <w:pPr>
        <w:spacing w:after="0" w:line="179"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b w:val="1"/>
          <w:bCs w:val="1"/>
          <w:color w:val="auto"/>
        </w:rPr>
        <w:t>Section 5.12. Compliance with OFAC Laws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Lessor or any individual or entity owning directly or indirectly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interest in any of Lessor, is an individual or entity whose property or interests are subject to being blocked under any of the OFAC Laws or is otherwise in violation of any of the OFAC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representation contained in this sentence shall not apply to any Person to the extent such Person’s interest is in or through a U.S. Publicly Traded Entity.</w:t>
      </w:r>
    </w:p>
    <w:p>
      <w:pPr>
        <w:spacing w:after="0" w:line="17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5.13. Solvency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There is no contemplated, pending or threatened Insolvency Event or similar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affecting Lessor or any Lessor Entity. Lessor does not have unreasonably small capital to conduct its business.</w:t>
      </w:r>
    </w:p>
    <w:p>
      <w:pPr>
        <w:spacing w:after="0" w:line="172" w:lineRule="exact"/>
        <w:rPr>
          <w:sz w:val="20"/>
          <w:szCs w:val="20"/>
          <w:color w:val="auto"/>
        </w:rPr>
      </w:pPr>
    </w:p>
    <w:p>
      <w:pPr>
        <w:ind w:left="5980"/>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TAXES AND ASSESSMENTS; UTILITIES; INSURANCE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6.01. Taxes</w:t>
      </w:r>
      <w:r>
        <w:rPr>
          <w:rFonts w:ascii="Arial" w:cs="Arial" w:eastAsia="Arial" w:hAnsi="Arial"/>
          <w:sz w:val="20"/>
          <w:szCs w:val="20"/>
          <w:color w:val="auto"/>
        </w:rPr>
        <w:t>.</w:t>
      </w:r>
    </w:p>
    <w:p>
      <w:pPr>
        <w:spacing w:after="0" w:line="229" w:lineRule="exact"/>
        <w:rPr>
          <w:sz w:val="20"/>
          <w:szCs w:val="20"/>
          <w:color w:val="auto"/>
        </w:rPr>
      </w:pPr>
    </w:p>
    <w:p>
      <w:pPr>
        <w:jc w:val="both"/>
        <w:ind w:left="660" w:firstLine="646"/>
        <w:spacing w:after="0" w:line="274" w:lineRule="auto"/>
        <w:tabs>
          <w:tab w:leader="none" w:pos="2062" w:val="left"/>
        </w:tabs>
        <w:numPr>
          <w:ilvl w:val="0"/>
          <w:numId w:val="58"/>
        </w:numPr>
        <w:rPr>
          <w:rFonts w:ascii="Arial" w:cs="Arial" w:eastAsia="Arial" w:hAnsi="Arial"/>
          <w:sz w:val="18"/>
          <w:szCs w:val="18"/>
          <w:color w:val="auto"/>
        </w:rPr>
      </w:pPr>
      <w:r>
        <w:rPr>
          <w:rFonts w:ascii="Arial" w:cs="Arial" w:eastAsia="Arial" w:hAnsi="Arial"/>
          <w:sz w:val="20"/>
          <w:szCs w:val="20"/>
          <w:b w:val="1"/>
          <w:bCs w:val="1"/>
          <w:i w:val="1"/>
          <w:iCs w:val="1"/>
          <w:color w:val="auto"/>
        </w:rPr>
        <w:t>Payment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provisions of Section 6.01(b) below, Lessee shall pay, prior to the earlier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delinquency or the accrual of interest on the unpaid balance, all taxes and assessments of every type or nature assessed against or imposed upon the Property, Lessee or Lessor during the Lease Term related to or arising out of this Lease and the activities of the parties hereunder, including without limitation, (i) all taxes or assessments upon the Property or any part thereof and upon any personal property, trade fixtures and improvements located on the Property, whether belonging to Lessor or Lessee, or any tax or charge levied in lieu of such taxes and</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12" w:name="page113"/>
    <w:bookmarkEnd w:id="112"/>
    <w:p>
      <w:pPr>
        <w:jc w:val="both"/>
        <w:ind w:left="660"/>
        <w:spacing w:after="0" w:line="241" w:lineRule="auto"/>
        <w:rPr>
          <w:sz w:val="20"/>
          <w:szCs w:val="20"/>
          <w:color w:val="auto"/>
        </w:rPr>
      </w:pPr>
      <w:r>
        <w:rPr>
          <w:rFonts w:ascii="Arial" w:cs="Arial" w:eastAsia="Arial" w:hAnsi="Arial"/>
          <w:sz w:val="20"/>
          <w:szCs w:val="20"/>
          <w:color w:val="auto"/>
        </w:rPr>
        <w:t>assessments; (ii) all taxes, charges, license fees and or similar fees imposed by reason of the use of the Property by Lessee; (iii) all excise, franchise, transaction, privilege, license, sales, use and other taxes upon the Rental or other Monetary Obligations hereunder, the leasehold estate of either party or the activities of either party pursuant to this Lease; and (iv) all franchise, privilege or similar taxes of Lessor calculated on the value of the Property or on the amount of capital apportioned to the Property. Notwithstanding anything in clauses (i) through (iv) to the contrary, Lessee shall not be obligated to pay or reimburse Lessor for any taxes based on the net income of Lessor.</w:t>
      </w:r>
    </w:p>
    <w:p>
      <w:pPr>
        <w:spacing w:after="0" w:line="198" w:lineRule="exact"/>
        <w:rPr>
          <w:sz w:val="20"/>
          <w:szCs w:val="20"/>
          <w:color w:val="auto"/>
        </w:rPr>
      </w:pPr>
    </w:p>
    <w:p>
      <w:pPr>
        <w:jc w:val="both"/>
        <w:ind w:left="660" w:firstLine="646"/>
        <w:spacing w:after="0" w:line="270" w:lineRule="auto"/>
        <w:tabs>
          <w:tab w:leader="none" w:pos="2072" w:val="left"/>
        </w:tabs>
        <w:numPr>
          <w:ilvl w:val="1"/>
          <w:numId w:val="59"/>
        </w:numPr>
        <w:rPr>
          <w:rFonts w:ascii="Arial" w:cs="Arial" w:eastAsia="Arial" w:hAnsi="Arial"/>
          <w:sz w:val="18"/>
          <w:szCs w:val="18"/>
          <w:color w:val="auto"/>
        </w:rPr>
      </w:pPr>
      <w:r>
        <w:rPr>
          <w:rFonts w:ascii="Arial" w:cs="Arial" w:eastAsia="Arial" w:hAnsi="Arial"/>
          <w:sz w:val="20"/>
          <w:szCs w:val="20"/>
          <w:b w:val="1"/>
          <w:bCs w:val="1"/>
          <w:i w:val="1"/>
          <w:iCs w:val="1"/>
          <w:color w:val="auto"/>
        </w:rPr>
        <w:t>Right to Contest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Within thirty (30) days after each tax and assessment payment is required by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6.01 to be paid, Lessee shall provide Lessor with evidence reasonably satisfactory to Lessor that taxes and assessments have been timely paid by Lessee. In the event Lessor receives a tax bill, Lessor shall use commercially reasonable efforts to forward said bill to Lessee within fifteen (15) days of Lessor’s receipt thereof. Lessee may, at its own expense, contest or cause to be contested (in the case of any item involving more than $10,000, after prior written notice to Lessor, which shall be given within fifteen (15) days of Lessee’s determination to contest any matter as permitted herein), by appropriate legal proceedings conducted in good faith and with due diligence, any above-described item or lien with respect thereto, provided that (i) neither the Property nor any interest therein would be in any danger of being sold, forfeited or lost by reason of such proceedings; (ii) no Event of Default has occurred and is continuing; (iii) if and to the extent required by the applicable taxing authority and/or Lessor, Lessee posts a bond or takes other steps acceptable to such taxing authority and/or Lessor that removes such lien or stays enforcement thereof;</w:t>
      </w:r>
    </w:p>
    <w:p>
      <w:pPr>
        <w:jc w:val="both"/>
        <w:ind w:left="660" w:hanging="3"/>
        <w:spacing w:after="0" w:line="269" w:lineRule="auto"/>
        <w:tabs>
          <w:tab w:leader="none" w:pos="1384" w:val="left"/>
        </w:tabs>
        <w:numPr>
          <w:ilvl w:val="0"/>
          <w:numId w:val="60"/>
        </w:numPr>
        <w:rPr>
          <w:rFonts w:ascii="Arial" w:cs="Arial" w:eastAsia="Arial" w:hAnsi="Arial"/>
          <w:sz w:val="18"/>
          <w:szCs w:val="18"/>
          <w:color w:val="auto"/>
        </w:rPr>
      </w:pPr>
      <w:r>
        <w:rPr>
          <w:rFonts w:ascii="Arial" w:cs="Arial" w:eastAsia="Arial" w:hAnsi="Arial"/>
          <w:sz w:val="20"/>
          <w:szCs w:val="20"/>
          <w:color w:val="auto"/>
        </w:rPr>
        <w:t>Lessee shall promptly provide Lessor with copies of all notices received or delivered by Lessee and filings made by Lessee in connection with such proceeding; and (v) upon termination of such proceedings, it shall be the obligation of Lessee to pay the amount of any such tax and assessment or part thereof as finally determined in such proceedings, the payment of which may have been deferred during the prosecution of such proceedings, together with any costs, fees (including attorneys’ fees and disbursements), interest, penalties or other liabilities in connection therewith. Lessor shall at the request of Lessee, execute or join in the execution of any instruments or documents necessary in connection with such contest or proceedings, but Lessor shall incur no cost or obligation thereby.</w:t>
      </w:r>
    </w:p>
    <w:p>
      <w:pPr>
        <w:spacing w:after="0" w:line="170"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b w:val="1"/>
          <w:bCs w:val="1"/>
          <w:color w:val="auto"/>
        </w:rPr>
        <w:t>Section 6.02. Utilities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contract, in its own name, for and pay when due all charges for the connection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use of water, gas, electricity, telephone, garbage collection, sewer use and other utility services supplied to the Property during the Lease Term. Under no circumstances shall Lessor be responsible for any interruption of any utility service, unless caused by Lessor’s gross negligence or willful misconduct.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6.03. Insurance</w:t>
      </w:r>
      <w:r>
        <w:rPr>
          <w:rFonts w:ascii="Arial" w:cs="Arial" w:eastAsia="Arial" w:hAnsi="Arial"/>
          <w:sz w:val="20"/>
          <w:szCs w:val="20"/>
          <w:color w:val="auto"/>
        </w:rPr>
        <w:t>.</w:t>
      </w:r>
    </w:p>
    <w:p>
      <w:pPr>
        <w:spacing w:after="0" w:line="229" w:lineRule="exact"/>
        <w:rPr>
          <w:sz w:val="20"/>
          <w:szCs w:val="20"/>
          <w:color w:val="auto"/>
        </w:rPr>
      </w:pPr>
    </w:p>
    <w:p>
      <w:pPr>
        <w:jc w:val="both"/>
        <w:ind w:left="660" w:firstLine="646"/>
        <w:spacing w:after="0" w:line="284" w:lineRule="auto"/>
        <w:tabs>
          <w:tab w:leader="none" w:pos="2062" w:val="left"/>
        </w:tabs>
        <w:numPr>
          <w:ilvl w:val="0"/>
          <w:numId w:val="61"/>
        </w:numPr>
        <w:rPr>
          <w:rFonts w:ascii="Arial" w:cs="Arial" w:eastAsia="Arial" w:hAnsi="Arial"/>
          <w:sz w:val="18"/>
          <w:szCs w:val="18"/>
          <w:color w:val="auto"/>
        </w:rPr>
      </w:pPr>
      <w:r>
        <w:rPr>
          <w:rFonts w:ascii="Arial" w:cs="Arial" w:eastAsia="Arial" w:hAnsi="Arial"/>
          <w:sz w:val="20"/>
          <w:szCs w:val="20"/>
          <w:b w:val="1"/>
          <w:bCs w:val="1"/>
          <w:i w:val="1"/>
          <w:iCs w:val="1"/>
          <w:color w:val="auto"/>
        </w:rPr>
        <w:t>Coverage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Throughout the Lease Term, Lessee shall maintain, with respect to the Property, at its sole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expense, the following types and amounts of insurance, in addition to such other insurance as Lessor may reasonably require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906" w:right="239" w:bottom="1440" w:gutter="0" w:footer="0" w:header="0"/>
        </w:sectPr>
      </w:pPr>
    </w:p>
    <w:bookmarkStart w:id="113" w:name="page114"/>
    <w:bookmarkEnd w:id="113"/>
    <w:p>
      <w:pPr>
        <w:jc w:val="both"/>
        <w:ind w:left="1260" w:firstLine="654"/>
        <w:spacing w:after="0" w:line="268" w:lineRule="auto"/>
        <w:tabs>
          <w:tab w:leader="none" w:pos="2632" w:val="left"/>
        </w:tabs>
        <w:numPr>
          <w:ilvl w:val="0"/>
          <w:numId w:val="62"/>
        </w:numPr>
        <w:rPr>
          <w:rFonts w:ascii="Arial" w:cs="Arial" w:eastAsia="Arial" w:hAnsi="Arial"/>
          <w:sz w:val="18"/>
          <w:szCs w:val="18"/>
          <w:color w:val="auto"/>
        </w:rPr>
      </w:pPr>
      <w:r>
        <w:rPr>
          <w:rFonts w:ascii="Arial" w:cs="Arial" w:eastAsia="Arial" w:hAnsi="Arial"/>
          <w:sz w:val="20"/>
          <w:szCs w:val="20"/>
          <w:color w:val="auto"/>
        </w:rPr>
        <w:t>Insurance against loss or damage to real property and personal property under an “all risk” or “special form” insurance policy, which shall include coverage against all risks of direct physical loss, including but not limited to loss by fire, lightning, wind, terrorism, and other risks normally included in the standard ISO special form (and shall also include National Flood and Excess Flood insurance if the Property is located in Flood Zone A or Flood Zone V, as designated by FEMA, or otherwise located in a flood zone area identified by FEMA as a 100-year flood zone or special hazard area, and earthquake insurance if the Property is located within a moderate to high earthquake hazard zone as determined by an approved insurance company set forth in Section 6.03(b)(x) below). Such policy shall also include soft costs, a joint loss agreement, coverage for ordinance or law covering the loss of value of the undamaged portion of the Property, costs to demolish and the increased costs of construction if any of the improvements located on, or the use of, the Property shall at any time constitute legal non-conforming structures or uses. Ordinance or law limits shall be in an amount equal to the full replacement cost for the loss of value of the undamaged portion of the Property and no less than 25% of the replacement cost for costs to demolish and the increased cost of construction, or in an amount otherwise specified by Lessor. Such insurance shall be in amounts not less than 100% of the full insurable replacement cost values (without deduction for depreciation), with an agreed amount endorsement or without any coinsurance provision, and with sublimits satisfactory to Lessor, as determined from time to time at Lessor’s request but not more frequently than once in any 12-month period.</w:t>
      </w:r>
    </w:p>
    <w:p>
      <w:pPr>
        <w:spacing w:after="0" w:line="212" w:lineRule="exact"/>
        <w:rPr>
          <w:rFonts w:ascii="Arial" w:cs="Arial" w:eastAsia="Arial" w:hAnsi="Arial"/>
          <w:sz w:val="18"/>
          <w:szCs w:val="18"/>
          <w:color w:val="auto"/>
        </w:rPr>
      </w:pPr>
    </w:p>
    <w:p>
      <w:pPr>
        <w:jc w:val="both"/>
        <w:ind w:left="1260" w:firstLine="654"/>
        <w:spacing w:after="0" w:line="268" w:lineRule="auto"/>
        <w:tabs>
          <w:tab w:leader="none" w:pos="2682" w:val="left"/>
        </w:tabs>
        <w:numPr>
          <w:ilvl w:val="0"/>
          <w:numId w:val="62"/>
        </w:numPr>
        <w:rPr>
          <w:rFonts w:ascii="Arial" w:cs="Arial" w:eastAsia="Arial" w:hAnsi="Arial"/>
          <w:sz w:val="18"/>
          <w:szCs w:val="18"/>
          <w:color w:val="auto"/>
        </w:rPr>
      </w:pPr>
      <w:r>
        <w:rPr>
          <w:rFonts w:ascii="Arial" w:cs="Arial" w:eastAsia="Arial" w:hAnsi="Arial"/>
          <w:sz w:val="20"/>
          <w:szCs w:val="20"/>
          <w:color w:val="auto"/>
        </w:rPr>
        <w:t>Commercial general liability insurance, including products and completed operation liability, covering Lessor and Lessee against bodily injury liability, property damage liability and personal and advertising injury, including without limitation any liability arising out of the ownership, maintenance, repair, condition or operation of the Property or adjoining ways, streets, parking lots or sidewalks. Such insurance policy or policies shall contain a broad form contractual liability endorsement under which the insurer agrees to insure Lessee’s obligations under Article X hereof to the extent insurable, and a “severability of interest” clause or endorsement which precludes the insurer from denying the claim of Lessee or Lessor because of the negligence or other acts of the other, shall be in amounts of not less than $10,000,000 per occurrence for bodily injury and property damage, and $10,000,000 general aggregate per location, or such higher limits as Lessor may reasonably require from time to time, and shall be of form and substance satisfactory to Lessor. Such limits of insurance can be acquired through Commercial General liability and Umbrella liability policies.</w:t>
      </w:r>
    </w:p>
    <w:p>
      <w:pPr>
        <w:spacing w:after="0" w:line="213" w:lineRule="exact"/>
        <w:rPr>
          <w:rFonts w:ascii="Arial" w:cs="Arial" w:eastAsia="Arial" w:hAnsi="Arial"/>
          <w:sz w:val="18"/>
          <w:szCs w:val="18"/>
          <w:color w:val="auto"/>
        </w:rPr>
      </w:pPr>
    </w:p>
    <w:p>
      <w:pPr>
        <w:jc w:val="both"/>
        <w:ind w:left="1260" w:firstLine="654"/>
        <w:spacing w:after="0" w:line="271" w:lineRule="auto"/>
        <w:tabs>
          <w:tab w:leader="none" w:pos="273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Workers’ compensation and Employers Liability insurance with statutorily mandated limits covering all persons employed by Lessee on the Property in connection with any work done on or about the Property for which claims for death or bodily injury could be asserted against Lessor, Lessee or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00"/>
          </w:cols>
          <w:pgMar w:left="360" w:top="838" w:right="239" w:bottom="1440" w:gutter="0" w:footer="0" w:header="0"/>
        </w:sectPr>
      </w:pPr>
    </w:p>
    <w:bookmarkStart w:id="114" w:name="page115"/>
    <w:bookmarkEnd w:id="114"/>
    <w:p>
      <w:pPr>
        <w:jc w:val="both"/>
        <w:ind w:left="1260" w:firstLine="654"/>
        <w:spacing w:after="0" w:line="270" w:lineRule="auto"/>
        <w:tabs>
          <w:tab w:leader="none" w:pos="2722" w:val="left"/>
        </w:tabs>
        <w:numPr>
          <w:ilvl w:val="1"/>
          <w:numId w:val="63"/>
        </w:numPr>
        <w:rPr>
          <w:rFonts w:ascii="Arial" w:cs="Arial" w:eastAsia="Arial" w:hAnsi="Arial"/>
          <w:sz w:val="18"/>
          <w:szCs w:val="18"/>
          <w:color w:val="auto"/>
        </w:rPr>
      </w:pPr>
      <w:r>
        <w:rPr>
          <w:rFonts w:ascii="Arial" w:cs="Arial" w:eastAsia="Arial" w:hAnsi="Arial"/>
          <w:sz w:val="20"/>
          <w:szCs w:val="20"/>
          <w:color w:val="auto"/>
        </w:rPr>
        <w:t>Business interruption insurance including Rental Value Insurance payable to Lessor at all locations for a period of not less than twelve (12) months. Such insurance is to follow the form of the real property “all risk” or “special form” coverage and is not to contain a co-insurance clause. Such insurance is to have a minimum of 180 days of extended period of indemnity.</w:t>
      </w:r>
    </w:p>
    <w:p>
      <w:pPr>
        <w:spacing w:after="0" w:line="207" w:lineRule="exact"/>
        <w:rPr>
          <w:rFonts w:ascii="Arial" w:cs="Arial" w:eastAsia="Arial" w:hAnsi="Arial"/>
          <w:sz w:val="18"/>
          <w:szCs w:val="18"/>
          <w:color w:val="auto"/>
        </w:rPr>
      </w:pPr>
    </w:p>
    <w:p>
      <w:pPr>
        <w:jc w:val="both"/>
        <w:ind w:left="1260" w:firstLine="654"/>
        <w:spacing w:after="0" w:line="271" w:lineRule="auto"/>
        <w:tabs>
          <w:tab w:leader="none" w:pos="2672" w:val="left"/>
        </w:tabs>
        <w:numPr>
          <w:ilvl w:val="2"/>
          <w:numId w:val="63"/>
        </w:numPr>
        <w:rPr>
          <w:rFonts w:ascii="Arial" w:cs="Arial" w:eastAsia="Arial" w:hAnsi="Arial"/>
          <w:sz w:val="18"/>
          <w:szCs w:val="18"/>
          <w:color w:val="auto"/>
        </w:rPr>
      </w:pPr>
      <w:r>
        <w:rPr>
          <w:rFonts w:ascii="Arial" w:cs="Arial" w:eastAsia="Arial" w:hAnsi="Arial"/>
          <w:sz w:val="20"/>
          <w:szCs w:val="20"/>
          <w:color w:val="auto"/>
        </w:rPr>
        <w:t>Automobile liability insurance, including owned, non-owned and hired car liability insurance for combined limits of liability of $2,000,000 per occurrence. The limits of liability can be provided in a combination of an automobile liability policy and an umbrella liability policy.</w:t>
      </w:r>
    </w:p>
    <w:p>
      <w:pPr>
        <w:spacing w:after="0" w:line="206" w:lineRule="exact"/>
        <w:rPr>
          <w:rFonts w:ascii="Arial" w:cs="Arial" w:eastAsia="Arial" w:hAnsi="Arial"/>
          <w:sz w:val="18"/>
          <w:szCs w:val="18"/>
          <w:color w:val="auto"/>
        </w:rPr>
      </w:pPr>
    </w:p>
    <w:p>
      <w:pPr>
        <w:jc w:val="both"/>
        <w:ind w:left="1260" w:firstLine="654"/>
        <w:spacing w:after="0" w:line="270" w:lineRule="auto"/>
        <w:tabs>
          <w:tab w:leader="none" w:pos="2722" w:val="left"/>
        </w:tabs>
        <w:numPr>
          <w:ilvl w:val="2"/>
          <w:numId w:val="63"/>
        </w:numPr>
        <w:rPr>
          <w:rFonts w:ascii="Arial" w:cs="Arial" w:eastAsia="Arial" w:hAnsi="Arial"/>
          <w:sz w:val="18"/>
          <w:szCs w:val="18"/>
          <w:color w:val="auto"/>
        </w:rPr>
      </w:pPr>
      <w:r>
        <w:rPr>
          <w:rFonts w:ascii="Arial" w:cs="Arial" w:eastAsia="Arial" w:hAnsi="Arial"/>
          <w:sz w:val="20"/>
          <w:szCs w:val="20"/>
          <w:color w:val="auto"/>
        </w:rPr>
        <w:t>Comprehensive Boiler and Machinery or Equipment Breakdown Insurance against loss or damage from explosion of any steam or pressure boilers or similar apparatus, if any, and other building equipment including HVAC units located in or about the Property and in an amount equal to the lesser of 25% of the 100% replacement cost of the Property or $5,000,000.</w:t>
      </w:r>
    </w:p>
    <w:p>
      <w:pPr>
        <w:spacing w:after="0" w:line="170" w:lineRule="exact"/>
        <w:rPr>
          <w:rFonts w:ascii="Arial" w:cs="Arial" w:eastAsia="Arial" w:hAnsi="Arial"/>
          <w:sz w:val="18"/>
          <w:szCs w:val="18"/>
          <w:color w:val="auto"/>
        </w:rPr>
      </w:pPr>
    </w:p>
    <w:p>
      <w:pPr>
        <w:ind w:left="1920" w:hanging="654"/>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20"/>
          <w:szCs w:val="20"/>
          <w:b w:val="1"/>
          <w:bCs w:val="1"/>
          <w:i w:val="1"/>
          <w:iCs w:val="1"/>
          <w:color w:val="auto"/>
        </w:rPr>
        <w:t>Insurance Provisions</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All insurance policies shall:</w:t>
      </w:r>
    </w:p>
    <w:p>
      <w:pPr>
        <w:spacing w:after="0" w:line="253" w:lineRule="exact"/>
        <w:rPr>
          <w:rFonts w:ascii="Arial" w:cs="Arial" w:eastAsia="Arial" w:hAnsi="Arial"/>
          <w:sz w:val="18"/>
          <w:szCs w:val="18"/>
          <w:color w:val="auto"/>
        </w:rPr>
      </w:pPr>
    </w:p>
    <w:p>
      <w:pPr>
        <w:ind w:left="2640" w:hanging="726"/>
        <w:spacing w:after="0"/>
        <w:tabs>
          <w:tab w:leader="none" w:pos="2640" w:val="left"/>
        </w:tabs>
        <w:numPr>
          <w:ilvl w:val="2"/>
          <w:numId w:val="64"/>
        </w:numPr>
        <w:rPr>
          <w:rFonts w:ascii="Arial" w:cs="Arial" w:eastAsia="Arial" w:hAnsi="Arial"/>
          <w:sz w:val="18"/>
          <w:szCs w:val="18"/>
          <w:color w:val="auto"/>
        </w:rPr>
      </w:pPr>
      <w:r>
        <w:rPr>
          <w:rFonts w:ascii="Arial" w:cs="Arial" w:eastAsia="Arial" w:hAnsi="Arial"/>
          <w:sz w:val="20"/>
          <w:szCs w:val="20"/>
          <w:color w:val="auto"/>
        </w:rPr>
        <w:t>provide for a waiver of subrogation by the insurer as to claims against Lessor, its employees and</w:t>
      </w:r>
    </w:p>
    <w:p>
      <w:pPr>
        <w:spacing w:after="0" w:line="2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20"/>
          <w:szCs w:val="20"/>
          <w:color w:val="auto"/>
        </w:rPr>
        <w:t>agents;</w:t>
      </w:r>
    </w:p>
    <w:p>
      <w:pPr>
        <w:spacing w:after="0" w:line="242" w:lineRule="exact"/>
        <w:rPr>
          <w:rFonts w:ascii="Arial" w:cs="Arial" w:eastAsia="Arial" w:hAnsi="Arial"/>
          <w:sz w:val="18"/>
          <w:szCs w:val="18"/>
          <w:color w:val="auto"/>
        </w:rPr>
      </w:pPr>
    </w:p>
    <w:p>
      <w:pPr>
        <w:jc w:val="both"/>
        <w:ind w:left="1260" w:firstLine="654"/>
        <w:spacing w:after="0" w:line="271" w:lineRule="auto"/>
        <w:tabs>
          <w:tab w:leader="none" w:pos="2682" w:val="left"/>
        </w:tabs>
        <w:numPr>
          <w:ilvl w:val="2"/>
          <w:numId w:val="64"/>
        </w:numPr>
        <w:rPr>
          <w:rFonts w:ascii="Arial" w:cs="Arial" w:eastAsia="Arial" w:hAnsi="Arial"/>
          <w:sz w:val="18"/>
          <w:szCs w:val="18"/>
          <w:color w:val="auto"/>
        </w:rPr>
      </w:pPr>
      <w:r>
        <w:rPr>
          <w:rFonts w:ascii="Arial" w:cs="Arial" w:eastAsia="Arial" w:hAnsi="Arial"/>
          <w:sz w:val="20"/>
          <w:szCs w:val="20"/>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193" w:lineRule="exact"/>
        <w:rPr>
          <w:rFonts w:ascii="Arial" w:cs="Arial" w:eastAsia="Arial" w:hAnsi="Arial"/>
          <w:sz w:val="18"/>
          <w:szCs w:val="18"/>
          <w:color w:val="auto"/>
        </w:rPr>
      </w:pPr>
    </w:p>
    <w:p>
      <w:pPr>
        <w:ind w:left="2560" w:hanging="660"/>
        <w:spacing w:after="0"/>
        <w:tabs>
          <w:tab w:leader="none" w:pos="2560" w:val="left"/>
        </w:tabs>
        <w:numPr>
          <w:ilvl w:val="1"/>
          <w:numId w:val="64"/>
        </w:numPr>
        <w:rPr>
          <w:rFonts w:ascii="Arial" w:cs="Arial" w:eastAsia="Arial" w:hAnsi="Arial"/>
          <w:sz w:val="18"/>
          <w:szCs w:val="18"/>
          <w:color w:val="auto"/>
        </w:rPr>
      </w:pPr>
      <w:r>
        <w:rPr>
          <w:rFonts w:ascii="Arial" w:cs="Arial" w:eastAsia="Arial" w:hAnsi="Arial"/>
          <w:sz w:val="20"/>
          <w:szCs w:val="20"/>
          <w:color w:val="auto"/>
        </w:rPr>
        <w:t>contain deductibles not to exceed $100,000;</w:t>
      </w:r>
    </w:p>
    <w:p>
      <w:pPr>
        <w:spacing w:after="0" w:line="229" w:lineRule="exact"/>
        <w:rPr>
          <w:rFonts w:ascii="Arial" w:cs="Arial" w:eastAsia="Arial" w:hAnsi="Arial"/>
          <w:sz w:val="18"/>
          <w:szCs w:val="18"/>
          <w:color w:val="auto"/>
        </w:rPr>
      </w:pPr>
    </w:p>
    <w:p>
      <w:pPr>
        <w:ind w:left="1260" w:firstLine="654"/>
        <w:spacing w:after="0" w:line="275" w:lineRule="auto"/>
        <w:tabs>
          <w:tab w:leader="none" w:pos="2722" w:val="left"/>
        </w:tabs>
        <w:numPr>
          <w:ilvl w:val="1"/>
          <w:numId w:val="64"/>
        </w:numPr>
        <w:rPr>
          <w:rFonts w:ascii="Arial" w:cs="Arial" w:eastAsia="Arial" w:hAnsi="Arial"/>
          <w:sz w:val="18"/>
          <w:szCs w:val="18"/>
          <w:color w:val="auto"/>
        </w:rPr>
      </w:pPr>
      <w:r>
        <w:rPr>
          <w:rFonts w:ascii="Arial" w:cs="Arial" w:eastAsia="Arial" w:hAnsi="Arial"/>
          <w:sz w:val="20"/>
          <w:szCs w:val="20"/>
          <w:color w:val="auto"/>
        </w:rPr>
        <w:t>contain a standard non-contributory mortgagee clause or endorsement in favor of any Lender designated by Lessor;</w:t>
      </w:r>
    </w:p>
    <w:p>
      <w:pPr>
        <w:spacing w:after="0" w:line="202" w:lineRule="exact"/>
        <w:rPr>
          <w:rFonts w:ascii="Arial" w:cs="Arial" w:eastAsia="Arial" w:hAnsi="Arial"/>
          <w:sz w:val="18"/>
          <w:szCs w:val="18"/>
          <w:color w:val="auto"/>
        </w:rPr>
      </w:pPr>
    </w:p>
    <w:p>
      <w:pPr>
        <w:jc w:val="both"/>
        <w:ind w:left="1260" w:firstLine="654"/>
        <w:spacing w:after="0" w:line="270" w:lineRule="auto"/>
        <w:tabs>
          <w:tab w:leader="none" w:pos="2672" w:val="left"/>
        </w:tabs>
        <w:numPr>
          <w:ilvl w:val="2"/>
          <w:numId w:val="65"/>
        </w:numPr>
        <w:rPr>
          <w:rFonts w:ascii="Arial" w:cs="Arial" w:eastAsia="Arial" w:hAnsi="Arial"/>
          <w:sz w:val="18"/>
          <w:szCs w:val="18"/>
          <w:color w:val="auto"/>
        </w:rPr>
      </w:pPr>
      <w:r>
        <w:rPr>
          <w:rFonts w:ascii="Arial" w:cs="Arial" w:eastAsia="Arial" w:hAnsi="Arial"/>
          <w:sz w:val="20"/>
          <w:szCs w:val="20"/>
          <w:color w:val="auto"/>
        </w:rPr>
        <w:t>provide that the policy of insurance shall not be terminated, cancelled or materially amended (such that the policy is no longer in compliance with the requirements of this Lease) without at least thirty (30) days’ prior written notice from Lessee to Lessor and to any Lender covered by any standard mortgagee clause or endorsement;</w:t>
      </w:r>
    </w:p>
    <w:p>
      <w:pPr>
        <w:spacing w:after="0" w:line="207" w:lineRule="exact"/>
        <w:rPr>
          <w:rFonts w:ascii="Arial" w:cs="Arial" w:eastAsia="Arial" w:hAnsi="Arial"/>
          <w:sz w:val="18"/>
          <w:szCs w:val="18"/>
          <w:color w:val="auto"/>
        </w:rPr>
      </w:pPr>
    </w:p>
    <w:p>
      <w:pPr>
        <w:ind w:left="1260" w:right="20" w:firstLine="654"/>
        <w:spacing w:after="0" w:line="275" w:lineRule="auto"/>
        <w:tabs>
          <w:tab w:leader="none" w:pos="2722" w:val="left"/>
        </w:tabs>
        <w:numPr>
          <w:ilvl w:val="2"/>
          <w:numId w:val="65"/>
        </w:numPr>
        <w:rPr>
          <w:rFonts w:ascii="Arial" w:cs="Arial" w:eastAsia="Arial" w:hAnsi="Arial"/>
          <w:sz w:val="18"/>
          <w:szCs w:val="18"/>
          <w:color w:val="auto"/>
        </w:rPr>
      </w:pPr>
      <w:r>
        <w:rPr>
          <w:rFonts w:ascii="Arial" w:cs="Arial" w:eastAsia="Arial" w:hAnsi="Arial"/>
          <w:sz w:val="20"/>
          <w:szCs w:val="20"/>
          <w:color w:val="auto"/>
        </w:rPr>
        <w:t>provide that the insurer shall not have the option to restore the Property if Lessor elects to terminate this Lease in accordance with the terms hereof;</w:t>
      </w:r>
    </w:p>
    <w:p>
      <w:pPr>
        <w:spacing w:after="0" w:line="202" w:lineRule="exact"/>
        <w:rPr>
          <w:rFonts w:ascii="Arial" w:cs="Arial" w:eastAsia="Arial" w:hAnsi="Arial"/>
          <w:sz w:val="18"/>
          <w:szCs w:val="18"/>
          <w:color w:val="auto"/>
        </w:rPr>
      </w:pPr>
    </w:p>
    <w:p>
      <w:pPr>
        <w:ind w:left="2780" w:hanging="866"/>
        <w:spacing w:after="0"/>
        <w:tabs>
          <w:tab w:leader="none" w:pos="2780" w:val="left"/>
        </w:tabs>
        <w:numPr>
          <w:ilvl w:val="2"/>
          <w:numId w:val="65"/>
        </w:numPr>
        <w:rPr>
          <w:rFonts w:ascii="Arial" w:cs="Arial" w:eastAsia="Arial" w:hAnsi="Arial"/>
          <w:sz w:val="18"/>
          <w:szCs w:val="18"/>
          <w:color w:val="auto"/>
        </w:rPr>
      </w:pPr>
      <w:r>
        <w:rPr>
          <w:rFonts w:ascii="Arial" w:cs="Arial" w:eastAsia="Arial" w:hAnsi="Arial"/>
          <w:sz w:val="20"/>
          <w:szCs w:val="20"/>
          <w:color w:val="auto"/>
        </w:rPr>
        <w:t>be in amounts sufficient at all times to satisfy any coinsurance requirements thereof;</w:t>
      </w:r>
    </w:p>
    <w:p>
      <w:pPr>
        <w:spacing w:after="0" w:line="242" w:lineRule="exact"/>
        <w:rPr>
          <w:rFonts w:ascii="Arial" w:cs="Arial" w:eastAsia="Arial" w:hAnsi="Arial"/>
          <w:sz w:val="18"/>
          <w:szCs w:val="18"/>
          <w:color w:val="auto"/>
        </w:rPr>
      </w:pPr>
    </w:p>
    <w:p>
      <w:pPr>
        <w:jc w:val="both"/>
        <w:ind w:left="1260" w:right="20" w:firstLine="654"/>
        <w:spacing w:after="0" w:line="271" w:lineRule="auto"/>
        <w:tabs>
          <w:tab w:leader="none" w:pos="2822" w:val="left"/>
        </w:tabs>
        <w:numPr>
          <w:ilvl w:val="2"/>
          <w:numId w:val="65"/>
        </w:numPr>
        <w:rPr>
          <w:rFonts w:ascii="Arial" w:cs="Arial" w:eastAsia="Arial" w:hAnsi="Arial"/>
          <w:sz w:val="18"/>
          <w:szCs w:val="18"/>
          <w:color w:val="auto"/>
        </w:rPr>
      </w:pPr>
      <w:r>
        <w:rPr>
          <w:rFonts w:ascii="Arial" w:cs="Arial" w:eastAsia="Arial" w:hAnsi="Arial"/>
          <w:sz w:val="20"/>
          <w:szCs w:val="20"/>
          <w:color w:val="auto"/>
        </w:rPr>
        <w:t>except for workers’ compensation insurance referred to in Section 6.03(a)(iii) above and automobile liability insurance referred to in Section 6.03(a)(v) above, name Lessor and any Lessor Affiliate or Lender requested by Lessor, as an “additional insured” with respect to liability insurance, and as an</w:t>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00"/>
          </w:cols>
          <w:pgMar w:left="360" w:top="609" w:right="239" w:bottom="1440" w:gutter="0" w:footer="0" w:header="0"/>
        </w:sectPr>
      </w:pPr>
    </w:p>
    <w:bookmarkStart w:id="115" w:name="page116"/>
    <w:bookmarkEnd w:id="115"/>
    <w:p>
      <w:pPr>
        <w:ind w:left="1300"/>
        <w:spacing w:after="0" w:line="247" w:lineRule="auto"/>
        <w:rPr>
          <w:sz w:val="20"/>
          <w:szCs w:val="20"/>
          <w:color w:val="auto"/>
        </w:rPr>
      </w:pPr>
      <w:r>
        <w:rPr>
          <w:rFonts w:ascii="Arial" w:cs="Arial" w:eastAsia="Arial" w:hAnsi="Arial"/>
          <w:sz w:val="20"/>
          <w:szCs w:val="20"/>
          <w:color w:val="auto"/>
        </w:rPr>
        <w:t>“additional named insured” or “additional insured” with respect to real property and rental value insurance, as appropriate and as their interests may appear;</w:t>
      </w:r>
    </w:p>
    <w:p>
      <w:pPr>
        <w:spacing w:after="0" w:line="215" w:lineRule="exact"/>
        <w:rPr>
          <w:sz w:val="20"/>
          <w:szCs w:val="20"/>
          <w:color w:val="auto"/>
        </w:rPr>
      </w:pPr>
    </w:p>
    <w:p>
      <w:pPr>
        <w:jc w:val="both"/>
        <w:ind w:left="1300" w:firstLine="654"/>
        <w:spacing w:after="0" w:line="281" w:lineRule="auto"/>
        <w:tabs>
          <w:tab w:leader="none" w:pos="2762" w:val="left"/>
        </w:tabs>
        <w:numPr>
          <w:ilvl w:val="2"/>
          <w:numId w:val="66"/>
        </w:numPr>
        <w:rPr>
          <w:rFonts w:ascii="Arial" w:cs="Arial" w:eastAsia="Arial" w:hAnsi="Arial"/>
          <w:sz w:val="17"/>
          <w:szCs w:val="17"/>
          <w:color w:val="auto"/>
        </w:rPr>
      </w:pPr>
      <w:r>
        <w:rPr>
          <w:rFonts w:ascii="Arial" w:cs="Arial" w:eastAsia="Arial" w:hAnsi="Arial"/>
          <w:sz w:val="19"/>
          <w:szCs w:val="19"/>
          <w:color w:val="auto"/>
        </w:rPr>
        <w:t>be evidenced by delivery to Lessor and any Lender designated by Lessor of an Acord Form 28 for property, business interruption and boiler &amp; machinery coverage (or any other form requested by Lessor) and an</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20"/>
          <w:szCs w:val="20"/>
          <w:color w:val="auto"/>
        </w:rPr>
        <w:t>Acord Form</w:t>
      </w:r>
    </w:p>
    <w:p>
      <w:pPr>
        <w:spacing w:after="0" w:line="13" w:lineRule="exact"/>
        <w:rPr>
          <w:rFonts w:ascii="Arial" w:cs="Arial" w:eastAsia="Arial" w:hAnsi="Arial"/>
          <w:sz w:val="17"/>
          <w:szCs w:val="17"/>
          <w:color w:val="auto"/>
        </w:rPr>
      </w:pPr>
    </w:p>
    <w:p>
      <w:pPr>
        <w:jc w:val="both"/>
        <w:ind w:left="1300"/>
        <w:spacing w:after="0" w:line="243" w:lineRule="auto"/>
        <w:rPr>
          <w:rFonts w:ascii="Arial" w:cs="Arial" w:eastAsia="Arial" w:hAnsi="Arial"/>
          <w:sz w:val="17"/>
          <w:szCs w:val="17"/>
          <w:color w:val="auto"/>
        </w:rPr>
      </w:pPr>
      <w:r>
        <w:rPr>
          <w:rFonts w:ascii="Arial" w:cs="Arial" w:eastAsia="Arial" w:hAnsi="Arial"/>
          <w:sz w:val="20"/>
          <w:szCs w:val="20"/>
          <w:color w:val="auto"/>
        </w:rPr>
        <w:t>25 for commercial general liability, workers’ compensation and umbrella coverage (or any other form requested by Lessor); provided that in the event that either such form is no longer available, such evidence of insurance shall be in a form reasonably satisfactory to Lessor and any Lender designated by Lessor; and</w:t>
      </w:r>
    </w:p>
    <w:p>
      <w:pPr>
        <w:spacing w:after="0" w:line="219" w:lineRule="exact"/>
        <w:rPr>
          <w:rFonts w:ascii="Arial" w:cs="Arial" w:eastAsia="Arial" w:hAnsi="Arial"/>
          <w:sz w:val="17"/>
          <w:szCs w:val="17"/>
          <w:color w:val="auto"/>
        </w:rPr>
      </w:pPr>
    </w:p>
    <w:p>
      <w:pPr>
        <w:ind w:left="1300" w:firstLine="654"/>
        <w:spacing w:after="0" w:line="275" w:lineRule="auto"/>
        <w:tabs>
          <w:tab w:leader="none" w:pos="2712" w:val="left"/>
        </w:tabs>
        <w:numPr>
          <w:ilvl w:val="2"/>
          <w:numId w:val="66"/>
        </w:numPr>
        <w:rPr>
          <w:rFonts w:ascii="Arial" w:cs="Arial" w:eastAsia="Arial" w:hAnsi="Arial"/>
          <w:sz w:val="18"/>
          <w:szCs w:val="18"/>
          <w:color w:val="auto"/>
        </w:rPr>
      </w:pPr>
      <w:r>
        <w:rPr>
          <w:rFonts w:ascii="Arial" w:cs="Arial" w:eastAsia="Arial" w:hAnsi="Arial"/>
          <w:sz w:val="20"/>
          <w:szCs w:val="20"/>
          <w:color w:val="auto"/>
        </w:rPr>
        <w:t>be issued by insurance companies licensed to do business in the states where the Property is located and which are rated no less than A-X by Best’s Insurance Guide or are otherwise approved by Lessor.</w:t>
      </w:r>
    </w:p>
    <w:p>
      <w:pPr>
        <w:spacing w:after="0" w:line="178" w:lineRule="exact"/>
        <w:rPr>
          <w:rFonts w:ascii="Arial" w:cs="Arial" w:eastAsia="Arial" w:hAnsi="Arial"/>
          <w:sz w:val="18"/>
          <w:szCs w:val="18"/>
          <w:color w:val="auto"/>
        </w:rPr>
      </w:pPr>
    </w:p>
    <w:p>
      <w:pPr>
        <w:jc w:val="both"/>
        <w:ind w:left="660" w:firstLine="646"/>
        <w:spacing w:after="0" w:line="269" w:lineRule="auto"/>
        <w:tabs>
          <w:tab w:leader="none" w:pos="2062" w:val="left"/>
        </w:tabs>
        <w:numPr>
          <w:ilvl w:val="1"/>
          <w:numId w:val="67"/>
        </w:numPr>
        <w:rPr>
          <w:rFonts w:ascii="Arial" w:cs="Arial" w:eastAsia="Arial" w:hAnsi="Arial"/>
          <w:sz w:val="18"/>
          <w:szCs w:val="18"/>
          <w:color w:val="auto"/>
        </w:rPr>
      </w:pPr>
      <w:r>
        <w:rPr>
          <w:rFonts w:ascii="Arial" w:cs="Arial" w:eastAsia="Arial" w:hAnsi="Arial"/>
          <w:sz w:val="20"/>
          <w:szCs w:val="20"/>
          <w:b w:val="1"/>
          <w:bCs w:val="1"/>
          <w:i w:val="1"/>
          <w:iCs w:val="1"/>
          <w:color w:val="auto"/>
        </w:rPr>
        <w:t>Additional Obligations</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It is expressly understood and agreed that (i) if any insurance required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or any part thereof, shall expire, be withdrawn, become void by breach of any condition thereof by Lessee, or become void or in jeopardy by reason of the failure or impairment of the capital of any insurer, Lessee shall immediately obtain new or additional insurance reasonably satisfactory to Lessor and any Lender designated by Lessor; (ii) the minimum limits of insurance coverage set forth in this Section 6.03 shall not limit the liability of Lessee for its acts or omissions as provided in this Lease; (iii) Lessee shall procure policies for all insurance for periods of not less than one year and shall provide to Lessor and any servicer or Lender of Lessor certificates of insurance or, upon Lessor’s request, a redacted copy of insurance policies evidencing that insurance satisfying the requirements of this Lease is in effect at all times; (iv) Lessee shall pay as they become due all premiums for the insurance required by this Section 6.03; (v) in the event that Lessee fails to comply with any of the requirements set forth in this Section 6.03, within ten (10) Business Days of the giving of written notice by Lessor to Lessee, (A) Lessor shall be entitled to procure such insurance; and (B) any sums expended by Lessor in procuring such insurance shall be Additional Rental and shall be repaid by Lessee, together with interest thereon at the Default Rate, from the time of payment by Lessor until fully paid by Lessee within fifteen (15) days of written demand therefor by Lessor; and (vi) Lessee shall maintain all insurance policies required in this Section 6.03 not to be cancelled, invalidated or suspended on account of the conduct of Lessee, its officers, directors, managers, members, employees or agents, or anyone acting for Lessee or any subtenant or other occupant of the Property, and shall comply with all policy conditions and warranties at all times to avoid a forfeiture of all or a part of any insurance payment.</w:t>
      </w:r>
    </w:p>
    <w:p>
      <w:pPr>
        <w:spacing w:after="0" w:line="195" w:lineRule="exact"/>
        <w:rPr>
          <w:rFonts w:ascii="Arial" w:cs="Arial" w:eastAsia="Arial" w:hAnsi="Arial"/>
          <w:sz w:val="18"/>
          <w:szCs w:val="18"/>
          <w:color w:val="auto"/>
        </w:rPr>
      </w:pPr>
    </w:p>
    <w:p>
      <w:pPr>
        <w:ind w:left="660" w:right="20" w:firstLine="646"/>
        <w:spacing w:after="0" w:line="280" w:lineRule="auto"/>
        <w:tabs>
          <w:tab w:leader="none" w:pos="2072" w:val="left"/>
        </w:tabs>
        <w:numPr>
          <w:ilvl w:val="1"/>
          <w:numId w:val="67"/>
        </w:numPr>
        <w:rPr>
          <w:rFonts w:ascii="Arial" w:cs="Arial" w:eastAsia="Arial" w:hAnsi="Arial"/>
          <w:sz w:val="18"/>
          <w:szCs w:val="18"/>
          <w:color w:val="auto"/>
        </w:rPr>
      </w:pPr>
      <w:r>
        <w:rPr>
          <w:rFonts w:ascii="Arial" w:cs="Arial" w:eastAsia="Arial" w:hAnsi="Arial"/>
          <w:sz w:val="20"/>
          <w:szCs w:val="20"/>
          <w:b w:val="1"/>
          <w:bCs w:val="1"/>
          <w:i w:val="1"/>
          <w:iCs w:val="1"/>
          <w:color w:val="auto"/>
        </w:rPr>
        <w:t>Blanket Policies</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Notwithstanding anything to the contrary in this Section 6.03, any insurance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Lessee is required to obtain pursuant to this Section</w:t>
      </w:r>
    </w:p>
    <w:p>
      <w:pPr>
        <w:ind w:left="660" w:hanging="3"/>
        <w:spacing w:after="0" w:line="275" w:lineRule="auto"/>
        <w:tabs>
          <w:tab w:leader="none" w:pos="1348" w:val="left"/>
        </w:tabs>
        <w:numPr>
          <w:ilvl w:val="0"/>
          <w:numId w:val="68"/>
        </w:numPr>
        <w:rPr>
          <w:rFonts w:ascii="Arial" w:cs="Arial" w:eastAsia="Arial" w:hAnsi="Arial"/>
          <w:sz w:val="18"/>
          <w:szCs w:val="18"/>
          <w:color w:val="auto"/>
        </w:rPr>
      </w:pPr>
      <w:r>
        <w:rPr>
          <w:rFonts w:ascii="Arial" w:cs="Arial" w:eastAsia="Arial" w:hAnsi="Arial"/>
          <w:sz w:val="20"/>
          <w:szCs w:val="20"/>
          <w:color w:val="auto"/>
        </w:rPr>
        <w:t>may be carried under a “blanket” policy or policies covering other properties or liabilities of Lessee provided that such “blanket” policy or policies otherwise comply with the provisions of this Section 6.03.</w:t>
      </w:r>
    </w:p>
    <w:p>
      <w:pPr>
        <w:spacing w:after="0" w:line="165" w:lineRule="exact"/>
        <w:rPr>
          <w:sz w:val="20"/>
          <w:szCs w:val="20"/>
          <w:color w:val="auto"/>
        </w:rPr>
      </w:pPr>
    </w:p>
    <w:p>
      <w:pPr>
        <w:ind w:right="580" w:firstLine="621"/>
        <w:spacing w:after="0" w:line="272" w:lineRule="auto"/>
        <w:rPr>
          <w:sz w:val="20"/>
          <w:szCs w:val="20"/>
          <w:color w:val="auto"/>
        </w:rPr>
      </w:pPr>
      <w:r>
        <w:rPr>
          <w:rFonts w:ascii="Arial" w:cs="Arial" w:eastAsia="Arial" w:hAnsi="Arial"/>
          <w:sz w:val="20"/>
          <w:szCs w:val="20"/>
          <w:b w:val="1"/>
          <w:bCs w:val="1"/>
          <w:color w:val="auto"/>
        </w:rPr>
        <w:t>Section 6.04. Tax Impound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occurrence of a monetary Event of Default and with respect to each Event of</w:t>
      </w:r>
      <w:r>
        <w:rPr>
          <w:rFonts w:ascii="Arial" w:cs="Arial" w:eastAsia="Arial" w:hAnsi="Arial"/>
          <w:sz w:val="20"/>
          <w:szCs w:val="20"/>
          <w:b w:val="1"/>
          <w:bCs w:val="1"/>
          <w:color w:val="auto"/>
        </w:rPr>
        <w:t xml:space="preserve"> </w:t>
      </w:r>
      <w:r>
        <w:rPr>
          <w:rFonts w:ascii="Arial" w:cs="Arial" w:eastAsia="Arial" w:hAnsi="Arial"/>
          <w:sz w:val="20"/>
          <w:szCs w:val="20"/>
          <w:color w:val="auto"/>
        </w:rPr>
        <w:t>Default, in addition to any other remedies, Lessor may require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16" w:name="page117"/>
    <w:bookmarkEnd w:id="116"/>
    <w:p>
      <w:pPr>
        <w:jc w:val="both"/>
        <w:spacing w:after="0"/>
        <w:rPr>
          <w:sz w:val="20"/>
          <w:szCs w:val="20"/>
          <w:color w:val="auto"/>
        </w:rPr>
      </w:pPr>
      <w:r>
        <w:rPr>
          <w:rFonts w:ascii="Arial" w:cs="Arial" w:eastAsia="Arial" w:hAnsi="Arial"/>
          <w:sz w:val="20"/>
          <w:szCs w:val="20"/>
          <w:color w:val="auto"/>
        </w:rPr>
        <w:t>Lessee to pay to Lessor on the first day of each month the amount that Lessor reasonably estimates will be necessary in order to accumulate with Lessor sufficient funds in an impound account (which shall not be deemed a trust fund) (the “</w:t>
      </w:r>
      <w:r>
        <w:rPr>
          <w:rFonts w:ascii="Arial" w:cs="Arial" w:eastAsia="Arial" w:hAnsi="Arial"/>
          <w:sz w:val="20"/>
          <w:szCs w:val="20"/>
          <w:u w:val="single" w:color="auto"/>
          <w:color w:val="auto"/>
        </w:rPr>
        <w:t>Reserve</w:t>
      </w:r>
      <w:r>
        <w:rPr>
          <w:rFonts w:ascii="Arial" w:cs="Arial" w:eastAsia="Arial" w:hAnsi="Arial"/>
          <w:sz w:val="20"/>
          <w:szCs w:val="20"/>
          <w:color w:val="auto"/>
        </w:rPr>
        <w:t>”) for Lessor to pay any and all real estate taxes (“</w:t>
      </w:r>
      <w:r>
        <w:rPr>
          <w:rFonts w:ascii="Arial" w:cs="Arial" w:eastAsia="Arial" w:hAnsi="Arial"/>
          <w:sz w:val="20"/>
          <w:szCs w:val="20"/>
          <w:u w:val="single" w:color="auto"/>
          <w:color w:val="auto"/>
        </w:rPr>
        <w:t>Real Estate Taxes</w:t>
      </w:r>
      <w:r>
        <w:rPr>
          <w:rFonts w:ascii="Arial" w:cs="Arial" w:eastAsia="Arial" w:hAnsi="Arial"/>
          <w:sz w:val="20"/>
          <w:szCs w:val="20"/>
          <w:color w:val="auto"/>
        </w:rPr>
        <w:t xml:space="preserve">”) for the Property for the ensuing twelve (12) months, or, if due sooner, Lessee shall pay the required amount immediately upon Lessor’s demand therefor. Lessor shall, upon prior written request of Lessee, provide Lessee with evidence reasonably satisfactory to Lessee that payment of the Real Estate Taxes was made in a timely fashion. In the event that the Reserve does not contain sufficient funds to timely pay any Real Estate Taxes, upon Lessor’s written notification thereof, Lessee shall, within five (5) Business Days of such notice, provide funds to Lessor in the amount of such deficiency. Lessor shall pay or cause to be paid directly to the applicable taxing authorities any Real Estate Taxes then due and payable for which there are funds in the Reserve;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in no event shall Lessor be obligated to pay any Real Estate Taxes in excess of the funds held in the Reserve, and Lessee shall remain liable for any and all Real Estate Taxes, including fines, penalties, interest or additional costs imposed by any taxing authority (unless incurred as a result of Lessor’s failure to timely pay Real Estate Taxes for which it had funds in the Reserve). Lessee shall reasonably cooperate with Lessor in assuring that the Real Estate Taxes are timely paid. Lessor may deposit all Reserve funds in accounts insured by any federal or state agency and may commingle such funds with other funds and accounts of Lessor. Interest or other gains from such funds, if any, shall be the sole property of Lessor. During the continuation of an Event of Default, and provided any Real Estate Taxes then due and payable have been paid, in addition to any other remedies, Lessor may apply all impounded funds in the Reserve against any sums due from Lessee to Lessor. Lessor shall give to Lessee an annual accounting showing all credits and debits to and from such impounded funds received from Lessee.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VII MAINTENANCE; ALTERATIONS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7.01. Condition of Property; Maintenance</w:t>
      </w:r>
      <w:r>
        <w:rPr>
          <w:rFonts w:ascii="Arial" w:cs="Arial" w:eastAsia="Arial" w:hAnsi="Arial"/>
          <w:sz w:val="20"/>
          <w:szCs w:val="20"/>
          <w:color w:val="auto"/>
        </w:rPr>
        <w:t>.</w:t>
      </w:r>
    </w:p>
    <w:p>
      <w:pPr>
        <w:spacing w:after="0" w:line="253" w:lineRule="exact"/>
        <w:rPr>
          <w:sz w:val="20"/>
          <w:szCs w:val="20"/>
          <w:color w:val="auto"/>
        </w:rPr>
      </w:pPr>
    </w:p>
    <w:p>
      <w:pPr>
        <w:jc w:val="both"/>
        <w:ind w:left="660" w:firstLine="646"/>
        <w:spacing w:after="0" w:line="268" w:lineRule="auto"/>
        <w:tabs>
          <w:tab w:leader="none" w:pos="2062" w:val="left"/>
        </w:tabs>
        <w:numPr>
          <w:ilvl w:val="0"/>
          <w:numId w:val="69"/>
        </w:numPr>
        <w:rPr>
          <w:rFonts w:ascii="Arial" w:cs="Arial" w:eastAsia="Arial" w:hAnsi="Arial"/>
          <w:sz w:val="18"/>
          <w:szCs w:val="18"/>
          <w:color w:val="auto"/>
        </w:rPr>
      </w:pPr>
      <w:r>
        <w:rPr>
          <w:rFonts w:ascii="Arial" w:cs="Arial" w:eastAsia="Arial" w:hAnsi="Arial"/>
          <w:sz w:val="20"/>
          <w:szCs w:val="20"/>
          <w:color w:val="auto"/>
        </w:rPr>
        <w:t>Lessee hereby accepts the Property “AS IS” and “WHERE IS” with no representation or warranty of Lessor as to the condition thereof. Unless necessitated by Lessor’s gross negligence or willful misconduct, Lessee shall, at its sole cost and expense, be responsible for (i) keeping all of the building, structures and improvements erected on the Property in good order and repair, free from actual or constructive waste; (ii) the repair or reconstruction of any building, structures or improvements erected on the Property damaged or destroyed by a Casualty; (iii) subject to Section 7.02, making all necessary structural, non-structural, exterior and interior repairs and replacements to any building, structures or improvements erected on the Property; (iv) operating, remodeling, updating and modernizing the Property in accordance with those standards adopted from time to time on a system-wide basis for the Permitted Facility; (A) ensuring that no party encroaches upon the Property, (B) protecting, defending (using counsel chosen by Lessee and approved by Lessor), indemnifying, releasing and holding the Indemnified Parties harmless from and against any and all claims and Losses arising out of or in any way relating to any encroachments and/or activities upon the Property caused by any Person; and (C) prosecuting any claims that Lessee seeks to bring against any Person relating to Lessee’s use and possession of the Property; and</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17" w:name="page118"/>
    <w:bookmarkEnd w:id="117"/>
    <w:p>
      <w:pPr>
        <w:jc w:val="both"/>
        <w:ind w:left="660" w:hanging="3"/>
        <w:spacing w:after="0" w:line="267" w:lineRule="auto"/>
        <w:tabs>
          <w:tab w:leader="none" w:pos="1384" w:val="left"/>
        </w:tabs>
        <w:numPr>
          <w:ilvl w:val="0"/>
          <w:numId w:val="70"/>
        </w:numPr>
        <w:rPr>
          <w:rFonts w:ascii="Arial" w:cs="Arial" w:eastAsia="Arial" w:hAnsi="Arial"/>
          <w:sz w:val="18"/>
          <w:szCs w:val="18"/>
          <w:color w:val="auto"/>
        </w:rPr>
      </w:pPr>
      <w:r>
        <w:rPr>
          <w:rFonts w:ascii="Arial" w:cs="Arial" w:eastAsia="Arial" w:hAnsi="Arial"/>
          <w:sz w:val="20"/>
          <w:szCs w:val="20"/>
          <w:color w:val="auto"/>
        </w:rPr>
        <w:t>paying all operating costs of the Property in the ordinary course of business. Lessee waives any right to require Lessor to maintain, repair or rebuild all or any part of the Property or make repairs at the expense of Lessor pursuant to</w:t>
      </w:r>
    </w:p>
    <w:p>
      <w:pPr>
        <w:spacing w:after="0" w:line="1" w:lineRule="exact"/>
        <w:rPr>
          <w:rFonts w:ascii="Arial" w:cs="Arial" w:eastAsia="Arial" w:hAnsi="Arial"/>
          <w:sz w:val="18"/>
          <w:szCs w:val="18"/>
          <w:color w:val="auto"/>
        </w:rPr>
      </w:pPr>
    </w:p>
    <w:p>
      <w:pPr>
        <w:ind w:left="660"/>
        <w:spacing w:after="0" w:line="275" w:lineRule="auto"/>
        <w:rPr>
          <w:rFonts w:ascii="Arial" w:cs="Arial" w:eastAsia="Arial" w:hAnsi="Arial"/>
          <w:sz w:val="18"/>
          <w:szCs w:val="18"/>
          <w:color w:val="auto"/>
        </w:rPr>
      </w:pPr>
      <w:r>
        <w:rPr>
          <w:rFonts w:ascii="Arial" w:cs="Arial" w:eastAsia="Arial" w:hAnsi="Arial"/>
          <w:sz w:val="20"/>
          <w:szCs w:val="20"/>
          <w:color w:val="auto"/>
        </w:rPr>
        <w:t>any Legal Requirements at any time in effect, unless such maintenance, repair, or rebuilding is necessitated by Lessor’s gross negligence or willful misconduct.</w:t>
      </w:r>
    </w:p>
    <w:p>
      <w:pPr>
        <w:spacing w:after="0" w:line="202" w:lineRule="exact"/>
        <w:rPr>
          <w:rFonts w:ascii="Arial" w:cs="Arial" w:eastAsia="Arial" w:hAnsi="Arial"/>
          <w:sz w:val="18"/>
          <w:szCs w:val="18"/>
          <w:color w:val="auto"/>
        </w:rPr>
      </w:pPr>
    </w:p>
    <w:p>
      <w:pPr>
        <w:jc w:val="both"/>
        <w:ind w:left="660" w:firstLine="646"/>
        <w:spacing w:after="0" w:line="281" w:lineRule="auto"/>
        <w:tabs>
          <w:tab w:leader="none" w:pos="2072" w:val="left"/>
        </w:tabs>
        <w:numPr>
          <w:ilvl w:val="1"/>
          <w:numId w:val="70"/>
        </w:numPr>
        <w:rPr>
          <w:rFonts w:ascii="Arial" w:cs="Arial" w:eastAsia="Arial" w:hAnsi="Arial"/>
          <w:sz w:val="17"/>
          <w:szCs w:val="17"/>
          <w:color w:val="auto"/>
        </w:rPr>
      </w:pPr>
      <w:r>
        <w:rPr>
          <w:rFonts w:ascii="Arial" w:cs="Arial" w:eastAsia="Arial" w:hAnsi="Arial"/>
          <w:sz w:val="19"/>
          <w:szCs w:val="19"/>
          <w:color w:val="auto"/>
        </w:rPr>
        <w:t>Notwithstanding anything set forth in Section 7.01(a) above, Lessor shall pay the cost of any Required Capital Improvement during the last five (5) years of the Lease Term in excess of $50,000 cumulative on an annual basis (“</w:t>
      </w:r>
      <w:r>
        <w:rPr>
          <w:rFonts w:ascii="Arial" w:cs="Arial" w:eastAsia="Arial" w:hAnsi="Arial"/>
          <w:sz w:val="19"/>
          <w:szCs w:val="19"/>
          <w:u w:val="single" w:color="auto"/>
          <w:color w:val="auto"/>
        </w:rPr>
        <w:t>Expenditure Cap</w:t>
      </w:r>
      <w:r>
        <w:rPr>
          <w:rFonts w:ascii="Arial" w:cs="Arial" w:eastAsia="Arial" w:hAnsi="Arial"/>
          <w:sz w:val="19"/>
          <w:szCs w:val="19"/>
          <w:color w:val="auto"/>
        </w:rPr>
        <w:t>”) up to the actual cost of such Required Capital Improvement (“</w:t>
      </w:r>
      <w:r>
        <w:rPr>
          <w:rFonts w:ascii="Arial" w:cs="Arial" w:eastAsia="Arial" w:hAnsi="Arial"/>
          <w:sz w:val="19"/>
          <w:szCs w:val="19"/>
          <w:u w:val="single" w:color="auto"/>
          <w:color w:val="auto"/>
        </w:rPr>
        <w:t>Lessor Expenditure</w:t>
      </w:r>
      <w:r>
        <w:rPr>
          <w:rFonts w:ascii="Arial" w:cs="Arial" w:eastAsia="Arial" w:hAnsi="Arial"/>
          <w:sz w:val="19"/>
          <w:szCs w:val="19"/>
          <w:color w:val="auto"/>
        </w:rPr>
        <w:t>”). Lessee shall reimburse Lessor such Lessor Expenditure through an increase in Base Annual Rental in an annual amount equal to the Lessor Expenditure divided by the Useful Life (as determined in Lessor’s reasonable discretion) of such Required Capital Improvement. By way of example, if a roof replacement costs $200,000 and has a Useful Life of 20 years, Lessee shall</w:t>
      </w:r>
    </w:p>
    <w:p>
      <w:pPr>
        <w:spacing w:after="0" w:line="4" w:lineRule="exact"/>
        <w:rPr>
          <w:rFonts w:ascii="Arial" w:cs="Arial" w:eastAsia="Arial" w:hAnsi="Arial"/>
          <w:sz w:val="17"/>
          <w:szCs w:val="17"/>
          <w:color w:val="auto"/>
        </w:rPr>
      </w:pPr>
    </w:p>
    <w:p>
      <w:pPr>
        <w:jc w:val="both"/>
        <w:ind w:left="660"/>
        <w:spacing w:after="0" w:line="269" w:lineRule="auto"/>
        <w:rPr>
          <w:rFonts w:ascii="Arial" w:cs="Arial" w:eastAsia="Arial" w:hAnsi="Arial"/>
          <w:sz w:val="17"/>
          <w:szCs w:val="17"/>
          <w:color w:val="auto"/>
        </w:rPr>
      </w:pPr>
      <w:r>
        <w:rPr>
          <w:rFonts w:ascii="Arial" w:cs="Arial" w:eastAsia="Arial" w:hAnsi="Arial"/>
          <w:sz w:val="20"/>
          <w:szCs w:val="20"/>
          <w:color w:val="auto"/>
        </w:rPr>
        <w:t>reimburse Lessor through an increase in Base Annual Rental equal to $7,500 per year (1/20 x $150,000). For purposes of this paragraph, a “</w:t>
      </w:r>
      <w:r>
        <w:rPr>
          <w:rFonts w:ascii="Arial" w:cs="Arial" w:eastAsia="Arial" w:hAnsi="Arial"/>
          <w:sz w:val="20"/>
          <w:szCs w:val="20"/>
          <w:i w:val="1"/>
          <w:iCs w:val="1"/>
          <w:color w:val="auto"/>
        </w:rPr>
        <w:t>Required Capital Improvement</w:t>
      </w:r>
      <w:r>
        <w:rPr>
          <w:rFonts w:ascii="Arial" w:cs="Arial" w:eastAsia="Arial" w:hAnsi="Arial"/>
          <w:sz w:val="20"/>
          <w:szCs w:val="20"/>
          <w:color w:val="auto"/>
        </w:rPr>
        <w:t>” shall mean a permanent structural change to the Property or the restoration of some aspect of the Property that will either enhance the Property’s overall value or increase its useful life and that is required to be completed by Lessee to remain in compliance with Section 7.01(a), as reasonably determined and agreed upon by Lessee and Lessor.</w:t>
      </w:r>
    </w:p>
    <w:p>
      <w:pPr>
        <w:spacing w:after="0" w:line="173" w:lineRule="exact"/>
        <w:rPr>
          <w:sz w:val="20"/>
          <w:szCs w:val="20"/>
          <w:color w:val="auto"/>
        </w:rPr>
      </w:pPr>
    </w:p>
    <w:p>
      <w:pPr>
        <w:jc w:val="both"/>
        <w:ind w:firstLine="621"/>
        <w:spacing w:after="0" w:line="241" w:lineRule="auto"/>
        <w:rPr>
          <w:sz w:val="20"/>
          <w:szCs w:val="20"/>
          <w:color w:val="auto"/>
        </w:rPr>
      </w:pPr>
      <w:r>
        <w:rPr>
          <w:rFonts w:ascii="Arial" w:cs="Arial" w:eastAsia="Arial" w:hAnsi="Arial"/>
          <w:sz w:val="20"/>
          <w:szCs w:val="20"/>
          <w:b w:val="1"/>
          <w:bCs w:val="1"/>
          <w:color w:val="auto"/>
        </w:rPr>
        <w:t>Section 7.02. Alterations and Improvements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Lease Term, Lessee shall not alter the exterior, structural,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plumbing or electrical elements of the Property in any manner without the consent of Lessor, which consent shall not be unreasonably withheld or conditioned; </w:t>
      </w:r>
      <w:r>
        <w:rPr>
          <w:rFonts w:ascii="Arial" w:cs="Arial" w:eastAsia="Arial" w:hAnsi="Arial"/>
          <w:sz w:val="20"/>
          <w:szCs w:val="20"/>
          <w:i w:val="1"/>
          <w:iCs w:val="1"/>
          <w:color w:val="auto"/>
        </w:rPr>
        <w:t>provided, however</w:t>
      </w:r>
      <w:r>
        <w:rPr>
          <w:rFonts w:ascii="Arial" w:cs="Arial" w:eastAsia="Arial" w:hAnsi="Arial"/>
          <w:sz w:val="20"/>
          <w:szCs w:val="20"/>
          <w:color w:val="auto"/>
        </w:rPr>
        <w:t>, Lessee may undertake nonstructural alterations to the Property, individually, costing less than $150,000 (such limit shall increase by 2.0% each Lease year) without Lessor’s prior written consent. If Lessor’s consent is required hereunder and Lessor consents to the making of any such alterations, the same shall be made by Lessee at Lessee’s sole expense by a licensed contractor and according to plans and specifications approved by Lessor and subject to such other conditions as Lessor shall reasonably require. Any work at any time commenced by Lessee on the Property shall be prosecuted diligently to completion, shall be of good workmanship and materials and shall comply fully with all the terms of this Lease and all Legal Requirements. Upon completion of any alterations individually costing $150,000 or more, Lessee shall promptly provide Lessor with evidence of full payment to all laborers and materialmen contributing to the alterations. Additionally, upon completion of any alterations, Lessee shall promptly provide Lessor with (a) an architect’s certificate certifying the alterations to have been completed in conformity with the plans and specifications (if the alterations are of such a nature as would require the issuance of such a certificate from the architect); (b) a certificate of occupancy (if the alterations are of such a nature as would require the issuance of a certificate of occupancy); and (c) any other documents or information reasonably requested by Lessor. Lessee shall keep the Property free from any liens arising out of any work performed on, or materials furnished to, the Property. Lessee shall execute and file or record, as appropriate, a “Notice of Non-Responsibility,” or any equivalent notice permitted under applicable Law in the state where the Property is located which provides that Lessor is not responsible for the payment of any costs or expenses relating to the additions or alterations. Any addition to or alteration of the Property shall be deemed a part of the Property and belong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09" w:right="239" w:bottom="1440" w:gutter="0" w:footer="0" w:header="0"/>
        </w:sectPr>
      </w:pPr>
    </w:p>
    <w:bookmarkStart w:id="118" w:name="page119"/>
    <w:bookmarkEnd w:id="118"/>
    <w:p>
      <w:pPr>
        <w:ind w:right="300"/>
        <w:spacing w:after="0" w:line="247" w:lineRule="auto"/>
        <w:rPr>
          <w:sz w:val="20"/>
          <w:szCs w:val="20"/>
          <w:color w:val="auto"/>
        </w:rPr>
      </w:pPr>
      <w:r>
        <w:rPr>
          <w:rFonts w:ascii="Arial" w:cs="Arial" w:eastAsia="Arial" w:hAnsi="Arial"/>
          <w:sz w:val="20"/>
          <w:szCs w:val="20"/>
          <w:color w:val="auto"/>
        </w:rPr>
        <w:t>to Lessor, and Lessee shall execute and deliver to Lessor such instruments as Lessor may reasonably require to evidence the ownership by Lessor of such addition or alteration.</w:t>
      </w:r>
    </w:p>
    <w:p>
      <w:pPr>
        <w:spacing w:after="0" w:line="178"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b w:val="1"/>
          <w:bCs w:val="1"/>
          <w:color w:val="auto"/>
        </w:rPr>
        <w:t>Section 7.03. Encumbrances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Lease Term, Lessor shall have the right to grant easements on, over, under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above the Property without the prior consent of Lessee (but with prior notice to Lessee), provided that such easements will not adversely interfere with Lessee’s use of the Property. Lessee shall comply with and perform all obligations of Lessor under all easements, declarations, covenants, restrictions and other items of record now or hereafter encumbering the Property. Without Lessor’s prior written consent, Lessee shall not grant any easements on, over, under or above the Property.</w:t>
      </w:r>
    </w:p>
    <w:p>
      <w:pPr>
        <w:spacing w:after="0" w:line="181"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USE OF THE PROPERTY; COMPLIANCE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8.01. Use and “Go Dark” Rights</w:t>
      </w:r>
      <w:r>
        <w:rPr>
          <w:rFonts w:ascii="Arial" w:cs="Arial" w:eastAsia="Arial" w:hAnsi="Arial"/>
          <w:sz w:val="20"/>
          <w:szCs w:val="20"/>
          <w:color w:val="auto"/>
        </w:rPr>
        <w:t>.</w:t>
      </w:r>
    </w:p>
    <w:p>
      <w:pPr>
        <w:spacing w:after="0" w:line="229" w:lineRule="exact"/>
        <w:rPr>
          <w:sz w:val="20"/>
          <w:szCs w:val="20"/>
          <w:color w:val="auto"/>
        </w:rPr>
      </w:pPr>
    </w:p>
    <w:p>
      <w:pPr>
        <w:jc w:val="both"/>
        <w:ind w:left="660" w:firstLine="646"/>
        <w:spacing w:after="0" w:line="274" w:lineRule="auto"/>
        <w:tabs>
          <w:tab w:leader="none" w:pos="2062" w:val="left"/>
        </w:tabs>
        <w:numPr>
          <w:ilvl w:val="0"/>
          <w:numId w:val="71"/>
        </w:numPr>
        <w:rPr>
          <w:rFonts w:ascii="Arial" w:cs="Arial" w:eastAsia="Arial" w:hAnsi="Arial"/>
          <w:sz w:val="18"/>
          <w:szCs w:val="18"/>
          <w:color w:val="auto"/>
        </w:rPr>
      </w:pPr>
      <w:r>
        <w:rPr>
          <w:rFonts w:ascii="Arial" w:cs="Arial" w:eastAsia="Arial" w:hAnsi="Arial"/>
          <w:sz w:val="20"/>
          <w:szCs w:val="20"/>
          <w:b w:val="1"/>
          <w:bCs w:val="1"/>
          <w:i w:val="1"/>
          <w:iCs w:val="1"/>
          <w:color w:val="auto"/>
        </w:rPr>
        <w:t>Use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Lease Term, the Property shall be used solely for the operation of a Permitted Facility.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Except during periods when the Property is untenantable due to Casualty or Condemnation (and provided that Lessee continues to strictly comply with the other terms and conditions of this Lease), Lessee shall at all times during the Lease Term occupy the Property and shall diligently operate its business on the Property. In the event that Lessee shall change the use of the Property, only as may be expressly permitted herein or consented to by Lessor in writing, Lessee shall provide Lessor with written notice of any such change.</w:t>
      </w:r>
    </w:p>
    <w:p>
      <w:pPr>
        <w:spacing w:after="0" w:line="180" w:lineRule="exact"/>
        <w:rPr>
          <w:rFonts w:ascii="Arial" w:cs="Arial" w:eastAsia="Arial" w:hAnsi="Arial"/>
          <w:sz w:val="18"/>
          <w:szCs w:val="18"/>
          <w:color w:val="auto"/>
        </w:rPr>
      </w:pPr>
    </w:p>
    <w:p>
      <w:pPr>
        <w:jc w:val="both"/>
        <w:ind w:left="660" w:firstLine="646"/>
        <w:spacing w:after="0" w:line="271" w:lineRule="auto"/>
        <w:tabs>
          <w:tab w:leader="none" w:pos="2072" w:val="left"/>
        </w:tabs>
        <w:numPr>
          <w:ilvl w:val="0"/>
          <w:numId w:val="7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 Dark” Right</w:t>
      </w:r>
      <w:r>
        <w:rPr>
          <w:rFonts w:ascii="Arial" w:cs="Arial" w:eastAsia="Arial" w:hAnsi="Arial"/>
          <w:sz w:val="20"/>
          <w:szCs w:val="20"/>
          <w:color w:val="auto"/>
        </w:rPr>
        <w:t>. Notwithstanding any provision contained herein, Lessee shall not be in default under this Section 8.01 until Lessee fails to continue to materially operate its business at the Property (excluding instances of Casualty, Condemnation and Force Majeure) for more than one hundred eighty (180) consecutive days. Thereafter, Lessee shall: (i) re-open the Property; or (ii) exercise Lessee’s assignment or subletting rights as permitted under this Lease. Notwithstanding any provision contained in this Section 8.01(b), (A) Lessee shall provide Lessor with written notice at least ten (10) days prior to the Property “going dark,” and (B) the terms and provisions of this Lease and Lessee’s obligations hereunder shall remain in full force and effect during any “go dark” period, and (C) in no event shall Lessee “go dark” in any manner that would violate any Permitted Encumbrances in any material respect or give a third party any right to acquire title to the Property as a result of a Property “going dark.”</w:t>
      </w:r>
    </w:p>
    <w:p>
      <w:pPr>
        <w:spacing w:after="0" w:line="175"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Section 8.02. Compliance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Lessee’s use and occupation of the Property, and the condition thereof, shall, at Lessee’s</w:t>
      </w:r>
      <w:r>
        <w:rPr>
          <w:rFonts w:ascii="Arial" w:cs="Arial" w:eastAsia="Arial" w:hAnsi="Arial"/>
          <w:sz w:val="20"/>
          <w:szCs w:val="20"/>
          <w:b w:val="1"/>
          <w:bCs w:val="1"/>
          <w:color w:val="auto"/>
        </w:rPr>
        <w:t xml:space="preserve"> </w:t>
      </w:r>
      <w:r>
        <w:rPr>
          <w:rFonts w:ascii="Arial" w:cs="Arial" w:eastAsia="Arial" w:hAnsi="Arial"/>
          <w:sz w:val="20"/>
          <w:szCs w:val="20"/>
          <w:color w:val="auto"/>
        </w:rPr>
        <w:t>sole cost and expense, comply fully with all Legal Requirements and all restrictions, covenants and encumbrances of record, and any owner obligations under such Legal Requirements, or restrictions, covenants and encumbrances of record, with respect to the Property, in either event, the failure with which to comply could have a Material Adverse Effect. Without in any way limiting the foregoing provisions, Lessee shall comply with all Legal Requirements relating to anti-terrorism, trade embargos, economic sanctions, Anti-Money Laundering Laws, and the Americans with Disabilities Act of 1990, as such act may be amended from time to time, and all regulations promulgated thereunder, as it affects the Property now or hereafter in effect. Lessee shall obtain, maintain and comply with all</w:t>
      </w: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5" w:right="239" w:bottom="1440" w:gutter="0" w:footer="0" w:header="0"/>
        </w:sectPr>
      </w:pPr>
    </w:p>
    <w:bookmarkStart w:id="119" w:name="page120"/>
    <w:bookmarkEnd w:id="119"/>
    <w:p>
      <w:pPr>
        <w:jc w:val="both"/>
        <w:spacing w:after="0"/>
        <w:rPr>
          <w:sz w:val="20"/>
          <w:szCs w:val="20"/>
          <w:color w:val="auto"/>
        </w:rPr>
      </w:pPr>
      <w:r>
        <w:rPr>
          <w:rFonts w:ascii="Arial" w:cs="Arial" w:eastAsia="Arial" w:hAnsi="Arial"/>
          <w:sz w:val="20"/>
          <w:szCs w:val="20"/>
          <w:color w:val="auto"/>
        </w:rPr>
        <w:t>required licenses and permits, both governmental and private, to use and operate the Properties as Permitted Facilities. Upon Lessor’s written request from time to time during the Lease Term, Lessee shall certify in writing to Lessor that Lessee’s representations, warranties and obligations under Section 5.05 and this Section 8.02 remain true and correct and have not been breached. Lessee shall immediately notify Lessor in writing if any of such representations, warranties or covenants are no longer true or have been breached or if Lessee has a reasonable basis to believe that they may no longer be true or have been breached. In connection with such an event, Lessee shall comply with all Legal Requirements and directives of Governmental Authorities and, at Lessor’s request, provide to Lessor copies of all notices, reports and other communications exchanged with, or received from, Governmental Authorities relating to such an event. Lessee shall also reimburse Lessor for all Costs incurred by Lessor in evaluating the effect of such an event on the Property and this Lease, in obtaining any necessary license from Governmental Authorities as may be necessary for Lessor to enforce its rights under the Transaction Documents, and in complying with all Legal Requirements applicable to Lessor as the result of the existence of such an event and for any penalties or fines imposed upon Lessor as a result thereof. Lessee will use its reasonable efforts to prevent any act or condition to exist on or about the Property that will materially increase any insurance rate thereon, except when such acts are required in the normal course of its business and Lessee shall pay for such increase. Lessee agrees that it will defend (using counsel chosen by Lessee and approved by Lessor), indemnify and hold harmless the Indemnified Parties from and against any and all Losses caused by, incurred or resulting from Lessee’s failure to comply with its obligations under this Section.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8.03. Environmental</w:t>
      </w:r>
      <w:r>
        <w:rPr>
          <w:rFonts w:ascii="Arial" w:cs="Arial" w:eastAsia="Arial" w:hAnsi="Arial"/>
          <w:sz w:val="20"/>
          <w:szCs w:val="20"/>
          <w:color w:val="auto"/>
        </w:rPr>
        <w:t>.</w:t>
      </w:r>
    </w:p>
    <w:p>
      <w:pPr>
        <w:spacing w:after="0" w:line="229" w:lineRule="exact"/>
        <w:rPr>
          <w:sz w:val="20"/>
          <w:szCs w:val="20"/>
          <w:color w:val="auto"/>
        </w:rPr>
      </w:pPr>
    </w:p>
    <w:p>
      <w:pPr>
        <w:ind w:left="2060" w:hanging="754"/>
        <w:spacing w:after="0"/>
        <w:tabs>
          <w:tab w:leader="none" w:pos="2060" w:val="left"/>
        </w:tabs>
        <w:numPr>
          <w:ilvl w:val="0"/>
          <w:numId w:val="72"/>
        </w:numPr>
        <w:rPr>
          <w:rFonts w:ascii="Arial" w:cs="Arial" w:eastAsia="Arial" w:hAnsi="Arial"/>
          <w:sz w:val="18"/>
          <w:szCs w:val="18"/>
          <w:color w:val="auto"/>
        </w:rPr>
      </w:pPr>
      <w:r>
        <w:rPr>
          <w:rFonts w:ascii="Arial" w:cs="Arial" w:eastAsia="Arial" w:hAnsi="Arial"/>
          <w:sz w:val="20"/>
          <w:szCs w:val="20"/>
          <w:b w:val="1"/>
          <w:bCs w:val="1"/>
          <w:i w:val="1"/>
          <w:iCs w:val="1"/>
          <w:color w:val="auto"/>
        </w:rPr>
        <w:t>Covenants</w:t>
      </w:r>
      <w:r>
        <w:rPr>
          <w:rFonts w:ascii="Arial" w:cs="Arial" w:eastAsia="Arial" w:hAnsi="Arial"/>
          <w:sz w:val="20"/>
          <w:szCs w:val="20"/>
          <w:color w:val="auto"/>
        </w:rPr>
        <w:t>.</w:t>
      </w:r>
    </w:p>
    <w:p>
      <w:pPr>
        <w:spacing w:after="0" w:line="266" w:lineRule="exact"/>
        <w:rPr>
          <w:rFonts w:ascii="Arial" w:cs="Arial" w:eastAsia="Arial" w:hAnsi="Arial"/>
          <w:sz w:val="18"/>
          <w:szCs w:val="18"/>
          <w:color w:val="auto"/>
        </w:rPr>
      </w:pPr>
    </w:p>
    <w:p>
      <w:pPr>
        <w:ind w:left="1300" w:right="460" w:firstLine="654"/>
        <w:spacing w:after="0" w:line="275" w:lineRule="auto"/>
        <w:tabs>
          <w:tab w:leader="none" w:pos="2672" w:val="left"/>
        </w:tabs>
        <w:numPr>
          <w:ilvl w:val="1"/>
          <w:numId w:val="72"/>
        </w:numPr>
        <w:rPr>
          <w:rFonts w:ascii="Arial" w:cs="Arial" w:eastAsia="Arial" w:hAnsi="Arial"/>
          <w:sz w:val="18"/>
          <w:szCs w:val="18"/>
          <w:color w:val="auto"/>
        </w:rPr>
      </w:pPr>
      <w:r>
        <w:rPr>
          <w:rFonts w:ascii="Arial" w:cs="Arial" w:eastAsia="Arial" w:hAnsi="Arial"/>
          <w:sz w:val="20"/>
          <w:szCs w:val="20"/>
          <w:color w:val="auto"/>
        </w:rPr>
        <w:t>Lessee covenants to Lessor during the Lease Term, subject to the limitations of subsection (ii) below, as follows:</w:t>
      </w:r>
    </w:p>
    <w:p>
      <w:pPr>
        <w:spacing w:after="0" w:line="202" w:lineRule="exact"/>
        <w:rPr>
          <w:rFonts w:ascii="Arial" w:cs="Arial" w:eastAsia="Arial" w:hAnsi="Arial"/>
          <w:sz w:val="18"/>
          <w:szCs w:val="18"/>
          <w:color w:val="auto"/>
        </w:rPr>
      </w:pPr>
    </w:p>
    <w:p>
      <w:pPr>
        <w:jc w:val="both"/>
        <w:ind w:left="1960" w:firstLine="642"/>
        <w:spacing w:after="0" w:line="302" w:lineRule="auto"/>
        <w:tabs>
          <w:tab w:leader="none" w:pos="3412" w:val="left"/>
        </w:tabs>
        <w:numPr>
          <w:ilvl w:val="2"/>
          <w:numId w:val="72"/>
        </w:numPr>
        <w:rPr>
          <w:rFonts w:ascii="Arial" w:cs="Arial" w:eastAsia="Arial" w:hAnsi="Arial"/>
          <w:sz w:val="17"/>
          <w:szCs w:val="17"/>
          <w:color w:val="auto"/>
        </w:rPr>
      </w:pPr>
      <w:r>
        <w:rPr>
          <w:rFonts w:ascii="Arial" w:cs="Arial" w:eastAsia="Arial" w:hAnsi="Arial"/>
          <w:sz w:val="19"/>
          <w:szCs w:val="19"/>
          <w:color w:val="auto"/>
        </w:rPr>
        <w:t>All uses and operations on or of the Property, whether by Lessee or any other Person invited by Lessee, shall be in compliance with all Environmental Laws and permits issued pursuant thereto.</w:t>
      </w:r>
    </w:p>
    <w:p>
      <w:pPr>
        <w:spacing w:after="0" w:line="179" w:lineRule="exact"/>
        <w:rPr>
          <w:rFonts w:ascii="Arial" w:cs="Arial" w:eastAsia="Arial" w:hAnsi="Arial"/>
          <w:sz w:val="17"/>
          <w:szCs w:val="17"/>
          <w:color w:val="auto"/>
        </w:rPr>
      </w:pPr>
    </w:p>
    <w:p>
      <w:pPr>
        <w:ind w:left="1960" w:firstLine="642"/>
        <w:spacing w:after="0" w:line="275" w:lineRule="auto"/>
        <w:tabs>
          <w:tab w:leader="none" w:pos="3402" w:val="left"/>
        </w:tabs>
        <w:numPr>
          <w:ilvl w:val="2"/>
          <w:numId w:val="72"/>
        </w:numPr>
        <w:rPr>
          <w:rFonts w:ascii="Arial" w:cs="Arial" w:eastAsia="Arial" w:hAnsi="Arial"/>
          <w:sz w:val="18"/>
          <w:szCs w:val="18"/>
          <w:color w:val="auto"/>
        </w:rPr>
      </w:pPr>
      <w:r>
        <w:rPr>
          <w:rFonts w:ascii="Arial" w:cs="Arial" w:eastAsia="Arial" w:hAnsi="Arial"/>
          <w:sz w:val="20"/>
          <w:szCs w:val="20"/>
          <w:color w:val="auto"/>
        </w:rPr>
        <w:t>There shall be no Releases by Lessee or its invitees in, on, under or from the Property, except in Permitted Amounts.</w:t>
      </w:r>
    </w:p>
    <w:p>
      <w:pPr>
        <w:spacing w:after="0" w:line="202" w:lineRule="exact"/>
        <w:rPr>
          <w:rFonts w:ascii="Arial" w:cs="Arial" w:eastAsia="Arial" w:hAnsi="Arial"/>
          <w:sz w:val="18"/>
          <w:szCs w:val="18"/>
          <w:color w:val="auto"/>
        </w:rPr>
      </w:pPr>
    </w:p>
    <w:p>
      <w:pPr>
        <w:jc w:val="both"/>
        <w:ind w:left="1960" w:firstLine="642"/>
        <w:spacing w:after="0" w:line="271" w:lineRule="auto"/>
        <w:tabs>
          <w:tab w:leader="none" w:pos="3402" w:val="left"/>
        </w:tabs>
        <w:numPr>
          <w:ilvl w:val="2"/>
          <w:numId w:val="72"/>
        </w:numPr>
        <w:rPr>
          <w:rFonts w:ascii="Arial" w:cs="Arial" w:eastAsia="Arial" w:hAnsi="Arial"/>
          <w:sz w:val="18"/>
          <w:szCs w:val="18"/>
          <w:color w:val="auto"/>
        </w:rPr>
      </w:pPr>
      <w:r>
        <w:rPr>
          <w:rFonts w:ascii="Arial" w:cs="Arial" w:eastAsia="Arial" w:hAnsi="Arial"/>
          <w:sz w:val="20"/>
          <w:szCs w:val="20"/>
          <w:color w:val="auto"/>
        </w:rPr>
        <w:t>There shall be no Hazardous Materials or Regulated Substances in, on or under the Property brought on by Lessee or its invitees, except in Permitted Amounts. Above and below ground storage tanks shall be properly permitted and only used as permitted.</w:t>
      </w:r>
    </w:p>
    <w:p>
      <w:pPr>
        <w:spacing w:after="0" w:line="206" w:lineRule="exact"/>
        <w:rPr>
          <w:rFonts w:ascii="Arial" w:cs="Arial" w:eastAsia="Arial" w:hAnsi="Arial"/>
          <w:sz w:val="18"/>
          <w:szCs w:val="18"/>
          <w:color w:val="auto"/>
        </w:rPr>
      </w:pPr>
    </w:p>
    <w:p>
      <w:pPr>
        <w:ind w:left="1960" w:right="20" w:firstLine="642"/>
        <w:spacing w:after="0" w:line="275" w:lineRule="auto"/>
        <w:tabs>
          <w:tab w:leader="none" w:pos="3412" w:val="left"/>
        </w:tabs>
        <w:numPr>
          <w:ilvl w:val="2"/>
          <w:numId w:val="72"/>
        </w:numPr>
        <w:rPr>
          <w:rFonts w:ascii="Arial" w:cs="Arial" w:eastAsia="Arial" w:hAnsi="Arial"/>
          <w:sz w:val="18"/>
          <w:szCs w:val="18"/>
          <w:color w:val="auto"/>
        </w:rPr>
      </w:pPr>
      <w:r>
        <w:rPr>
          <w:rFonts w:ascii="Arial" w:cs="Arial" w:eastAsia="Arial" w:hAnsi="Arial"/>
          <w:sz w:val="20"/>
          <w:szCs w:val="20"/>
          <w:color w:val="auto"/>
        </w:rPr>
        <w:t>Lessee shall keep the Property or cause the Property to be kept free and clear of all Environmental Liens, whether due to any act or omission of Lessee or any other Person.</w:t>
      </w:r>
    </w:p>
    <w:p>
      <w:pPr>
        <w:spacing w:after="0" w:line="202" w:lineRule="exact"/>
        <w:rPr>
          <w:rFonts w:ascii="Arial" w:cs="Arial" w:eastAsia="Arial" w:hAnsi="Arial"/>
          <w:sz w:val="18"/>
          <w:szCs w:val="18"/>
          <w:color w:val="auto"/>
        </w:rPr>
      </w:pPr>
    </w:p>
    <w:p>
      <w:pPr>
        <w:jc w:val="both"/>
        <w:ind w:left="1960" w:firstLine="642"/>
        <w:spacing w:after="0" w:line="271" w:lineRule="auto"/>
        <w:tabs>
          <w:tab w:leader="none" w:pos="3392" w:val="left"/>
        </w:tabs>
        <w:numPr>
          <w:ilvl w:val="2"/>
          <w:numId w:val="72"/>
        </w:numPr>
        <w:rPr>
          <w:rFonts w:ascii="Arial" w:cs="Arial" w:eastAsia="Arial" w:hAnsi="Arial"/>
          <w:sz w:val="18"/>
          <w:szCs w:val="18"/>
          <w:color w:val="auto"/>
        </w:rPr>
      </w:pPr>
      <w:r>
        <w:rPr>
          <w:rFonts w:ascii="Arial" w:cs="Arial" w:eastAsia="Arial" w:hAnsi="Arial"/>
          <w:sz w:val="20"/>
          <w:szCs w:val="20"/>
          <w:color w:val="auto"/>
        </w:rPr>
        <w:t>Lessee shall not act or fail to act or allow any other tenant, occupant, guest, customer or other user of the Property to act or fail to act in any way that (1) materially increases a risk to human health or the</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52" w:right="239" w:bottom="1440" w:gutter="0" w:footer="0" w:header="0"/>
        </w:sectPr>
      </w:pPr>
    </w:p>
    <w:bookmarkStart w:id="120" w:name="page121"/>
    <w:bookmarkEnd w:id="120"/>
    <w:p>
      <w:pPr>
        <w:jc w:val="both"/>
        <w:ind w:left="1920"/>
        <w:spacing w:after="0" w:line="256" w:lineRule="auto"/>
        <w:rPr>
          <w:sz w:val="20"/>
          <w:szCs w:val="20"/>
          <w:color w:val="auto"/>
        </w:rPr>
      </w:pPr>
      <w:r>
        <w:rPr>
          <w:rFonts w:ascii="Arial" w:cs="Arial" w:eastAsia="Arial" w:hAnsi="Arial"/>
          <w:sz w:val="19"/>
          <w:szCs w:val="19"/>
          <w:color w:val="auto"/>
        </w:rPr>
        <w:t>environment, (2) poses an unreasonable or unacceptable risk of harm to any Person or the environment (whether on or off the Property), (3) has a Material Adverse Effect, (4) is contrary to any material requirement set forth in the insurance policies maintained by Lessee or Lessor, constitutes a public or private nuisance or (5) constitutes waste, (6) violates any covenant, condition, agreement or easement applicable to the Property, or (7) would result in any reopening or reconsideration of any prior investigation or causes a new investigation by a Governmental Authority having jurisdiction over the Property.</w:t>
      </w:r>
    </w:p>
    <w:p>
      <w:pPr>
        <w:spacing w:after="0" w:line="209" w:lineRule="exact"/>
        <w:rPr>
          <w:sz w:val="20"/>
          <w:szCs w:val="20"/>
          <w:color w:val="auto"/>
        </w:rPr>
      </w:pPr>
    </w:p>
    <w:p>
      <w:pPr>
        <w:jc w:val="both"/>
        <w:ind w:left="1920" w:firstLine="642"/>
        <w:spacing w:after="0" w:line="271" w:lineRule="auto"/>
        <w:tabs>
          <w:tab w:leader="none" w:pos="3342" w:val="left"/>
        </w:tabs>
        <w:numPr>
          <w:ilvl w:val="3"/>
          <w:numId w:val="73"/>
        </w:numPr>
        <w:rPr>
          <w:rFonts w:ascii="Arial" w:cs="Arial" w:eastAsia="Arial" w:hAnsi="Arial"/>
          <w:sz w:val="18"/>
          <w:szCs w:val="18"/>
          <w:color w:val="auto"/>
        </w:rPr>
      </w:pPr>
      <w:r>
        <w:rPr>
          <w:rFonts w:ascii="Arial" w:cs="Arial" w:eastAsia="Arial" w:hAnsi="Arial"/>
          <w:sz w:val="20"/>
          <w:szCs w:val="20"/>
          <w:color w:val="auto"/>
        </w:rPr>
        <w:t>Lessee shall, at its sole cost and expense, reasonably cooperate in all activities pursuant to this Section 8.03, including but not limited to providing all relevant information and making knowledgeable persons available for interviews.</w:t>
      </w:r>
    </w:p>
    <w:p>
      <w:pPr>
        <w:spacing w:after="0" w:line="206" w:lineRule="exact"/>
        <w:rPr>
          <w:rFonts w:ascii="Arial" w:cs="Arial" w:eastAsia="Arial" w:hAnsi="Arial"/>
          <w:sz w:val="18"/>
          <w:szCs w:val="18"/>
          <w:color w:val="auto"/>
        </w:rPr>
      </w:pPr>
    </w:p>
    <w:p>
      <w:pPr>
        <w:jc w:val="both"/>
        <w:ind w:left="1260" w:firstLine="654"/>
        <w:spacing w:after="0" w:line="270" w:lineRule="auto"/>
        <w:tabs>
          <w:tab w:leader="none" w:pos="2682" w:val="left"/>
        </w:tabs>
        <w:numPr>
          <w:ilvl w:val="2"/>
          <w:numId w:val="74"/>
        </w:numPr>
        <w:rPr>
          <w:rFonts w:ascii="Arial" w:cs="Arial" w:eastAsia="Arial" w:hAnsi="Arial"/>
          <w:sz w:val="18"/>
          <w:szCs w:val="18"/>
          <w:color w:val="auto"/>
        </w:rPr>
      </w:pPr>
      <w:r>
        <w:rPr>
          <w:rFonts w:ascii="Arial" w:cs="Arial" w:eastAsia="Arial" w:hAnsi="Arial"/>
          <w:sz w:val="20"/>
          <w:szCs w:val="20"/>
          <w:color w:val="auto"/>
        </w:rPr>
        <w:t>Notwithstanding any provision of this Lease to the contrary, an Event of Default shall not be deemed to have occurred as a result of the failure of Lessee to satisfy any one or more of the covenants set forth in subsections (A) through (E) above provided that Lessee shall be in compliance with the requirements of any Governmental Authority with respect to the Remediation of any Release at the Property.</w:t>
      </w:r>
    </w:p>
    <w:p>
      <w:pPr>
        <w:spacing w:after="0" w:line="183" w:lineRule="exact"/>
        <w:rPr>
          <w:rFonts w:ascii="Arial" w:cs="Arial" w:eastAsia="Arial" w:hAnsi="Arial"/>
          <w:sz w:val="18"/>
          <w:szCs w:val="18"/>
          <w:color w:val="auto"/>
        </w:rPr>
      </w:pPr>
    </w:p>
    <w:p>
      <w:pPr>
        <w:jc w:val="both"/>
        <w:ind w:left="620" w:firstLine="646"/>
        <w:spacing w:after="0" w:line="269" w:lineRule="auto"/>
        <w:tabs>
          <w:tab w:leader="none" w:pos="2032" w:val="left"/>
        </w:tabs>
        <w:numPr>
          <w:ilvl w:val="1"/>
          <w:numId w:val="75"/>
        </w:numPr>
        <w:rPr>
          <w:rFonts w:ascii="Arial" w:cs="Arial" w:eastAsia="Arial" w:hAnsi="Arial"/>
          <w:sz w:val="18"/>
          <w:szCs w:val="18"/>
          <w:color w:val="auto"/>
        </w:rPr>
      </w:pPr>
      <w:r>
        <w:rPr>
          <w:rFonts w:ascii="Arial" w:cs="Arial" w:eastAsia="Arial" w:hAnsi="Arial"/>
          <w:sz w:val="20"/>
          <w:szCs w:val="20"/>
          <w:b w:val="1"/>
          <w:bCs w:val="1"/>
          <w:i w:val="1"/>
          <w:iCs w:val="1"/>
          <w:color w:val="auto"/>
        </w:rPr>
        <w:t>Notification Requirements</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Lessee shall immediately notify Lessor in writing upon Lessee obtaining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actual knowledge of (i) any Releases or Threatened Releases in, on, under or from the Property other than in Permitted Amounts, or migrating towards the Property; (ii) any non-compliance with any Environmental Laws related in any way to the Property; (iii) any actual or potential Environmental Lien or activity use limitation; (iv) any required or proposed Remediation of environmental conditions relating to the Property required by applicable Governmental Authorities; and</w:t>
      </w:r>
    </w:p>
    <w:p>
      <w:pPr>
        <w:spacing w:after="0" w:line="4" w:lineRule="exact"/>
        <w:rPr>
          <w:rFonts w:ascii="Arial" w:cs="Arial" w:eastAsia="Arial" w:hAnsi="Arial"/>
          <w:sz w:val="18"/>
          <w:szCs w:val="18"/>
          <w:color w:val="auto"/>
        </w:rPr>
      </w:pPr>
    </w:p>
    <w:p>
      <w:pPr>
        <w:jc w:val="both"/>
        <w:ind w:left="620" w:hanging="3"/>
        <w:spacing w:after="0"/>
        <w:tabs>
          <w:tab w:leader="none" w:pos="944"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written or oral notice or other communication of which Lessee becomes aware from any source whatsoever (including but not limited to a Governmental Authority) relating in any way to Hazardous Materials, Regulated Substances or above or below ground storage tanks, or Remediation thereof at or on the Property, other than in Permitted Amounts, possible liability of any Person relating to the Property pursuant to any Environmental Law, other environmental conditions in connection with the Property, or any actual or potential administrative or judicial proceedings in connection with anything referred to in this Section. Lessee shall, upon Lessor’s written request, deliver to Lessor a certificate stating that Lessee is and has been in full compliance with all of the environmental representations, warranties and covenants in this Lease.</w:t>
      </w:r>
    </w:p>
    <w:p>
      <w:pPr>
        <w:spacing w:after="0" w:line="202" w:lineRule="exact"/>
        <w:rPr>
          <w:rFonts w:ascii="Arial" w:cs="Arial" w:eastAsia="Arial" w:hAnsi="Arial"/>
          <w:sz w:val="20"/>
          <w:szCs w:val="20"/>
          <w:color w:val="auto"/>
        </w:rPr>
      </w:pPr>
    </w:p>
    <w:p>
      <w:pPr>
        <w:jc w:val="both"/>
        <w:ind w:left="620" w:firstLine="646"/>
        <w:spacing w:after="0" w:line="274" w:lineRule="auto"/>
        <w:tabs>
          <w:tab w:leader="none" w:pos="2022" w:val="left"/>
        </w:tabs>
        <w:numPr>
          <w:ilvl w:val="1"/>
          <w:numId w:val="76"/>
        </w:numPr>
        <w:rPr>
          <w:rFonts w:ascii="Arial" w:cs="Arial" w:eastAsia="Arial" w:hAnsi="Arial"/>
          <w:sz w:val="18"/>
          <w:szCs w:val="18"/>
          <w:color w:val="auto"/>
        </w:rPr>
      </w:pPr>
      <w:r>
        <w:rPr>
          <w:rFonts w:ascii="Arial" w:cs="Arial" w:eastAsia="Arial" w:hAnsi="Arial"/>
          <w:sz w:val="20"/>
          <w:szCs w:val="20"/>
          <w:b w:val="1"/>
          <w:bCs w:val="1"/>
          <w:i w:val="1"/>
          <w:iCs w:val="1"/>
          <w:color w:val="auto"/>
        </w:rPr>
        <w:t>Remediation</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necessitated as a result of Lessor’s gross negligence or willful misconduct, Lessee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at its sole cost and expense, and without limiting any other provision of this Lease, effectuate any Remediation required by any Governmental Authority of any condition (including, but not limited to, a Release or Threatened Release) in, on, under or from the Property and take any other reasonable action deemed necessary by any Governmental Authority for protection of human health or the environment. Should Lessee fail to undertake any required Remediation in accordance with the preceding sentence, Lessor, after written notice to Lessee and</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00"/>
          </w:cols>
          <w:pgMar w:left="360" w:top="852" w:right="239" w:bottom="1440" w:gutter="0" w:footer="0" w:header="0"/>
        </w:sectPr>
      </w:pPr>
    </w:p>
    <w:bookmarkStart w:id="121" w:name="page122"/>
    <w:bookmarkEnd w:id="121"/>
    <w:p>
      <w:pPr>
        <w:jc w:val="both"/>
        <w:ind w:left="660"/>
        <w:spacing w:after="0" w:line="242" w:lineRule="auto"/>
        <w:rPr>
          <w:sz w:val="20"/>
          <w:szCs w:val="20"/>
          <w:color w:val="auto"/>
        </w:rPr>
      </w:pPr>
      <w:r>
        <w:rPr>
          <w:rFonts w:ascii="Arial" w:cs="Arial" w:eastAsia="Arial" w:hAnsi="Arial"/>
          <w:sz w:val="20"/>
          <w:szCs w:val="20"/>
          <w:color w:val="auto"/>
        </w:rPr>
        <w:t>Lessee’s failure to immediately undertake such Remediation, shall be permitted to complete such Remediation, and all Costs incurred in connection therewith shall be paid by Lessee. Any Cost so paid by Lessor, together with interest at the Default Rate, shall be deemed to be Additional Rental hereunder and shall be due within thirty (30) days of invoice from Lessee to Lessor.</w:t>
      </w:r>
    </w:p>
    <w:p>
      <w:pPr>
        <w:spacing w:after="0" w:line="196" w:lineRule="exact"/>
        <w:rPr>
          <w:sz w:val="20"/>
          <w:szCs w:val="20"/>
          <w:color w:val="auto"/>
        </w:rPr>
      </w:pPr>
    </w:p>
    <w:p>
      <w:pPr>
        <w:jc w:val="both"/>
        <w:ind w:left="660" w:firstLine="646"/>
        <w:spacing w:after="0" w:line="273" w:lineRule="auto"/>
        <w:tabs>
          <w:tab w:leader="none" w:pos="2072" w:val="left"/>
        </w:tabs>
        <w:numPr>
          <w:ilvl w:val="0"/>
          <w:numId w:val="77"/>
        </w:numPr>
        <w:rPr>
          <w:rFonts w:ascii="Arial" w:cs="Arial" w:eastAsia="Arial" w:hAnsi="Arial"/>
          <w:sz w:val="18"/>
          <w:szCs w:val="18"/>
          <w:color w:val="auto"/>
        </w:rPr>
      </w:pPr>
      <w:r>
        <w:rPr>
          <w:rFonts w:ascii="Arial" w:cs="Arial" w:eastAsia="Arial" w:hAnsi="Arial"/>
          <w:sz w:val="20"/>
          <w:szCs w:val="20"/>
          <w:b w:val="1"/>
          <w:bCs w:val="1"/>
          <w:i w:val="1"/>
          <w:iCs w:val="1"/>
          <w:color w:val="auto"/>
        </w:rPr>
        <w:t>Indemnification</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Lessee shall, at its sole cost and expense, protect, defend (using counsel chosen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Lessee and approved by Lessor), indemnify, release and hold harmless each of the Indemnified Parties from and against any and all Losses, including, but not limited to, all Costs of Remediation (whether or not performed voluntarily), arising prior to the expiration or earlier termination of this Lease (including any holdover periods) and arising out of or in any way relating to any Environmental Laws, Hazardous Materials, Regulated Substances, above or below ground storage tanks, or other environmental matters concerning the Property. It is expressly understood and agreed that Lessee’s obligations under this Section shall survive the expiration or earlier termination of this Lease for any reason.</w:t>
      </w:r>
    </w:p>
    <w:p>
      <w:pPr>
        <w:spacing w:after="0" w:line="181" w:lineRule="exact"/>
        <w:rPr>
          <w:rFonts w:ascii="Arial" w:cs="Arial" w:eastAsia="Arial" w:hAnsi="Arial"/>
          <w:sz w:val="18"/>
          <w:szCs w:val="18"/>
          <w:color w:val="auto"/>
        </w:rPr>
      </w:pPr>
    </w:p>
    <w:p>
      <w:pPr>
        <w:jc w:val="both"/>
        <w:ind w:left="660" w:firstLine="646"/>
        <w:spacing w:after="0" w:line="271" w:lineRule="auto"/>
        <w:tabs>
          <w:tab w:leader="none" w:pos="2062" w:val="left"/>
        </w:tabs>
        <w:numPr>
          <w:ilvl w:val="0"/>
          <w:numId w:val="77"/>
        </w:numPr>
        <w:rPr>
          <w:rFonts w:ascii="Arial" w:cs="Arial" w:eastAsia="Arial" w:hAnsi="Arial"/>
          <w:sz w:val="18"/>
          <w:szCs w:val="18"/>
          <w:color w:val="auto"/>
        </w:rPr>
      </w:pPr>
      <w:r>
        <w:rPr>
          <w:rFonts w:ascii="Arial" w:cs="Arial" w:eastAsia="Arial" w:hAnsi="Arial"/>
          <w:sz w:val="20"/>
          <w:szCs w:val="20"/>
          <w:b w:val="1"/>
          <w:bCs w:val="1"/>
          <w:i w:val="1"/>
          <w:iCs w:val="1"/>
          <w:color w:val="auto"/>
        </w:rPr>
        <w:t>Right of Entry</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that Lessor has a reasonable basis to believe that a Release or a violation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Environmental Law has occurred, Lessor and any other Person designated by Lessor, including but not limited to any receiver, any representative of a Governmental Authority, and any environmental consultant, shall have the right, but not the obligation, to enter upon the Property at all reasonable times to assess any and all aspects of the environmental condition of the Property and its use, including but not limited to conducting any environmental assessment or audit (the scope of which shall be determined in Lessor’s reasonable discretion) and taking samples of soil, groundwater or other water, air, or building materials, and conducting other invasive testing. Lessee shall reasonably cooperate with and</w:t>
      </w:r>
    </w:p>
    <w:p>
      <w:pPr>
        <w:spacing w:after="0" w:line="2" w:lineRule="exact"/>
        <w:rPr>
          <w:rFonts w:ascii="Arial" w:cs="Arial" w:eastAsia="Arial" w:hAnsi="Arial"/>
          <w:sz w:val="18"/>
          <w:szCs w:val="18"/>
          <w:color w:val="auto"/>
        </w:rPr>
      </w:pPr>
    </w:p>
    <w:p>
      <w:pPr>
        <w:jc w:val="both"/>
        <w:ind w:left="660"/>
        <w:spacing w:after="0" w:line="271" w:lineRule="auto"/>
        <w:rPr>
          <w:rFonts w:ascii="Arial" w:cs="Arial" w:eastAsia="Arial" w:hAnsi="Arial"/>
          <w:sz w:val="18"/>
          <w:szCs w:val="18"/>
          <w:color w:val="auto"/>
        </w:rPr>
      </w:pPr>
      <w:r>
        <w:rPr>
          <w:rFonts w:ascii="Arial" w:cs="Arial" w:eastAsia="Arial" w:hAnsi="Arial"/>
          <w:sz w:val="20"/>
          <w:szCs w:val="20"/>
          <w:color w:val="auto"/>
        </w:rPr>
        <w:t>provide access to Lessor and any other Person designated by Lessor. Any such assessment or investigation shall be at Lessee’s sole cost and expense, to the extent such investigation was necessitated as a result of a breach of Lessee’s obligations under this Section 8.03.</w:t>
      </w:r>
    </w:p>
    <w:p>
      <w:pPr>
        <w:spacing w:after="0" w:line="182" w:lineRule="exact"/>
        <w:rPr>
          <w:rFonts w:ascii="Arial" w:cs="Arial" w:eastAsia="Arial" w:hAnsi="Arial"/>
          <w:sz w:val="18"/>
          <w:szCs w:val="18"/>
          <w:color w:val="auto"/>
        </w:rPr>
      </w:pPr>
    </w:p>
    <w:p>
      <w:pPr>
        <w:jc w:val="both"/>
        <w:ind w:left="660" w:firstLine="646"/>
        <w:spacing w:after="0" w:line="291" w:lineRule="auto"/>
        <w:tabs>
          <w:tab w:leader="none" w:pos="2042" w:val="left"/>
        </w:tabs>
        <w:numPr>
          <w:ilvl w:val="0"/>
          <w:numId w:val="77"/>
        </w:numPr>
        <w:rPr>
          <w:rFonts w:ascii="Arial" w:cs="Arial" w:eastAsia="Arial" w:hAnsi="Arial"/>
          <w:sz w:val="17"/>
          <w:szCs w:val="17"/>
          <w:color w:val="auto"/>
        </w:rPr>
      </w:pPr>
      <w:r>
        <w:rPr>
          <w:rFonts w:ascii="Arial" w:cs="Arial" w:eastAsia="Arial" w:hAnsi="Arial"/>
          <w:sz w:val="19"/>
          <w:szCs w:val="19"/>
          <w:b w:val="1"/>
          <w:bCs w:val="1"/>
          <w:i w:val="1"/>
          <w:iCs w:val="1"/>
          <w:color w:val="auto"/>
        </w:rPr>
        <w:t>Survival</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obligations of Lessee and the rights and remedies of Lessor under this Section 8.03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survive the termination, expiration and/or release of this Lease; </w:t>
      </w:r>
      <w:r>
        <w:rPr>
          <w:rFonts w:ascii="Arial" w:cs="Arial" w:eastAsia="Arial" w:hAnsi="Arial"/>
          <w:sz w:val="19"/>
          <w:szCs w:val="19"/>
          <w:i w:val="1"/>
          <w:iCs w:val="1"/>
          <w:color w:val="auto"/>
        </w:rPr>
        <w:t>provided, however</w:t>
      </w:r>
      <w:r>
        <w:rPr>
          <w:rFonts w:ascii="Arial" w:cs="Arial" w:eastAsia="Arial" w:hAnsi="Arial"/>
          <w:sz w:val="19"/>
          <w:szCs w:val="19"/>
          <w:color w:val="auto"/>
        </w:rPr>
        <w:t>, if Lessee provides Lessor with a Phase I environmental report with respect to any Property from a vendor approved by Lessor in its reasonable discretion, dated within thirty (30) days of the expiration or sooner termination of this Lease, which report is in all respects acceptable to Lessor (in its reasonable discretion), then in such event Lessee’s obligations under this Section 8.03 with respect to such Property shall only survive the expiration or earlier termination of this Lease for a period of seven (7) years.</w:t>
      </w:r>
    </w:p>
    <w:p>
      <w:pPr>
        <w:spacing w:after="0" w:line="274"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ARTICLE IX</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ADDITIONAL COVENANTS</w:t>
      </w:r>
    </w:p>
    <w:p>
      <w:pPr>
        <w:spacing w:after="0" w:line="337"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9.01. Performance at Lessee’s Expense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acknowledges and confirms that Lessor may collect its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third-party out-of-pocket attorneys’ fees, costs and expenses in connection with (a) any modification, amendment and termination of this Lease requested by Lessee (and not already contemplated in this Lease); (b) any release or</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22" w:name="page123"/>
    <w:bookmarkEnd w:id="122"/>
    <w:p>
      <w:pPr>
        <w:ind w:right="20"/>
        <w:spacing w:after="0" w:line="246" w:lineRule="auto"/>
        <w:rPr>
          <w:sz w:val="20"/>
          <w:szCs w:val="20"/>
          <w:color w:val="auto"/>
        </w:rPr>
      </w:pPr>
      <w:r>
        <w:rPr>
          <w:rFonts w:ascii="Arial" w:cs="Arial" w:eastAsia="Arial" w:hAnsi="Arial"/>
          <w:sz w:val="20"/>
          <w:szCs w:val="20"/>
          <w:color w:val="auto"/>
        </w:rPr>
        <w:t>substitution of Property requested by Lessee; (c) the procurement of consents, waivers and approvals with respect to the Property or any matter related to this Lease requested by Lessee;</w:t>
      </w:r>
    </w:p>
    <w:p>
      <w:pPr>
        <w:spacing w:after="0" w:line="1" w:lineRule="exact"/>
        <w:rPr>
          <w:sz w:val="20"/>
          <w:szCs w:val="20"/>
          <w:color w:val="auto"/>
        </w:rPr>
      </w:pPr>
    </w:p>
    <w:p>
      <w:pPr>
        <w:ind w:firstLine="9"/>
        <w:spacing w:after="0" w:line="267" w:lineRule="auto"/>
        <w:tabs>
          <w:tab w:leader="none" w:pos="753" w:val="left"/>
        </w:tabs>
        <w:numPr>
          <w:ilvl w:val="0"/>
          <w:numId w:val="78"/>
        </w:numPr>
        <w:rPr>
          <w:rFonts w:ascii="Arial" w:cs="Arial" w:eastAsia="Arial" w:hAnsi="Arial"/>
          <w:sz w:val="18"/>
          <w:szCs w:val="18"/>
          <w:color w:val="auto"/>
        </w:rPr>
      </w:pPr>
      <w:r>
        <w:rPr>
          <w:rFonts w:ascii="Arial" w:cs="Arial" w:eastAsia="Arial" w:hAnsi="Arial"/>
          <w:sz w:val="20"/>
          <w:szCs w:val="20"/>
          <w:color w:val="auto"/>
        </w:rPr>
        <w:t>the review of any assignment or sublease or proposed assignment or sublease or the preparation or review of any subordination or non-disturbance agreement requested by Lessee;</w:t>
      </w:r>
    </w:p>
    <w:p>
      <w:pPr>
        <w:spacing w:after="0" w:line="1" w:lineRule="exact"/>
        <w:rPr>
          <w:rFonts w:ascii="Arial" w:cs="Arial" w:eastAsia="Arial" w:hAnsi="Arial"/>
          <w:sz w:val="18"/>
          <w:szCs w:val="18"/>
          <w:color w:val="auto"/>
        </w:rPr>
      </w:pPr>
    </w:p>
    <w:p>
      <w:pPr>
        <w:jc w:val="both"/>
        <w:ind w:firstLine="9"/>
        <w:spacing w:after="0" w:line="270" w:lineRule="auto"/>
        <w:tabs>
          <w:tab w:leader="none" w:pos="764" w:val="left"/>
        </w:tabs>
        <w:numPr>
          <w:ilvl w:val="0"/>
          <w:numId w:val="78"/>
        </w:numPr>
        <w:rPr>
          <w:rFonts w:ascii="Arial" w:cs="Arial" w:eastAsia="Arial" w:hAnsi="Arial"/>
          <w:sz w:val="18"/>
          <w:szCs w:val="18"/>
          <w:color w:val="auto"/>
        </w:rPr>
      </w:pPr>
      <w:r>
        <w:rPr>
          <w:rFonts w:ascii="Arial" w:cs="Arial" w:eastAsia="Arial" w:hAnsi="Arial"/>
          <w:sz w:val="20"/>
          <w:szCs w:val="20"/>
          <w:color w:val="auto"/>
        </w:rPr>
        <w:t>the collection, maintenance and/or disbursement of reserves created under this Lease or the other Transaction Documents (following an Event of Default); and (f) inspections reasonably required to make certain determinations under this Lease or the other Transaction Documents following Lessor’s reasonable belief of a breach under this Lease or any other Transaction Documents.</w:t>
      </w:r>
    </w:p>
    <w:p>
      <w:pPr>
        <w:spacing w:after="0" w:line="170"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b w:val="1"/>
          <w:bCs w:val="1"/>
          <w:color w:val="auto"/>
        </w:rPr>
        <w:t>Section 9.02. Inspection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and its authorized representatives shall have the right, at all reasonable times and upon</w:t>
      </w:r>
      <w:r>
        <w:rPr>
          <w:rFonts w:ascii="Arial" w:cs="Arial" w:eastAsia="Arial" w:hAnsi="Arial"/>
          <w:sz w:val="20"/>
          <w:szCs w:val="20"/>
          <w:b w:val="1"/>
          <w:bCs w:val="1"/>
          <w:color w:val="auto"/>
        </w:rPr>
        <w:t xml:space="preserve"> </w:t>
      </w:r>
      <w:r>
        <w:rPr>
          <w:rFonts w:ascii="Arial" w:cs="Arial" w:eastAsia="Arial" w:hAnsi="Arial"/>
          <w:sz w:val="20"/>
          <w:szCs w:val="20"/>
          <w:color w:val="auto"/>
        </w:rPr>
        <w:t>giving reasonable prior notice (except in the event of an emergency, in which case no prior notice shall be required), to enter the Property or any part thereof and inspect the same. Except in the event of an emergency, any entry by Lessor under this Lease shall be subject to and in compliance with Lessee’s security policies provided in writing to Lessor. Lessee hereby waives any claim for damages for any injury or inconvenience to or interference with Lessee’s business, any loss of occupancy or quiet enjoyment of the Property and any other loss occasioned by such entry, but, subject to Section 10.01, excluding damages arising as a result of the gross negligence or willful misconduct of Lessor.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9.03. Financial Information</w:t>
      </w:r>
      <w:r>
        <w:rPr>
          <w:rFonts w:ascii="Arial" w:cs="Arial" w:eastAsia="Arial" w:hAnsi="Arial"/>
          <w:sz w:val="20"/>
          <w:szCs w:val="20"/>
          <w:color w:val="auto"/>
        </w:rPr>
        <w:t>.</w:t>
      </w:r>
    </w:p>
    <w:p>
      <w:pPr>
        <w:spacing w:after="0" w:line="229" w:lineRule="exact"/>
        <w:rPr>
          <w:sz w:val="20"/>
          <w:szCs w:val="20"/>
          <w:color w:val="auto"/>
        </w:rPr>
      </w:pPr>
    </w:p>
    <w:p>
      <w:pPr>
        <w:jc w:val="both"/>
        <w:ind w:left="660" w:firstLine="646"/>
        <w:spacing w:after="0" w:line="284" w:lineRule="auto"/>
        <w:tabs>
          <w:tab w:leader="none" w:pos="2062" w:val="left"/>
        </w:tabs>
        <w:numPr>
          <w:ilvl w:val="0"/>
          <w:numId w:val="79"/>
        </w:numPr>
        <w:rPr>
          <w:rFonts w:ascii="Arial" w:cs="Arial" w:eastAsia="Arial" w:hAnsi="Arial"/>
          <w:sz w:val="18"/>
          <w:szCs w:val="18"/>
          <w:color w:val="auto"/>
        </w:rPr>
      </w:pPr>
      <w:r>
        <w:rPr>
          <w:rFonts w:ascii="Arial" w:cs="Arial" w:eastAsia="Arial" w:hAnsi="Arial"/>
          <w:sz w:val="20"/>
          <w:szCs w:val="20"/>
          <w:b w:val="1"/>
          <w:bCs w:val="1"/>
          <w:i w:val="1"/>
          <w:iCs w:val="1"/>
          <w:color w:val="auto"/>
        </w:rPr>
        <w:t>Financial Reporting</w:t>
      </w:r>
      <w:r>
        <w:rPr>
          <w:rFonts w:ascii="Arial" w:cs="Arial" w:eastAsia="Arial" w:hAnsi="Arial"/>
          <w:sz w:val="20"/>
          <w:szCs w:val="20"/>
          <w:color w:val="auto"/>
        </w:rPr>
        <w:t>. From and after the Effective Date and unless or until Guarantor goes private,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Section 9.03(c) below, within fourteen (14) Business Days from the date Guarantor files its annual Form 10-K, Lessee shall deliver to Lessor copies of Lessee’s income statement and balance sheet for the prior fiscal year.</w:t>
      </w:r>
    </w:p>
    <w:p>
      <w:pPr>
        <w:spacing w:after="0" w:line="169" w:lineRule="exact"/>
        <w:rPr>
          <w:rFonts w:ascii="Arial" w:cs="Arial" w:eastAsia="Arial" w:hAnsi="Arial"/>
          <w:sz w:val="18"/>
          <w:szCs w:val="18"/>
          <w:color w:val="auto"/>
        </w:rPr>
      </w:pPr>
    </w:p>
    <w:p>
      <w:pPr>
        <w:jc w:val="both"/>
        <w:ind w:left="660" w:firstLine="646"/>
        <w:spacing w:after="0" w:line="270" w:lineRule="auto"/>
        <w:tabs>
          <w:tab w:leader="none" w:pos="2072" w:val="left"/>
        </w:tabs>
        <w:numPr>
          <w:ilvl w:val="0"/>
          <w:numId w:val="79"/>
        </w:numPr>
        <w:rPr>
          <w:rFonts w:ascii="Arial" w:cs="Arial" w:eastAsia="Arial" w:hAnsi="Arial"/>
          <w:sz w:val="18"/>
          <w:szCs w:val="18"/>
          <w:color w:val="auto"/>
        </w:rPr>
      </w:pPr>
      <w:r>
        <w:rPr>
          <w:rFonts w:ascii="Arial" w:cs="Arial" w:eastAsia="Arial" w:hAnsi="Arial"/>
          <w:sz w:val="20"/>
          <w:szCs w:val="20"/>
          <w:b w:val="1"/>
          <w:bCs w:val="1"/>
          <w:i w:val="1"/>
          <w:iCs w:val="1"/>
          <w:color w:val="auto"/>
        </w:rPr>
        <w:t>Financial Reporting if Guarantor Goes Private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that Guarantor ever goes private,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Section 9.03(c) below, then within forty five (45) days after the end of each fiscal quarter and within one hundred twenty (120) days after the end of each fiscal year of Lessee and Guarantor, Lessee shall deliver to Lessor (i) complete consolidated financial statements for Guarantor and separate financial statements for Lessee, including a balance sheet, profit and loss statement, statement of stockholders’ equity and statement of cash flows and all other related schedules for the fiscal period then ended, such statements to detail separately interest expense, income taxes, non-cash expenses, non-recurring expenses, operating lease expense and current portion of long-term debt - capital leases; and (ii) income statements for the business at the Property. All such financial statements shall be prepared in accordance with GAAP, and shall be certified to be accurate and complete by an officer or director of Lessee and Guarantor. In the event that Lessee’s business at the Property is ordinarily consolidated with other business for financial statements purposes, a separate profit and loss statement shall be provided showing separately the sales, profits and losses pertaining to the Property with interest expense, income taxes, non-cash expenses, non- recurring expenses and operating lease expense (rent), with the basis for allocation of overhead or other charges being clearly set forth therein. The financial statements delivered to Lessor pursuant to this paragraph need not be audited, but Lessee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23" w:name="page124"/>
    <w:bookmarkEnd w:id="123"/>
    <w:p>
      <w:pPr>
        <w:ind w:left="660"/>
        <w:spacing w:after="0" w:line="247" w:lineRule="auto"/>
        <w:rPr>
          <w:sz w:val="20"/>
          <w:szCs w:val="20"/>
          <w:color w:val="auto"/>
        </w:rPr>
      </w:pPr>
      <w:r>
        <w:rPr>
          <w:rFonts w:ascii="Arial" w:cs="Arial" w:eastAsia="Arial" w:hAnsi="Arial"/>
          <w:sz w:val="20"/>
          <w:szCs w:val="20"/>
          <w:color w:val="auto"/>
        </w:rPr>
        <w:t>deliver to Lessor copies of any audited financial statements of the Lessee Reporting Entities which may be prepared, as soon as they are available.</w:t>
      </w:r>
    </w:p>
    <w:p>
      <w:pPr>
        <w:spacing w:after="0" w:line="191" w:lineRule="exact"/>
        <w:rPr>
          <w:sz w:val="20"/>
          <w:szCs w:val="20"/>
          <w:color w:val="auto"/>
        </w:rPr>
      </w:pPr>
    </w:p>
    <w:p>
      <w:pPr>
        <w:jc w:val="both"/>
        <w:ind w:left="660" w:firstLine="646"/>
        <w:spacing w:after="0" w:line="272" w:lineRule="auto"/>
        <w:tabs>
          <w:tab w:leader="none" w:pos="2062" w:val="left"/>
        </w:tabs>
        <w:numPr>
          <w:ilvl w:val="1"/>
          <w:numId w:val="80"/>
        </w:numPr>
        <w:rPr>
          <w:rFonts w:ascii="Arial" w:cs="Arial" w:eastAsia="Arial" w:hAnsi="Arial"/>
          <w:sz w:val="18"/>
          <w:szCs w:val="18"/>
          <w:color w:val="auto"/>
        </w:rPr>
      </w:pPr>
      <w:r>
        <w:rPr>
          <w:rFonts w:ascii="Arial" w:cs="Arial" w:eastAsia="Arial" w:hAnsi="Arial"/>
          <w:sz w:val="20"/>
          <w:szCs w:val="20"/>
          <w:b w:val="1"/>
          <w:bCs w:val="1"/>
          <w:i w:val="1"/>
          <w:iCs w:val="1"/>
          <w:color w:val="auto"/>
        </w:rPr>
        <w:t>Confidentiality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Notwithstanding anything to the contrary above or elsewhere in this Lease, Lessor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hereby agrees, for itself and its Affiliates, to maintain confidentiality and not disclose Lessee’s or Guarantor’s financial information (but excluding matters of public record or matters generally known to the public) to third parties except (i) as may be required for reporting to any Governmental Authority or otherwise required by Law, (ii) in connection with a Securitization or related transaction,</w:t>
      </w:r>
    </w:p>
    <w:p>
      <w:pPr>
        <w:spacing w:after="0" w:line="3" w:lineRule="exact"/>
        <w:rPr>
          <w:rFonts w:ascii="Arial" w:cs="Arial" w:eastAsia="Arial" w:hAnsi="Arial"/>
          <w:sz w:val="18"/>
          <w:szCs w:val="18"/>
          <w:color w:val="auto"/>
        </w:rPr>
      </w:pPr>
    </w:p>
    <w:p>
      <w:pPr>
        <w:jc w:val="both"/>
        <w:ind w:left="660" w:hanging="3"/>
        <w:spacing w:after="0" w:line="270" w:lineRule="auto"/>
        <w:tabs>
          <w:tab w:leader="none" w:pos="1384" w:val="left"/>
        </w:tabs>
        <w:numPr>
          <w:ilvl w:val="0"/>
          <w:numId w:val="81"/>
        </w:numPr>
        <w:rPr>
          <w:rFonts w:ascii="Arial" w:cs="Arial" w:eastAsia="Arial" w:hAnsi="Arial"/>
          <w:sz w:val="18"/>
          <w:szCs w:val="18"/>
          <w:color w:val="auto"/>
        </w:rPr>
      </w:pPr>
      <w:r>
        <w:rPr>
          <w:rFonts w:ascii="Arial" w:cs="Arial" w:eastAsia="Arial" w:hAnsi="Arial"/>
          <w:sz w:val="20"/>
          <w:szCs w:val="20"/>
          <w:color w:val="auto"/>
        </w:rPr>
        <w:t>to a Lender, or to Lessor’s employees, contractors, attorneys, accountants and other Persons on a “need to know” basis (“</w:t>
      </w:r>
      <w:r>
        <w:rPr>
          <w:rFonts w:ascii="Arial" w:cs="Arial" w:eastAsia="Arial" w:hAnsi="Arial"/>
          <w:sz w:val="20"/>
          <w:szCs w:val="20"/>
          <w:u w:val="single" w:color="auto"/>
          <w:color w:val="auto"/>
        </w:rPr>
        <w:t>Lessor Parties</w:t>
      </w:r>
      <w:r>
        <w:rPr>
          <w:rFonts w:ascii="Arial" w:cs="Arial" w:eastAsia="Arial" w:hAnsi="Arial"/>
          <w:sz w:val="20"/>
          <w:szCs w:val="20"/>
          <w:color w:val="auto"/>
        </w:rPr>
        <w:t>”), or to a prospective purchaser of a Property so long as such Lessor Parties and any prospective purchaser are aware of, and agree to comply with, the confidentiality provisions of this Section, or (iv) with Lessee’s prior written consent (such consent not to be unreasonably withheld, conditioned or delayed).</w:t>
      </w:r>
    </w:p>
    <w:p>
      <w:pPr>
        <w:spacing w:after="0" w:line="170"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Section 9.04. OFAC Laws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Upon receipt of notice or upon actual knowledge thereof, Lessee shall immediately notify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Lessor in writing if any Person owning (directly or indirectly) any interest in any of the Lessee Entities, or any director, officer, shareholder, member, manager or partner of any of such holders is a Person whose property or interests are subject to being blocked under any of the OFAC Laws, or is otherwise in violation of any of the OFAC Laws, or is under investigation by any Governmental Authority for, or has been charged with, or convicted of, drug trafficking, terrorist-related activities or any violation of the Anti-Money Laundering Laws, has been assessed civil penalties under these or related Laws, or has had funds seized or forfeited in an action under these or related Laws;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covenant in this Section 9.04 shall not apply to any Person to the extent such Person’s interest is in or through a U.S. Publicly Traded Entity.</w:t>
      </w:r>
    </w:p>
    <w:p>
      <w:pPr>
        <w:spacing w:after="0" w:line="182" w:lineRule="exact"/>
        <w:rPr>
          <w:sz w:val="20"/>
          <w:szCs w:val="20"/>
          <w:color w:val="auto"/>
        </w:rPr>
      </w:pPr>
    </w:p>
    <w:p>
      <w:pPr>
        <w:jc w:val="both"/>
        <w:ind w:firstLine="621"/>
        <w:spacing w:after="0" w:line="242" w:lineRule="auto"/>
        <w:rPr>
          <w:sz w:val="20"/>
          <w:szCs w:val="20"/>
          <w:color w:val="auto"/>
        </w:rPr>
      </w:pPr>
      <w:r>
        <w:rPr>
          <w:rFonts w:ascii="Arial" w:cs="Arial" w:eastAsia="Arial" w:hAnsi="Arial"/>
          <w:sz w:val="20"/>
          <w:szCs w:val="20"/>
          <w:b w:val="1"/>
          <w:bCs w:val="1"/>
          <w:color w:val="auto"/>
        </w:rPr>
        <w:t>Section 9.05. Estoppel Certificate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At any time, and from time to time, Lessee shall, promptly and in no event later than</w:t>
      </w:r>
      <w:r>
        <w:rPr>
          <w:rFonts w:ascii="Arial" w:cs="Arial" w:eastAsia="Arial" w:hAnsi="Arial"/>
          <w:sz w:val="20"/>
          <w:szCs w:val="20"/>
          <w:b w:val="1"/>
          <w:bCs w:val="1"/>
          <w:color w:val="auto"/>
        </w:rPr>
        <w:t xml:space="preserve"> </w:t>
      </w:r>
      <w:r>
        <w:rPr>
          <w:rFonts w:ascii="Arial" w:cs="Arial" w:eastAsia="Arial" w:hAnsi="Arial"/>
          <w:sz w:val="20"/>
          <w:szCs w:val="20"/>
          <w:color w:val="auto"/>
        </w:rPr>
        <w:t>ten (10) Business Days after a request from Lessor or any Lender or mortgagee of Lessor, execute, acknowledge and deliver to Lessor or such Lender or mortgagee, as the case may be, a certificate in the form supplied by Lessor, certifying: (a) that Lessee has accepted the Property;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 (d) the date to which the Rentals have been paid under this Lease and the amount thereof then payable; (e)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w:t>
      </w:r>
    </w:p>
    <w:p>
      <w:pPr>
        <w:spacing w:after="0" w:line="3" w:lineRule="exact"/>
        <w:rPr>
          <w:sz w:val="20"/>
          <w:szCs w:val="20"/>
          <w:color w:val="auto"/>
        </w:rPr>
      </w:pPr>
    </w:p>
    <w:p>
      <w:pPr>
        <w:jc w:val="both"/>
        <w:ind w:firstLine="9"/>
        <w:spacing w:after="0" w:line="241" w:lineRule="auto"/>
        <w:tabs>
          <w:tab w:leader="none" w:pos="305"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capacity of the Person executing such certificate, and that such Person is duly authorized to execute the same on behalf of Lessee; (h) that neither Lessor nor any Lender or mortgagee has actual involvement in the management or control of decision making related to the operational aspects or the day-to-day operation of the Property, including any handling or disposal of Hazardous Materials or Regulated Substances; and (i) any other information reasonably requested by Lessor or any Lender or mortgagee,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5" w:right="239" w:bottom="1440" w:gutter="0" w:footer="0" w:header="0"/>
        </w:sectPr>
      </w:pPr>
    </w:p>
    <w:bookmarkStart w:id="124" w:name="page125"/>
    <w:bookmarkEnd w:id="124"/>
    <w:p>
      <w:pPr>
        <w:jc w:val="center"/>
        <w:ind w:left="1800"/>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RELEASE AND INDEMNIFICATION</w:t>
      </w:r>
    </w:p>
    <w:p>
      <w:pPr>
        <w:spacing w:after="0" w:line="216" w:lineRule="exact"/>
        <w:rPr>
          <w:sz w:val="20"/>
          <w:szCs w:val="20"/>
          <w:color w:val="auto"/>
        </w:rPr>
      </w:pPr>
    </w:p>
    <w:p>
      <w:pPr>
        <w:jc w:val="both"/>
        <w:ind w:firstLine="621"/>
        <w:spacing w:after="0" w:line="241" w:lineRule="auto"/>
        <w:rPr>
          <w:sz w:val="20"/>
          <w:szCs w:val="20"/>
          <w:color w:val="auto"/>
        </w:rPr>
      </w:pPr>
      <w:r>
        <w:rPr>
          <w:rFonts w:ascii="Arial" w:cs="Arial" w:eastAsia="Arial" w:hAnsi="Arial"/>
          <w:sz w:val="20"/>
          <w:szCs w:val="20"/>
          <w:b w:val="1"/>
          <w:bCs w:val="1"/>
          <w:color w:val="auto"/>
        </w:rPr>
        <w:t>Section 10.01. RELEASE AND INDEMNIFICATION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AGREES TO USE AND OCCUPY THE PROPERTY AT</w:t>
      </w:r>
      <w:r>
        <w:rPr>
          <w:rFonts w:ascii="Arial" w:cs="Arial" w:eastAsia="Arial" w:hAnsi="Arial"/>
          <w:sz w:val="20"/>
          <w:szCs w:val="20"/>
          <w:b w:val="1"/>
          <w:bCs w:val="1"/>
          <w:color w:val="auto"/>
        </w:rPr>
        <w:t xml:space="preserve"> </w:t>
      </w:r>
      <w:r>
        <w:rPr>
          <w:rFonts w:ascii="Arial" w:cs="Arial" w:eastAsia="Arial" w:hAnsi="Arial"/>
          <w:sz w:val="20"/>
          <w:szCs w:val="20"/>
          <w:color w:val="auto"/>
        </w:rPr>
        <w:t>ITS OWN RISK AND HEREBY RELEASES LESSOR AND LESSOR’S AGENTS AND EMPLOYEES FROM ALL CLAIMS FOR ANY DAMAGE OR INJURY (SO LONG AS SUCH DID NOT RESULT FROM LESSOR’S OR LESSOR’S AGENTS’ OR EMPLOYEES’ GROSS NEGLIGENCE OR WILLFUL MISCONDUCT) TO THE FULL EXTENT PERMITTED BY LAW. LESSEE AGREES THAT LESSOR SHALL NOT BE RESPONSIBLE OR LIABLE TO LESSEE OR LESSEE’S EMPLOYEES, AGENTS, CUSTOMERS, LICENSEES OR INVITEES FOR BODILY INJURY, PERSONAL INJURY OR PROPERTY DAMAGE OCCASIONED BY THE ACTS OR OMISSIONS OF ANY OTHER LESSEE OR ANY OTHER PERSON (EXCEPT FOR LESSOR’S AND LESSOR’S AGENTS AND EMPLOYEES GROSS NEGLIGENCE OR WILLFUL MISCONDUCT). LESSEE AGREES THAT ANY EMPLOYEE OR AGENT TO WHOM THE PROPERTY OR ANY PART THEREOF SHALL BE ENTRUSTED BY OR ON BEHALF OF LESSEE SHALL BE ACTING AS LESSEE’S AGENT WITH RESPECT TO THE PROPERTY OR ANY PART THEREOF, AND NEITHER LESSOR NOR LESSOR’S AGENTS, EMPLOYEES OR CONTRACTORS (“LESSOR PARTIES”) SHALL BE LIABLE FOR ANY LOSS OF OR DAMAGE TO THE PROPERTY OR ANY PART THEREOF UNLESS SUCH IS CAUSED BY LESSOR PARTIES GROSS NEGLIGENCE OR WILLFUL MISCONDUCT. LESSEE SHALL DEFEND (USING COUNSEL CHOSEN BY LESSEE AND APPROVED BY LESSOR), INDEMNIFY, PROTECT, AND HOLD HARMLESS EACH OF THE INDEMNIFIED PARTIES FROM AND AGAINST ANY AND ALL LOSSES (EXCLUDING LOSSES SUFFERED BY AN INDEMNIFIED PARTY ARISING OUT OF THE GROSS NEGLIGENCE OR WILLFUL MISCONDUCT OF SUCH INDEMNIFIED PARTY) CAUSED BY, INCURRED OR RESULTING FROM LESSEE’S OPERATIONS OR BY LESSEE’S USE AND OCCUPANCY OF THE PROPERTY, WHETHER RELATING TO ITS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IT IS EXPRESSLY UNDERSTOOD AND AGREED THAT LESSEE’S OBLIGATIONS UNDER THIS SECTION SHALL SURVIVE THE EXPIRATION OR EARLIER TERMINATION OF THIS LEASE FOR ANY REASON WHATSOEVER.</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PURPOSES OF THIS LEASE, THE TERM “GROSS NEGLIGENCE” SHALL NOT INCLUDE GROSS NEGLIGENCE IMPUTED AS A MATTER OF LAW TO ANY OF THE INDEMNIFIED PARTIES SOLELY BY REASON OF LESSOR’S INTEREST IN THE PROPERTY OR LESSOR’S FAILURE TO ACT IN RESPECT OF MATTERS WHICH ARE OR WERE THE OBLIGATION OF LESSEE UNDER THIS LEASE.</w:t>
      </w:r>
    </w:p>
    <w:p>
      <w:pPr>
        <w:spacing w:after="0" w:line="304"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color w:val="auto"/>
        </w:rPr>
        <w:t>ARTICLE XI CONDEMNATION AND CASUALTY</w:t>
      </w:r>
    </w:p>
    <w:p>
      <w:pPr>
        <w:spacing w:after="0" w:line="200" w:lineRule="exact"/>
        <w:rPr>
          <w:sz w:val="20"/>
          <w:szCs w:val="20"/>
          <w:color w:val="auto"/>
        </w:rPr>
      </w:pPr>
    </w:p>
    <w:p>
      <w:pPr>
        <w:spacing w:after="0" w:line="367"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11.01. Notification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and Lessor shall promptly give the other party written notice of (a) any</w:t>
      </w:r>
      <w:r>
        <w:rPr>
          <w:rFonts w:ascii="Arial" w:cs="Arial" w:eastAsia="Arial" w:hAnsi="Arial"/>
          <w:sz w:val="20"/>
          <w:szCs w:val="20"/>
          <w:b w:val="1"/>
          <w:bCs w:val="1"/>
          <w:color w:val="auto"/>
        </w:rPr>
        <w:t xml:space="preserve"> </w:t>
      </w:r>
      <w:r>
        <w:rPr>
          <w:rFonts w:ascii="Arial" w:cs="Arial" w:eastAsia="Arial" w:hAnsi="Arial"/>
          <w:sz w:val="20"/>
          <w:szCs w:val="20"/>
          <w:color w:val="auto"/>
        </w:rPr>
        <w:t>Condemnation of the Property, (b) the commencement of any</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12" w:right="239" w:bottom="1440" w:gutter="0" w:footer="0" w:header="0"/>
        </w:sectPr>
      </w:pPr>
    </w:p>
    <w:bookmarkStart w:id="125" w:name="page126"/>
    <w:bookmarkEnd w:id="125"/>
    <w:p>
      <w:pPr>
        <w:jc w:val="both"/>
        <w:spacing w:after="0" w:line="241" w:lineRule="auto"/>
        <w:rPr>
          <w:sz w:val="20"/>
          <w:szCs w:val="20"/>
          <w:color w:val="auto"/>
        </w:rPr>
      </w:pPr>
      <w:r>
        <w:rPr>
          <w:rFonts w:ascii="Arial" w:cs="Arial" w:eastAsia="Arial" w:hAnsi="Arial"/>
          <w:sz w:val="20"/>
          <w:szCs w:val="20"/>
          <w:color w:val="auto"/>
        </w:rPr>
        <w:t>proceedings or negotiations which might result in a Condemnation of the Property, and (c) any Casualty to the Property or any part thereof. Such notice shall provide a general description of the nature and extent of such Condemnation, proceedings, negotiations or Casualty, 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185"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b w:val="1"/>
          <w:bCs w:val="1"/>
          <w:color w:val="auto"/>
        </w:rPr>
        <w:t>Section 11.02. Total Condemnation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 Condemnation of all or substantially all of the Property, and if as a</w:t>
      </w:r>
      <w:r>
        <w:rPr>
          <w:rFonts w:ascii="Arial" w:cs="Arial" w:eastAsia="Arial" w:hAnsi="Arial"/>
          <w:sz w:val="20"/>
          <w:szCs w:val="20"/>
          <w:b w:val="1"/>
          <w:bCs w:val="1"/>
          <w:color w:val="auto"/>
        </w:rPr>
        <w:t xml:space="preserve"> </w:t>
      </w:r>
      <w:r>
        <w:rPr>
          <w:rFonts w:ascii="Arial" w:cs="Arial" w:eastAsia="Arial" w:hAnsi="Arial"/>
          <w:sz w:val="20"/>
          <w:szCs w:val="20"/>
          <w:color w:val="auto"/>
        </w:rPr>
        <w:t>result of such Condemnation: (i) access to the Property to and from the publicly dedicated roads adjacent to the Property as of the Effective Date is permanently and materially impaired such that Lessee no longer has access to such dedicated road; (ii) there is insufficient parking to operate the Property as a Permitted Facility under applicable Laws; or (iii) the Condemnation includes a portion of the building such that the remaining portion is unsuitable for use as a Permitted Facility, as determined by Lessee in the exercise of good faith business judgment (and Lessee provides to Lessor an officer’s certificate executed by an officer of Lessee certifying to the same) (each such event, a “</w:t>
      </w:r>
      <w:r>
        <w:rPr>
          <w:rFonts w:ascii="Arial" w:cs="Arial" w:eastAsia="Arial" w:hAnsi="Arial"/>
          <w:sz w:val="20"/>
          <w:szCs w:val="20"/>
          <w:u w:val="single" w:color="auto"/>
          <w:color w:val="auto"/>
        </w:rPr>
        <w:t>Total Condemnation</w:t>
      </w:r>
      <w:r>
        <w:rPr>
          <w:rFonts w:ascii="Arial" w:cs="Arial" w:eastAsia="Arial" w:hAnsi="Arial"/>
          <w:sz w:val="20"/>
          <w:szCs w:val="20"/>
          <w:color w:val="auto"/>
        </w:rPr>
        <w:t>”), then, in such event:</w:t>
      </w:r>
    </w:p>
    <w:p>
      <w:pPr>
        <w:spacing w:after="0" w:line="193" w:lineRule="exact"/>
        <w:rPr>
          <w:sz w:val="20"/>
          <w:szCs w:val="20"/>
          <w:color w:val="auto"/>
        </w:rPr>
      </w:pPr>
    </w:p>
    <w:p>
      <w:pPr>
        <w:jc w:val="both"/>
        <w:ind w:left="660" w:firstLine="646"/>
        <w:spacing w:after="0" w:line="274" w:lineRule="auto"/>
        <w:tabs>
          <w:tab w:leader="none" w:pos="2062" w:val="left"/>
        </w:tabs>
        <w:numPr>
          <w:ilvl w:val="0"/>
          <w:numId w:val="83"/>
        </w:numPr>
        <w:rPr>
          <w:rFonts w:ascii="Arial" w:cs="Arial" w:eastAsia="Arial" w:hAnsi="Arial"/>
          <w:sz w:val="18"/>
          <w:szCs w:val="18"/>
          <w:color w:val="auto"/>
        </w:rPr>
      </w:pPr>
      <w:r>
        <w:rPr>
          <w:rFonts w:ascii="Arial" w:cs="Arial" w:eastAsia="Arial" w:hAnsi="Arial"/>
          <w:sz w:val="20"/>
          <w:szCs w:val="20"/>
          <w:b w:val="1"/>
          <w:bCs w:val="1"/>
          <w:i w:val="1"/>
          <w:iCs w:val="1"/>
          <w:color w:val="auto"/>
        </w:rPr>
        <w:t>Termination of Lease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the date of the Total Condemnation, all obligations of either party hereunder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shall cease; </w:t>
      </w:r>
      <w:r>
        <w:rPr>
          <w:rFonts w:ascii="Arial" w:cs="Arial" w:eastAsia="Arial" w:hAnsi="Arial"/>
          <w:sz w:val="20"/>
          <w:szCs w:val="20"/>
          <w:i w:val="1"/>
          <w:iCs w:val="1"/>
          <w:color w:val="auto"/>
        </w:rPr>
        <w:t>provided, however</w:t>
      </w:r>
      <w:r>
        <w:rPr>
          <w:rFonts w:ascii="Arial" w:cs="Arial" w:eastAsia="Arial" w:hAnsi="Arial"/>
          <w:sz w:val="20"/>
          <w:szCs w:val="20"/>
          <w:color w:val="auto"/>
        </w:rPr>
        <w:t>, that Lessee’s obligations to the Indemnified Parties under any indemnification provisions of this Lease and Lessee’s obligation to pay Rental and all other Monetary Obligations (whether payable to Lessor or a third party) accruing under this Lease prior to the date of termination shall survive such termination. If the date of such Total Condemnation is other than the first day of a month, the Base Monthly Rental for the month in which such Total Condemnation occurs shall be apportioned based on the date of the Total Condemnation.</w:t>
      </w:r>
    </w:p>
    <w:p>
      <w:pPr>
        <w:spacing w:after="0" w:line="180" w:lineRule="exact"/>
        <w:rPr>
          <w:rFonts w:ascii="Arial" w:cs="Arial" w:eastAsia="Arial" w:hAnsi="Arial"/>
          <w:sz w:val="18"/>
          <w:szCs w:val="18"/>
          <w:color w:val="auto"/>
        </w:rPr>
      </w:pPr>
    </w:p>
    <w:p>
      <w:pPr>
        <w:jc w:val="both"/>
        <w:ind w:left="660" w:firstLine="646"/>
        <w:spacing w:after="0" w:line="278" w:lineRule="auto"/>
        <w:tabs>
          <w:tab w:leader="none" w:pos="2072" w:val="left"/>
        </w:tabs>
        <w:numPr>
          <w:ilvl w:val="0"/>
          <w:numId w:val="83"/>
        </w:numPr>
        <w:rPr>
          <w:rFonts w:ascii="Arial" w:cs="Arial" w:eastAsia="Arial" w:hAnsi="Arial"/>
          <w:sz w:val="18"/>
          <w:szCs w:val="18"/>
          <w:color w:val="auto"/>
        </w:rPr>
      </w:pPr>
      <w:r>
        <w:rPr>
          <w:rFonts w:ascii="Arial" w:cs="Arial" w:eastAsia="Arial" w:hAnsi="Arial"/>
          <w:sz w:val="20"/>
          <w:szCs w:val="20"/>
          <w:b w:val="1"/>
          <w:bCs w:val="1"/>
          <w:i w:val="1"/>
          <w:iCs w:val="1"/>
          <w:color w:val="auto"/>
        </w:rPr>
        <w:t>Net Award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Section 11.07 below, Lessor shall be entitled to receive the entire Net Award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connection with a Total Condemnation without deduction for any estate vested in Lessee by this Lease, and Lessee hereby expressly assigns to Lessor all of its right, title and interest in and to every such Net Award and agrees that Lessee shall not be entitled to any Net Award or other payment for the value of Lessee’s leasehold interest in this Lease.</w:t>
      </w:r>
    </w:p>
    <w:p>
      <w:pPr>
        <w:spacing w:after="0" w:line="163" w:lineRule="exact"/>
        <w:rPr>
          <w:sz w:val="20"/>
          <w:szCs w:val="20"/>
          <w:color w:val="auto"/>
        </w:rPr>
      </w:pPr>
    </w:p>
    <w:p>
      <w:pPr>
        <w:ind w:firstLine="621"/>
        <w:spacing w:after="0" w:line="272" w:lineRule="auto"/>
        <w:rPr>
          <w:sz w:val="20"/>
          <w:szCs w:val="20"/>
          <w:color w:val="auto"/>
        </w:rPr>
      </w:pPr>
      <w:r>
        <w:rPr>
          <w:rFonts w:ascii="Arial" w:cs="Arial" w:eastAsia="Arial" w:hAnsi="Arial"/>
          <w:sz w:val="20"/>
          <w:szCs w:val="20"/>
          <w:b w:val="1"/>
          <w:bCs w:val="1"/>
          <w:color w:val="auto"/>
        </w:rPr>
        <w:t>Section 11.03. Partial Condemnation or Casualty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 Condemnation which is not a Total Condemnation</w:t>
      </w:r>
      <w:r>
        <w:rPr>
          <w:rFonts w:ascii="Arial" w:cs="Arial" w:eastAsia="Arial" w:hAnsi="Arial"/>
          <w:sz w:val="20"/>
          <w:szCs w:val="20"/>
          <w:b w:val="1"/>
          <w:bCs w:val="1"/>
          <w:color w:val="auto"/>
        </w:rPr>
        <w:t xml:space="preserve"> </w:t>
      </w:r>
      <w:r>
        <w:rPr>
          <w:rFonts w:ascii="Arial" w:cs="Arial" w:eastAsia="Arial" w:hAnsi="Arial"/>
          <w:sz w:val="20"/>
          <w:szCs w:val="20"/>
          <w:color w:val="auto"/>
        </w:rPr>
        <w:t>(each such event, a “</w:t>
      </w:r>
      <w:r>
        <w:rPr>
          <w:rFonts w:ascii="Arial" w:cs="Arial" w:eastAsia="Arial" w:hAnsi="Arial"/>
          <w:sz w:val="20"/>
          <w:szCs w:val="20"/>
          <w:u w:val="single" w:color="auto"/>
          <w:color w:val="auto"/>
        </w:rPr>
        <w:t>Partial Condemnation</w:t>
      </w:r>
      <w:r>
        <w:rPr>
          <w:rFonts w:ascii="Arial" w:cs="Arial" w:eastAsia="Arial" w:hAnsi="Arial"/>
          <w:sz w:val="20"/>
          <w:szCs w:val="20"/>
          <w:color w:val="auto"/>
        </w:rPr>
        <w:t>”), or in the event of a Casualty:</w:t>
      </w:r>
    </w:p>
    <w:p>
      <w:pPr>
        <w:spacing w:after="0" w:line="167" w:lineRule="exact"/>
        <w:rPr>
          <w:sz w:val="20"/>
          <w:szCs w:val="20"/>
          <w:color w:val="auto"/>
        </w:rPr>
      </w:pPr>
    </w:p>
    <w:p>
      <w:pPr>
        <w:ind w:left="660" w:firstLine="646"/>
        <w:spacing w:after="0" w:line="300" w:lineRule="auto"/>
        <w:tabs>
          <w:tab w:leader="none" w:pos="2062" w:val="left"/>
        </w:tabs>
        <w:numPr>
          <w:ilvl w:val="0"/>
          <w:numId w:val="84"/>
        </w:numPr>
        <w:rPr>
          <w:rFonts w:ascii="Arial" w:cs="Arial" w:eastAsia="Arial" w:hAnsi="Arial"/>
          <w:sz w:val="18"/>
          <w:szCs w:val="18"/>
          <w:color w:val="auto"/>
        </w:rPr>
      </w:pPr>
      <w:r>
        <w:rPr>
          <w:rFonts w:ascii="Arial" w:cs="Arial" w:eastAsia="Arial" w:hAnsi="Arial"/>
          <w:sz w:val="20"/>
          <w:szCs w:val="20"/>
          <w:b w:val="1"/>
          <w:bCs w:val="1"/>
          <w:i w:val="1"/>
          <w:iCs w:val="1"/>
          <w:color w:val="auto"/>
        </w:rPr>
        <w:t>Net Awards</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Section 11.07 below, all Net Awards shall be paid to Lessor and, as applicable,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available to Lessee pursuant to Section 11.03(b)(ii) below.</w:t>
      </w:r>
    </w:p>
    <w:p>
      <w:pPr>
        <w:spacing w:after="0" w:line="154" w:lineRule="exact"/>
        <w:rPr>
          <w:rFonts w:ascii="Arial" w:cs="Arial" w:eastAsia="Arial" w:hAnsi="Arial"/>
          <w:sz w:val="18"/>
          <w:szCs w:val="18"/>
          <w:color w:val="auto"/>
        </w:rPr>
      </w:pPr>
    </w:p>
    <w:p>
      <w:pPr>
        <w:ind w:left="2060" w:hanging="754"/>
        <w:spacing w:after="0"/>
        <w:tabs>
          <w:tab w:leader="none" w:pos="2060" w:val="left"/>
        </w:tabs>
        <w:numPr>
          <w:ilvl w:val="0"/>
          <w:numId w:val="84"/>
        </w:numPr>
        <w:rPr>
          <w:rFonts w:ascii="Arial" w:cs="Arial" w:eastAsia="Arial" w:hAnsi="Arial"/>
          <w:sz w:val="18"/>
          <w:szCs w:val="18"/>
          <w:color w:val="auto"/>
        </w:rPr>
      </w:pPr>
      <w:r>
        <w:rPr>
          <w:rFonts w:ascii="Arial" w:cs="Arial" w:eastAsia="Arial" w:hAnsi="Arial"/>
          <w:sz w:val="20"/>
          <w:szCs w:val="20"/>
          <w:b w:val="1"/>
          <w:bCs w:val="1"/>
          <w:i w:val="1"/>
          <w:iCs w:val="1"/>
          <w:color w:val="auto"/>
        </w:rPr>
        <w:t>Continuance of Lease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Lease shall continue in full force and effect upon the following terms:</w:t>
      </w:r>
    </w:p>
    <w:p>
      <w:pPr>
        <w:spacing w:after="0" w:line="266" w:lineRule="exact"/>
        <w:rPr>
          <w:rFonts w:ascii="Arial" w:cs="Arial" w:eastAsia="Arial" w:hAnsi="Arial"/>
          <w:sz w:val="18"/>
          <w:szCs w:val="18"/>
          <w:color w:val="auto"/>
        </w:rPr>
      </w:pPr>
    </w:p>
    <w:p>
      <w:pPr>
        <w:jc w:val="both"/>
        <w:ind w:left="1300" w:firstLine="654"/>
        <w:spacing w:after="0" w:line="271" w:lineRule="auto"/>
        <w:tabs>
          <w:tab w:leader="none" w:pos="2672" w:val="left"/>
        </w:tabs>
        <w:numPr>
          <w:ilvl w:val="1"/>
          <w:numId w:val="84"/>
        </w:numPr>
        <w:rPr>
          <w:rFonts w:ascii="Arial" w:cs="Arial" w:eastAsia="Arial" w:hAnsi="Arial"/>
          <w:sz w:val="18"/>
          <w:szCs w:val="18"/>
          <w:color w:val="auto"/>
        </w:rPr>
      </w:pPr>
      <w:r>
        <w:rPr>
          <w:rFonts w:ascii="Arial" w:cs="Arial" w:eastAsia="Arial" w:hAnsi="Arial"/>
          <w:sz w:val="20"/>
          <w:szCs w:val="20"/>
          <w:color w:val="auto"/>
        </w:rPr>
        <w:t>All Rental and other Monetary Obligations due under this Lease shall continue unabated (provided, however, that the parties acknowledge that business interruption insurance proceeds, including Rental Value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20"/>
          <w:szCs w:val="20"/>
          <w:color w:val="auto"/>
        </w:rPr>
        <w:t>proceeds, payable to and received by Lessor shall be applied towards Lessee’s Rental obligations).</w:t>
      </w:r>
    </w:p>
    <w:p>
      <w:pPr>
        <w:spacing w:after="0" w:line="229" w:lineRule="exact"/>
        <w:rPr>
          <w:sz w:val="20"/>
          <w:szCs w:val="20"/>
          <w:color w:val="auto"/>
        </w:rPr>
      </w:pPr>
    </w:p>
    <w:p>
      <w:pPr>
        <w:jc w:val="both"/>
        <w:ind w:left="1300" w:firstLine="654"/>
        <w:spacing w:after="0" w:line="268" w:lineRule="auto"/>
        <w:tabs>
          <w:tab w:leader="none" w:pos="2722" w:val="left"/>
        </w:tabs>
        <w:numPr>
          <w:ilvl w:val="0"/>
          <w:numId w:val="85"/>
        </w:numPr>
        <w:rPr>
          <w:rFonts w:ascii="Arial" w:cs="Arial" w:eastAsia="Arial" w:hAnsi="Arial"/>
          <w:sz w:val="18"/>
          <w:szCs w:val="18"/>
          <w:color w:val="auto"/>
        </w:rPr>
      </w:pPr>
      <w:r>
        <w:rPr>
          <w:rFonts w:ascii="Arial" w:cs="Arial" w:eastAsia="Arial" w:hAnsi="Arial"/>
          <w:sz w:val="20"/>
          <w:szCs w:val="20"/>
          <w:color w:val="auto"/>
        </w:rPr>
        <w:t>Lessee shall promptly commence and diligently prosecute restoration of the Property to the same condition, as nearly as practicable, as prior to the Partial Condemnation or Casualty as approved by Lessor. Subject to the terms and provisions of the Mortgage and upon the written request of Lessee (accompanied by evidence reasonably satisfactory to Lessor that such amount has been paid or is due and payable and is properly part of such costs, and that Lessee has complied with the terms of Section 7.02 in connection with the restoration), Lessor shall promptly make available in installments, subject to reasonable conditions for disbursement imposed by Lessor, an amount up to but not exceeding the amount of any Net Award received by Lessor with respect to such Partial Condemnation or Casualty. Prior to the disbursement of any portion of the Net Award with respect to a Casualty, Lessee shall provide evidence reasonably satisfactory to Lessor of the payment of restoration expenses by Lessee up to the amount of the insurance deductible applicable to such Casualty. Lessor shall be entitled to keep any portion of the Net Award which may be in excess of the cost of restoration, and Lessee shall bear all additional Costs of such restoration in excess of the Net Award.</w:t>
      </w:r>
    </w:p>
    <w:p>
      <w:pPr>
        <w:spacing w:after="0" w:line="176"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b w:val="1"/>
          <w:bCs w:val="1"/>
          <w:color w:val="auto"/>
        </w:rPr>
        <w:t>Section 11.04. Temporary Taking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 Condemnation of all or any part of the Property for a temporary use</w:t>
      </w:r>
      <w:r>
        <w:rPr>
          <w:rFonts w:ascii="Arial" w:cs="Arial" w:eastAsia="Arial" w:hAnsi="Arial"/>
          <w:sz w:val="20"/>
          <w:szCs w:val="20"/>
          <w:b w:val="1"/>
          <w:bCs w:val="1"/>
          <w:color w:val="auto"/>
        </w:rPr>
        <w:t xml:space="preserve"> </w:t>
      </w:r>
      <w:r>
        <w:rPr>
          <w:rFonts w:ascii="Arial" w:cs="Arial" w:eastAsia="Arial" w:hAnsi="Arial"/>
          <w:sz w:val="20"/>
          <w:szCs w:val="20"/>
          <w:color w:val="auto"/>
        </w:rPr>
        <w:t>(a “</w:t>
      </w:r>
      <w:r>
        <w:rPr>
          <w:rFonts w:ascii="Arial" w:cs="Arial" w:eastAsia="Arial" w:hAnsi="Arial"/>
          <w:sz w:val="20"/>
          <w:szCs w:val="20"/>
          <w:u w:val="single" w:color="auto"/>
          <w:color w:val="auto"/>
        </w:rPr>
        <w:t>Temporary Taking</w:t>
      </w:r>
      <w:r>
        <w:rPr>
          <w:rFonts w:ascii="Arial" w:cs="Arial" w:eastAsia="Arial" w:hAnsi="Arial"/>
          <w:sz w:val="20"/>
          <w:szCs w:val="20"/>
          <w:color w:val="auto"/>
        </w:rPr>
        <w:t>”), this Lease shall remain in full force and effect without any reduction of Base Annual Rental, Additional Rental or any other Monetary Obligation payable hereunder. Except as provided below, Lessee shall be entitled to the entire Net Award for a Temporary Taking, unless the period of occupation and use by the condemning authorities shall extend beyond the date of expiration of this Lease, in which event the Net Award made for such Temporary Taking shall be apportioned between Lessor and Lessee as of the date of such expiration. At the termination of any such Temporary Taking, Lessee will, at its own cost and expense and pursuant to the provisions of Section 7.02, promptly commence and complete restoration of the Property.</w:t>
      </w:r>
    </w:p>
    <w:p>
      <w:pPr>
        <w:spacing w:after="0" w:line="180"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b w:val="1"/>
          <w:bCs w:val="1"/>
          <w:color w:val="auto"/>
        </w:rPr>
        <w:t>Section 11.05. Adjustment of Losses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loss under any property damage insurance required to be maintained by</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be adjusted by Lessor and Lessee. Any Net Award relating to a Total Condemnation or a Partial Condemnation shall be adjusted by Lessor or, at Lessor’s election, Lessee. Notwithstanding the foregoing or any other provisions of this Section 11.05 to the contrary, if at the time of any Condemnation or any Casualty or at any time thereafter an Event of Default shall have occurred and be continuing, Lessor is hereby authorized and empowered but shall not be obligated, in the name and on behalf of Lessee and otherwise,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discretion shall deem proper.</w:t>
      </w:r>
    </w:p>
    <w:p>
      <w:pPr>
        <w:spacing w:after="0" w:line="187"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11.06. Lessee Obligation in Event of Casualty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all periods of time following a Casualty, Lessee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take reasonable steps to ensure that the Property is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27" w:name="page128"/>
    <w:bookmarkEnd w:id="127"/>
    <w:p>
      <w:pPr>
        <w:ind w:right="520"/>
        <w:spacing w:after="0" w:line="247" w:lineRule="auto"/>
        <w:rPr>
          <w:sz w:val="20"/>
          <w:szCs w:val="20"/>
          <w:color w:val="auto"/>
        </w:rPr>
      </w:pPr>
      <w:r>
        <w:rPr>
          <w:rFonts w:ascii="Arial" w:cs="Arial" w:eastAsia="Arial" w:hAnsi="Arial"/>
          <w:sz w:val="20"/>
          <w:szCs w:val="20"/>
          <w:color w:val="auto"/>
        </w:rPr>
        <w:t>and does not pose any risk of harm to any adjoining property and Persons (including owners or occupants of such adjoining property).</w:t>
      </w:r>
    </w:p>
    <w:p>
      <w:pPr>
        <w:spacing w:after="0" w:line="178"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b w:val="1"/>
          <w:bCs w:val="1"/>
          <w:color w:val="auto"/>
        </w:rPr>
        <w:t>Section 11.07. Lessee Awards and Payments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contained in this Article XI, Lessee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entitled to claim and receive any award or payment from the condemning authority expressly granted for the taking of any personal property owned by Lessee (including the Personalty), any insurance proceeds with respect to any personal property owned by Lessee (including the Personalty), the interruption of its business and moving expenses (subject, however, to the provisions of Section 6.03(a)(iv) above), but only if such claim or award does not adversely affect or interfere with the prosecution of Lessor’s claim for the Condemnation or Casualty, or otherwise reduce the amount recoverable by Lessor for the Condemnation or Casualty.</w:t>
      </w:r>
    </w:p>
    <w:p>
      <w:pPr>
        <w:spacing w:after="0" w:line="180"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XII</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DEFAULT, CONDITIONAL LIMITATIONS,</w:t>
      </w:r>
    </w:p>
    <w:p>
      <w:pPr>
        <w:spacing w:after="0" w:line="2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REMEDIES AND MEASURE OF DAMAGES</w:t>
      </w:r>
    </w:p>
    <w:p>
      <w:pPr>
        <w:spacing w:after="0" w:line="192" w:lineRule="exact"/>
        <w:rPr>
          <w:sz w:val="20"/>
          <w:szCs w:val="20"/>
          <w:color w:val="auto"/>
        </w:rPr>
      </w:pPr>
    </w:p>
    <w:p>
      <w:pPr>
        <w:jc w:val="both"/>
        <w:ind w:right="20" w:firstLine="621"/>
        <w:spacing w:after="0" w:line="272" w:lineRule="auto"/>
        <w:rPr>
          <w:sz w:val="20"/>
          <w:szCs w:val="20"/>
          <w:color w:val="auto"/>
        </w:rPr>
      </w:pPr>
      <w:r>
        <w:rPr>
          <w:rFonts w:ascii="Arial" w:cs="Arial" w:eastAsia="Arial" w:hAnsi="Arial"/>
          <w:sz w:val="20"/>
          <w:szCs w:val="20"/>
          <w:b w:val="1"/>
          <w:bCs w:val="1"/>
          <w:color w:val="auto"/>
        </w:rPr>
        <w:t>Section 12.01. Event of Default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following shall be an event of default by Lessee under this Lease (each, an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91" w:lineRule="exact"/>
        <w:rPr>
          <w:sz w:val="20"/>
          <w:szCs w:val="20"/>
          <w:color w:val="auto"/>
        </w:rPr>
      </w:pPr>
    </w:p>
    <w:p>
      <w:pPr>
        <w:jc w:val="both"/>
        <w:ind w:left="660" w:firstLine="646"/>
        <w:spacing w:after="0" w:line="271" w:lineRule="auto"/>
        <w:tabs>
          <w:tab w:leader="none" w:pos="2062" w:val="left"/>
        </w:tabs>
        <w:numPr>
          <w:ilvl w:val="0"/>
          <w:numId w:val="86"/>
        </w:numPr>
        <w:rPr>
          <w:rFonts w:ascii="Arial" w:cs="Arial" w:eastAsia="Arial" w:hAnsi="Arial"/>
          <w:sz w:val="18"/>
          <w:szCs w:val="18"/>
          <w:color w:val="auto"/>
        </w:rPr>
      </w:pPr>
      <w:r>
        <w:rPr>
          <w:rFonts w:ascii="Arial" w:cs="Arial" w:eastAsia="Arial" w:hAnsi="Arial"/>
          <w:sz w:val="20"/>
          <w:szCs w:val="20"/>
          <w:color w:val="auto"/>
        </w:rPr>
        <w:t>if any representation or warranty of Lessee set forth in this Lease is false in any material respect when made, or if Lessee renders any materially false statement or account when made and such breach is not remedied within thirty (30) days of written notice thereof;</w:t>
      </w:r>
    </w:p>
    <w:p>
      <w:pPr>
        <w:spacing w:after="0" w:line="206" w:lineRule="exact"/>
        <w:rPr>
          <w:rFonts w:ascii="Arial" w:cs="Arial" w:eastAsia="Arial" w:hAnsi="Arial"/>
          <w:sz w:val="18"/>
          <w:szCs w:val="18"/>
          <w:color w:val="auto"/>
        </w:rPr>
      </w:pPr>
    </w:p>
    <w:p>
      <w:pPr>
        <w:jc w:val="both"/>
        <w:ind w:left="660" w:firstLine="646"/>
        <w:spacing w:after="0" w:line="281" w:lineRule="auto"/>
        <w:tabs>
          <w:tab w:leader="none" w:pos="2072" w:val="left"/>
        </w:tabs>
        <w:numPr>
          <w:ilvl w:val="0"/>
          <w:numId w:val="86"/>
        </w:numPr>
        <w:rPr>
          <w:rFonts w:ascii="Arial" w:cs="Arial" w:eastAsia="Arial" w:hAnsi="Arial"/>
          <w:sz w:val="17"/>
          <w:szCs w:val="17"/>
          <w:color w:val="auto"/>
        </w:rPr>
      </w:pPr>
      <w:r>
        <w:rPr>
          <w:rFonts w:ascii="Arial" w:cs="Arial" w:eastAsia="Arial" w:hAnsi="Arial"/>
          <w:sz w:val="19"/>
          <w:szCs w:val="19"/>
          <w:color w:val="auto"/>
        </w:rPr>
        <w:t xml:space="preserve">if any Rental or other Monetary Obligation due under this Lease is not paid within three (3) Business Days after written notice of failure to pay the same;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Lessor shall only be obligated to provide such</w:t>
      </w:r>
    </w:p>
    <w:p>
      <w:pPr>
        <w:spacing w:after="0" w:line="1" w:lineRule="exact"/>
        <w:rPr>
          <w:rFonts w:ascii="Arial" w:cs="Arial" w:eastAsia="Arial" w:hAnsi="Arial"/>
          <w:sz w:val="17"/>
          <w:szCs w:val="17"/>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20"/>
          <w:szCs w:val="20"/>
          <w:color w:val="auto"/>
        </w:rPr>
        <w:t xml:space="preserve">written notice and the three (3) Business Day cure period shall only be available once in any twelve (12) month period; </w:t>
      </w:r>
      <w:r>
        <w:rPr>
          <w:rFonts w:ascii="Arial" w:cs="Arial" w:eastAsia="Arial" w:hAnsi="Arial"/>
          <w:sz w:val="20"/>
          <w:szCs w:val="20"/>
          <w:i w:val="1"/>
          <w:iCs w:val="1"/>
          <w:color w:val="auto"/>
        </w:rPr>
        <w:t xml:space="preserve">provided, further, </w:t>
      </w:r>
      <w:r>
        <w:rPr>
          <w:rFonts w:ascii="Arial" w:cs="Arial" w:eastAsia="Arial" w:hAnsi="Arial"/>
          <w:sz w:val="20"/>
          <w:szCs w:val="20"/>
          <w:color w:val="auto"/>
        </w:rPr>
        <w:t>that any delay in the payment of Rental as a result of a technical error in the wiring and/or automated</w:t>
      </w:r>
      <w:r>
        <w:rPr>
          <w:rFonts w:ascii="Arial" w:cs="Arial" w:eastAsia="Arial" w:hAnsi="Arial"/>
          <w:sz w:val="20"/>
          <w:szCs w:val="20"/>
          <w:i w:val="1"/>
          <w:iCs w:val="1"/>
          <w:color w:val="auto"/>
        </w:rPr>
        <w:t xml:space="preserve"> </w:t>
      </w:r>
      <w:r>
        <w:rPr>
          <w:rFonts w:ascii="Arial" w:cs="Arial" w:eastAsia="Arial" w:hAnsi="Arial"/>
          <w:sz w:val="20"/>
          <w:szCs w:val="20"/>
          <w:color w:val="auto"/>
        </w:rPr>
        <w:t>clearinghouse process shall not constitute an Event of Default hereunder so long as the same is corrected within one (1) Business Day of the date Lessee receives notice thereof;</w:t>
      </w:r>
    </w:p>
    <w:p>
      <w:pPr>
        <w:spacing w:after="0" w:line="207" w:lineRule="exact"/>
        <w:rPr>
          <w:rFonts w:ascii="Arial" w:cs="Arial" w:eastAsia="Arial" w:hAnsi="Arial"/>
          <w:sz w:val="17"/>
          <w:szCs w:val="17"/>
          <w:color w:val="auto"/>
        </w:rPr>
      </w:pPr>
    </w:p>
    <w:p>
      <w:pPr>
        <w:ind w:left="660" w:firstLine="646"/>
        <w:spacing w:after="0" w:line="275" w:lineRule="auto"/>
        <w:tabs>
          <w:tab w:leader="none" w:pos="2062" w:val="left"/>
        </w:tabs>
        <w:numPr>
          <w:ilvl w:val="0"/>
          <w:numId w:val="86"/>
        </w:numPr>
        <w:rPr>
          <w:rFonts w:ascii="Arial" w:cs="Arial" w:eastAsia="Arial" w:hAnsi="Arial"/>
          <w:sz w:val="18"/>
          <w:szCs w:val="18"/>
          <w:color w:val="auto"/>
        </w:rPr>
      </w:pPr>
      <w:r>
        <w:rPr>
          <w:rFonts w:ascii="Arial" w:cs="Arial" w:eastAsia="Arial" w:hAnsi="Arial"/>
          <w:sz w:val="20"/>
          <w:szCs w:val="20"/>
          <w:color w:val="auto"/>
        </w:rPr>
        <w:t>if Lessee fails to pay, prior to delinquency, any taxes, assessments or other charges the failure of which to pay will result in the imposition of a lien against the Property;</w:t>
      </w:r>
    </w:p>
    <w:p>
      <w:pPr>
        <w:spacing w:after="0" w:line="202" w:lineRule="exact"/>
        <w:rPr>
          <w:rFonts w:ascii="Arial" w:cs="Arial" w:eastAsia="Arial" w:hAnsi="Arial"/>
          <w:sz w:val="18"/>
          <w:szCs w:val="18"/>
          <w:color w:val="auto"/>
        </w:rPr>
      </w:pPr>
    </w:p>
    <w:p>
      <w:pPr>
        <w:ind w:left="2060" w:hanging="754"/>
        <w:spacing w:after="0"/>
        <w:tabs>
          <w:tab w:leader="none" w:pos="2060" w:val="left"/>
        </w:tabs>
        <w:numPr>
          <w:ilvl w:val="0"/>
          <w:numId w:val="86"/>
        </w:numPr>
        <w:rPr>
          <w:rFonts w:ascii="Arial" w:cs="Arial" w:eastAsia="Arial" w:hAnsi="Arial"/>
          <w:sz w:val="18"/>
          <w:szCs w:val="18"/>
          <w:color w:val="auto"/>
        </w:rPr>
      </w:pPr>
      <w:r>
        <w:rPr>
          <w:rFonts w:ascii="Arial" w:cs="Arial" w:eastAsia="Arial" w:hAnsi="Arial"/>
          <w:sz w:val="20"/>
          <w:szCs w:val="20"/>
          <w:color w:val="auto"/>
        </w:rPr>
        <w:t>subject to Lessee’s rights under Section 8.01(b), if Lessee vacates or abandons the Property;</w:t>
      </w:r>
    </w:p>
    <w:p>
      <w:pPr>
        <w:spacing w:after="0" w:line="229" w:lineRule="exact"/>
        <w:rPr>
          <w:rFonts w:ascii="Arial" w:cs="Arial" w:eastAsia="Arial" w:hAnsi="Arial"/>
          <w:sz w:val="18"/>
          <w:szCs w:val="18"/>
          <w:color w:val="auto"/>
        </w:rPr>
      </w:pPr>
    </w:p>
    <w:p>
      <w:pPr>
        <w:ind w:left="1960" w:hanging="654"/>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20"/>
          <w:szCs w:val="20"/>
          <w:color w:val="auto"/>
        </w:rPr>
        <w:t>if there is an Insolvency Event affecting Lessee or the Guarantor;</w:t>
      </w:r>
    </w:p>
    <w:p>
      <w:pPr>
        <w:spacing w:after="0" w:line="229" w:lineRule="exact"/>
        <w:rPr>
          <w:rFonts w:ascii="Arial" w:cs="Arial" w:eastAsia="Arial" w:hAnsi="Arial"/>
          <w:sz w:val="18"/>
          <w:szCs w:val="18"/>
          <w:color w:val="auto"/>
        </w:rPr>
      </w:pPr>
    </w:p>
    <w:p>
      <w:pPr>
        <w:jc w:val="both"/>
        <w:ind w:left="660" w:firstLine="646"/>
        <w:spacing w:after="0" w:line="270" w:lineRule="auto"/>
        <w:tabs>
          <w:tab w:leader="none" w:pos="2042" w:val="left"/>
        </w:tabs>
        <w:numPr>
          <w:ilvl w:val="0"/>
          <w:numId w:val="86"/>
        </w:numPr>
        <w:rPr>
          <w:rFonts w:ascii="Arial" w:cs="Arial" w:eastAsia="Arial" w:hAnsi="Arial"/>
          <w:sz w:val="18"/>
          <w:szCs w:val="18"/>
          <w:color w:val="auto"/>
        </w:rPr>
      </w:pPr>
      <w:r>
        <w:rPr>
          <w:rFonts w:ascii="Arial" w:cs="Arial" w:eastAsia="Arial" w:hAnsi="Arial"/>
          <w:sz w:val="20"/>
          <w:szCs w:val="20"/>
          <w:color w:val="auto"/>
        </w:rPr>
        <w:t xml:space="preserve">if Lessee fails to observe or perform any of the other covenants, conditions or obligations of Lessee in this Lease; </w:t>
      </w:r>
      <w:r>
        <w:rPr>
          <w:rFonts w:ascii="Arial" w:cs="Arial" w:eastAsia="Arial" w:hAnsi="Arial"/>
          <w:sz w:val="20"/>
          <w:szCs w:val="20"/>
          <w:i w:val="1"/>
          <w:iCs w:val="1"/>
          <w:color w:val="auto"/>
        </w:rPr>
        <w:t>provided, however</w:t>
      </w:r>
      <w:r>
        <w:rPr>
          <w:rFonts w:ascii="Arial" w:cs="Arial" w:eastAsia="Arial" w:hAnsi="Arial"/>
          <w:sz w:val="20"/>
          <w:szCs w:val="20"/>
          <w:color w:val="auto"/>
        </w:rPr>
        <w:t>, if any such failure does not involve the payment of any Monetary Obligation, is not willful or intentional, does not place the Property or any rights or property of Lessor in immediate jeopardy, and is within the reasonable power of Lessee to promptly cure, all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28" w:name="page129"/>
    <w:bookmarkEnd w:id="128"/>
    <w:p>
      <w:pPr>
        <w:ind w:left="660"/>
        <w:spacing w:after="0" w:line="239" w:lineRule="auto"/>
        <w:rPr>
          <w:sz w:val="20"/>
          <w:szCs w:val="20"/>
          <w:color w:val="auto"/>
        </w:rPr>
      </w:pPr>
      <w:r>
        <w:rPr>
          <w:rFonts w:ascii="Arial" w:cs="Arial" w:eastAsia="Arial" w:hAnsi="Arial"/>
          <w:sz w:val="20"/>
          <w:szCs w:val="20"/>
          <w:color w:val="auto"/>
        </w:rPr>
        <w:t>Lessor in its reasonable discretion, then such failure shall not constitute an Event of Default hereunder, unless otherwise expressly provided herein, unless and until Lessor shall have given Lessee written notice thereof and a period of thirty</w:t>
      </w:r>
    </w:p>
    <w:p>
      <w:pPr>
        <w:spacing w:after="0" w:line="1" w:lineRule="exact"/>
        <w:rPr>
          <w:sz w:val="20"/>
          <w:szCs w:val="20"/>
          <w:color w:val="auto"/>
        </w:rPr>
      </w:pPr>
    </w:p>
    <w:p>
      <w:pPr>
        <w:jc w:val="both"/>
        <w:ind w:left="660" w:hanging="3"/>
        <w:spacing w:after="0" w:line="255" w:lineRule="auto"/>
        <w:tabs>
          <w:tab w:leader="none" w:pos="1070" w:val="left"/>
        </w:tabs>
        <w:numPr>
          <w:ilvl w:val="0"/>
          <w:numId w:val="87"/>
        </w:numPr>
        <w:rPr>
          <w:rFonts w:ascii="Arial" w:cs="Arial" w:eastAsia="Arial" w:hAnsi="Arial"/>
          <w:sz w:val="19"/>
          <w:szCs w:val="19"/>
          <w:color w:val="auto"/>
        </w:rPr>
      </w:pPr>
      <w:r>
        <w:rPr>
          <w:rFonts w:ascii="Arial" w:cs="Arial" w:eastAsia="Arial" w:hAnsi="Arial"/>
          <w:sz w:val="19"/>
          <w:szCs w:val="19"/>
          <w:color w:val="auto"/>
        </w:rPr>
        <w:t>days shall have elapsed, during which period Lessee may correct or cure such failure, upon failure of which an Event of Default shall be deemed to have occurred hereunder without further notice or demand of any kind being required. If such failure cannot reasonably be cured within such thirty (30)-day period, as determined by Lessor in its reasonable discretion, and Lessee is diligently pursuing a cure of such failure, then Lessee shall have a reasonable period to cure such failure beyond such thirty (30)-day period, which shall in no event exceed ninety (90) days after receiving notice of such failure from Lessor. If Lessee shall fail to correct or cure such failure within such ninety (90)-day period, an Event of Default shall be deemed to have occurred hereunder without further notice or demand of any kind being required;</w:t>
      </w:r>
    </w:p>
    <w:p>
      <w:pPr>
        <w:spacing w:after="0" w:line="211" w:lineRule="exact"/>
        <w:rPr>
          <w:rFonts w:ascii="Arial" w:cs="Arial" w:eastAsia="Arial" w:hAnsi="Arial"/>
          <w:sz w:val="19"/>
          <w:szCs w:val="19"/>
          <w:color w:val="auto"/>
        </w:rPr>
      </w:pPr>
    </w:p>
    <w:p>
      <w:pPr>
        <w:ind w:left="660" w:firstLine="646"/>
        <w:spacing w:after="0" w:line="275" w:lineRule="auto"/>
        <w:tabs>
          <w:tab w:leader="none" w:pos="2072" w:val="left"/>
        </w:tabs>
        <w:numPr>
          <w:ilvl w:val="1"/>
          <w:numId w:val="87"/>
        </w:numPr>
        <w:rPr>
          <w:rFonts w:ascii="Arial" w:cs="Arial" w:eastAsia="Arial" w:hAnsi="Arial"/>
          <w:sz w:val="18"/>
          <w:szCs w:val="18"/>
          <w:color w:val="auto"/>
        </w:rPr>
      </w:pPr>
      <w:r>
        <w:rPr>
          <w:rFonts w:ascii="Arial" w:cs="Arial" w:eastAsia="Arial" w:hAnsi="Arial"/>
          <w:sz w:val="20"/>
          <w:szCs w:val="20"/>
          <w:color w:val="auto"/>
        </w:rPr>
        <w:t>if a final, nonappealable judgment is rendered by a court against Lessee which has a Material Adverse Effect, and is not discharged or provision made for such discharge within ninety (90) days from the date of entry thereof;</w:t>
      </w:r>
    </w:p>
    <w:p>
      <w:pPr>
        <w:spacing w:after="0" w:line="202" w:lineRule="exact"/>
        <w:rPr>
          <w:rFonts w:ascii="Arial" w:cs="Arial" w:eastAsia="Arial" w:hAnsi="Arial"/>
          <w:sz w:val="18"/>
          <w:szCs w:val="18"/>
          <w:color w:val="auto"/>
        </w:rPr>
      </w:pPr>
    </w:p>
    <w:p>
      <w:pPr>
        <w:ind w:left="2060" w:hanging="754"/>
        <w:spacing w:after="0"/>
        <w:tabs>
          <w:tab w:leader="none" w:pos="2060" w:val="left"/>
        </w:tabs>
        <w:numPr>
          <w:ilvl w:val="1"/>
          <w:numId w:val="87"/>
        </w:numPr>
        <w:rPr>
          <w:rFonts w:ascii="Arial" w:cs="Arial" w:eastAsia="Arial" w:hAnsi="Arial"/>
          <w:sz w:val="18"/>
          <w:szCs w:val="18"/>
          <w:color w:val="auto"/>
        </w:rPr>
      </w:pPr>
      <w:r>
        <w:rPr>
          <w:rFonts w:ascii="Arial" w:cs="Arial" w:eastAsia="Arial" w:hAnsi="Arial"/>
          <w:sz w:val="20"/>
          <w:szCs w:val="20"/>
          <w:color w:val="auto"/>
        </w:rPr>
        <w:t>if Lessee shall be liquidated or dissolved or shall begin proceedings towards its liquidation or dissolution;</w:t>
      </w:r>
    </w:p>
    <w:p>
      <w:pPr>
        <w:spacing w:after="0" w:line="242" w:lineRule="exact"/>
        <w:rPr>
          <w:rFonts w:ascii="Arial" w:cs="Arial" w:eastAsia="Arial" w:hAnsi="Arial"/>
          <w:sz w:val="18"/>
          <w:szCs w:val="18"/>
          <w:color w:val="auto"/>
        </w:rPr>
      </w:pPr>
    </w:p>
    <w:p>
      <w:pPr>
        <w:jc w:val="both"/>
        <w:ind w:left="660" w:firstLine="646"/>
        <w:spacing w:after="0" w:line="267" w:lineRule="auto"/>
        <w:tabs>
          <w:tab w:leader="none" w:pos="2032" w:val="left"/>
        </w:tabs>
        <w:numPr>
          <w:ilvl w:val="1"/>
          <w:numId w:val="87"/>
        </w:numPr>
        <w:rPr>
          <w:rFonts w:ascii="Arial" w:cs="Arial" w:eastAsia="Arial" w:hAnsi="Arial"/>
          <w:sz w:val="18"/>
          <w:szCs w:val="18"/>
          <w:color w:val="auto"/>
        </w:rPr>
      </w:pPr>
      <w:r>
        <w:rPr>
          <w:rFonts w:ascii="Arial" w:cs="Arial" w:eastAsia="Arial" w:hAnsi="Arial"/>
          <w:sz w:val="20"/>
          <w:szCs w:val="20"/>
          <w:color w:val="auto"/>
        </w:rPr>
        <w:t>if the estate or interest of Lessee in the Property shall be levied upon or attached in any proceeding and such estate or interest is about to be sold or transferred or such process shall not be vacated or discharged within ninety</w:t>
      </w:r>
    </w:p>
    <w:p>
      <w:pPr>
        <w:spacing w:after="0" w:line="1" w:lineRule="exact"/>
        <w:rPr>
          <w:rFonts w:ascii="Arial" w:cs="Arial" w:eastAsia="Arial" w:hAnsi="Arial"/>
          <w:sz w:val="18"/>
          <w:szCs w:val="18"/>
          <w:color w:val="auto"/>
        </w:rPr>
      </w:pPr>
    </w:p>
    <w:p>
      <w:pPr>
        <w:ind w:left="1060" w:hanging="403"/>
        <w:spacing w:after="0"/>
        <w:tabs>
          <w:tab w:leader="none" w:pos="10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days after it is made; or</w:t>
      </w:r>
    </w:p>
    <w:p>
      <w:pPr>
        <w:spacing w:after="0" w:line="242" w:lineRule="exact"/>
        <w:rPr>
          <w:rFonts w:ascii="Arial" w:cs="Arial" w:eastAsia="Arial" w:hAnsi="Arial"/>
          <w:sz w:val="20"/>
          <w:szCs w:val="20"/>
          <w:color w:val="auto"/>
        </w:rPr>
      </w:pPr>
    </w:p>
    <w:p>
      <w:pPr>
        <w:jc w:val="both"/>
        <w:ind w:left="660" w:firstLine="646"/>
        <w:spacing w:after="0" w:line="269" w:lineRule="auto"/>
        <w:tabs>
          <w:tab w:leader="none" w:pos="2032" w:val="left"/>
        </w:tabs>
        <w:numPr>
          <w:ilvl w:val="1"/>
          <w:numId w:val="88"/>
        </w:numPr>
        <w:rPr>
          <w:rFonts w:ascii="Arial" w:cs="Arial" w:eastAsia="Arial" w:hAnsi="Arial"/>
          <w:sz w:val="18"/>
          <w:szCs w:val="18"/>
          <w:color w:val="auto"/>
        </w:rPr>
      </w:pPr>
      <w:r>
        <w:rPr>
          <w:rFonts w:ascii="Arial" w:cs="Arial" w:eastAsia="Arial" w:hAnsi="Arial"/>
          <w:sz w:val="20"/>
          <w:szCs w:val="20"/>
          <w:color w:val="auto"/>
        </w:rPr>
        <w:t xml:space="preserve">if there is an “Event of Default” or other breach or default by Lessee or the Guarantor under any of the other Transaction Documents or any Other Agreement , after the passage of all applicable notice and cure or grace periods; </w:t>
      </w:r>
      <w:r>
        <w:rPr>
          <w:rFonts w:ascii="Arial" w:cs="Arial" w:eastAsia="Arial" w:hAnsi="Arial"/>
          <w:sz w:val="20"/>
          <w:szCs w:val="20"/>
          <w:i w:val="1"/>
          <w:iCs w:val="1"/>
          <w:color w:val="auto"/>
        </w:rPr>
        <w:t>provided, however</w:t>
      </w:r>
      <w:r>
        <w:rPr>
          <w:rFonts w:ascii="Arial" w:cs="Arial" w:eastAsia="Arial" w:hAnsi="Arial"/>
          <w:sz w:val="20"/>
          <w:szCs w:val="20"/>
          <w:color w:val="auto"/>
        </w:rPr>
        <w:t>, in the event that this Lease has been the subject of a Securitization and any Other Agreement has not been the subject of the same Securitization or any series relating to such Securitization, an “Event of Default” under such Other Agreement shall not constitute an Event of Default under this Lease.</w:t>
      </w:r>
    </w:p>
    <w:p>
      <w:pPr>
        <w:spacing w:after="0" w:line="17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b w:val="1"/>
          <w:bCs w:val="1"/>
          <w:color w:val="auto"/>
        </w:rPr>
        <w:t>Section 12.02. Remedies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occurrence of an Event of Default, with or without notice or demand,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expressly provided herein or such other notice as may be required by statute and cannot be waived by Lessee, Lessor shall be entitled to exercise, at its option, concurrently, successively, or in any combination, all remedies available at Law or in equity, including, without limitation, any one or more of the following:</w:t>
      </w:r>
    </w:p>
    <w:p>
      <w:pPr>
        <w:spacing w:after="0" w:line="214" w:lineRule="exact"/>
        <w:rPr>
          <w:sz w:val="20"/>
          <w:szCs w:val="20"/>
          <w:color w:val="auto"/>
        </w:rPr>
      </w:pPr>
    </w:p>
    <w:p>
      <w:pPr>
        <w:ind w:left="660" w:firstLine="646"/>
        <w:spacing w:after="0" w:line="275" w:lineRule="auto"/>
        <w:tabs>
          <w:tab w:leader="none" w:pos="2062" w:val="left"/>
        </w:tabs>
        <w:numPr>
          <w:ilvl w:val="0"/>
          <w:numId w:val="89"/>
        </w:numPr>
        <w:rPr>
          <w:rFonts w:ascii="Arial" w:cs="Arial" w:eastAsia="Arial" w:hAnsi="Arial"/>
          <w:sz w:val="18"/>
          <w:szCs w:val="18"/>
          <w:color w:val="auto"/>
        </w:rPr>
      </w:pPr>
      <w:r>
        <w:rPr>
          <w:rFonts w:ascii="Arial" w:cs="Arial" w:eastAsia="Arial" w:hAnsi="Arial"/>
          <w:sz w:val="20"/>
          <w:szCs w:val="20"/>
          <w:color w:val="auto"/>
        </w:rPr>
        <w:t>to terminate this Lease, whereupon Lessee’s right to possession of the Property shall cease and this Lease, except as to Lessee’s liability, shall be terminated;</w:t>
      </w:r>
    </w:p>
    <w:p>
      <w:pPr>
        <w:spacing w:after="0" w:line="202" w:lineRule="exact"/>
        <w:rPr>
          <w:rFonts w:ascii="Arial" w:cs="Arial" w:eastAsia="Arial" w:hAnsi="Arial"/>
          <w:sz w:val="18"/>
          <w:szCs w:val="18"/>
          <w:color w:val="auto"/>
        </w:rPr>
      </w:pPr>
    </w:p>
    <w:p>
      <w:pPr>
        <w:jc w:val="both"/>
        <w:ind w:left="660" w:firstLine="646"/>
        <w:spacing w:after="0" w:line="269" w:lineRule="auto"/>
        <w:tabs>
          <w:tab w:leader="none" w:pos="2072" w:val="left"/>
        </w:tabs>
        <w:numPr>
          <w:ilvl w:val="0"/>
          <w:numId w:val="89"/>
        </w:numPr>
        <w:rPr>
          <w:rFonts w:ascii="Arial" w:cs="Arial" w:eastAsia="Arial" w:hAnsi="Arial"/>
          <w:sz w:val="18"/>
          <w:szCs w:val="18"/>
          <w:color w:val="auto"/>
        </w:rPr>
      </w:pPr>
      <w:r>
        <w:rPr>
          <w:rFonts w:ascii="Arial" w:cs="Arial" w:eastAsia="Arial" w:hAnsi="Arial"/>
          <w:sz w:val="20"/>
          <w:szCs w:val="20"/>
          <w:color w:val="auto"/>
        </w:rPr>
        <w:t>to the extent not prohibited by applicable Law, to (i) re-enter and take possession of the Property (or any part thereof), any or all personal property (subject to any rights of Lessee’s Institutional Lenders) or fixtures of Lessee upon the Property and, to the extent permissible, permits and other rights or privileges of Lessee pertaining to the use and operation of the Property, and (ii) expel Lessee and those claiming under or through Lessee, without being deemed guilty in any manner of trespass or becoming</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liable for any loss or damage resulting therefrom, without resort to legal or judicial process,</w:t>
      </w: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29" w:name="page130"/>
    <w:bookmarkEnd w:id="129"/>
    <w:p>
      <w:pPr>
        <w:jc w:val="both"/>
        <w:ind w:left="620"/>
        <w:spacing w:after="0"/>
        <w:rPr>
          <w:sz w:val="20"/>
          <w:szCs w:val="20"/>
          <w:color w:val="auto"/>
        </w:rPr>
      </w:pPr>
      <w:r>
        <w:rPr>
          <w:rFonts w:ascii="Arial" w:cs="Arial" w:eastAsia="Arial" w:hAnsi="Arial"/>
          <w:sz w:val="20"/>
          <w:szCs w:val="20"/>
          <w:color w:val="auto"/>
        </w:rPr>
        <w:t>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the Property to Lessor, deliver to Lessor or its agents the keys to the Property, or both, such actions shall be deemed to be in compliance with Lessor’s rights and the acceptance thereof by Lessor or its agents shall not be deemed to constitute a termination of the Lease. Lessor reserves the right following any re-entry and/or reletting to exercise its right to terminate this Lease by giving Lessee written notice thereof, in which event this Lease will terminate;</w:t>
      </w:r>
    </w:p>
    <w:p>
      <w:pPr>
        <w:spacing w:after="0" w:line="227" w:lineRule="exact"/>
        <w:rPr>
          <w:sz w:val="20"/>
          <w:szCs w:val="20"/>
          <w:color w:val="auto"/>
        </w:rPr>
      </w:pPr>
    </w:p>
    <w:p>
      <w:pPr>
        <w:jc w:val="both"/>
        <w:ind w:left="620" w:firstLine="646"/>
        <w:spacing w:after="0" w:line="269" w:lineRule="auto"/>
        <w:tabs>
          <w:tab w:leader="none" w:pos="2022" w:val="left"/>
        </w:tabs>
        <w:numPr>
          <w:ilvl w:val="0"/>
          <w:numId w:val="90"/>
        </w:numPr>
        <w:rPr>
          <w:rFonts w:ascii="Arial" w:cs="Arial" w:eastAsia="Arial" w:hAnsi="Arial"/>
          <w:sz w:val="18"/>
          <w:szCs w:val="18"/>
          <w:color w:val="auto"/>
        </w:rPr>
      </w:pPr>
      <w:r>
        <w:rPr>
          <w:rFonts w:ascii="Arial" w:cs="Arial" w:eastAsia="Arial" w:hAnsi="Arial"/>
          <w:sz w:val="20"/>
          <w:szCs w:val="20"/>
          <w:color w:val="auto"/>
        </w:rPr>
        <w:t>to bring an action against Lessee for any damages sustained by Lessor or any equitable relief available to Lessor and to the extent not prohibited by applicable Law, to seize all personal property (subject to any rights of Lessee’s Institutional Lenders) or fixtures upon the Property which Lessee owns or in which it has an interest, in which Lessor shall have a landlord’s lien and/or security interest, and to dispose thereof in accordance with the Laws prevailing at the time and place of such seizure or to remove all or any portion of such property and cause the same to be stored in a public warehouse or elsewhere at Lessee’s sole expense, without becoming liable for any loss or damage resulting therefrom and without resorting to legal or judicial process, procedure or action;</w:t>
      </w:r>
    </w:p>
    <w:p>
      <w:pPr>
        <w:spacing w:after="0" w:line="207" w:lineRule="exact"/>
        <w:rPr>
          <w:rFonts w:ascii="Arial" w:cs="Arial" w:eastAsia="Arial" w:hAnsi="Arial"/>
          <w:sz w:val="18"/>
          <w:szCs w:val="18"/>
          <w:color w:val="auto"/>
        </w:rPr>
      </w:pPr>
    </w:p>
    <w:p>
      <w:pPr>
        <w:jc w:val="both"/>
        <w:ind w:left="620" w:firstLine="646"/>
        <w:spacing w:after="0" w:line="268" w:lineRule="auto"/>
        <w:tabs>
          <w:tab w:leader="none" w:pos="2032" w:val="left"/>
        </w:tabs>
        <w:numPr>
          <w:ilvl w:val="0"/>
          <w:numId w:val="90"/>
        </w:numPr>
        <w:rPr>
          <w:rFonts w:ascii="Arial" w:cs="Arial" w:eastAsia="Arial" w:hAnsi="Arial"/>
          <w:sz w:val="18"/>
          <w:szCs w:val="18"/>
          <w:color w:val="auto"/>
        </w:rPr>
      </w:pPr>
      <w:r>
        <w:rPr>
          <w:rFonts w:ascii="Arial" w:cs="Arial" w:eastAsia="Arial" w:hAnsi="Arial"/>
          <w:sz w:val="20"/>
          <w:szCs w:val="20"/>
          <w:color w:val="auto"/>
        </w:rPr>
        <w:t>to relet the Property or any part thereof for such term or terms (including a term which extends beyond the original Lease Term, provided that the portion of such term that extends beyond the original Lease Term (or then applicable Extension Term) shall be governed by a direct lease agreement between Lessor and new lessee, with no obligations from Lessee)), at such rentals and upon such other terms as Lessor, in its reasonable discretion, may determine, with all proceeds received from such reletting being applied to the Rental and other Monetary Obligations due from Lessee in such order as Lessor may, in its reasonable discretion, determine, which other Monetary Obligations include, without limitation, all repossession costs, brokerage commissions, reasonable attorneys’ fees and expenses, alteration, remodeling and repair costs and expenses of preparing for such reletting. Except to the extent required by applicable Law, Lessor shall have no obligation to relet the Property or any part thereof and shall in no event be liable for refusal or failure to relet the Property or any part thereof, or, in the event of any such reletting, for reasonable refusal or failure to collect any rent due upon such reletting, and no such refusal or failure shall operate to relieve Lessee of any liability under this Lease or otherwise to affect any such liability. Lessor reserves the right following any re-entry and/or reletting to exercise its right to terminate this Lease by giving Lessee written notice thereof, in which event this Lease will terminate as specified in said notice;</w:t>
      </w:r>
    </w:p>
    <w:p>
      <w:pPr>
        <w:spacing w:after="0" w:line="213" w:lineRule="exact"/>
        <w:rPr>
          <w:rFonts w:ascii="Arial" w:cs="Arial" w:eastAsia="Arial" w:hAnsi="Arial"/>
          <w:sz w:val="18"/>
          <w:szCs w:val="18"/>
          <w:color w:val="auto"/>
        </w:rPr>
      </w:pPr>
    </w:p>
    <w:p>
      <w:pPr>
        <w:jc w:val="both"/>
        <w:ind w:left="620" w:firstLine="646"/>
        <w:spacing w:after="0" w:line="271" w:lineRule="auto"/>
        <w:tabs>
          <w:tab w:leader="none" w:pos="2022" w:val="left"/>
        </w:tabs>
        <w:numPr>
          <w:ilvl w:val="0"/>
          <w:numId w:val="90"/>
        </w:numPr>
        <w:rPr>
          <w:rFonts w:ascii="Arial" w:cs="Arial" w:eastAsia="Arial" w:hAnsi="Arial"/>
          <w:sz w:val="18"/>
          <w:szCs w:val="18"/>
          <w:color w:val="auto"/>
        </w:rPr>
      </w:pPr>
      <w:r>
        <w:rPr>
          <w:rFonts w:ascii="Arial" w:cs="Arial" w:eastAsia="Arial" w:hAnsi="Arial"/>
          <w:sz w:val="20"/>
          <w:szCs w:val="20"/>
          <w:color w:val="auto"/>
        </w:rPr>
        <w:t>except to the extent prohibited by applicable Law to accelerate and recover from Lessee all Rental and other Monetary Obligations due and owing and scheduled to become due and owing under this Lease both before and after the date of such breach for the entire original scheduled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00"/>
          </w:cols>
          <w:pgMar w:left="360" w:top="636" w:right="239" w:bottom="1440" w:gutter="0" w:footer="0" w:header="0"/>
        </w:sectPr>
      </w:pPr>
    </w:p>
    <w:bookmarkStart w:id="130" w:name="page131"/>
    <w:bookmarkEnd w:id="130"/>
    <w:p>
      <w:pPr>
        <w:ind w:left="660" w:firstLine="646"/>
        <w:spacing w:after="0" w:line="275" w:lineRule="auto"/>
        <w:tabs>
          <w:tab w:leader="none" w:pos="2042" w:val="left"/>
        </w:tabs>
        <w:numPr>
          <w:ilvl w:val="0"/>
          <w:numId w:val="91"/>
        </w:numPr>
        <w:rPr>
          <w:rFonts w:ascii="Arial" w:cs="Arial" w:eastAsia="Arial" w:hAnsi="Arial"/>
          <w:sz w:val="18"/>
          <w:szCs w:val="18"/>
          <w:color w:val="auto"/>
        </w:rPr>
      </w:pPr>
      <w:r>
        <w:rPr>
          <w:rFonts w:ascii="Arial" w:cs="Arial" w:eastAsia="Arial" w:hAnsi="Arial"/>
          <w:sz w:val="20"/>
          <w:szCs w:val="20"/>
          <w:color w:val="auto"/>
        </w:rPr>
        <w:t>to recover from Lessee all Costs paid or incurred by Lessor as a result of such breach, regardless of whether or not legal proceedings are actually commenced;</w:t>
      </w:r>
    </w:p>
    <w:p>
      <w:pPr>
        <w:spacing w:after="0" w:line="202" w:lineRule="exact"/>
        <w:rPr>
          <w:rFonts w:ascii="Arial" w:cs="Arial" w:eastAsia="Arial" w:hAnsi="Arial"/>
          <w:sz w:val="18"/>
          <w:szCs w:val="18"/>
          <w:color w:val="auto"/>
        </w:rPr>
      </w:pPr>
    </w:p>
    <w:p>
      <w:pPr>
        <w:jc w:val="both"/>
        <w:ind w:left="660" w:firstLine="646"/>
        <w:spacing w:after="0" w:line="281" w:lineRule="auto"/>
        <w:tabs>
          <w:tab w:leader="none" w:pos="2072" w:val="left"/>
        </w:tabs>
        <w:numPr>
          <w:ilvl w:val="0"/>
          <w:numId w:val="91"/>
        </w:numPr>
        <w:rPr>
          <w:rFonts w:ascii="Arial" w:cs="Arial" w:eastAsia="Arial" w:hAnsi="Arial"/>
          <w:sz w:val="17"/>
          <w:szCs w:val="17"/>
          <w:color w:val="auto"/>
        </w:rPr>
      </w:pPr>
      <w:r>
        <w:rPr>
          <w:rFonts w:ascii="Arial" w:cs="Arial" w:eastAsia="Arial" w:hAnsi="Arial"/>
          <w:sz w:val="19"/>
          <w:szCs w:val="19"/>
          <w:color w:val="auto"/>
        </w:rPr>
        <w:t>to immediately or at any time thereafter, and with or without notice, at Lessor’s sole option but without any obligation to do so, correct such breach or default and charge Lessee all Costs incurred by Lessor therein. Any sum or</w:t>
      </w:r>
    </w:p>
    <w:p>
      <w:pPr>
        <w:spacing w:after="0" w:line="1" w:lineRule="exact"/>
        <w:rPr>
          <w:rFonts w:ascii="Arial" w:cs="Arial" w:eastAsia="Arial" w:hAnsi="Arial"/>
          <w:sz w:val="17"/>
          <w:szCs w:val="17"/>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20"/>
          <w:szCs w:val="20"/>
          <w:color w:val="auto"/>
        </w:rPr>
        <w:t>sums so paid by Lessor, together with interest at the Default Rate, shall be deemed to be Additional Rental hereunder and shall be promptly due from Lessee to Lessor upon delivery of an invoice from Lessor to Lessee. Any such acts by Lessor in correcting Lessee’s breaches or defaults hereunder shall not be deemed to cure said breaches or defaults or constitute any waiver of Lessor’s right to exercise any or all remedies set forth herein;</w:t>
      </w:r>
    </w:p>
    <w:p>
      <w:pPr>
        <w:spacing w:after="0" w:line="207" w:lineRule="exact"/>
        <w:rPr>
          <w:rFonts w:ascii="Arial" w:cs="Arial" w:eastAsia="Arial" w:hAnsi="Arial"/>
          <w:sz w:val="17"/>
          <w:szCs w:val="17"/>
          <w:color w:val="auto"/>
        </w:rPr>
      </w:pPr>
    </w:p>
    <w:p>
      <w:pPr>
        <w:jc w:val="both"/>
        <w:ind w:left="660" w:firstLine="646"/>
        <w:spacing w:after="0" w:line="271" w:lineRule="auto"/>
        <w:tabs>
          <w:tab w:leader="none" w:pos="2072" w:val="left"/>
        </w:tabs>
        <w:numPr>
          <w:ilvl w:val="0"/>
          <w:numId w:val="91"/>
        </w:numPr>
        <w:rPr>
          <w:rFonts w:ascii="Arial" w:cs="Arial" w:eastAsia="Arial" w:hAnsi="Arial"/>
          <w:sz w:val="18"/>
          <w:szCs w:val="18"/>
          <w:color w:val="auto"/>
        </w:rPr>
      </w:pPr>
      <w:r>
        <w:rPr>
          <w:rFonts w:ascii="Arial" w:cs="Arial" w:eastAsia="Arial" w:hAnsi="Arial"/>
          <w:sz w:val="20"/>
          <w:szCs w:val="20"/>
          <w:color w:val="auto"/>
        </w:rPr>
        <w:t>to immediately or at any time thereafter, and with or without notice, except as required herein, set off any money of Lessee held by Lessor under this Lease or any other Transaction Document or any Other Agreement against any sum owing by Lessee hereunder;</w:t>
      </w:r>
    </w:p>
    <w:p>
      <w:pPr>
        <w:spacing w:after="0" w:line="193" w:lineRule="exact"/>
        <w:rPr>
          <w:rFonts w:ascii="Arial" w:cs="Arial" w:eastAsia="Arial" w:hAnsi="Arial"/>
          <w:sz w:val="18"/>
          <w:szCs w:val="18"/>
          <w:color w:val="auto"/>
        </w:rPr>
      </w:pPr>
    </w:p>
    <w:p>
      <w:pPr>
        <w:ind w:left="1960" w:hanging="654"/>
        <w:spacing w:after="0"/>
        <w:tabs>
          <w:tab w:leader="none" w:pos="1960" w:val="left"/>
        </w:tabs>
        <w:numPr>
          <w:ilvl w:val="0"/>
          <w:numId w:val="91"/>
        </w:numPr>
        <w:rPr>
          <w:rFonts w:ascii="Arial" w:cs="Arial" w:eastAsia="Arial" w:hAnsi="Arial"/>
          <w:sz w:val="18"/>
          <w:szCs w:val="18"/>
          <w:color w:val="auto"/>
        </w:rPr>
      </w:pPr>
      <w:r>
        <w:rPr>
          <w:rFonts w:ascii="Arial" w:cs="Arial" w:eastAsia="Arial" w:hAnsi="Arial"/>
          <w:sz w:val="20"/>
          <w:szCs w:val="20"/>
          <w:color w:val="auto"/>
        </w:rPr>
        <w:t>to use the Security Deposit as described in Section 4.09 hereof;</w:t>
      </w:r>
    </w:p>
    <w:p>
      <w:pPr>
        <w:spacing w:after="0" w:line="229" w:lineRule="exact"/>
        <w:rPr>
          <w:rFonts w:ascii="Arial" w:cs="Arial" w:eastAsia="Arial" w:hAnsi="Arial"/>
          <w:sz w:val="18"/>
          <w:szCs w:val="18"/>
          <w:color w:val="auto"/>
        </w:rPr>
      </w:pPr>
    </w:p>
    <w:p>
      <w:pPr>
        <w:jc w:val="both"/>
        <w:ind w:left="660" w:firstLine="646"/>
        <w:spacing w:after="0" w:line="267" w:lineRule="auto"/>
        <w:tabs>
          <w:tab w:leader="none" w:pos="2032" w:val="left"/>
        </w:tabs>
        <w:numPr>
          <w:ilvl w:val="0"/>
          <w:numId w:val="91"/>
        </w:numPr>
        <w:rPr>
          <w:rFonts w:ascii="Arial" w:cs="Arial" w:eastAsia="Arial" w:hAnsi="Arial"/>
          <w:sz w:val="18"/>
          <w:szCs w:val="18"/>
          <w:color w:val="auto"/>
        </w:rPr>
      </w:pPr>
      <w:r>
        <w:rPr>
          <w:rFonts w:ascii="Arial" w:cs="Arial" w:eastAsia="Arial" w:hAnsi="Arial"/>
          <w:sz w:val="20"/>
          <w:szCs w:val="20"/>
          <w:color w:val="auto"/>
        </w:rPr>
        <w:t>without limiting the generality of the foregoing or limiting in any way the rights of Lessor under this Lease or otherwise under applicable Laws, at any time after the occurrence, and during the continuance, of an Event of Default, Lessor shall be entitled to apply for and have a receiver appointed under applicable Law by a court of competent jurisdiction (by ex parte motion for appointment without notice) in any action taken by Lessor to enforce its rights and</w:t>
      </w:r>
    </w:p>
    <w:p>
      <w:pPr>
        <w:spacing w:after="0" w:line="2" w:lineRule="exact"/>
        <w:rPr>
          <w:rFonts w:ascii="Arial" w:cs="Arial" w:eastAsia="Arial" w:hAnsi="Arial"/>
          <w:sz w:val="18"/>
          <w:szCs w:val="18"/>
          <w:color w:val="auto"/>
        </w:rPr>
      </w:pPr>
    </w:p>
    <w:p>
      <w:pPr>
        <w:ind w:left="660"/>
        <w:spacing w:after="0" w:line="260" w:lineRule="auto"/>
        <w:rPr>
          <w:rFonts w:ascii="Arial" w:cs="Arial" w:eastAsia="Arial" w:hAnsi="Arial"/>
          <w:sz w:val="18"/>
          <w:szCs w:val="18"/>
          <w:color w:val="auto"/>
        </w:rPr>
      </w:pPr>
      <w:r>
        <w:rPr>
          <w:rFonts w:ascii="Arial" w:cs="Arial" w:eastAsia="Arial" w:hAnsi="Arial"/>
          <w:sz w:val="20"/>
          <w:szCs w:val="20"/>
          <w:color w:val="auto"/>
        </w:rPr>
        <w:t>remedies hereunder in order to protect and preserve Lessor’s interest under this Lease or in the Property and the Personalty (subject to any rights of Lessee’s Institutional Lenders), and in connection therewith,</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Lessee shall reasonably cooperate with Lessor; and/or</w:t>
      </w:r>
    </w:p>
    <w:p>
      <w:pPr>
        <w:spacing w:after="0" w:line="229" w:lineRule="exact"/>
        <w:rPr>
          <w:rFonts w:ascii="Arial" w:cs="Arial" w:eastAsia="Arial" w:hAnsi="Arial"/>
          <w:sz w:val="18"/>
          <w:szCs w:val="18"/>
          <w:color w:val="auto"/>
        </w:rPr>
      </w:pPr>
    </w:p>
    <w:p>
      <w:pPr>
        <w:ind w:left="2060" w:hanging="754"/>
        <w:spacing w:after="0"/>
        <w:tabs>
          <w:tab w:leader="none" w:pos="2060" w:val="left"/>
        </w:tabs>
        <w:numPr>
          <w:ilvl w:val="0"/>
          <w:numId w:val="91"/>
        </w:numPr>
        <w:rPr>
          <w:rFonts w:ascii="Arial" w:cs="Arial" w:eastAsia="Arial" w:hAnsi="Arial"/>
          <w:sz w:val="18"/>
          <w:szCs w:val="18"/>
          <w:color w:val="auto"/>
        </w:rPr>
      </w:pPr>
      <w:r>
        <w:rPr>
          <w:rFonts w:ascii="Arial" w:cs="Arial" w:eastAsia="Arial" w:hAnsi="Arial"/>
          <w:sz w:val="20"/>
          <w:szCs w:val="20"/>
          <w:color w:val="auto"/>
        </w:rPr>
        <w:t>to seek any equitable relief available to Lessor, including, without limitation, the right of specific</w:t>
      </w:r>
    </w:p>
    <w:p>
      <w:pPr>
        <w:spacing w:after="0" w:line="2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performance.</w:t>
      </w:r>
    </w:p>
    <w:p>
      <w:pPr>
        <w:spacing w:after="0" w:line="205" w:lineRule="exact"/>
        <w:rPr>
          <w:sz w:val="20"/>
          <w:szCs w:val="20"/>
          <w:color w:val="auto"/>
        </w:rPr>
      </w:pPr>
    </w:p>
    <w:p>
      <w:pPr>
        <w:ind w:left="660"/>
        <w:spacing w:after="0"/>
        <w:tabs>
          <w:tab w:leader="none" w:pos="4300" w:val="left"/>
        </w:tabs>
        <w:rPr>
          <w:sz w:val="20"/>
          <w:szCs w:val="20"/>
          <w:color w:val="auto"/>
        </w:rPr>
      </w:pPr>
      <w:r>
        <w:rPr>
          <w:rFonts w:ascii="Arial" w:cs="Arial" w:eastAsia="Arial" w:hAnsi="Arial"/>
          <w:sz w:val="20"/>
          <w:szCs w:val="20"/>
          <w:b w:val="1"/>
          <w:bCs w:val="1"/>
          <w:color w:val="auto"/>
        </w:rPr>
        <w:t>Section 12.03. Cumulative Remedies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All powers and remedies given by Section</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12.02 to Lessor, subject to applicable 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08" w:right="239" w:bottom="1440" w:gutter="0" w:footer="0" w:header="0"/>
        </w:sectPr>
      </w:pPr>
    </w:p>
    <w:bookmarkStart w:id="131" w:name="page132"/>
    <w:bookmarkEnd w:id="131"/>
    <w:p>
      <w:pPr>
        <w:jc w:val="center"/>
        <w:ind w:left="1800"/>
        <w:spacing w:after="0"/>
        <w:rPr>
          <w:sz w:val="20"/>
          <w:szCs w:val="20"/>
          <w:color w:val="auto"/>
        </w:rPr>
      </w:pPr>
      <w:r>
        <w:rPr>
          <w:rFonts w:ascii="Arial" w:cs="Arial" w:eastAsia="Arial" w:hAnsi="Arial"/>
          <w:sz w:val="20"/>
          <w:szCs w:val="20"/>
          <w:b w:val="1"/>
          <w:bCs w:val="1"/>
          <w:color w:val="auto"/>
        </w:rPr>
        <w:t>ARTICLE XIII</w:t>
      </w:r>
    </w:p>
    <w:p>
      <w:pPr>
        <w:spacing w:after="0" w:line="216"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MORTGAGE, SUBORDINATION AND ATTORNMENT</w:t>
      </w:r>
    </w:p>
    <w:p>
      <w:pPr>
        <w:spacing w:after="0" w:line="216"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13.01. No Liens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Lessor’s interest in this Lease and/or the Property shall not be subordinate to any liens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encumbrances placed upon the Property by or resulting from any act of Lessee, and nothing herein contained shall be construed to require such subordination by Lessor. NOTICE IS HEREBY GIVEN THAT LESSEE IS NOT AUTHORIZED TO PLACE OR ALLOW TO BE PLACED ANY LIEN, MORTGAGE, DEED OF TRUST, DEED TO SECURE DEBT, SECURITY INTEREST OR ENCUMBRANCE OF ANY KIND UPON ALL OR ANY PART OF THE PROPERTY OR LESSEE’S LEASEHOLD INTEREST THEREIN, AND ANY SUCH PURPORTED TRANSACTION SHALL BE VOID.</w:t>
      </w:r>
    </w:p>
    <w:p>
      <w:pPr>
        <w:spacing w:after="0" w:line="179"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b w:val="1"/>
          <w:bCs w:val="1"/>
          <w:color w:val="auto"/>
        </w:rPr>
        <w:t>Section 13.02. Subordination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at all times shall automatically be subordinate to the lien of any and all ground</w:t>
      </w:r>
      <w:r>
        <w:rPr>
          <w:rFonts w:ascii="Arial" w:cs="Arial" w:eastAsia="Arial" w:hAnsi="Arial"/>
          <w:sz w:val="20"/>
          <w:szCs w:val="20"/>
          <w:b w:val="1"/>
          <w:bCs w:val="1"/>
          <w:color w:val="auto"/>
        </w:rPr>
        <w:t xml:space="preserve"> </w:t>
      </w:r>
      <w:r>
        <w:rPr>
          <w:rFonts w:ascii="Arial" w:cs="Arial" w:eastAsia="Arial" w:hAnsi="Arial"/>
          <w:sz w:val="20"/>
          <w:szCs w:val="20"/>
          <w:color w:val="auto"/>
        </w:rPr>
        <w:t>leases and Mortgages now or hereafter placed upon the Property by Lessor, and Lessee covenants and agrees to execute and deliver, upon demand, such further instruments subordinating this Lease to the lien of any or all such ground leases and Mortgages as shall be desired by Lessor, or any present or proposed mortgagees under trust deeds, upon the condition that Lessee shall have the right to remain in possession of the Property under the terms of this Lease, notwithstanding any default in any or all such ground leases or Mortgages, or after the foreclosure of such Mortgages, so long as no Event of Default shall have occurred and be continuing.</w:t>
      </w:r>
    </w:p>
    <w:p>
      <w:pPr>
        <w:spacing w:after="0" w:line="180"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b w:val="1"/>
          <w:bCs w:val="1"/>
          <w:color w:val="auto"/>
        </w:rPr>
        <w:t>Section 13.03. Attornment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any purchaser or assignee of any Lender at a foreclosure sale acquires title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Property, or in the event that any Lender or any purchaser or assignee otherwise succeeds to the rights of Lessor as landlord under this Lease, Lessee shall attorn to Lender or such purchaser or assignee, as the case may be (a “</w:t>
      </w:r>
      <w:r>
        <w:rPr>
          <w:rFonts w:ascii="Arial" w:cs="Arial" w:eastAsia="Arial" w:hAnsi="Arial"/>
          <w:sz w:val="19"/>
          <w:szCs w:val="19"/>
          <w:u w:val="single" w:color="auto"/>
          <w:color w:val="auto"/>
        </w:rPr>
        <w:t>Successor Lessor</w:t>
      </w:r>
      <w:r>
        <w:rPr>
          <w:rFonts w:ascii="Arial" w:cs="Arial" w:eastAsia="Arial" w:hAnsi="Arial"/>
          <w:sz w:val="19"/>
          <w:szCs w:val="19"/>
          <w:color w:val="auto"/>
        </w:rPr>
        <w:t>”), and recognize the Successor Lessor as lessor under this Lease, and, subject to the provisions of this Article XIII, this Lease shall continue in full force and effect as a direct lease between the Successor Lessor and Lessee, provided that the Successor Lessor shall only be liable for any obligations of Lessor under this Lease which accrue after the date that such Successor Lessor acquires title. The foregoing provision shall be self-operative and effective without the execution of any further instruments.</w:t>
      </w:r>
    </w:p>
    <w:p>
      <w:pPr>
        <w:spacing w:after="0" w:line="16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13.04. Execution of Additional Documents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Although the provisions in this Article XIII shall be self-operative</w:t>
      </w:r>
      <w:r>
        <w:rPr>
          <w:rFonts w:ascii="Arial" w:cs="Arial" w:eastAsia="Arial" w:hAnsi="Arial"/>
          <w:sz w:val="20"/>
          <w:szCs w:val="20"/>
          <w:b w:val="1"/>
          <w:bCs w:val="1"/>
          <w:color w:val="auto"/>
        </w:rPr>
        <w:t xml:space="preserve"> </w:t>
      </w:r>
      <w:r>
        <w:rPr>
          <w:rFonts w:ascii="Arial" w:cs="Arial" w:eastAsia="Arial" w:hAnsi="Arial"/>
          <w:sz w:val="20"/>
          <w:szCs w:val="20"/>
          <w:color w:val="auto"/>
        </w:rPr>
        <w:t>and no future instrument of subordination shall be required, upon request by Lessor, Lessee shall execute and deliver such additional reasonable instruments as may be reasonably required for such purposes.</w:t>
      </w:r>
    </w:p>
    <w:p>
      <w:pPr>
        <w:spacing w:after="0" w:line="172"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b w:val="1"/>
          <w:bCs w:val="1"/>
          <w:color w:val="auto"/>
        </w:rPr>
        <w:t>Section 13.05. Notice to Lender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give written notice to any Lender having a recorded lien upon the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or any part thereof of which Lessee has been notified of any breach or default by Lessor of any of its obligations under this Lease and give such Lender at least sixty (60) days beyond any notice period to which Lessor might be entitled to cure such default before Lessee may exercise any remedy with respect thereto.</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41" w:right="239" w:bottom="1440" w:gutter="0" w:footer="0" w:header="0"/>
        </w:sectPr>
      </w:pPr>
    </w:p>
    <w:bookmarkStart w:id="132" w:name="page133"/>
    <w:bookmarkEnd w:id="132"/>
    <w:p>
      <w:pPr>
        <w:ind w:left="6840"/>
        <w:spacing w:after="0"/>
        <w:rPr>
          <w:sz w:val="20"/>
          <w:szCs w:val="20"/>
          <w:color w:val="auto"/>
        </w:rPr>
      </w:pPr>
      <w:r>
        <w:rPr>
          <w:rFonts w:ascii="Arial" w:cs="Arial" w:eastAsia="Arial" w:hAnsi="Arial"/>
          <w:sz w:val="20"/>
          <w:szCs w:val="20"/>
          <w:b w:val="1"/>
          <w:bCs w:val="1"/>
          <w:color w:val="auto"/>
        </w:rPr>
        <w:t>ARTICLE XIV</w:t>
      </w: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ASSIGNMENT</w:t>
      </w:r>
    </w:p>
    <w:p>
      <w:pPr>
        <w:spacing w:after="0" w:line="337" w:lineRule="exact"/>
        <w:rPr>
          <w:sz w:val="20"/>
          <w:szCs w:val="20"/>
          <w:color w:val="auto"/>
        </w:rPr>
      </w:pPr>
    </w:p>
    <w:p>
      <w:pPr>
        <w:jc w:val="both"/>
        <w:ind w:firstLine="621"/>
        <w:spacing w:after="0" w:line="241" w:lineRule="auto"/>
        <w:rPr>
          <w:sz w:val="20"/>
          <w:szCs w:val="20"/>
          <w:color w:val="auto"/>
        </w:rPr>
      </w:pPr>
      <w:r>
        <w:rPr>
          <w:rFonts w:ascii="Arial" w:cs="Arial" w:eastAsia="Arial" w:hAnsi="Arial"/>
          <w:sz w:val="20"/>
          <w:szCs w:val="20"/>
          <w:b w:val="1"/>
          <w:bCs w:val="1"/>
          <w:color w:val="auto"/>
        </w:rPr>
        <w:t>Section 14.01. Assignment by Lessor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material inducement to Lessor’s willingness to enter into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Lease (the “</w:t>
      </w:r>
      <w:r>
        <w:rPr>
          <w:rFonts w:ascii="Arial" w:cs="Arial" w:eastAsia="Arial" w:hAnsi="Arial"/>
          <w:sz w:val="20"/>
          <w:szCs w:val="20"/>
          <w:u w:val="single" w:color="auto"/>
          <w:color w:val="auto"/>
        </w:rPr>
        <w:t>Transaction</w:t>
      </w:r>
      <w:r>
        <w:rPr>
          <w:rFonts w:ascii="Arial" w:cs="Arial" w:eastAsia="Arial" w:hAnsi="Arial"/>
          <w:sz w:val="20"/>
          <w:szCs w:val="20"/>
          <w:color w:val="auto"/>
        </w:rPr>
        <w:t>”) and the other Transaction Documents, Lessee hereby agrees that Lessor may, from time to time and at any time and without the consent of Lessee but subject to Lessee’s rights under Article XVIII, engage in all or any combination of the following, or enter into agreements in connection with any of the following or in accordance with requirements that may be imposed by applicable securities, tax or other Laws: (a) the sale, assignment, grant, conveyance, transfer, financing, re-financing, purchase or re-acquisition of the Property, this Lease or any other Transaction Document, Lessor’s right, title and interest in this Lease or any other Transaction Document, the servicing rights with respect to any of the foregoing, or participations in any of the foregoing; or (b) a Securitization and related transactions. Without in any way limiting the foregoing, the parties acknowledge and agree that Lessor, in its sole discretion, may assign this Lease or any interest herein to another Person in order to maintain Lessor’s or any of its Affiliates’ status as a REIT.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Lessor hereunder from and after the date of such assignment). At the request of Lessor, Lessee will execute such documents confirming the sale, assignment or other transfer and such other agreements as Lessor may reasonably request, provided that the same do not increase the liabilities and obligations of Lessee hereunder. Lessor shall be relieved, from and after the date of such transfer or conveyance, of liability for the performance of any obligation of Lessor contained herein, except for obligations or liabilities accrued prior to such assignment or sale.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14.02. Assignment by Lessee</w:t>
      </w:r>
      <w:r>
        <w:rPr>
          <w:rFonts w:ascii="Arial" w:cs="Arial" w:eastAsia="Arial" w:hAnsi="Arial"/>
          <w:sz w:val="20"/>
          <w:szCs w:val="20"/>
          <w:color w:val="auto"/>
        </w:rPr>
        <w:t>.</w:t>
      </w:r>
    </w:p>
    <w:p>
      <w:pPr>
        <w:spacing w:after="0" w:line="253" w:lineRule="exact"/>
        <w:rPr>
          <w:sz w:val="20"/>
          <w:szCs w:val="20"/>
          <w:color w:val="auto"/>
        </w:rPr>
      </w:pPr>
    </w:p>
    <w:p>
      <w:pPr>
        <w:jc w:val="both"/>
        <w:ind w:left="660" w:firstLine="646"/>
        <w:spacing w:after="0" w:line="268" w:lineRule="auto"/>
        <w:tabs>
          <w:tab w:leader="none" w:pos="2062" w:val="left"/>
        </w:tabs>
        <w:numPr>
          <w:ilvl w:val="0"/>
          <w:numId w:val="92"/>
        </w:numPr>
        <w:rPr>
          <w:rFonts w:ascii="Arial" w:cs="Arial" w:eastAsia="Arial" w:hAnsi="Arial"/>
          <w:sz w:val="18"/>
          <w:szCs w:val="18"/>
          <w:color w:val="auto"/>
        </w:rPr>
      </w:pPr>
      <w:r>
        <w:rPr>
          <w:rFonts w:ascii="Arial" w:cs="Arial" w:eastAsia="Arial" w:hAnsi="Arial"/>
          <w:sz w:val="20"/>
          <w:szCs w:val="20"/>
          <w:color w:val="auto"/>
        </w:rPr>
        <w:t>Lessee acknowledges that Lessor has relied both on the business experience and creditworthiness of Lessee and upon the particular purposes for which Lessee intends to use the Property in entering into this Lease. Lessee shall not assign, transfer, convey, pledge or mortgage this Lease or any interest herein or any interest in Lessee, whether by operation of Law or otherwise, without the prior written consent of Lessor. At the time of any assignment of this Lease which is approved by Lessor, the assignee shall assume all of the obligations of Lessee under this Lease pursuant to a written assumption agreement in form and substance reasonably acceptable to Lessor. Such assignment of this Lease pursuant to this Section 14.02 shall not relieve Lessee of its obligations respecting this Lease unless otherwise agreed to by Lessor. Any assignment, transfer, conveyance, pledge or mortgage in violation of this Section 14.02 shall be voidable at the sole option of Lessor. Any consent to an assignment given by Lessor hereunder shall not be deemed a consent to any subsequent assignment.</w:t>
      </w:r>
    </w:p>
    <w:p>
      <w:pPr>
        <w:spacing w:after="0" w:line="213" w:lineRule="exact"/>
        <w:rPr>
          <w:rFonts w:ascii="Arial" w:cs="Arial" w:eastAsia="Arial" w:hAnsi="Arial"/>
          <w:sz w:val="18"/>
          <w:szCs w:val="18"/>
          <w:color w:val="auto"/>
        </w:rPr>
      </w:pPr>
    </w:p>
    <w:p>
      <w:pPr>
        <w:jc w:val="both"/>
        <w:ind w:left="660" w:firstLine="646"/>
        <w:spacing w:after="0" w:line="271" w:lineRule="auto"/>
        <w:tabs>
          <w:tab w:leader="none" w:pos="2072" w:val="left"/>
        </w:tabs>
        <w:numPr>
          <w:ilvl w:val="0"/>
          <w:numId w:val="92"/>
        </w:numPr>
        <w:rPr>
          <w:rFonts w:ascii="Arial" w:cs="Arial" w:eastAsia="Arial" w:hAnsi="Arial"/>
          <w:sz w:val="18"/>
          <w:szCs w:val="18"/>
          <w:color w:val="auto"/>
        </w:rPr>
      </w:pPr>
      <w:r>
        <w:rPr>
          <w:rFonts w:ascii="Arial" w:cs="Arial" w:eastAsia="Arial" w:hAnsi="Arial"/>
          <w:sz w:val="20"/>
          <w:szCs w:val="20"/>
          <w:color w:val="auto"/>
        </w:rPr>
        <w:t>Notwithstanding anything to the contrary contained in this Section 14.02 and provided that no Event of Default has occurred and is continuing at the time of the proposed assignment or other transfer, and provided further that any assignee agrees to assume all of Lessee’s obligations under this Lease, Lessee shall have the right to</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963" w:right="239" w:bottom="1440" w:gutter="0" w:footer="0" w:header="0"/>
        </w:sectPr>
      </w:pPr>
    </w:p>
    <w:bookmarkStart w:id="133" w:name="page134"/>
    <w:bookmarkEnd w:id="133"/>
    <w:p>
      <w:pPr>
        <w:ind w:left="620"/>
        <w:spacing w:after="0"/>
        <w:rPr>
          <w:sz w:val="20"/>
          <w:szCs w:val="20"/>
          <w:color w:val="auto"/>
        </w:rPr>
      </w:pPr>
      <w:r>
        <w:rPr>
          <w:rFonts w:ascii="Arial" w:cs="Arial" w:eastAsia="Arial" w:hAnsi="Arial"/>
          <w:sz w:val="20"/>
          <w:szCs w:val="20"/>
          <w:color w:val="auto"/>
        </w:rPr>
        <w:t>assign or otherwise transfer all, but not less than all, of its interest in, to and under this Lease without Lessor’s consent to</w:t>
      </w:r>
    </w:p>
    <w:p>
      <w:pPr>
        <w:ind w:left="620" w:hanging="3"/>
        <w:spacing w:after="0" w:line="239" w:lineRule="auto"/>
        <w:tabs>
          <w:tab w:leader="none" w:pos="861"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entity which purchases or otherwise acquires all or substantially all of the assets of Lessee in a bona fide sale for fair market value, or</w:t>
      </w:r>
    </w:p>
    <w:p>
      <w:pPr>
        <w:spacing w:after="0" w:line="1" w:lineRule="exact"/>
        <w:rPr>
          <w:rFonts w:ascii="Arial" w:cs="Arial" w:eastAsia="Arial" w:hAnsi="Arial"/>
          <w:sz w:val="20"/>
          <w:szCs w:val="20"/>
          <w:color w:val="auto"/>
        </w:rPr>
      </w:pPr>
    </w:p>
    <w:p>
      <w:pPr>
        <w:jc w:val="both"/>
        <w:ind w:left="620" w:hanging="3"/>
        <w:spacing w:after="0"/>
        <w:tabs>
          <w:tab w:leader="none" w:pos="915"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Qualified Operator (each, a “</w:t>
      </w:r>
      <w:r>
        <w:rPr>
          <w:rFonts w:ascii="Arial" w:cs="Arial" w:eastAsia="Arial" w:hAnsi="Arial"/>
          <w:sz w:val="20"/>
          <w:szCs w:val="20"/>
          <w:u w:val="single" w:color="auto"/>
          <w:color w:val="auto"/>
        </w:rPr>
        <w:t>Permitted Transfer</w:t>
      </w:r>
      <w:r>
        <w:rPr>
          <w:rFonts w:ascii="Arial" w:cs="Arial" w:eastAsia="Arial" w:hAnsi="Arial"/>
          <w:sz w:val="20"/>
          <w:szCs w:val="20"/>
          <w:color w:val="auto"/>
        </w:rPr>
        <w:t>”). A “</w:t>
      </w:r>
      <w:r>
        <w:rPr>
          <w:rFonts w:ascii="Arial" w:cs="Arial" w:eastAsia="Arial" w:hAnsi="Arial"/>
          <w:sz w:val="20"/>
          <w:szCs w:val="20"/>
          <w:u w:val="single" w:color="auto"/>
          <w:color w:val="auto"/>
        </w:rPr>
        <w:t>Qualified Operator</w:t>
      </w:r>
      <w:r>
        <w:rPr>
          <w:rFonts w:ascii="Arial" w:cs="Arial" w:eastAsia="Arial" w:hAnsi="Arial"/>
          <w:sz w:val="20"/>
          <w:szCs w:val="20"/>
          <w:color w:val="auto"/>
        </w:rPr>
        <w:t xml:space="preserve">” shall mean a Person who (x) for two (2) consecutive years immediately prior to the date of assignment or transfer and (y) on a proforma basis following the consummation of such assignment or transfer (all as determined by Lessor upon review of financial statements provided by the assignee prior to the proposed lease assignment and in a form reasonably satisfactory to Lessor), (A) has a CFCCR (defined below) of at least 1.50x; (B) generates EBITDA (defined below) of at least $60,000,000, and (C) has a Lease Adjusted Leverage (defined below) of no more than 6.50x;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Lessee may satisfy the foregoing conditions of a Qualified Operator by providing, or causing to be provided, a guaranty agreement, in form and substance reasonably acceptable to and approved by Lessor, in writing, which guaranty shall be from an entity that meets the requirements of (A), (B) and (C) set forth in this Section 14.02. In the event that Lessee effects a Permitted Transfer pursuant to clause (ii), Lessee shall be released from any liability arising under this Lease from and after the date of such assignment and Guarantor shall be released from any liability arising under the Guaranty from and after the date of such assignment. In the event that Lessee effects a Permitted Transfer pursuant to clause (i), Lessee shall not be released from liability under this Lease nor shall Guarantor be released from liability under the Guaranty.</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For purposes hereof:</w:t>
      </w:r>
    </w:p>
    <w:p>
      <w:pPr>
        <w:spacing w:after="0" w:line="209" w:lineRule="exact"/>
        <w:rPr>
          <w:sz w:val="20"/>
          <w:szCs w:val="20"/>
          <w:color w:val="auto"/>
        </w:rPr>
      </w:pPr>
    </w:p>
    <w:p>
      <w:pPr>
        <w:jc w:val="both"/>
        <w:ind w:left="1260" w:firstLine="654"/>
        <w:spacing w:after="0" w:line="271" w:lineRule="auto"/>
        <w:tabs>
          <w:tab w:leader="none" w:pos="2632" w:val="left"/>
        </w:tabs>
        <w:numPr>
          <w:ilvl w:val="0"/>
          <w:numId w:val="9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i w:val="1"/>
          <w:iCs w:val="1"/>
          <w:color w:val="auto"/>
        </w:rPr>
        <w:t>CFCCR</w:t>
      </w:r>
      <w:r>
        <w:rPr>
          <w:rFonts w:ascii="Arial" w:cs="Arial" w:eastAsia="Arial" w:hAnsi="Arial"/>
          <w:sz w:val="20"/>
          <w:szCs w:val="20"/>
          <w:color w:val="auto"/>
        </w:rPr>
        <w:t>” means with respect to the twelve month period of time immediately preceding the date of determination, the ratio calculated for such period of time, each as determined in accordance with GAAP, of (i) the sum of Consolidated Net Income (excluding non-cash income), Depreciation and Amortization, Interest Expense, income taxes, Operating Lease Expense and non-cash expenses to (ii) the sum of Operating Lease Expense (excluding non- cash rent adjustments), scheduled principal payments of long term Debt, scheduled maturities of all Capital Leases, dividends and Interest Expense (excluding non-cash interest expense and amortization of non-cash financing expenses). For purposes of calculating the CFCCR, the following terms shall be defined as set forth below:</w:t>
      </w:r>
    </w:p>
    <w:p>
      <w:pPr>
        <w:spacing w:after="0" w:line="191" w:lineRule="exact"/>
        <w:rPr>
          <w:rFonts w:ascii="Arial" w:cs="Arial" w:eastAsia="Arial" w:hAnsi="Arial"/>
          <w:sz w:val="18"/>
          <w:szCs w:val="18"/>
          <w:color w:val="auto"/>
        </w:rPr>
      </w:pPr>
    </w:p>
    <w:p>
      <w:pPr>
        <w:jc w:val="both"/>
        <w:ind w:left="1920" w:firstLine="642"/>
        <w:spacing w:after="0" w:line="303" w:lineRule="auto"/>
        <w:tabs>
          <w:tab w:leader="none" w:pos="3372" w:val="left"/>
        </w:tabs>
        <w:numPr>
          <w:ilvl w:val="1"/>
          <w:numId w:val="9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Lease</w:t>
      </w:r>
      <w:r>
        <w:rPr>
          <w:rFonts w:ascii="Arial" w:cs="Arial" w:eastAsia="Arial" w:hAnsi="Arial"/>
          <w:sz w:val="19"/>
          <w:szCs w:val="19"/>
          <w:color w:val="auto"/>
        </w:rPr>
        <w:t>” shall mean all leases of any property, whether real, personal or mixed, by a Person, which leases would, in conformity with GAAP, be required to be accounted for as a capital lease on the balance sheet of such Person. The term “Capital Lease” shall not include any operating lease.</w:t>
      </w:r>
    </w:p>
    <w:p>
      <w:pPr>
        <w:spacing w:after="0" w:line="158" w:lineRule="exact"/>
        <w:rPr>
          <w:rFonts w:ascii="Arial" w:cs="Arial" w:eastAsia="Arial" w:hAnsi="Arial"/>
          <w:sz w:val="17"/>
          <w:szCs w:val="17"/>
          <w:color w:val="auto"/>
        </w:rPr>
      </w:pPr>
    </w:p>
    <w:p>
      <w:pPr>
        <w:jc w:val="both"/>
        <w:ind w:left="1920" w:firstLine="642"/>
        <w:spacing w:after="0" w:line="289" w:lineRule="auto"/>
        <w:tabs>
          <w:tab w:leader="none" w:pos="3362" w:val="left"/>
        </w:tabs>
        <w:numPr>
          <w:ilvl w:val="1"/>
          <w:numId w:val="94"/>
        </w:numPr>
        <w:rPr>
          <w:rFonts w:ascii="Arial" w:cs="Arial" w:eastAsia="Arial" w:hAnsi="Arial"/>
          <w:sz w:val="17"/>
          <w:szCs w:val="17"/>
          <w:color w:val="auto"/>
        </w:rPr>
      </w:pPr>
      <w:r>
        <w:rPr>
          <w:rFonts w:ascii="Arial" w:cs="Arial" w:eastAsia="Arial" w:hAnsi="Arial"/>
          <w:sz w:val="19"/>
          <w:szCs w:val="19"/>
          <w:i w:val="1"/>
          <w:iCs w:val="1"/>
          <w:color w:val="auto"/>
        </w:rPr>
        <w:t>“Consolidated Net Income</w:t>
      </w:r>
      <w:r>
        <w:rPr>
          <w:rFonts w:ascii="Arial" w:cs="Arial" w:eastAsia="Arial" w:hAnsi="Arial"/>
          <w:sz w:val="19"/>
          <w:szCs w:val="19"/>
          <w:color w:val="auto"/>
        </w:rPr>
        <w:t>” shall mean with respect to the period of determination, the net</w:t>
      </w:r>
      <w:r>
        <w:rPr>
          <w:rFonts w:ascii="Arial" w:cs="Arial" w:eastAsia="Arial" w:hAnsi="Arial"/>
          <w:sz w:val="19"/>
          <w:szCs w:val="19"/>
          <w:i w:val="1"/>
          <w:iCs w:val="1"/>
          <w:color w:val="auto"/>
        </w:rPr>
        <w:t xml:space="preserve"> </w:t>
      </w:r>
      <w:r>
        <w:rPr>
          <w:rFonts w:ascii="Arial" w:cs="Arial" w:eastAsia="Arial" w:hAnsi="Arial"/>
          <w:sz w:val="19"/>
          <w:szCs w:val="19"/>
          <w:color w:val="auto"/>
        </w:rPr>
        <w:t>income or net loss of a Person. In determining the amount of Consolidated Net Income, (i) adjustments shall be made for nonrecurring gains and losses or non-cash items allocable to the period of determination,</w:t>
      </w:r>
    </w:p>
    <w:p>
      <w:pPr>
        <w:ind w:left="1920" w:right="20" w:hanging="6"/>
        <w:spacing w:after="0" w:line="275" w:lineRule="auto"/>
        <w:tabs>
          <w:tab w:leader="none" w:pos="2223" w:val="left"/>
        </w:tabs>
        <w:numPr>
          <w:ilvl w:val="0"/>
          <w:numId w:val="94"/>
        </w:numPr>
        <w:rPr>
          <w:rFonts w:ascii="Arial" w:cs="Arial" w:eastAsia="Arial" w:hAnsi="Arial"/>
          <w:sz w:val="20"/>
          <w:szCs w:val="20"/>
          <w:color w:val="auto"/>
        </w:rPr>
      </w:pPr>
      <w:r>
        <w:rPr>
          <w:rFonts w:ascii="Arial" w:cs="Arial" w:eastAsia="Arial" w:hAnsi="Arial"/>
          <w:sz w:val="20"/>
          <w:szCs w:val="20"/>
          <w:color w:val="auto"/>
        </w:rPr>
        <w:t>deductions shall be made for, among other things, Depreciation and Amortization, Interest Expense,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00"/>
          </w:cols>
          <w:pgMar w:left="360" w:top="635" w:right="239" w:bottom="1440" w:gutter="0" w:footer="0" w:header="0"/>
        </w:sectPr>
      </w:pPr>
    </w:p>
    <w:bookmarkStart w:id="134" w:name="page135"/>
    <w:bookmarkEnd w:id="134"/>
    <w:p>
      <w:pPr>
        <w:ind w:left="1920"/>
        <w:spacing w:after="0" w:line="247" w:lineRule="auto"/>
        <w:rPr>
          <w:sz w:val="20"/>
          <w:szCs w:val="20"/>
          <w:color w:val="auto"/>
        </w:rPr>
      </w:pPr>
      <w:r>
        <w:rPr>
          <w:rFonts w:ascii="Arial" w:cs="Arial" w:eastAsia="Arial" w:hAnsi="Arial"/>
          <w:sz w:val="20"/>
          <w:szCs w:val="20"/>
          <w:color w:val="auto"/>
        </w:rPr>
        <w:t>Lease Expense, and (iii) no deductions shall be made for income taxes or charges equivalent to income taxes allocable to the period of determination, as determined in accordance with GAAP.</w:t>
      </w:r>
    </w:p>
    <w:p>
      <w:pPr>
        <w:spacing w:after="0" w:line="195" w:lineRule="exact"/>
        <w:rPr>
          <w:sz w:val="20"/>
          <w:szCs w:val="20"/>
          <w:color w:val="auto"/>
        </w:rPr>
      </w:pPr>
    </w:p>
    <w:p>
      <w:pPr>
        <w:jc w:val="both"/>
        <w:ind w:left="1920" w:firstLine="642"/>
        <w:spacing w:after="0" w:line="271" w:lineRule="auto"/>
        <w:tabs>
          <w:tab w:leader="none" w:pos="3362" w:val="left"/>
        </w:tabs>
        <w:numPr>
          <w:ilvl w:val="2"/>
          <w:numId w:val="9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i w:val="1"/>
          <w:iCs w:val="1"/>
          <w:color w:val="auto"/>
        </w:rPr>
        <w:t>Debt</w:t>
      </w:r>
      <w:r>
        <w:rPr>
          <w:rFonts w:ascii="Arial" w:cs="Arial" w:eastAsia="Arial" w:hAnsi="Arial"/>
          <w:sz w:val="20"/>
          <w:szCs w:val="20"/>
          <w:color w:val="auto"/>
        </w:rPr>
        <w:t>” shall mean with respect to a Person, and for the period of determination (i) indebtedness for borrowed money, (ii) subject to the limitation set forth in sub item (iv) below, obligations evidenced by bonds, indentures, notes or similar instruments, (iii) obligations under leases which should be, in accordance with GAAP, recorded as Capital Leases, and (iv) obligations under direct or indirect guarantees in respect of, and obligations (contingent or otherwise) to purchase or otherwise acquire, or otherwise to assure a creditor against loss in respect of, indebtedness or obligations of others of the kinds referred to in clauses (i) through (iv) above, except for guaranty obligations of such Person, which, in conformity with GAAP, are not included on the balance sheet of such Person.</w:t>
      </w:r>
    </w:p>
    <w:p>
      <w:pPr>
        <w:spacing w:after="0" w:line="191" w:lineRule="exact"/>
        <w:rPr>
          <w:rFonts w:ascii="Arial" w:cs="Arial" w:eastAsia="Arial" w:hAnsi="Arial"/>
          <w:sz w:val="18"/>
          <w:szCs w:val="18"/>
          <w:color w:val="auto"/>
        </w:rPr>
      </w:pPr>
    </w:p>
    <w:p>
      <w:pPr>
        <w:ind w:left="1920" w:firstLine="642"/>
        <w:spacing w:after="0" w:line="296" w:lineRule="auto"/>
        <w:tabs>
          <w:tab w:leader="none" w:pos="3372" w:val="left"/>
        </w:tabs>
        <w:numPr>
          <w:ilvl w:val="2"/>
          <w:numId w:val="9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i w:val="1"/>
          <w:iCs w:val="1"/>
          <w:color w:val="auto"/>
        </w:rPr>
        <w:t>Depreciation and Amortization</w:t>
      </w:r>
      <w:r>
        <w:rPr>
          <w:rFonts w:ascii="Arial" w:cs="Arial" w:eastAsia="Arial" w:hAnsi="Arial"/>
          <w:sz w:val="20"/>
          <w:szCs w:val="20"/>
          <w:color w:val="auto"/>
        </w:rPr>
        <w:t>” shall mean the depreciation and amortization accruing during any period of determination with respect to a Person, as determined in accordance with GAAP.</w:t>
      </w:r>
    </w:p>
    <w:p>
      <w:pPr>
        <w:spacing w:after="0" w:line="162" w:lineRule="exact"/>
        <w:rPr>
          <w:rFonts w:ascii="Arial" w:cs="Arial" w:eastAsia="Arial" w:hAnsi="Arial"/>
          <w:sz w:val="18"/>
          <w:szCs w:val="18"/>
          <w:color w:val="auto"/>
        </w:rPr>
      </w:pPr>
    </w:p>
    <w:p>
      <w:pPr>
        <w:jc w:val="both"/>
        <w:ind w:left="1920" w:firstLine="642"/>
        <w:spacing w:after="0" w:line="281" w:lineRule="auto"/>
        <w:tabs>
          <w:tab w:leader="none" w:pos="3352" w:val="left"/>
        </w:tabs>
        <w:numPr>
          <w:ilvl w:val="2"/>
          <w:numId w:val="9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Expense</w:t>
      </w:r>
      <w:r>
        <w:rPr>
          <w:rFonts w:ascii="Arial" w:cs="Arial" w:eastAsia="Arial" w:hAnsi="Arial"/>
          <w:sz w:val="20"/>
          <w:szCs w:val="20"/>
          <w:color w:val="auto"/>
        </w:rPr>
        <w:t>” shall mean for any period of determination, the sum of all interest accrued or which should be accrued in respect of all Debt of a Person, as determined in accordance with GAAP.</w:t>
      </w:r>
    </w:p>
    <w:p>
      <w:pPr>
        <w:spacing w:after="0" w:line="178" w:lineRule="exact"/>
        <w:rPr>
          <w:rFonts w:ascii="Arial" w:cs="Arial" w:eastAsia="Arial" w:hAnsi="Arial"/>
          <w:sz w:val="18"/>
          <w:szCs w:val="18"/>
          <w:color w:val="auto"/>
        </w:rPr>
      </w:pPr>
    </w:p>
    <w:p>
      <w:pPr>
        <w:jc w:val="both"/>
        <w:ind w:left="1920" w:firstLine="642"/>
        <w:spacing w:after="0" w:line="281" w:lineRule="auto"/>
        <w:tabs>
          <w:tab w:leader="none" w:pos="3342" w:val="left"/>
        </w:tabs>
        <w:numPr>
          <w:ilvl w:val="2"/>
          <w:numId w:val="9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i w:val="1"/>
          <w:iCs w:val="1"/>
          <w:color w:val="auto"/>
        </w:rPr>
        <w:t>Operating Lease Expense</w:t>
      </w:r>
      <w:r>
        <w:rPr>
          <w:rFonts w:ascii="Arial" w:cs="Arial" w:eastAsia="Arial" w:hAnsi="Arial"/>
          <w:sz w:val="20"/>
          <w:szCs w:val="20"/>
          <w:color w:val="auto"/>
        </w:rPr>
        <w:t>” shall mean the sum of all payments and expenses incurred by a Person, under any operating leases during the period of determination, as determined in accordance with GAAP.</w:t>
      </w:r>
    </w:p>
    <w:p>
      <w:pPr>
        <w:spacing w:after="0" w:line="178" w:lineRule="exact"/>
        <w:rPr>
          <w:rFonts w:ascii="Arial" w:cs="Arial" w:eastAsia="Arial" w:hAnsi="Arial"/>
          <w:sz w:val="18"/>
          <w:szCs w:val="18"/>
          <w:color w:val="auto"/>
        </w:rPr>
      </w:pPr>
    </w:p>
    <w:p>
      <w:pPr>
        <w:jc w:val="both"/>
        <w:ind w:left="1260" w:firstLine="654"/>
        <w:spacing w:after="0" w:line="274" w:lineRule="auto"/>
        <w:tabs>
          <w:tab w:leader="none" w:pos="2682" w:val="left"/>
        </w:tabs>
        <w:numPr>
          <w:ilvl w:val="1"/>
          <w:numId w:val="96"/>
        </w:numPr>
        <w:rPr>
          <w:rFonts w:ascii="Arial" w:cs="Arial" w:eastAsia="Arial" w:hAnsi="Arial"/>
          <w:sz w:val="18"/>
          <w:szCs w:val="18"/>
          <w:color w:val="auto"/>
        </w:rPr>
      </w:pPr>
      <w:r>
        <w:rPr>
          <w:rFonts w:ascii="Arial" w:cs="Arial" w:eastAsia="Arial" w:hAnsi="Arial"/>
          <w:sz w:val="20"/>
          <w:szCs w:val="20"/>
          <w:i w:val="1"/>
          <w:iCs w:val="1"/>
          <w:color w:val="auto"/>
        </w:rPr>
        <w:t xml:space="preserve">“EBITDA” </w:t>
      </w:r>
      <w:r>
        <w:rPr>
          <w:rFonts w:ascii="Arial" w:cs="Arial" w:eastAsia="Arial" w:hAnsi="Arial"/>
          <w:sz w:val="20"/>
          <w:szCs w:val="20"/>
          <w:color w:val="auto"/>
        </w:rPr>
        <w:t>means for the twelve (12) month period ending on the date of determination, the sum of</w:t>
      </w:r>
      <w:r>
        <w:rPr>
          <w:rFonts w:ascii="Arial" w:cs="Arial" w:eastAsia="Arial" w:hAnsi="Arial"/>
          <w:sz w:val="20"/>
          <w:szCs w:val="20"/>
          <w:i w:val="1"/>
          <w:iCs w:val="1"/>
          <w:color w:val="auto"/>
        </w:rPr>
        <w:t xml:space="preserve"> </w:t>
      </w:r>
      <w:r>
        <w:rPr>
          <w:rFonts w:ascii="Arial" w:cs="Arial" w:eastAsia="Arial" w:hAnsi="Arial"/>
          <w:sz w:val="20"/>
          <w:szCs w:val="20"/>
          <w:color w:val="auto"/>
        </w:rPr>
        <w:t>a Person’s net income (loss) for such period plus, in each case to the extent previously deducted in calculating net income (loss): (A) income taxes, (B) interest payments on all of its debt obligations (including any borrowings under short term credit facilities), (C) all non-cash charges including depreciation and amortization, and (D) Non-Recurring Items (defined below).</w:t>
      </w:r>
    </w:p>
    <w:p>
      <w:pPr>
        <w:spacing w:after="0" w:line="186" w:lineRule="exact"/>
        <w:rPr>
          <w:rFonts w:ascii="Arial" w:cs="Arial" w:eastAsia="Arial" w:hAnsi="Arial"/>
          <w:sz w:val="18"/>
          <w:szCs w:val="18"/>
          <w:color w:val="auto"/>
        </w:rPr>
      </w:pPr>
    </w:p>
    <w:p>
      <w:pPr>
        <w:ind w:left="1260" w:firstLine="654"/>
        <w:spacing w:after="0" w:line="296" w:lineRule="auto"/>
        <w:tabs>
          <w:tab w:leader="none" w:pos="2732" w:val="left"/>
        </w:tabs>
        <w:numPr>
          <w:ilvl w:val="1"/>
          <w:numId w:val="96"/>
        </w:numPr>
        <w:rPr>
          <w:rFonts w:ascii="Arial" w:cs="Arial" w:eastAsia="Arial" w:hAnsi="Arial"/>
          <w:sz w:val="18"/>
          <w:szCs w:val="18"/>
          <w:color w:val="auto"/>
        </w:rPr>
      </w:pPr>
      <w:r>
        <w:rPr>
          <w:rFonts w:ascii="Arial" w:cs="Arial" w:eastAsia="Arial" w:hAnsi="Arial"/>
          <w:sz w:val="20"/>
          <w:szCs w:val="20"/>
          <w:i w:val="1"/>
          <w:iCs w:val="1"/>
          <w:color w:val="auto"/>
        </w:rPr>
        <w:t xml:space="preserve">“EBITDAR” </w:t>
      </w:r>
      <w:r>
        <w:rPr>
          <w:rFonts w:ascii="Arial" w:cs="Arial" w:eastAsia="Arial" w:hAnsi="Arial"/>
          <w:sz w:val="20"/>
          <w:szCs w:val="20"/>
          <w:color w:val="auto"/>
        </w:rPr>
        <w:t>means the sum of a Person’s EBITDA and its total land and building rent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twelve (12) month period ending on the date of determination.</w:t>
      </w:r>
    </w:p>
    <w:p>
      <w:pPr>
        <w:spacing w:after="0" w:line="162" w:lineRule="exact"/>
        <w:rPr>
          <w:rFonts w:ascii="Arial" w:cs="Arial" w:eastAsia="Arial" w:hAnsi="Arial"/>
          <w:sz w:val="18"/>
          <w:szCs w:val="18"/>
          <w:color w:val="auto"/>
        </w:rPr>
      </w:pPr>
    </w:p>
    <w:p>
      <w:pPr>
        <w:ind w:left="2720" w:hanging="806"/>
        <w:spacing w:after="0"/>
        <w:tabs>
          <w:tab w:leader="none" w:pos="2720" w:val="left"/>
        </w:tabs>
        <w:numPr>
          <w:ilvl w:val="1"/>
          <w:numId w:val="96"/>
        </w:numPr>
        <w:rPr>
          <w:rFonts w:ascii="Arial" w:cs="Arial" w:eastAsia="Arial" w:hAnsi="Arial"/>
          <w:sz w:val="17"/>
          <w:szCs w:val="17"/>
          <w:color w:val="auto"/>
        </w:rPr>
      </w:pPr>
      <w:r>
        <w:rPr>
          <w:rFonts w:ascii="Arial" w:cs="Arial" w:eastAsia="Arial" w:hAnsi="Arial"/>
          <w:sz w:val="19"/>
          <w:szCs w:val="19"/>
          <w:i w:val="1"/>
          <w:iCs w:val="1"/>
          <w:color w:val="auto"/>
        </w:rPr>
        <w:t xml:space="preserve">“Lease Adjusted Leverage” </w:t>
      </w:r>
      <w:r>
        <w:rPr>
          <w:rFonts w:ascii="Arial" w:cs="Arial" w:eastAsia="Arial" w:hAnsi="Arial"/>
          <w:sz w:val="19"/>
          <w:szCs w:val="19"/>
          <w:color w:val="auto"/>
        </w:rPr>
        <w:t>means with respect to a Person, as of any applicable date, the sum of</w:t>
      </w:r>
    </w:p>
    <w:p>
      <w:pPr>
        <w:spacing w:after="0" w:line="58" w:lineRule="exact"/>
        <w:rPr>
          <w:rFonts w:ascii="Arial" w:cs="Arial" w:eastAsia="Arial" w:hAnsi="Arial"/>
          <w:sz w:val="17"/>
          <w:szCs w:val="17"/>
          <w:color w:val="auto"/>
        </w:rPr>
      </w:pPr>
    </w:p>
    <w:p>
      <w:pPr>
        <w:jc w:val="both"/>
        <w:ind w:left="1260" w:firstLine="6"/>
        <w:spacing w:after="0" w:line="271" w:lineRule="auto"/>
        <w:tabs>
          <w:tab w:leader="none" w:pos="1582" w:val="left"/>
        </w:tabs>
        <w:numPr>
          <w:ilvl w:val="0"/>
          <w:numId w:val="97"/>
        </w:numPr>
        <w:rPr>
          <w:rFonts w:ascii="Arial" w:cs="Arial" w:eastAsia="Arial" w:hAnsi="Arial"/>
          <w:sz w:val="20"/>
          <w:szCs w:val="20"/>
          <w:color w:val="auto"/>
        </w:rPr>
      </w:pPr>
      <w:r>
        <w:rPr>
          <w:rFonts w:ascii="Arial" w:cs="Arial" w:eastAsia="Arial" w:hAnsi="Arial"/>
          <w:sz w:val="20"/>
          <w:szCs w:val="20"/>
          <w:color w:val="auto"/>
        </w:rPr>
        <w:t>ten (10) times such Person’s total land and building rent for the twelve (12) month period ending on the date of determination, and (B) the total current balance of such Person’s total debt obligations (including any borrowings under short term credit facilities) on such date, divided by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00"/>
          </w:cols>
          <w:pgMar w:left="360" w:top="636" w:right="239" w:bottom="1440" w:gutter="0" w:footer="0" w:header="0"/>
        </w:sectPr>
      </w:pPr>
    </w:p>
    <w:bookmarkStart w:id="135" w:name="page136"/>
    <w:bookmarkEnd w:id="135"/>
    <w:p>
      <w:pPr>
        <w:jc w:val="both"/>
        <w:ind w:left="1300" w:firstLine="654"/>
        <w:spacing w:after="0" w:line="281" w:lineRule="auto"/>
        <w:tabs>
          <w:tab w:leader="none" w:pos="2712" w:val="left"/>
        </w:tabs>
        <w:numPr>
          <w:ilvl w:val="0"/>
          <w:numId w:val="98"/>
        </w:numPr>
        <w:rPr>
          <w:rFonts w:ascii="Arial" w:cs="Arial" w:eastAsia="Arial" w:hAnsi="Arial"/>
          <w:sz w:val="18"/>
          <w:szCs w:val="18"/>
          <w:color w:val="auto"/>
        </w:rPr>
      </w:pPr>
      <w:r>
        <w:rPr>
          <w:rFonts w:ascii="Arial" w:cs="Arial" w:eastAsia="Arial" w:hAnsi="Arial"/>
          <w:sz w:val="20"/>
          <w:szCs w:val="20"/>
          <w:i w:val="1"/>
          <w:iCs w:val="1"/>
          <w:color w:val="auto"/>
        </w:rPr>
        <w:t xml:space="preserve">“Non-Recurring Items” </w:t>
      </w:r>
      <w:r>
        <w:rPr>
          <w:rFonts w:ascii="Arial" w:cs="Arial" w:eastAsia="Arial" w:hAnsi="Arial"/>
          <w:sz w:val="20"/>
          <w:szCs w:val="20"/>
          <w:color w:val="auto"/>
        </w:rPr>
        <w:t>shall mean with respect to a Person, items of the sum (whether positive or</w:t>
      </w:r>
      <w:r>
        <w:rPr>
          <w:rFonts w:ascii="Arial" w:cs="Arial" w:eastAsia="Arial" w:hAnsi="Arial"/>
          <w:sz w:val="20"/>
          <w:szCs w:val="20"/>
          <w:i w:val="1"/>
          <w:iCs w:val="1"/>
          <w:color w:val="auto"/>
        </w:rPr>
        <w:t xml:space="preserve"> </w:t>
      </w:r>
      <w:r>
        <w:rPr>
          <w:rFonts w:ascii="Arial" w:cs="Arial" w:eastAsia="Arial" w:hAnsi="Arial"/>
          <w:sz w:val="20"/>
          <w:szCs w:val="20"/>
          <w:color w:val="auto"/>
        </w:rPr>
        <w:t>negative) of revenue minus expenses that, in the judgment of Lessor, are unusual in nature, occur infrequently and are not representative of the ongoing or future earnings or expenses of such Person.</w:t>
      </w:r>
    </w:p>
    <w:p>
      <w:pPr>
        <w:spacing w:after="0" w:line="161"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14.03. No Subletting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not sublet any or all of the Property without the prior written consent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Lessor, which shall not be unreasonably withheld, conditioned, or delayed; </w:t>
      </w:r>
      <w:r>
        <w:rPr>
          <w:rFonts w:ascii="Arial" w:cs="Arial" w:eastAsia="Arial" w:hAnsi="Arial"/>
          <w:sz w:val="20"/>
          <w:szCs w:val="20"/>
          <w:i w:val="1"/>
          <w:iCs w:val="1"/>
          <w:color w:val="auto"/>
        </w:rPr>
        <w:t>provided, however</w:t>
      </w:r>
      <w:r>
        <w:rPr>
          <w:rFonts w:ascii="Arial" w:cs="Arial" w:eastAsia="Arial" w:hAnsi="Arial"/>
          <w:sz w:val="20"/>
          <w:szCs w:val="20"/>
          <w:color w:val="auto"/>
        </w:rPr>
        <w:t>, that without Lessor’s consent, Lessee may sublet any or all of the Properties (each such sublease described in this Section 14.03, individually, a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Sublease</w:t>
      </w:r>
      <w:r>
        <w:rPr>
          <w:rFonts w:ascii="Arial" w:cs="Arial" w:eastAsia="Arial" w:hAnsi="Arial"/>
          <w:sz w:val="20"/>
          <w:szCs w:val="20"/>
          <w:color w:val="auto"/>
        </w:rPr>
        <w:t>” and collectively, “</w:t>
      </w:r>
      <w:r>
        <w:rPr>
          <w:rFonts w:ascii="Arial" w:cs="Arial" w:eastAsia="Arial" w:hAnsi="Arial"/>
          <w:sz w:val="20"/>
          <w:szCs w:val="20"/>
          <w:u w:val="single" w:color="auto"/>
          <w:color w:val="auto"/>
        </w:rPr>
        <w:t>Permitted Subleases</w:t>
      </w:r>
      <w:r>
        <w:rPr>
          <w:rFonts w:ascii="Arial" w:cs="Arial" w:eastAsia="Arial" w:hAnsi="Arial"/>
          <w:sz w:val="20"/>
          <w:szCs w:val="20"/>
          <w:color w:val="auto"/>
        </w:rPr>
        <w:t>”, and such subtenant thereunder, “</w:t>
      </w:r>
      <w:r>
        <w:rPr>
          <w:rFonts w:ascii="Arial" w:cs="Arial" w:eastAsia="Arial" w:hAnsi="Arial"/>
          <w:sz w:val="20"/>
          <w:szCs w:val="20"/>
          <w:u w:val="single" w:color="auto"/>
          <w:color w:val="auto"/>
        </w:rPr>
        <w:t>Subtenant</w:t>
      </w:r>
      <w:r>
        <w:rPr>
          <w:rFonts w:ascii="Arial" w:cs="Arial" w:eastAsia="Arial" w:hAnsi="Arial"/>
          <w:sz w:val="20"/>
          <w:szCs w:val="20"/>
          <w:color w:val="auto"/>
        </w:rPr>
        <w:t>”) so long as each Permitted Sublease contains the following provisions: (a) the Permitted Sublease is subject and subordinate to this Lease; (b) the Permitted Sublease shall not contain any terms inconsistent with this Lease (or if so, the terms of this Lease shall control);</w:t>
      </w:r>
    </w:p>
    <w:p>
      <w:pPr>
        <w:spacing w:after="0" w:line="1" w:lineRule="exact"/>
        <w:rPr>
          <w:sz w:val="20"/>
          <w:szCs w:val="20"/>
          <w:color w:val="auto"/>
        </w:rPr>
      </w:pPr>
    </w:p>
    <w:p>
      <w:pPr>
        <w:ind w:left="760" w:hanging="751"/>
        <w:spacing w:after="0"/>
        <w:tabs>
          <w:tab w:leader="none" w:pos="760" w:val="left"/>
        </w:tabs>
        <w:numPr>
          <w:ilvl w:val="0"/>
          <w:numId w:val="99"/>
        </w:numPr>
        <w:rPr>
          <w:rFonts w:ascii="Arial" w:cs="Arial" w:eastAsia="Arial" w:hAnsi="Arial"/>
          <w:sz w:val="17"/>
          <w:szCs w:val="17"/>
          <w:color w:val="auto"/>
        </w:rPr>
      </w:pPr>
      <w:r>
        <w:rPr>
          <w:rFonts w:ascii="Arial" w:cs="Arial" w:eastAsia="Arial" w:hAnsi="Arial"/>
          <w:sz w:val="19"/>
          <w:szCs w:val="19"/>
          <w:color w:val="auto"/>
        </w:rPr>
        <w:t>the rent due under any Permitted Sublease shall be fixed rent and shall not be based on the net profits of any Subtenant;</w:t>
      </w:r>
    </w:p>
    <w:p>
      <w:pPr>
        <w:spacing w:after="0" w:line="38" w:lineRule="exact"/>
        <w:rPr>
          <w:rFonts w:ascii="Arial" w:cs="Arial" w:eastAsia="Arial" w:hAnsi="Arial"/>
          <w:sz w:val="17"/>
          <w:szCs w:val="17"/>
          <w:color w:val="auto"/>
        </w:rPr>
      </w:pPr>
    </w:p>
    <w:p>
      <w:pPr>
        <w:jc w:val="both"/>
        <w:ind w:firstLine="9"/>
        <w:spacing w:after="0" w:line="269" w:lineRule="auto"/>
        <w:tabs>
          <w:tab w:leader="none" w:pos="298" w:val="left"/>
        </w:tabs>
        <w:numPr>
          <w:ilvl w:val="0"/>
          <w:numId w:val="99"/>
        </w:numPr>
        <w:rPr>
          <w:rFonts w:ascii="Arial" w:cs="Arial" w:eastAsia="Arial" w:hAnsi="Arial"/>
          <w:sz w:val="20"/>
          <w:szCs w:val="20"/>
          <w:color w:val="auto"/>
        </w:rPr>
      </w:pPr>
      <w:r>
        <w:rPr>
          <w:rFonts w:ascii="Arial" w:cs="Arial" w:eastAsia="Arial" w:hAnsi="Arial"/>
          <w:sz w:val="20"/>
          <w:szCs w:val="20"/>
          <w:color w:val="auto"/>
        </w:rPr>
        <w:t>unless otherwise mutually agreed upon by Lessor and the related Subtenant, the Permitted Sublease shall terminate upon the expiration or sooner termination of this Lease (including any renewals hereof), provided that the related Subtenant agrees to attorn to Lessor if Lessor elects to assume the Permitted Sublease following a termination of this Lease; (e) Lessee shall at all times remain liable under this Lease irrespective of any Permitted Sublease; and (f) the related Property shall be used and occupied only as a Permitted Facility.</w:t>
      </w:r>
    </w:p>
    <w:p>
      <w:pPr>
        <w:spacing w:after="0" w:line="78" w:lineRule="exact"/>
        <w:rPr>
          <w:sz w:val="20"/>
          <w:szCs w:val="20"/>
          <w:color w:val="auto"/>
        </w:rPr>
      </w:pPr>
    </w:p>
    <w:p>
      <w:pPr>
        <w:ind w:left="6420"/>
        <w:spacing w:after="0"/>
        <w:rPr>
          <w:sz w:val="20"/>
          <w:szCs w:val="20"/>
          <w:color w:val="auto"/>
        </w:rPr>
      </w:pPr>
      <w:r>
        <w:rPr>
          <w:rFonts w:ascii="Arial" w:cs="Arial" w:eastAsia="Arial" w:hAnsi="Arial"/>
          <w:sz w:val="20"/>
          <w:szCs w:val="20"/>
          <w:b w:val="1"/>
          <w:bCs w:val="1"/>
          <w:color w:val="auto"/>
        </w:rPr>
        <w:t>ARTICLE XV NOTICES</w:t>
      </w:r>
    </w:p>
    <w:p>
      <w:pPr>
        <w:spacing w:after="0" w:line="108"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Section 15.01. Notices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All notices, demands, designations, certificates, requests, offers, consents, approvals,</w:t>
      </w:r>
      <w:r>
        <w:rPr>
          <w:rFonts w:ascii="Arial" w:cs="Arial" w:eastAsia="Arial" w:hAnsi="Arial"/>
          <w:sz w:val="20"/>
          <w:szCs w:val="20"/>
          <w:b w:val="1"/>
          <w:bCs w:val="1"/>
          <w:color w:val="auto"/>
        </w:rPr>
        <w:t xml:space="preserve"> </w:t>
      </w:r>
      <w:r>
        <w:rPr>
          <w:rFonts w:ascii="Arial" w:cs="Arial" w:eastAsia="Arial" w:hAnsi="Arial"/>
          <w:sz w:val="20"/>
          <w:szCs w:val="20"/>
          <w:color w:val="auto"/>
        </w:rPr>
        <w:t>appointments and other instruments given pursuant to this Lease shall be in writing and given by any one of the following: (a) hand delivery; (b) express overnight delivery service; (c) certified or registered mail, return receipt requested; or (d) email transmission,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transmission, if delivered by email transmission. Notices shall be provided to the parties and addresses (or electronic mail addresses) specified below:</w:t>
      </w:r>
    </w:p>
    <w:p>
      <w:pPr>
        <w:sectPr>
          <w:pgSz w:w="11900" w:h="16838" w:orient="portrait"/>
          <w:cols w:equalWidth="0" w:num="1">
            <w:col w:w="11340"/>
          </w:cols>
          <w:pgMar w:left="320" w:top="589" w:right="239" w:bottom="1440" w:gutter="0" w:footer="0" w:header="0"/>
        </w:sectPr>
      </w:pPr>
    </w:p>
    <w:p>
      <w:pPr>
        <w:spacing w:after="0" w:line="35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If to Lessee:</w:t>
      </w:r>
    </w:p>
    <w:p>
      <w:pPr>
        <w:spacing w:after="0" w:line="200" w:lineRule="exact"/>
        <w:rPr>
          <w:sz w:val="20"/>
          <w:szCs w:val="20"/>
          <w:color w:val="auto"/>
        </w:rPr>
      </w:pPr>
    </w:p>
    <w:p>
      <w:pPr>
        <w:spacing w:after="0" w:line="29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Kratos RT Logic, Inc.</w:t>
      </w:r>
    </w:p>
    <w:p>
      <w:pPr>
        <w:ind w:right="1300"/>
        <w:spacing w:after="0" w:line="257" w:lineRule="auto"/>
        <w:rPr>
          <w:sz w:val="20"/>
          <w:szCs w:val="20"/>
          <w:color w:val="auto"/>
        </w:rPr>
      </w:pPr>
      <w:r>
        <w:rPr>
          <w:rFonts w:ascii="Arial" w:cs="Arial" w:eastAsia="Arial" w:hAnsi="Arial"/>
          <w:sz w:val="19"/>
          <w:szCs w:val="19"/>
          <w:color w:val="auto"/>
        </w:rPr>
        <w:t xml:space="preserve">12515 Academy Ridge View Colorado Springs, CO 80921 Attention: Director of Operations Email: </w:t>
      </w:r>
      <w:r>
        <w:rPr>
          <w:rFonts w:ascii="Arial" w:cs="Arial" w:eastAsia="Arial" w:hAnsi="Arial"/>
          <w:sz w:val="19"/>
          <w:szCs w:val="19"/>
          <w:u w:val="single" w:color="auto"/>
          <w:color w:val="0000FF"/>
        </w:rPr>
        <w:t>shamilton@rtlogic.com</w:t>
      </w:r>
    </w:p>
    <w:p>
      <w:pPr>
        <w:spacing w:after="0" w:line="113" w:lineRule="exact"/>
        <w:rPr>
          <w:sz w:val="20"/>
          <w:szCs w:val="20"/>
          <w:color w:val="auto"/>
        </w:rPr>
      </w:pPr>
    </w:p>
    <w:p>
      <w:pPr>
        <w:ind w:right="1900"/>
        <w:spacing w:after="0" w:line="225" w:lineRule="auto"/>
        <w:rPr>
          <w:sz w:val="20"/>
          <w:szCs w:val="20"/>
          <w:color w:val="auto"/>
        </w:rPr>
      </w:pPr>
      <w:r>
        <w:rPr>
          <w:rFonts w:ascii="Arial" w:cs="Arial" w:eastAsia="Arial" w:hAnsi="Arial"/>
          <w:sz w:val="20"/>
          <w:szCs w:val="20"/>
          <w:color w:val="auto"/>
        </w:rPr>
        <w:t>Kratos Defense &amp; Security Solutions, Inc. 10680 Treena Street, Suite 600</w:t>
      </w:r>
    </w:p>
    <w:p>
      <w:pPr>
        <w:spacing w:after="0" w:line="226" w:lineRule="auto"/>
        <w:rPr>
          <w:sz w:val="20"/>
          <w:szCs w:val="20"/>
          <w:color w:val="auto"/>
        </w:rPr>
      </w:pPr>
      <w:r>
        <w:rPr>
          <w:rFonts w:ascii="Arial" w:cs="Arial" w:eastAsia="Arial" w:hAnsi="Arial"/>
          <w:sz w:val="20"/>
          <w:szCs w:val="20"/>
          <w:color w:val="auto"/>
        </w:rPr>
        <w:t>San Diego, CA 92131 Attention: General Counsel</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marie.mendoza@kratosdefense.com</w:t>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31</w:t>
      </w:r>
    </w:p>
    <w:p>
      <w:pPr>
        <w:spacing w:after="0" w:line="82" w:lineRule="exact"/>
        <w:rPr>
          <w:sz w:val="20"/>
          <w:szCs w:val="20"/>
          <w:color w:val="auto"/>
        </w:rPr>
      </w:pPr>
    </w:p>
    <w:p>
      <w:pPr>
        <w:sectPr>
          <w:pgSz w:w="11900" w:h="16838" w:orient="portrait"/>
          <w:cols w:equalWidth="0" w:num="2">
            <w:col w:w="3820" w:space="720"/>
            <w:col w:w="6800"/>
          </w:cols>
          <w:pgMar w:left="320" w:top="589" w:right="239" w:bottom="1440" w:gutter="0" w:footer="0" w:header="0"/>
          <w:type w:val="continuous"/>
        </w:sect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589" w:right="239" w:bottom="1440" w:gutter="0" w:footer="0" w:header="0"/>
          <w:type w:val="continuous"/>
        </w:sectPr>
      </w:pPr>
    </w:p>
    <w:bookmarkStart w:id="136" w:name="page137"/>
    <w:bookmarkEnd w:id="136"/>
    <w:p>
      <w:pPr>
        <w:ind w:left="1220"/>
        <w:spacing w:after="0"/>
        <w:rPr>
          <w:sz w:val="20"/>
          <w:szCs w:val="20"/>
          <w:color w:val="auto"/>
        </w:rPr>
      </w:pPr>
      <w:r>
        <w:rPr>
          <w:rFonts w:ascii="Arial" w:cs="Arial" w:eastAsia="Arial" w:hAnsi="Arial"/>
          <w:sz w:val="20"/>
          <w:szCs w:val="20"/>
          <w:color w:val="auto"/>
        </w:rPr>
        <w:t>If to Lessor: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780"/>
        <w:spacing w:after="0" w:line="225" w:lineRule="auto"/>
        <w:rPr>
          <w:sz w:val="20"/>
          <w:szCs w:val="20"/>
          <w:color w:val="auto"/>
        </w:rPr>
      </w:pPr>
      <w:r>
        <w:rPr>
          <w:rFonts w:ascii="Arial" w:cs="Arial" w:eastAsia="Arial" w:hAnsi="Arial"/>
          <w:sz w:val="20"/>
          <w:szCs w:val="20"/>
          <w:color w:val="auto"/>
        </w:rPr>
        <w:t>STORE Capital Acquisitions, LLC 8377 E. Hartford Drive, Suite 100</w:t>
      </w:r>
    </w:p>
    <w:p>
      <w:pPr>
        <w:spacing w:after="0" w:line="226" w:lineRule="auto"/>
        <w:rPr>
          <w:sz w:val="20"/>
          <w:szCs w:val="20"/>
          <w:color w:val="auto"/>
        </w:rPr>
      </w:pPr>
      <w:r>
        <w:rPr>
          <w:rFonts w:ascii="Arial" w:cs="Arial" w:eastAsia="Arial" w:hAnsi="Arial"/>
          <w:sz w:val="20"/>
          <w:szCs w:val="20"/>
          <w:color w:val="auto"/>
        </w:rPr>
        <w:t>Scottsdale, AZ 85255 Attention: Asset Management</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customerservice@storecapital.com</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Kutak Rock LLP</w:t>
      </w:r>
    </w:p>
    <w:p>
      <w:pPr>
        <w:spacing w:after="0" w:line="225" w:lineRule="auto"/>
        <w:rPr>
          <w:sz w:val="20"/>
          <w:szCs w:val="20"/>
          <w:color w:val="auto"/>
        </w:rPr>
      </w:pPr>
      <w:r>
        <w:rPr>
          <w:rFonts w:ascii="Arial" w:cs="Arial" w:eastAsia="Arial" w:hAnsi="Arial"/>
          <w:sz w:val="20"/>
          <w:szCs w:val="20"/>
          <w:color w:val="auto"/>
        </w:rPr>
        <w:t>1801 California Street, Suite 3000</w:t>
      </w:r>
    </w:p>
    <w:p>
      <w:pPr>
        <w:spacing w:after="0" w:line="225" w:lineRule="auto"/>
        <w:rPr>
          <w:sz w:val="20"/>
          <w:szCs w:val="20"/>
          <w:color w:val="auto"/>
        </w:rPr>
      </w:pPr>
      <w:r>
        <w:rPr>
          <w:rFonts w:ascii="Arial" w:cs="Arial" w:eastAsia="Arial" w:hAnsi="Arial"/>
          <w:sz w:val="20"/>
          <w:szCs w:val="20"/>
          <w:color w:val="auto"/>
        </w:rPr>
        <w:t>Denver, CO 80202</w:t>
      </w:r>
    </w:p>
    <w:p>
      <w:pPr>
        <w:spacing w:after="0" w:line="226" w:lineRule="auto"/>
        <w:rPr>
          <w:sz w:val="20"/>
          <w:szCs w:val="20"/>
          <w:color w:val="auto"/>
        </w:rPr>
      </w:pPr>
      <w:r>
        <w:rPr>
          <w:rFonts w:ascii="Arial" w:cs="Arial" w:eastAsia="Arial" w:hAnsi="Arial"/>
          <w:sz w:val="20"/>
          <w:szCs w:val="20"/>
          <w:color w:val="auto"/>
        </w:rPr>
        <w:t>Attention: Kristine Poston, Esq. Email:</w:t>
      </w:r>
    </w:p>
    <w:p>
      <w:pPr>
        <w:spacing w:after="0"/>
        <w:rPr>
          <w:sz w:val="20"/>
          <w:szCs w:val="20"/>
          <w:color w:val="auto"/>
        </w:rPr>
      </w:pPr>
      <w:r>
        <w:rPr>
          <w:rFonts w:ascii="Arial" w:cs="Arial" w:eastAsia="Arial" w:hAnsi="Arial"/>
          <w:sz w:val="20"/>
          <w:szCs w:val="20"/>
          <w:u w:val="single" w:color="auto"/>
          <w:color w:val="0000FF"/>
        </w:rPr>
        <w:t>kristine.poston@kutakrock.com</w:t>
      </w:r>
    </w:p>
    <w:p>
      <w:pPr>
        <w:spacing w:after="0" w:line="200" w:lineRule="exact"/>
        <w:rPr>
          <w:sz w:val="20"/>
          <w:szCs w:val="20"/>
          <w:color w:val="auto"/>
        </w:rPr>
      </w:pPr>
    </w:p>
    <w:p>
      <w:pPr>
        <w:sectPr>
          <w:pgSz w:w="11900" w:h="16838" w:orient="portrait"/>
          <w:cols w:equalWidth="0" w:num="2">
            <w:col w:w="3820" w:space="720"/>
            <w:col w:w="6800"/>
          </w:cols>
          <w:pgMar w:left="320" w:top="960" w:right="239" w:bottom="1440" w:gutter="0" w:footer="0" w:header="0"/>
        </w:sectPr>
      </w:pP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or to such other address or such other person as either party may from time to time hereafter specify to the other party in a notice delivered in the manner provided above.</w:t>
      </w:r>
    </w:p>
    <w:p>
      <w:pPr>
        <w:spacing w:after="0" w:line="178"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ARTICLE XVI</w:t>
      </w:r>
    </w:p>
    <w:p>
      <w:pPr>
        <w:spacing w:after="0" w:line="216" w:lineRule="exact"/>
        <w:rPr>
          <w:sz w:val="20"/>
          <w:szCs w:val="20"/>
          <w:color w:val="auto"/>
        </w:rPr>
      </w:pPr>
    </w:p>
    <w:p>
      <w:pPr>
        <w:jc w:val="center"/>
        <w:ind w:left="1800"/>
        <w:spacing w:after="0"/>
        <w:rPr>
          <w:sz w:val="20"/>
          <w:szCs w:val="20"/>
          <w:color w:val="auto"/>
        </w:rPr>
      </w:pPr>
      <w:r>
        <w:rPr>
          <w:rFonts w:ascii="Arial" w:cs="Arial" w:eastAsia="Arial" w:hAnsi="Arial"/>
          <w:sz w:val="20"/>
          <w:szCs w:val="20"/>
          <w:b w:val="1"/>
          <w:bCs w:val="1"/>
          <w:color w:val="auto"/>
        </w:rPr>
        <w:t>LANDLORD’S LIEN / SECURITY INTEREST</w:t>
      </w:r>
    </w:p>
    <w:p>
      <w:pPr>
        <w:spacing w:after="0" w:line="216"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b w:val="1"/>
          <w:bCs w:val="1"/>
          <w:color w:val="auto"/>
        </w:rPr>
        <w:t>Section 16.01. Landlord’s Lien and Security Interest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agrees that Lessor shall have a landlord’s lien, in, on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against all of Lessee’s right, title and interest in, to and under all Personalty, which lien and security interest shall secure the payment of all Rental and other Monetary Obligations payable by Lessee to Lessor under the terms hereof and all other obligations of Lessee to Lessor under this Lease. Lessee agrees that Lessor may file such documents as Lessor then deems appropriate or necessary to perfect and maintain said lien and security interest, and expressly acknowledges and agrees that, in addition to any and all other rights and remedies of Lessor whether hereunder or at Law or in equity, in the Event of Default of Lessee hereunder, Lessor shall have any and all rights and remedies granted a secured party under the Uniform Commercial Code then in effect in the state where the Property is located. Lessee covenants to promptly notify Lessor of any changes in Lessee’s name and/or organizational structure which may necessitate the execution and filing of additional financing statements; </w:t>
      </w:r>
      <w:r>
        <w:rPr>
          <w:rFonts w:ascii="Arial" w:cs="Arial" w:eastAsia="Arial" w:hAnsi="Arial"/>
          <w:sz w:val="20"/>
          <w:szCs w:val="20"/>
          <w:i w:val="1"/>
          <w:iCs w:val="1"/>
          <w:color w:val="auto"/>
        </w:rPr>
        <w:t>provided, however</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foregoing shall not be construed as Lessor’s consent to such changes.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16.02. Landlord Subordination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contain in Section</w:t>
      </w:r>
    </w:p>
    <w:p>
      <w:pPr>
        <w:spacing w:after="0" w:line="37" w:lineRule="exact"/>
        <w:rPr>
          <w:sz w:val="20"/>
          <w:szCs w:val="20"/>
          <w:color w:val="auto"/>
        </w:rPr>
      </w:pPr>
    </w:p>
    <w:p>
      <w:pPr>
        <w:jc w:val="both"/>
        <w:ind w:firstLine="9"/>
        <w:spacing w:after="0" w:line="269" w:lineRule="auto"/>
        <w:tabs>
          <w:tab w:leader="none" w:pos="689" w:val="left"/>
        </w:tabs>
        <w:numPr>
          <w:ilvl w:val="0"/>
          <w:numId w:val="100"/>
        </w:numPr>
        <w:rPr>
          <w:rFonts w:ascii="Arial" w:cs="Arial" w:eastAsia="Arial" w:hAnsi="Arial"/>
          <w:sz w:val="18"/>
          <w:szCs w:val="18"/>
          <w:color w:val="auto"/>
        </w:rPr>
      </w:pPr>
      <w:r>
        <w:rPr>
          <w:rFonts w:ascii="Arial" w:cs="Arial" w:eastAsia="Arial" w:hAnsi="Arial"/>
          <w:sz w:val="20"/>
          <w:szCs w:val="20"/>
          <w:color w:val="auto"/>
        </w:rPr>
        <w:t>to the contrary, Lessee shall have the right from time to time during the Lease Term and without Lessor’s further approval, written or otherwise, to grant a security interest in Lessee’s property (including the Personalty) to Lessee’s and/or Guarantor’s institutional lenders (“Lessee’s Institutional Lenders”) in connection with Lessee’s and Guarantor’s financing arrangements. Lessor agrees to execute such subordinations and other related documents related to the Lessor subordination described herein (except amendments to this Lease unless Lessor hereafter consents) as Lessee’s Institutional Lender may reasonably request and in a form acceptable to Lessor in connection with any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960" w:right="239" w:bottom="1440" w:gutter="0" w:footer="0" w:header="0"/>
          <w:type w:val="continuous"/>
        </w:sectPr>
      </w:pPr>
    </w:p>
    <w:bookmarkStart w:id="137" w:name="page138"/>
    <w:bookmarkEnd w:id="137"/>
    <w:p>
      <w:pPr>
        <w:ind w:left="5720"/>
        <w:spacing w:after="0"/>
        <w:rPr>
          <w:sz w:val="20"/>
          <w:szCs w:val="20"/>
          <w:color w:val="auto"/>
        </w:rPr>
      </w:pPr>
      <w:r>
        <w:rPr>
          <w:rFonts w:ascii="Arial" w:cs="Arial" w:eastAsia="Arial" w:hAnsi="Arial"/>
          <w:sz w:val="20"/>
          <w:szCs w:val="20"/>
          <w:b w:val="1"/>
          <w:bCs w:val="1"/>
          <w:color w:val="auto"/>
        </w:rPr>
        <w:t>ARTICLE XVII MISCELLANEOUS</w:t>
      </w:r>
    </w:p>
    <w:p>
      <w:pPr>
        <w:spacing w:after="0" w:line="378" w:lineRule="exact"/>
        <w:rPr>
          <w:sz w:val="20"/>
          <w:szCs w:val="20"/>
          <w:color w:val="auto"/>
        </w:rPr>
      </w:pPr>
    </w:p>
    <w:p>
      <w:pPr>
        <w:jc w:val="both"/>
        <w:ind w:firstLine="621"/>
        <w:spacing w:after="0" w:line="247" w:lineRule="auto"/>
        <w:rPr>
          <w:sz w:val="20"/>
          <w:szCs w:val="20"/>
          <w:color w:val="auto"/>
        </w:rPr>
      </w:pPr>
      <w:r>
        <w:rPr>
          <w:rFonts w:ascii="Arial" w:cs="Arial" w:eastAsia="Arial" w:hAnsi="Arial"/>
          <w:sz w:val="20"/>
          <w:szCs w:val="20"/>
          <w:b w:val="1"/>
          <w:bCs w:val="1"/>
          <w:color w:val="auto"/>
        </w:rPr>
        <w:t>Section 17.01. Force Majeure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prevention, delay or stoppage due to strikes, lockouts, acts of God, enemy or hostile</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action, civil commotion, fire or other casualty beyond the control of the party obligated to perform (each, a “</w:t>
      </w:r>
      <w:r>
        <w:rPr>
          <w:rFonts w:ascii="Arial" w:cs="Arial" w:eastAsia="Arial" w:hAnsi="Arial"/>
          <w:sz w:val="20"/>
          <w:szCs w:val="20"/>
          <w:u w:val="single" w:color="auto"/>
          <w:color w:val="auto"/>
        </w:rPr>
        <w:t>Force</w:t>
      </w:r>
      <w:r>
        <w:rPr>
          <w:rFonts w:ascii="Arial" w:cs="Arial" w:eastAsia="Arial" w:hAnsi="Arial"/>
          <w:sz w:val="20"/>
          <w:szCs w:val="20"/>
          <w:color w:val="auto"/>
        </w:rPr>
        <w:t xml:space="preserve"> </w:t>
      </w:r>
      <w:r>
        <w:rPr>
          <w:rFonts w:ascii="Arial" w:cs="Arial" w:eastAsia="Arial" w:hAnsi="Arial"/>
          <w:sz w:val="20"/>
          <w:szCs w:val="20"/>
          <w:u w:val="single" w:color="auto"/>
          <w:color w:val="auto"/>
        </w:rPr>
        <w:t>Majeure Event</w:t>
      </w:r>
      <w:r>
        <w:rPr>
          <w:rFonts w:ascii="Arial" w:cs="Arial" w:eastAsia="Arial" w:hAnsi="Arial"/>
          <w:sz w:val="20"/>
          <w:szCs w:val="20"/>
          <w:color w:val="auto"/>
        </w:rPr>
        <w:t>”) shall excuse the performance by such party for a period equal to any such prevention, delay or stoppage, expressly excluding, however, the obligations imposed upon Lessee with respect to Rental and other Monetary Obligations to be paid hereunder.</w:t>
      </w:r>
    </w:p>
    <w:p>
      <w:pPr>
        <w:spacing w:after="0" w:line="181"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Section 17.02. No Merger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There shall be no merger of this Lease nor of the leasehold estate created by this Lease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fee estate in or ownership of the Property by reason of the fact that the same person, corporation, firm or other entity may acquire or hold or own, directly or indirectly, (a) this Lease or the leasehold estate created by this Lease or any interest in this Lease or in such leasehold estate, and (b) the fee estate or ownership of the Property or any interest in such fee estate or ownership. No such merger shall occur unless and until all persons, corporations, firms and other entities having any interest in</w:t>
      </w:r>
    </w:p>
    <w:p>
      <w:pPr>
        <w:spacing w:after="0" w:line="3" w:lineRule="exact"/>
        <w:rPr>
          <w:sz w:val="20"/>
          <w:szCs w:val="20"/>
          <w:color w:val="auto"/>
        </w:rPr>
      </w:pPr>
    </w:p>
    <w:p>
      <w:pPr>
        <w:ind w:firstLine="9"/>
        <w:spacing w:after="0" w:line="247" w:lineRule="auto"/>
        <w:tabs>
          <w:tab w:leader="none" w:pos="24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this Lease or the leasehold estate created by this Lease, and (ii) the fee estate in or ownership of the Property or any part thereof sought to be merged shall join in a written instrument effecting such merger and shall duly record the same.</w:t>
      </w:r>
    </w:p>
    <w:p>
      <w:pPr>
        <w:spacing w:after="0" w:line="178"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17.03. Interpretation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and Lessee acknowledge and warrant to each other that each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179"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 xml:space="preserve">Section 17.04. Characterization. </w:t>
      </w:r>
      <w:r>
        <w:rPr>
          <w:rFonts w:ascii="Arial" w:cs="Arial" w:eastAsia="Arial" w:hAnsi="Arial"/>
          <w:sz w:val="20"/>
          <w:szCs w:val="20"/>
          <w:color w:val="auto"/>
        </w:rPr>
        <w:t>The following expressions of intent, representations, warranties,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stipulations and waivers are a material inducement to Lessor entering into this Lease:</w:t>
      </w:r>
    </w:p>
    <w:p>
      <w:pPr>
        <w:spacing w:after="0" w:line="191" w:lineRule="exact"/>
        <w:rPr>
          <w:sz w:val="20"/>
          <w:szCs w:val="20"/>
          <w:color w:val="auto"/>
        </w:rPr>
      </w:pPr>
    </w:p>
    <w:p>
      <w:pPr>
        <w:jc w:val="both"/>
        <w:ind w:left="660" w:firstLine="646"/>
        <w:spacing w:after="0" w:line="281" w:lineRule="auto"/>
        <w:tabs>
          <w:tab w:leader="none" w:pos="2062" w:val="left"/>
        </w:tabs>
        <w:numPr>
          <w:ilvl w:val="0"/>
          <w:numId w:val="102"/>
        </w:numPr>
        <w:rPr>
          <w:rFonts w:ascii="Arial" w:cs="Arial" w:eastAsia="Arial" w:hAnsi="Arial"/>
          <w:sz w:val="17"/>
          <w:szCs w:val="17"/>
          <w:color w:val="auto"/>
        </w:rPr>
      </w:pPr>
      <w:r>
        <w:rPr>
          <w:rFonts w:ascii="Arial" w:cs="Arial" w:eastAsia="Arial" w:hAnsi="Arial"/>
          <w:sz w:val="19"/>
          <w:szCs w:val="19"/>
          <w:color w:val="auto"/>
        </w:rPr>
        <w:t>Lessor and Lessee intend that (i) this Lease is a “true lease,” is not a financing lease, capital lease, mortgage, equitable mortgage, deed of trust, trust agreement, security agreement or other financing or trust arrangement, and the economic realities of this Lease are those of a true lease; and (ii) the business relationship created by this Lease and any related documents is solely that of a long- term commercial lease between Lessor and Lessee, the Lease has</w:t>
      </w:r>
    </w:p>
    <w:p>
      <w:pPr>
        <w:spacing w:after="0" w:line="3" w:lineRule="exact"/>
        <w:rPr>
          <w:rFonts w:ascii="Arial" w:cs="Arial" w:eastAsia="Arial" w:hAnsi="Arial"/>
          <w:sz w:val="17"/>
          <w:szCs w:val="17"/>
          <w:color w:val="auto"/>
        </w:rPr>
      </w:pPr>
    </w:p>
    <w:p>
      <w:pPr>
        <w:jc w:val="both"/>
        <w:ind w:left="660"/>
        <w:spacing w:after="0" w:line="269" w:lineRule="auto"/>
        <w:rPr>
          <w:rFonts w:ascii="Arial" w:cs="Arial" w:eastAsia="Arial" w:hAnsi="Arial"/>
          <w:sz w:val="17"/>
          <w:szCs w:val="17"/>
          <w:color w:val="auto"/>
        </w:rPr>
      </w:pPr>
      <w:r>
        <w:rPr>
          <w:rFonts w:ascii="Arial" w:cs="Arial" w:eastAsia="Arial" w:hAnsi="Arial"/>
          <w:sz w:val="20"/>
          <w:szCs w:val="20"/>
          <w:color w:val="auto"/>
        </w:rPr>
        <w:t>been entered into by both parties in reliance upon the economic and legal bargains contained herein, and none of the agreements contained herein is intended, nor shall the same be deemed or construed, to create a partnership (</w:t>
      </w:r>
      <w:r>
        <w:rPr>
          <w:rFonts w:ascii="Arial" w:cs="Arial" w:eastAsia="Arial" w:hAnsi="Arial"/>
          <w:sz w:val="20"/>
          <w:szCs w:val="20"/>
          <w:i w:val="1"/>
          <w:iCs w:val="1"/>
          <w:color w:val="auto"/>
        </w:rPr>
        <w:t>de facto</w:t>
      </w:r>
      <w:r>
        <w:rPr>
          <w:rFonts w:ascii="Arial" w:cs="Arial" w:eastAsia="Arial" w:hAnsi="Arial"/>
          <w:sz w:val="20"/>
          <w:szCs w:val="20"/>
          <w:color w:val="auto"/>
        </w:rPr>
        <w:t xml:space="preserve"> or </w:t>
      </w:r>
      <w:r>
        <w:rPr>
          <w:rFonts w:ascii="Arial" w:cs="Arial" w:eastAsia="Arial" w:hAnsi="Arial"/>
          <w:sz w:val="20"/>
          <w:szCs w:val="20"/>
          <w:i w:val="1"/>
          <w:iCs w:val="1"/>
          <w:color w:val="auto"/>
        </w:rPr>
        <w:t>de jure</w:t>
      </w:r>
      <w:r>
        <w:rPr>
          <w:rFonts w:ascii="Arial" w:cs="Arial" w:eastAsia="Arial" w:hAnsi="Arial"/>
          <w:sz w:val="20"/>
          <w:szCs w:val="20"/>
          <w:color w:val="auto"/>
        </w:rPr>
        <w:t>) between Lessor and Lessee, to make them joint venturers, to make Lessee an agent, legal representative,</w:t>
      </w:r>
      <w:r>
        <w:rPr>
          <w:rFonts w:ascii="Arial" w:cs="Arial" w:eastAsia="Arial" w:hAnsi="Arial"/>
          <w:sz w:val="20"/>
          <w:szCs w:val="20"/>
          <w:i w:val="1"/>
          <w:iCs w:val="1"/>
          <w:color w:val="auto"/>
        </w:rPr>
        <w:t xml:space="preserve"> </w:t>
      </w:r>
      <w:r>
        <w:rPr>
          <w:rFonts w:ascii="Arial" w:cs="Arial" w:eastAsia="Arial" w:hAnsi="Arial"/>
          <w:sz w:val="20"/>
          <w:szCs w:val="20"/>
          <w:color w:val="auto"/>
        </w:rPr>
        <w:t>partner, subsidiary or employee of Lessor, nor to make Lessor in any way responsible for the debts, obligations or losses of Lessee.</w:t>
      </w: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733" w:right="239" w:bottom="1440" w:gutter="0" w:footer="0" w:header="0"/>
        </w:sectPr>
      </w:pPr>
    </w:p>
    <w:bookmarkStart w:id="138" w:name="page139"/>
    <w:bookmarkEnd w:id="138"/>
    <w:p>
      <w:pPr>
        <w:jc w:val="both"/>
        <w:ind w:left="660" w:firstLine="646"/>
        <w:spacing w:after="0" w:line="268" w:lineRule="auto"/>
        <w:tabs>
          <w:tab w:leader="none" w:pos="207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Lessor and Lessee covenant and agree that: (i) each intends to treat this Lease as an operating lease pursuant to Accounting Standards Codification 840 or 842 Leases, as may be amended from time to time, and as a true lease for state Law reporting purposes and for federal income tax purposes; (ii)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Section 17.04; (iii) with respect to the Property, the Lease Term is less than seventy-five percent (75%) of the estimated remaining economic life of the Property; and (iv) the Base Annual Rental is the fair market value for the use of the Property and was agreed to by Lessor and Lessee on that basis, and the execution and delivery of, and the performance by Lessee of its obligations under, this Lease do not constitute a transfer of all or any part of the Property.</w:t>
      </w:r>
    </w:p>
    <w:p>
      <w:pPr>
        <w:spacing w:after="0" w:line="213" w:lineRule="exact"/>
        <w:rPr>
          <w:rFonts w:ascii="Arial" w:cs="Arial" w:eastAsia="Arial" w:hAnsi="Arial"/>
          <w:sz w:val="18"/>
          <w:szCs w:val="18"/>
          <w:color w:val="auto"/>
        </w:rPr>
      </w:pPr>
    </w:p>
    <w:p>
      <w:pPr>
        <w:jc w:val="both"/>
        <w:ind w:left="660" w:firstLine="646"/>
        <w:spacing w:after="0" w:line="270" w:lineRule="auto"/>
        <w:tabs>
          <w:tab w:leader="none" w:pos="206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Lessee waives any claim or defense based upon the characterization of this Lease as anything other than a true lease of the Property. Lessee stipulates and agrees (i) not to challenge the validity, enforceability or characterization of the lease of the Property as a true lease of the Property; and (ii) not to assert or take or omit to take any action inconsistent with the agreements and understandings set forth in this Section 17.04.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17.05. Disclosures</w:t>
      </w:r>
      <w:r>
        <w:rPr>
          <w:rFonts w:ascii="Arial" w:cs="Arial" w:eastAsia="Arial" w:hAnsi="Arial"/>
          <w:sz w:val="20"/>
          <w:szCs w:val="20"/>
          <w:color w:val="auto"/>
        </w:rPr>
        <w:t>.</w:t>
      </w:r>
    </w:p>
    <w:p>
      <w:pPr>
        <w:spacing w:after="0" w:line="229" w:lineRule="exact"/>
        <w:rPr>
          <w:sz w:val="20"/>
          <w:szCs w:val="20"/>
          <w:color w:val="auto"/>
        </w:rPr>
      </w:pPr>
    </w:p>
    <w:p>
      <w:pPr>
        <w:jc w:val="both"/>
        <w:ind w:left="660" w:firstLine="646"/>
        <w:spacing w:after="0" w:line="284" w:lineRule="auto"/>
        <w:tabs>
          <w:tab w:leader="none" w:pos="2062" w:val="left"/>
        </w:tabs>
        <w:numPr>
          <w:ilvl w:val="0"/>
          <w:numId w:val="104"/>
        </w:numPr>
        <w:rPr>
          <w:rFonts w:ascii="Arial" w:cs="Arial" w:eastAsia="Arial" w:hAnsi="Arial"/>
          <w:sz w:val="18"/>
          <w:szCs w:val="18"/>
          <w:color w:val="auto"/>
        </w:rPr>
      </w:pPr>
      <w:r>
        <w:rPr>
          <w:rFonts w:ascii="Arial" w:cs="Arial" w:eastAsia="Arial" w:hAnsi="Arial"/>
          <w:sz w:val="20"/>
          <w:szCs w:val="20"/>
          <w:b w:val="1"/>
          <w:bCs w:val="1"/>
          <w:i w:val="1"/>
          <w:iCs w:val="1"/>
          <w:color w:val="auto"/>
        </w:rPr>
        <w:t>Securities Act or Exchange Act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agree that, notwithstanding any provision contained in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Lease, any party (and each employee, representative or other agent of any party) may disclose to any and all persons, without limitation of any kind, any matter required under the Securities Act or the Exchange Act.</w:t>
      </w:r>
    </w:p>
    <w:p>
      <w:pPr>
        <w:spacing w:after="0" w:line="169" w:lineRule="exact"/>
        <w:rPr>
          <w:rFonts w:ascii="Arial" w:cs="Arial" w:eastAsia="Arial" w:hAnsi="Arial"/>
          <w:sz w:val="18"/>
          <w:szCs w:val="18"/>
          <w:color w:val="auto"/>
        </w:rPr>
      </w:pPr>
    </w:p>
    <w:p>
      <w:pPr>
        <w:jc w:val="both"/>
        <w:ind w:left="660" w:firstLine="646"/>
        <w:spacing w:after="0" w:line="278" w:lineRule="auto"/>
        <w:tabs>
          <w:tab w:leader="none" w:pos="2072" w:val="left"/>
        </w:tabs>
        <w:numPr>
          <w:ilvl w:val="0"/>
          <w:numId w:val="104"/>
        </w:numPr>
        <w:rPr>
          <w:rFonts w:ascii="Arial" w:cs="Arial" w:eastAsia="Arial" w:hAnsi="Arial"/>
          <w:sz w:val="18"/>
          <w:szCs w:val="18"/>
          <w:color w:val="auto"/>
        </w:rPr>
      </w:pPr>
      <w:r>
        <w:rPr>
          <w:rFonts w:ascii="Arial" w:cs="Arial" w:eastAsia="Arial" w:hAnsi="Arial"/>
          <w:sz w:val="20"/>
          <w:szCs w:val="20"/>
          <w:b w:val="1"/>
          <w:bCs w:val="1"/>
          <w:i w:val="1"/>
          <w:iCs w:val="1"/>
          <w:color w:val="auto"/>
        </w:rPr>
        <w:t>Lessor Advertising and Related Publications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Each party shall obtain the other party’s prior written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consent before such other party’s name, trademarks, logos, pictures of stores and signage, and basic Transaction information (collectively “</w:t>
      </w:r>
      <w:r>
        <w:rPr>
          <w:rFonts w:ascii="Arial" w:cs="Arial" w:eastAsia="Arial" w:hAnsi="Arial"/>
          <w:sz w:val="20"/>
          <w:szCs w:val="20"/>
          <w:u w:val="single" w:color="auto"/>
          <w:color w:val="auto"/>
        </w:rPr>
        <w:t>Company Information</w:t>
      </w:r>
      <w:r>
        <w:rPr>
          <w:rFonts w:ascii="Arial" w:cs="Arial" w:eastAsia="Arial" w:hAnsi="Arial"/>
          <w:sz w:val="20"/>
          <w:szCs w:val="20"/>
          <w:color w:val="auto"/>
        </w:rPr>
        <w:t>”) is used in connection with any sales, advertising, and press release materials, including on the requesting party’s website.</w:t>
      </w:r>
    </w:p>
    <w:p>
      <w:pPr>
        <w:spacing w:after="0" w:line="176" w:lineRule="exact"/>
        <w:rPr>
          <w:rFonts w:ascii="Arial" w:cs="Arial" w:eastAsia="Arial" w:hAnsi="Arial"/>
          <w:sz w:val="18"/>
          <w:szCs w:val="18"/>
          <w:color w:val="auto"/>
        </w:rPr>
      </w:pPr>
    </w:p>
    <w:p>
      <w:pPr>
        <w:jc w:val="both"/>
        <w:ind w:left="660" w:firstLine="646"/>
        <w:spacing w:after="0" w:line="284" w:lineRule="auto"/>
        <w:tabs>
          <w:tab w:leader="none" w:pos="2062" w:val="left"/>
        </w:tabs>
        <w:numPr>
          <w:ilvl w:val="0"/>
          <w:numId w:val="104"/>
        </w:numPr>
        <w:rPr>
          <w:rFonts w:ascii="Arial" w:cs="Arial" w:eastAsia="Arial" w:hAnsi="Arial"/>
          <w:sz w:val="18"/>
          <w:szCs w:val="18"/>
          <w:color w:val="auto"/>
        </w:rPr>
      </w:pPr>
      <w:r>
        <w:rPr>
          <w:rFonts w:ascii="Arial" w:cs="Arial" w:eastAsia="Arial" w:hAnsi="Arial"/>
          <w:sz w:val="20"/>
          <w:szCs w:val="20"/>
          <w:b w:val="1"/>
          <w:bCs w:val="1"/>
          <w:i w:val="1"/>
          <w:iCs w:val="1"/>
          <w:color w:val="auto"/>
        </w:rPr>
        <w:t xml:space="preserve">Public Disclosures. </w:t>
      </w:r>
      <w:r>
        <w:rPr>
          <w:rFonts w:ascii="Arial" w:cs="Arial" w:eastAsia="Arial" w:hAnsi="Arial"/>
          <w:sz w:val="20"/>
          <w:szCs w:val="20"/>
          <w:color w:val="auto"/>
        </w:rPr>
        <w:t>Except as required by Law, neither party shall make any public disclosure,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press releases or any form of media release, of this Lease Agreement or any transactions relating hereto without the prior written consent of the other.</w:t>
      </w:r>
    </w:p>
    <w:p>
      <w:pPr>
        <w:spacing w:after="0" w:line="15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17.06. Attorneys’ Fees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judicial or other adversarial proceeding concerning this Lease,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extent permitted by Law, the prevailing party shall be entitled to recover all of its reasonable attorneys’ fees and other Costs in addition to any other relief to which it may be entitled.</w:t>
      </w:r>
    </w:p>
    <w:p>
      <w:pPr>
        <w:spacing w:after="0" w:line="172"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17.07. Memorandum of Lease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the execution of this Lease, Lessor and Lessee executed Lessor’s</w:t>
      </w:r>
      <w:r>
        <w:rPr>
          <w:rFonts w:ascii="Arial" w:cs="Arial" w:eastAsia="Arial" w:hAnsi="Arial"/>
          <w:sz w:val="20"/>
          <w:szCs w:val="20"/>
          <w:b w:val="1"/>
          <w:bCs w:val="1"/>
          <w:color w:val="auto"/>
        </w:rPr>
        <w:t xml:space="preserve"> </w:t>
      </w:r>
      <w:r>
        <w:rPr>
          <w:rFonts w:ascii="Arial" w:cs="Arial" w:eastAsia="Arial" w:hAnsi="Arial"/>
          <w:sz w:val="20"/>
          <w:szCs w:val="20"/>
          <w:color w:val="auto"/>
        </w:rPr>
        <w:t>standard form memorandum of lease in recordable form, indicating the names and addresses of Lessor and Lessee, a description of the Property, the</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34</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38" w:right="239" w:bottom="1440" w:gutter="0" w:footer="0" w:header="0"/>
        </w:sectPr>
      </w:pPr>
    </w:p>
    <w:bookmarkStart w:id="139" w:name="page140"/>
    <w:bookmarkEnd w:id="139"/>
    <w:p>
      <w:pPr>
        <w:jc w:val="both"/>
        <w:ind w:right="20"/>
        <w:spacing w:after="0" w:line="243" w:lineRule="auto"/>
        <w:rPr>
          <w:sz w:val="20"/>
          <w:szCs w:val="20"/>
          <w:color w:val="auto"/>
        </w:rPr>
      </w:pPr>
      <w:r>
        <w:rPr>
          <w:rFonts w:ascii="Arial" w:cs="Arial" w:eastAsia="Arial" w:hAnsi="Arial"/>
          <w:sz w:val="20"/>
          <w:szCs w:val="20"/>
          <w:color w:val="auto"/>
        </w:rPr>
        <w:t>Lease Term, but omitting Rentals and such other terms of this Lease as Lessor may not desire to disclose to the public. Further, upon Lessor’s reasonable request, Lessee agrees to execute and acknowledge a termination of lease and/or quitclaim deed in recordable form to be held by Lessor until the expiration or sooner termination of the Lease Term.</w:t>
      </w:r>
    </w:p>
    <w:p>
      <w:pPr>
        <w:spacing w:after="0" w:line="182"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17.08. No Brokerage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Lessor and Lessee represent and warrant to each other that they have had no</w:t>
      </w:r>
      <w:r>
        <w:rPr>
          <w:rFonts w:ascii="Arial" w:cs="Arial" w:eastAsia="Arial" w:hAnsi="Arial"/>
          <w:sz w:val="20"/>
          <w:szCs w:val="20"/>
          <w:b w:val="1"/>
          <w:bCs w:val="1"/>
          <w:color w:val="auto"/>
        </w:rPr>
        <w:t xml:space="preserve"> </w:t>
      </w:r>
      <w:r>
        <w:rPr>
          <w:rFonts w:ascii="Arial" w:cs="Arial" w:eastAsia="Arial" w:hAnsi="Arial"/>
          <w:sz w:val="20"/>
          <w:szCs w:val="20"/>
          <w:color w:val="auto"/>
        </w:rPr>
        <w:t>conversation or negotiations with any broker, other than Olive Real Estate Group (whose fees have been or will be paid in accordance with the terms a separate disbursement agreement) concerning the leasing of the Property. Each of Lessor and Lessee agrees to protect, defend (using counsel chosen by Lessee and approved by Lessor), indemnify, save and keep harmless the other, against and from all liabilities, claims, losses, Costs, damages and expenses, including reasonable attorneys’ fees, arising out of, resulting from or in connection with their breach of the foregoing warranty and representation.</w:t>
      </w:r>
    </w:p>
    <w:p>
      <w:pPr>
        <w:spacing w:after="0" w:line="179"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19"/>
          <w:szCs w:val="19"/>
          <w:b w:val="1"/>
          <w:bCs w:val="1"/>
          <w:color w:val="auto"/>
        </w:rPr>
        <w:t>Section 17.09. Waiver of Jury Trial and Certain Damages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LESSOR AND LESSEE HEREBY KNOWINGLY,</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AND 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PROPERTY,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EITHER MAY HAVE TO SEEK PUNITIVE, CONSEQUENTIAL, SPECIAL AND INDIRECT DAMAGES FROM THE OTHER PARTY AND ANY OF THE AFFILIATES, OFFICERS, DIRECTORS, MEMBERS, MANAGERS OR EMPLOYEES OF LESSOR OR LESSEE, AS APPLICABLE, OR ANY OF THEIR SUCCESSORS WITH RESPECT TO ANY AND ALL ISSUES PRESENTED IN ANY ACTION, PROCEEDING, CLAIM OR COUNTERCLAIM BROUGHT WITH RESPECT TO ANY MATTER ARISING OUT OF OR IN CONNECTION WITH THIS LEASE OR ANY DOCUMENT CONTEMPLATED HEREIN OR RELATED HERETO. THE WAIVER BY LESSOR AND LESSEE OF ANY RIGHT EITHER MAY HAVE TO SEEK PUNITIVE, CONSEQUENTIAL, SPECIAL AND INDIRECT DAMAGES HAS BEEN NEGOTIATED BY THE PARTIES HERETO AND IS AN ESSENTIAL ASPECT OF THEIR BARGAIN.</w:t>
      </w:r>
    </w:p>
    <w:p>
      <w:pPr>
        <w:spacing w:after="0" w:line="175"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20"/>
          <w:szCs w:val="20"/>
          <w:b w:val="1"/>
          <w:bCs w:val="1"/>
          <w:color w:val="auto"/>
        </w:rPr>
        <w:t>Section 17.10. Securitizations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material inducement to Lessor’s willingness to enter into the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by this Lease and the other Transaction Documents, Lessee hereby acknowledges and agrees that Lessor may, from time to time and at any time</w:t>
      </w:r>
    </w:p>
    <w:p>
      <w:pPr>
        <w:spacing w:after="0" w:line="2" w:lineRule="exact"/>
        <w:rPr>
          <w:sz w:val="20"/>
          <w:szCs w:val="20"/>
          <w:color w:val="auto"/>
        </w:rPr>
      </w:pPr>
    </w:p>
    <w:p>
      <w:pPr>
        <w:jc w:val="both"/>
        <w:ind w:firstLine="9"/>
        <w:spacing w:after="0" w:line="269" w:lineRule="auto"/>
        <w:tabs>
          <w:tab w:leader="none" w:pos="753" w:val="left"/>
        </w:tabs>
        <w:numPr>
          <w:ilvl w:val="0"/>
          <w:numId w:val="105"/>
        </w:numPr>
        <w:rPr>
          <w:rFonts w:ascii="Arial" w:cs="Arial" w:eastAsia="Arial" w:hAnsi="Arial"/>
          <w:sz w:val="18"/>
          <w:szCs w:val="18"/>
          <w:color w:val="auto"/>
        </w:rPr>
      </w:pPr>
      <w:r>
        <w:rPr>
          <w:rFonts w:ascii="Arial" w:cs="Arial" w:eastAsia="Arial" w:hAnsi="Arial"/>
          <w:sz w:val="20"/>
          <w:szCs w:val="20"/>
          <w:color w:val="auto"/>
        </w:rPr>
        <w:t>advertise, issue press releases, send direct mail or otherwise disclose information regarding the Transaction for marketing purposes with Lessee’s prior written consent; and (b) (i)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(ii) permit one or more of such Persons or arrangements to offer and sell stock, certificates, bonds, notes, other evidences of indebtedness or securities that are</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35</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65" w:right="239" w:bottom="1440" w:gutter="0" w:footer="0" w:header="0"/>
        </w:sectPr>
      </w:pPr>
    </w:p>
    <w:bookmarkStart w:id="140" w:name="page141"/>
    <w:bookmarkEnd w:id="140"/>
    <w:p>
      <w:pPr>
        <w:jc w:val="both"/>
        <w:spacing w:after="0" w:line="252" w:lineRule="auto"/>
        <w:rPr>
          <w:sz w:val="20"/>
          <w:szCs w:val="20"/>
          <w:color w:val="auto"/>
        </w:rPr>
      </w:pPr>
      <w:r>
        <w:rPr>
          <w:rFonts w:ascii="Arial" w:cs="Arial" w:eastAsia="Arial" w:hAnsi="Arial"/>
          <w:sz w:val="19"/>
          <w:szCs w:val="19"/>
          <w:color w:val="auto"/>
        </w:rPr>
        <w:t>directly or indirectly secured, collateralized or otherwise backed by or represent a direct or indirect interest in whole or in part in any of the assets, rights or properties described in Section 14.01 of this Lease, in one or more Persons or arrangements holding such assets, rights or properties, or any of them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 whether any such Securities are privately or publicly offered and sold, or rated or unrated (any combination of which actions and transactions described in both clauses (i) and</w:t>
      </w:r>
    </w:p>
    <w:p>
      <w:pPr>
        <w:spacing w:after="0" w:line="1" w:lineRule="exact"/>
        <w:rPr>
          <w:sz w:val="20"/>
          <w:szCs w:val="20"/>
          <w:color w:val="auto"/>
        </w:rPr>
      </w:pPr>
    </w:p>
    <w:p>
      <w:pPr>
        <w:jc w:val="both"/>
        <w:ind w:firstLine="9"/>
        <w:spacing w:after="0" w:line="241" w:lineRule="auto"/>
        <w:tabs>
          <w:tab w:leader="none" w:pos="28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 this paragraph, whether proposed or completed, are referred to in this Lease as a “</w:t>
      </w:r>
      <w:r>
        <w:rPr>
          <w:rFonts w:ascii="Arial" w:cs="Arial" w:eastAsia="Arial" w:hAnsi="Arial"/>
          <w:sz w:val="20"/>
          <w:szCs w:val="20"/>
          <w:u w:val="single" w:color="auto"/>
          <w:color w:val="auto"/>
        </w:rPr>
        <w:t>Securitization</w:t>
      </w:r>
      <w:r>
        <w:rPr>
          <w:rFonts w:ascii="Arial" w:cs="Arial" w:eastAsia="Arial" w:hAnsi="Arial"/>
          <w:sz w:val="20"/>
          <w:szCs w:val="20"/>
          <w:color w:val="auto"/>
        </w:rPr>
        <w:t>”). Lessee shall cooperate fully with Lessor and any Affected Party with respect to all reasonable requests and due diligence procedures and use reasonable efforts to facilitate such Securitization, provided that such cooperation shall be at no additional cost or expense to Lessee so long as Lessee is not otherwise required to provide such information to Lessor pursuant to the other provisions of this Lease.</w:t>
      </w:r>
    </w:p>
    <w:p>
      <w:pPr>
        <w:spacing w:after="0" w:line="185"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17.11. State-Specific Provisions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and/or remedies which are set forth on the attached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a part of and included within the terms and conditions of this Lease.</w:t>
      </w:r>
    </w:p>
    <w:p>
      <w:pPr>
        <w:spacing w:after="0" w:line="154"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17.12. Time is of the Essence; Computation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Time is of the essence with respect to each and every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Lease. If any deadline provided herein falls on a non-Business Day, such deadline shall be extended to the next day that is a Business Day.</w:t>
      </w:r>
    </w:p>
    <w:p>
      <w:pPr>
        <w:spacing w:after="0" w:line="17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b w:val="1"/>
          <w:bCs w:val="1"/>
          <w:color w:val="auto"/>
        </w:rPr>
        <w:t>Section 17.13. Waiver and Amendment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 provision of this Lease shall be deemed waived or amended except by a</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instrument unambiguously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Rental and other Monetary Obligations stipulated to be due under this Lease shall be deemed to be other than a payment on account of the earliest such Rental or other Monetary Obligations then due or in arrears nor shall any endorsement or statement on any check or letter accompanying any such payment be deemed a waiver of Lessor’s right to collect any unpaid amounts or an accord and satisfaction.</w:t>
      </w:r>
    </w:p>
    <w:p>
      <w:pPr>
        <w:spacing w:after="0" w:line="166"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17.14. Successors Bound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specifically provided herein, the terms, covenants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contained in this Lease shall bind and inure to the benefit of the respective heirs, successors, executors, administrators and assigns of each of the parties hereto.</w:t>
      </w:r>
    </w:p>
    <w:p>
      <w:pPr>
        <w:spacing w:after="0" w:line="172"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17.15. Captions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Captions are used throughout this Lease for convenience of reference only and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in any manner in the construction or interpretation hereof.</w:t>
      </w:r>
    </w:p>
    <w:p>
      <w:pPr>
        <w:spacing w:after="0" w:line="154"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20"/>
          <w:szCs w:val="20"/>
          <w:b w:val="1"/>
          <w:bCs w:val="1"/>
          <w:color w:val="auto"/>
        </w:rPr>
        <w:t>Section 17.16. Other Documents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parties agrees to sign such other and further documents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necessary or appropriate to carry out the intentions expressed in this Lease.</w:t>
      </w:r>
    </w:p>
    <w:p>
      <w:pPr>
        <w:spacing w:after="0" w:line="154"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17.17. Entire Agreement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and any other instruments or agreements referred to herein, constitute the</w:t>
      </w:r>
      <w:r>
        <w:rPr>
          <w:rFonts w:ascii="Arial" w:cs="Arial" w:eastAsia="Arial" w:hAnsi="Arial"/>
          <w:sz w:val="20"/>
          <w:szCs w:val="20"/>
          <w:b w:val="1"/>
          <w:bCs w:val="1"/>
          <w:color w:val="auto"/>
        </w:rPr>
        <w:t xml:space="preserve"> </w:t>
      </w:r>
      <w:r>
        <w:rPr>
          <w:rFonts w:ascii="Arial" w:cs="Arial" w:eastAsia="Arial" w:hAnsi="Arial"/>
          <w:sz w:val="20"/>
          <w:szCs w:val="20"/>
          <w:color w:val="auto"/>
        </w:rPr>
        <w:t>entire agreement between the parties with respect to the subject matter hereof, and there are no other representations, warranties or agreements except as herein provided.</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41" w:name="page142"/>
    <w:bookmarkEnd w:id="141"/>
    <w:p>
      <w:pPr>
        <w:jc w:val="both"/>
        <w:ind w:firstLine="621"/>
        <w:spacing w:after="0" w:line="244" w:lineRule="auto"/>
        <w:rPr>
          <w:sz w:val="20"/>
          <w:szCs w:val="20"/>
          <w:color w:val="auto"/>
        </w:rPr>
      </w:pPr>
      <w:r>
        <w:rPr>
          <w:rFonts w:ascii="Arial" w:cs="Arial" w:eastAsia="Arial" w:hAnsi="Arial"/>
          <w:sz w:val="20"/>
          <w:szCs w:val="20"/>
          <w:b w:val="1"/>
          <w:bCs w:val="1"/>
          <w:color w:val="auto"/>
        </w:rPr>
        <w:t>Section 17.18. Forum Selection; Jurisdiction; Venue; Choice of Law</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any action or proceeding arising</w:t>
      </w:r>
      <w:r>
        <w:rPr>
          <w:rFonts w:ascii="Arial" w:cs="Arial" w:eastAsia="Arial" w:hAnsi="Arial"/>
          <w:sz w:val="20"/>
          <w:szCs w:val="20"/>
          <w:b w:val="1"/>
          <w:bCs w:val="1"/>
          <w:color w:val="auto"/>
        </w:rPr>
        <w:t xml:space="preserve"> </w:t>
      </w:r>
      <w:r>
        <w:rPr>
          <w:rFonts w:ascii="Arial" w:cs="Arial" w:eastAsia="Arial" w:hAnsi="Arial"/>
          <w:sz w:val="20"/>
          <w:szCs w:val="20"/>
          <w:color w:val="auto"/>
        </w:rPr>
        <w:t>out of this Lease, the parties hereto expressly submit to the jurisdiction of all federal and state courts located in the state where the Property is located. Lessee and Lessor each consents that it may be served with any process or paper by registered mail or by personal service within or without the state where the Property is located in accordance with applicable Law. Furthermore, Lessee waives and agrees not to assert in any such action, suit or proceeding that it is not personally subject to the jurisdiction of such courts, that the action, suit or proceeding is brought in an inconvenient forum or that venue of the action, suit or proceeding is improper. This Lease shall be governed by, and construed with, the Laws of the applicable state in which the Property is located, without giving effect to any state’s conflict of Laws principles.</w:t>
      </w:r>
    </w:p>
    <w:p>
      <w:pPr>
        <w:spacing w:after="0" w:line="182"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20"/>
          <w:szCs w:val="20"/>
          <w:b w:val="1"/>
          <w:bCs w:val="1"/>
          <w:color w:val="auto"/>
        </w:rPr>
        <w:t>Section 17.19. Counterparts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Lease may be executed in one or more counterparts, each of which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Furthermore, the undersigned agree that transmission of this Lease via e-mail in a “.pdf” or other electronic format shall be deemed transmission of the original Lease for all purposes.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ARTICLE XVIII</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RIGHT OF FIRST REFUSAL</w:t>
      </w:r>
    </w:p>
    <w:p>
      <w:pPr>
        <w:spacing w:after="0" w:line="337"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Section 18.01. Offer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set forth in this Section Article XVIII, if Lessor desires to sell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and receives a bona fide written offer from a third party which offer is in all respects acceptable to Lessor, Lessor shall deliver a complete copy of such bona fide third party offer to Lessee (“</w:t>
      </w:r>
      <w:r>
        <w:rPr>
          <w:rFonts w:ascii="Arial" w:cs="Arial" w:eastAsia="Arial" w:hAnsi="Arial"/>
          <w:sz w:val="20"/>
          <w:szCs w:val="20"/>
          <w:u w:val="single" w:color="auto"/>
          <w:color w:val="auto"/>
        </w:rPr>
        <w:t>Third Party Offer</w:t>
      </w:r>
      <w:r>
        <w:rPr>
          <w:rFonts w:ascii="Arial" w:cs="Arial" w:eastAsia="Arial" w:hAnsi="Arial"/>
          <w:sz w:val="20"/>
          <w:szCs w:val="20"/>
          <w:color w:val="auto"/>
        </w:rPr>
        <w:t>”). Within twenty-one (21) days of Lessee’s receipt of the first Third Party Offer delivered hereunder, and within fifteen (15) days of Lessee’s receipt of subsequent Third Party Offer from Lessor, and a written statement of Lessor’s desire to sell the Property in accordance with such Third Party Offer, Lessee shall have the right to deliver an offer to Lessor (“</w:t>
      </w:r>
      <w:r>
        <w:rPr>
          <w:rFonts w:ascii="Arial" w:cs="Arial" w:eastAsia="Arial" w:hAnsi="Arial"/>
          <w:sz w:val="20"/>
          <w:szCs w:val="20"/>
          <w:u w:val="single" w:color="auto"/>
          <w:color w:val="auto"/>
        </w:rPr>
        <w:t>Purchase Offer</w:t>
      </w:r>
      <w:r>
        <w:rPr>
          <w:rFonts w:ascii="Arial" w:cs="Arial" w:eastAsia="Arial" w:hAnsi="Arial"/>
          <w:sz w:val="20"/>
          <w:szCs w:val="20"/>
          <w:color w:val="auto"/>
        </w:rPr>
        <w:t>”) to purchase Lessor’s interest in any such Property for the amount of the bona fide third party offer to purchase the Property (the “</w:t>
      </w:r>
      <w:r>
        <w:rPr>
          <w:rFonts w:ascii="Arial" w:cs="Arial" w:eastAsia="Arial" w:hAnsi="Arial"/>
          <w:sz w:val="20"/>
          <w:szCs w:val="20"/>
          <w:u w:val="single" w:color="auto"/>
          <w:color w:val="auto"/>
        </w:rPr>
        <w:t>Subject Purchase Price</w:t>
      </w:r>
      <w:r>
        <w:rPr>
          <w:rFonts w:ascii="Arial" w:cs="Arial" w:eastAsia="Arial" w:hAnsi="Arial"/>
          <w:sz w:val="20"/>
          <w:szCs w:val="20"/>
          <w:color w:val="auto"/>
        </w:rPr>
        <w:t>”). Lessee shall complete such purchase, subject to the satisfaction of each of the terms and conditions set forth in Section 18.02 below.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18.02. Conditions Precedent.</w:t>
      </w:r>
    </w:p>
    <w:p>
      <w:pPr>
        <w:spacing w:after="0" w:line="253" w:lineRule="exact"/>
        <w:rPr>
          <w:sz w:val="20"/>
          <w:szCs w:val="20"/>
          <w:color w:val="auto"/>
        </w:rPr>
      </w:pPr>
    </w:p>
    <w:p>
      <w:pPr>
        <w:jc w:val="both"/>
        <w:ind w:left="660" w:firstLine="646"/>
        <w:spacing w:after="0" w:line="269" w:lineRule="auto"/>
        <w:tabs>
          <w:tab w:leader="none" w:pos="2062" w:val="left"/>
        </w:tabs>
        <w:numPr>
          <w:ilvl w:val="1"/>
          <w:numId w:val="107"/>
        </w:numPr>
        <w:rPr>
          <w:rFonts w:ascii="Arial" w:cs="Arial" w:eastAsia="Arial" w:hAnsi="Arial"/>
          <w:sz w:val="18"/>
          <w:szCs w:val="18"/>
          <w:color w:val="auto"/>
        </w:rPr>
      </w:pPr>
      <w:r>
        <w:rPr>
          <w:rFonts w:ascii="Arial" w:cs="Arial" w:eastAsia="Arial" w:hAnsi="Arial"/>
          <w:sz w:val="20"/>
          <w:szCs w:val="20"/>
          <w:color w:val="auto"/>
        </w:rPr>
        <w:t>The purchase of Lessor’s interest in the Property pursuant to Section 18.01 shall be subject to the fulfillment of all of the following terms and conditions: (i) no Event of Default shall have occurred and be continuing under this Lease or other Transaction Documents; (ii) Lessee shall have paid to Lessor the Subject Purchase Price, together with all Rental and other Monetary Obligations then due and payable under this Lease as of the date of the closing of such purchase; (iii) in addition to payment of the Subject Purchase Price, Lessee shall have satisfied its obligations under Section 18.03 below; and (iv) the date of the closing of such purchase shall occur within sixty (60) days of Lessor’s receipt of the Purchase Offer.</w:t>
      </w:r>
    </w:p>
    <w:p>
      <w:pPr>
        <w:spacing w:after="0" w:line="207" w:lineRule="exact"/>
        <w:rPr>
          <w:rFonts w:ascii="Arial" w:cs="Arial" w:eastAsia="Arial" w:hAnsi="Arial"/>
          <w:sz w:val="18"/>
          <w:szCs w:val="18"/>
          <w:color w:val="auto"/>
        </w:rPr>
      </w:pPr>
    </w:p>
    <w:p>
      <w:pPr>
        <w:ind w:left="660" w:right="20" w:firstLine="646"/>
        <w:spacing w:after="0" w:line="257" w:lineRule="auto"/>
        <w:tabs>
          <w:tab w:leader="none" w:pos="2072" w:val="left"/>
        </w:tabs>
        <w:numPr>
          <w:ilvl w:val="1"/>
          <w:numId w:val="107"/>
        </w:numPr>
        <w:rPr>
          <w:rFonts w:ascii="Arial" w:cs="Arial" w:eastAsia="Arial" w:hAnsi="Arial"/>
          <w:sz w:val="18"/>
          <w:szCs w:val="18"/>
          <w:color w:val="auto"/>
        </w:rPr>
      </w:pPr>
      <w:r>
        <w:rPr>
          <w:rFonts w:ascii="Arial" w:cs="Arial" w:eastAsia="Arial" w:hAnsi="Arial"/>
          <w:sz w:val="20"/>
          <w:szCs w:val="20"/>
          <w:color w:val="auto"/>
        </w:rPr>
        <w:t>On the date of the closing of the purchase of a Property pursuant to this Section (the “</w:t>
      </w:r>
      <w:r>
        <w:rPr>
          <w:rFonts w:ascii="Arial" w:cs="Arial" w:eastAsia="Arial" w:hAnsi="Arial"/>
          <w:sz w:val="20"/>
          <w:szCs w:val="20"/>
          <w:u w:val="single" w:color="auto"/>
          <w:color w:val="auto"/>
        </w:rPr>
        <w:t>Purchase Closing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subject to satisfaction of the foregoing conditions:</w:t>
      </w:r>
    </w:p>
    <w:p>
      <w:pPr>
        <w:spacing w:after="0" w:line="1" w:lineRule="exact"/>
        <w:rPr>
          <w:rFonts w:ascii="Arial" w:cs="Arial" w:eastAsia="Arial" w:hAnsi="Arial"/>
          <w:sz w:val="18"/>
          <w:szCs w:val="18"/>
          <w:color w:val="auto"/>
        </w:rPr>
      </w:pPr>
    </w:p>
    <w:p>
      <w:pPr>
        <w:ind w:left="660" w:right="20" w:hanging="3"/>
        <w:spacing w:after="0" w:line="295" w:lineRule="auto"/>
        <w:tabs>
          <w:tab w:leader="none" w:pos="1384" w:val="left"/>
        </w:tabs>
        <w:numPr>
          <w:ilvl w:val="0"/>
          <w:numId w:val="108"/>
        </w:numPr>
        <w:rPr>
          <w:rFonts w:ascii="Arial" w:cs="Arial" w:eastAsia="Arial" w:hAnsi="Arial"/>
          <w:sz w:val="18"/>
          <w:szCs w:val="18"/>
          <w:color w:val="auto"/>
        </w:rPr>
      </w:pPr>
      <w:r>
        <w:rPr>
          <w:rFonts w:ascii="Arial" w:cs="Arial" w:eastAsia="Arial" w:hAnsi="Arial"/>
          <w:sz w:val="20"/>
          <w:szCs w:val="20"/>
          <w:color w:val="auto"/>
        </w:rPr>
        <w:t xml:space="preserve">this Lease shall be deemed terminated; </w:t>
      </w:r>
      <w:r>
        <w:rPr>
          <w:rFonts w:ascii="Arial" w:cs="Arial" w:eastAsia="Arial" w:hAnsi="Arial"/>
          <w:sz w:val="20"/>
          <w:szCs w:val="20"/>
          <w:i w:val="1"/>
          <w:iCs w:val="1"/>
          <w:color w:val="auto"/>
        </w:rPr>
        <w:t>provided, however</w:t>
      </w:r>
      <w:r>
        <w:rPr>
          <w:rFonts w:ascii="Arial" w:cs="Arial" w:eastAsia="Arial" w:hAnsi="Arial"/>
          <w:sz w:val="20"/>
          <w:szCs w:val="20"/>
          <w:color w:val="auto"/>
        </w:rPr>
        <w:t>, such termination shall not limit Lessee’s obligations to Lessor under any indemnification provisions of this</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41" w:right="239" w:bottom="1440" w:gutter="0" w:footer="0" w:header="0"/>
        </w:sectPr>
      </w:pPr>
    </w:p>
    <w:bookmarkStart w:id="142" w:name="page143"/>
    <w:bookmarkEnd w:id="142"/>
    <w:p>
      <w:pPr>
        <w:ind w:left="660" w:right="180"/>
        <w:spacing w:after="0" w:line="269" w:lineRule="auto"/>
        <w:rPr>
          <w:sz w:val="20"/>
          <w:szCs w:val="20"/>
          <w:color w:val="auto"/>
        </w:rPr>
      </w:pPr>
      <w:r>
        <w:rPr>
          <w:rFonts w:ascii="Arial" w:cs="Arial" w:eastAsia="Arial" w:hAnsi="Arial"/>
          <w:sz w:val="20"/>
          <w:szCs w:val="20"/>
          <w:color w:val="auto"/>
        </w:rPr>
        <w:t>Lease and Lessee’s obligations to pay any Monetary Obligations (whether payable to Lessor or a third party) accruing under this Lease with respect to such Property prior to the Purchase Closing Date shall survive the termination of this Lease; and (ii) Lessor shall convey such Property to Lessee “as is” by special warranty deed, subject to all matters of record (except for any consensual liens granted by Lessor other than those granted by Lessor at the request of Lessee), and without representation or warranty.</w:t>
      </w:r>
    </w:p>
    <w:p>
      <w:pPr>
        <w:spacing w:after="0" w:line="173" w:lineRule="exact"/>
        <w:rPr>
          <w:sz w:val="20"/>
          <w:szCs w:val="20"/>
          <w:color w:val="auto"/>
        </w:rPr>
      </w:pPr>
    </w:p>
    <w:p>
      <w:pPr>
        <w:ind w:firstLine="621"/>
        <w:spacing w:after="0" w:line="272" w:lineRule="auto"/>
        <w:rPr>
          <w:sz w:val="20"/>
          <w:szCs w:val="20"/>
          <w:color w:val="auto"/>
        </w:rPr>
      </w:pPr>
      <w:r>
        <w:rPr>
          <w:rFonts w:ascii="Arial" w:cs="Arial" w:eastAsia="Arial" w:hAnsi="Arial"/>
          <w:sz w:val="20"/>
          <w:szCs w:val="20"/>
          <w:b w:val="1"/>
          <w:bCs w:val="1"/>
          <w:color w:val="auto"/>
        </w:rPr>
        <w:t>Section 18.03. Costs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Lessee shall be solely responsible for the payment of all Costs, whether or not the purchase is</w:t>
      </w:r>
      <w:r>
        <w:rPr>
          <w:rFonts w:ascii="Arial" w:cs="Arial" w:eastAsia="Arial" w:hAnsi="Arial"/>
          <w:sz w:val="20"/>
          <w:szCs w:val="20"/>
          <w:b w:val="1"/>
          <w:bCs w:val="1"/>
          <w:color w:val="auto"/>
        </w:rPr>
        <w:t xml:space="preserve"> </w:t>
      </w:r>
      <w:r>
        <w:rPr>
          <w:rFonts w:ascii="Arial" w:cs="Arial" w:eastAsia="Arial" w:hAnsi="Arial"/>
          <w:sz w:val="20"/>
          <w:szCs w:val="20"/>
          <w:color w:val="auto"/>
        </w:rPr>
        <w:t>consummated that the third party was willing to be responsible for under the Third Party Offer.</w:t>
      </w:r>
    </w:p>
    <w:p>
      <w:pPr>
        <w:spacing w:after="0" w:line="154" w:lineRule="exact"/>
        <w:rPr>
          <w:sz w:val="20"/>
          <w:szCs w:val="20"/>
          <w:color w:val="auto"/>
        </w:rPr>
      </w:pPr>
    </w:p>
    <w:p>
      <w:pPr>
        <w:ind w:firstLine="621"/>
        <w:spacing w:after="0" w:line="265" w:lineRule="auto"/>
        <w:rPr>
          <w:sz w:val="20"/>
          <w:szCs w:val="20"/>
          <w:color w:val="auto"/>
        </w:rPr>
      </w:pPr>
      <w:r>
        <w:rPr>
          <w:rFonts w:ascii="Arial" w:cs="Arial" w:eastAsia="Arial" w:hAnsi="Arial"/>
          <w:sz w:val="19"/>
          <w:szCs w:val="19"/>
          <w:b w:val="1"/>
          <w:bCs w:val="1"/>
          <w:color w:val="auto"/>
        </w:rPr>
        <w:t>Section 18.04. Termination of Right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LESSEE’S RIGHTS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ARTICLE XVIII SHALL TERMINATE AND BE NULL AND VOID AND OF NO FURTHER FORCE AND EFFECT IF</w:t>
      </w:r>
    </w:p>
    <w:p>
      <w:pPr>
        <w:spacing w:after="0" w:line="1" w:lineRule="exact"/>
        <w:rPr>
          <w:sz w:val="20"/>
          <w:szCs w:val="20"/>
          <w:color w:val="auto"/>
        </w:rPr>
      </w:pPr>
    </w:p>
    <w:p>
      <w:pPr>
        <w:jc w:val="both"/>
        <w:ind w:firstLine="9"/>
        <w:spacing w:after="0"/>
        <w:tabs>
          <w:tab w:leader="none" w:pos="25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LESSEE FAILS TO EXERCISE THE RIGHT GRANTED PURSUANT TO THIS ARTICLE, AND THE SALE TO THE THIRD PARTY PURCHASER IS CONSUMMATED; (ii) THIS LEASE TERMINATES OR THE LEASE TERM EXPIRES; (iii) THE PROPERTY IS SOLD OR TRANSFERRED PURSUANT TO THE EXERCISE OF A PRIVATE POWER OF SALE OR JUDICIAL FORECLOSURE OR ACCEPTANCE OF A DEED IN LIEU THEREOF; OR (iv) LESSEE SHALL BE IN DEFAULT OF ANY OF THE TERMS AND CONDITIONS OF THIS LEASE OR IF ANY CONDITION SHALL EXIST WHICH UPON THE GIVING OF NOTICE OR THE PASSAGE OF TIME, OR BOTH, WOULD CONSTITUTE A DEFAULT BY LESSEE UNDER THIS LEASE. IN ANY SUCH EVENT, LESSEE SHALL EXECUTE A QUITCLAIM DEED AND SUCH OTHER DOCUMENTS AS LESSOR SHALL REASONABLY REQUEST EVIDENCING THE TERMINATION OF ITS RIGHT UNDER THIS SECTION 18.04.</w:t>
      </w:r>
    </w:p>
    <w:p>
      <w:pPr>
        <w:spacing w:after="0" w:line="189"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b w:val="1"/>
          <w:bCs w:val="1"/>
          <w:color w:val="auto"/>
        </w:rPr>
        <w:t>Section 18.05. Attornment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Lessee does not deliver its Purchase Offer to purchase the Property and the Property is</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transferred to a third party purchaser, Lessee will attorn to any third party purchaser as Lessor so long as such third party purchaser and Lessor notify Lessee in writing of such transfer and so long as there is no material increase to Lessee’s obligations under this Lease. At the request of Lessor, Lessee will execute such documents confirming the agreement referred to above and such other agreements as Lessor may reasonably request, provided that such agreements do not increase the liabilities and obligations of Lessee hereunder.</w:t>
      </w:r>
    </w:p>
    <w:p>
      <w:pPr>
        <w:spacing w:after="0" w:line="179"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b w:val="1"/>
          <w:bCs w:val="1"/>
          <w:color w:val="auto"/>
        </w:rPr>
        <w:t xml:space="preserve">Section 18.06. Exclusions. </w:t>
      </w:r>
      <w:r>
        <w:rPr>
          <w:rFonts w:ascii="Arial" w:cs="Arial" w:eastAsia="Arial" w:hAnsi="Arial"/>
          <w:sz w:val="20"/>
          <w:szCs w:val="20"/>
          <w:color w:val="auto"/>
        </w:rPr>
        <w:t>The provisions of this Article XVIII shall not apply to or prohibit (i) any mortgages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hypothecation of Lessor’s interest in the Property; (ii) any sale of the Property pursuant to a private power of sale under or judicial foreclosure of any mortgage or other security instrument or device to which Lessor’s interest in the Property is now or hereafter subject; (iii) any transfer of Lessor’s interest in the Property to a mortgagee or other holder of a security interest therein or their designees by deed in lieu of foreclosure; (iv) any transfer of the Property to any governmental or quasi-governmental agency with power of Condemnation; (v) any transfer of the Property to any Affiliate of Lessor; (vi) any transfers of interests in Lessor by any member, shareholder, partner or other owner to any other member, shareholder, partner or other owner; and (vii) any transfers to any Person to whom Lessor sells all or substantially all of its assets.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0"/>
          <w:szCs w:val="20"/>
          <w:i w:val="1"/>
          <w:iCs w:val="1"/>
          <w:color w:val="auto"/>
        </w:rPr>
        <w:t>[Remainder of page intentionally left blank; signature page(s) to follow]</w:t>
      </w:r>
    </w:p>
    <w:p>
      <w:pPr>
        <w:spacing w:after="0" w:line="200" w:lineRule="exact"/>
        <w:rPr>
          <w:sz w:val="20"/>
          <w:szCs w:val="20"/>
          <w:color w:val="auto"/>
        </w:rPr>
      </w:pPr>
    </w:p>
    <w:p>
      <w:pPr>
        <w:spacing w:after="0" w:line="2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09" w:right="239" w:bottom="1440" w:gutter="0" w:footer="0" w:header="0"/>
        </w:sectPr>
      </w:pPr>
    </w:p>
    <w:bookmarkStart w:id="143" w:name="page144"/>
    <w:bookmarkEnd w:id="143"/>
    <w:p>
      <w:pPr>
        <w:ind w:left="720"/>
        <w:spacing w:after="0"/>
        <w:rPr>
          <w:sz w:val="20"/>
          <w:szCs w:val="20"/>
          <w:color w:val="auto"/>
        </w:rPr>
      </w:pPr>
      <w:r>
        <w:rPr>
          <w:rFonts w:ascii="Arial" w:cs="Arial" w:eastAsia="Arial" w:hAnsi="Arial"/>
          <w:sz w:val="18"/>
          <w:szCs w:val="18"/>
          <w:b w:val="1"/>
          <w:bCs w:val="1"/>
          <w:color w:val="151515"/>
        </w:rPr>
        <w:t xml:space="preserve">IN WITNESS WHEREOF </w:t>
      </w:r>
      <w:r>
        <w:rPr>
          <w:rFonts w:ascii="Arial" w:cs="Arial" w:eastAsia="Arial" w:hAnsi="Arial"/>
          <w:sz w:val="18"/>
          <w:szCs w:val="18"/>
          <w:b w:val="1"/>
          <w:bCs w:val="1"/>
          <w:color w:val="2F2F2F"/>
        </w:rPr>
        <w:t>,</w:t>
      </w:r>
      <w:r>
        <w:rPr>
          <w:rFonts w:ascii="Arial" w:cs="Arial" w:eastAsia="Arial" w:hAnsi="Arial"/>
          <w:sz w:val="18"/>
          <w:szCs w:val="18"/>
          <w:b w:val="1"/>
          <w:bCs w:val="1"/>
          <w:color w:val="151515"/>
        </w:rPr>
        <w:t xml:space="preserve"> </w:t>
      </w:r>
      <w:r>
        <w:rPr>
          <w:rFonts w:ascii="Arial" w:cs="Arial" w:eastAsia="Arial" w:hAnsi="Arial"/>
          <w:sz w:val="19"/>
          <w:szCs w:val="19"/>
          <w:color w:val="151515"/>
        </w:rPr>
        <w:t>Lessor and Lessee have entered into this Lease as of the date first above written.</w:t>
      </w:r>
    </w:p>
    <w:p>
      <w:pPr>
        <w:spacing w:after="0" w:line="214"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151515"/>
        </w:rPr>
        <w:t>LESSOR: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151515"/>
        </w:rPr>
        <w:t>STORE CAPITAL ACQUISITIONS, LLC</w:t>
      </w:r>
      <w:r>
        <w:rPr>
          <w:rFonts w:ascii="Arial" w:cs="Arial" w:eastAsia="Arial" w:hAnsi="Arial"/>
          <w:sz w:val="18"/>
          <w:szCs w:val="18"/>
          <w:b w:val="1"/>
          <w:bCs w:val="1"/>
          <w:color w:val="2F2F2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213360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60"/>
        <w:spacing w:after="0"/>
        <w:rPr>
          <w:sz w:val="20"/>
          <w:szCs w:val="20"/>
          <w:color w:val="auto"/>
        </w:rPr>
      </w:pPr>
      <w:r>
        <w:rPr>
          <w:rFonts w:ascii="Arial" w:cs="Arial" w:eastAsia="Arial" w:hAnsi="Arial"/>
          <w:sz w:val="20"/>
          <w:szCs w:val="20"/>
          <w:color w:val="151515"/>
        </w:rPr>
        <w:t>a Delaware limited liability company</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 Catherine Long</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Printed Name: Catherine Long</w:t>
      </w:r>
    </w:p>
    <w:p>
      <w:pPr>
        <w:ind w:left="3940"/>
        <w:spacing w:after="0"/>
        <w:rPr>
          <w:sz w:val="20"/>
          <w:szCs w:val="20"/>
          <w:color w:val="auto"/>
        </w:rPr>
      </w:pPr>
      <w:r>
        <w:rPr>
          <w:rFonts w:ascii="Arial" w:cs="Arial" w:eastAsia="Arial" w:hAnsi="Arial"/>
          <w:sz w:val="20"/>
          <w:szCs w:val="20"/>
          <w:color w:val="151515"/>
        </w:rPr>
        <w:t>Title</w:t>
      </w:r>
      <w:r>
        <w:rPr>
          <w:rFonts w:ascii="Arial" w:cs="Arial" w:eastAsia="Arial" w:hAnsi="Arial"/>
          <w:sz w:val="20"/>
          <w:szCs w:val="20"/>
          <w:color w:val="4F4F4F"/>
        </w:rPr>
        <w:t>: Executive Vice President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0099"/>
          </w:cols>
          <w:pgMar w:left="360" w:top="643" w:right="1440" w:bottom="1440" w:gutter="0" w:footer="0" w:header="0"/>
        </w:sectPr>
      </w:pPr>
    </w:p>
    <w:bookmarkStart w:id="144" w:name="page145"/>
    <w:bookmarkEnd w:id="144"/>
    <w:p>
      <w:pPr>
        <w:ind w:left="4940"/>
        <w:spacing w:after="0"/>
        <w:rPr>
          <w:sz w:val="20"/>
          <w:szCs w:val="20"/>
          <w:color w:val="auto"/>
        </w:rPr>
      </w:pPr>
      <w:r>
        <w:rPr>
          <w:rFonts w:ascii="Arial" w:cs="Arial" w:eastAsia="Arial" w:hAnsi="Arial"/>
          <w:sz w:val="18"/>
          <w:szCs w:val="18"/>
          <w:b w:val="1"/>
          <w:bCs w:val="1"/>
          <w:color w:val="232828"/>
        </w:rPr>
        <w:t>LESSEE:</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232828"/>
        </w:rPr>
        <w:t>KRATOS RT LOGIC, INC.,</w:t>
      </w:r>
    </w:p>
    <w:p>
      <w:pPr>
        <w:spacing w:after="0" w:line="56" w:lineRule="exact"/>
        <w:rPr>
          <w:sz w:val="20"/>
          <w:szCs w:val="20"/>
          <w:color w:val="auto"/>
        </w:rPr>
      </w:pPr>
    </w:p>
    <w:p>
      <w:pPr>
        <w:ind w:left="4920"/>
        <w:spacing w:after="0"/>
        <w:rPr>
          <w:sz w:val="20"/>
          <w:szCs w:val="20"/>
          <w:color w:val="auto"/>
        </w:rPr>
      </w:pPr>
      <w:r>
        <w:rPr>
          <w:rFonts w:ascii="Arial" w:cs="Arial" w:eastAsia="Arial" w:hAnsi="Arial"/>
          <w:sz w:val="18"/>
          <w:szCs w:val="18"/>
          <w:color w:val="232828"/>
        </w:rPr>
        <w:t>a Colorado corporation</w:t>
      </w: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8"/>
          <w:szCs w:val="18"/>
          <w:color w:val="232828"/>
        </w:rPr>
        <w:t>/s/ William Fink</w:t>
      </w: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7"/>
          <w:szCs w:val="17"/>
          <w:color w:val="232828"/>
        </w:rPr>
        <w:t>Printed Name: William Fink</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color w:val="232828"/>
        </w:rPr>
        <w:t>Title: V. P. Contracts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0099"/>
          </w:cols>
          <w:pgMar w:left="360" w:top="576" w:right="1440" w:bottom="1440" w:gutter="0" w:footer="0" w:header="0"/>
        </w:sectPr>
      </w:pPr>
    </w:p>
    <w:bookmarkStart w:id="145" w:name="page146"/>
    <w:bookmarkEnd w:id="145"/>
    <w:p>
      <w:pPr>
        <w:jc w:val="right"/>
        <w:ind w:right="2639"/>
        <w:spacing w:after="0"/>
        <w:rPr>
          <w:sz w:val="20"/>
          <w:szCs w:val="20"/>
          <w:color w:val="auto"/>
        </w:rPr>
      </w:pPr>
      <w:r>
        <w:rPr>
          <w:rFonts w:ascii="Arial" w:cs="Arial" w:eastAsia="Arial" w:hAnsi="Arial"/>
          <w:sz w:val="20"/>
          <w:szCs w:val="20"/>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9"/>
          <w:szCs w:val="19"/>
          <w:color w:val="auto"/>
        </w:rPr>
        <w:t>Defined Terms</w:t>
      </w:r>
    </w:p>
    <w:p>
      <w:pPr>
        <w:spacing w:after="0" w:line="21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9"/>
          <w:szCs w:val="19"/>
          <w:color w:val="auto"/>
        </w:rPr>
        <w:t>Legal Description and Street Address of the Property</w:t>
      </w:r>
    </w:p>
    <w:p>
      <w:pPr>
        <w:spacing w:after="0" w:line="21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9"/>
          <w:szCs w:val="19"/>
          <w:color w:val="auto"/>
        </w:rPr>
        <w:t>Wire Instructions</w:t>
      </w:r>
    </w:p>
    <w:p>
      <w:pPr>
        <w:spacing w:after="0" w:line="21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9"/>
          <w:szCs w:val="19"/>
          <w:color w:val="auto"/>
        </w:rPr>
        <w:t>State-Specific Provisions</w:t>
      </w:r>
    </w:p>
    <w:p>
      <w:pPr>
        <w:spacing w:after="0" w:line="216"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color w:val="auto"/>
        </w:rPr>
        <w:t>Schedule 8.01</w:t>
      </w:r>
      <w:r>
        <w:rPr>
          <w:sz w:val="20"/>
          <w:szCs w:val="20"/>
          <w:color w:val="auto"/>
        </w:rPr>
        <w:tab/>
      </w:r>
      <w:r>
        <w:rPr>
          <w:rFonts w:ascii="Arial" w:cs="Arial" w:eastAsia="Arial" w:hAnsi="Arial"/>
          <w:sz w:val="19"/>
          <w:szCs w:val="19"/>
          <w:color w:val="auto"/>
        </w:rPr>
        <w:t>Prohibited Uses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0139"/>
          </w:cols>
          <w:pgMar w:left="320" w:top="611" w:right="1440" w:bottom="1440" w:gutter="0" w:footer="0" w:header="0"/>
        </w:sectPr>
      </w:pPr>
    </w:p>
    <w:bookmarkStart w:id="146" w:name="page147"/>
    <w:bookmarkEnd w:id="146"/>
    <w:p>
      <w:pPr>
        <w:ind w:left="6060"/>
        <w:spacing w:after="0"/>
        <w:rPr>
          <w:sz w:val="20"/>
          <w:szCs w:val="20"/>
          <w:color w:val="auto"/>
        </w:rPr>
      </w:pPr>
      <w:r>
        <w:rPr>
          <w:rFonts w:ascii="Arial" w:cs="Arial" w:eastAsia="Arial" w:hAnsi="Arial"/>
          <w:sz w:val="20"/>
          <w:szCs w:val="20"/>
          <w:b w:val="1"/>
          <w:bCs w:val="1"/>
          <w:color w:val="auto"/>
        </w:rPr>
        <w:t>EXHIBIT A DEFINED TERMS</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terms shall have the following meanings for all purposes of this Lease: “</w:t>
      </w:r>
      <w:r>
        <w:rPr>
          <w:rFonts w:ascii="Arial" w:cs="Arial" w:eastAsia="Arial" w:hAnsi="Arial"/>
          <w:sz w:val="19"/>
          <w:szCs w:val="19"/>
          <w:i w:val="1"/>
          <w:iCs w:val="1"/>
          <w:color w:val="auto"/>
        </w:rPr>
        <w:t>Additional Rental</w:t>
      </w:r>
      <w:r>
        <w:rPr>
          <w:rFonts w:ascii="Arial" w:cs="Arial" w:eastAsia="Arial" w:hAnsi="Arial"/>
          <w:sz w:val="19"/>
          <w:szCs w:val="19"/>
          <w:color w:val="auto"/>
        </w:rPr>
        <w:t>” has the meaning</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set forth in Section 4.03.</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Adjustment Date</w:t>
      </w:r>
      <w:r>
        <w:rPr>
          <w:rFonts w:ascii="Arial" w:cs="Arial" w:eastAsia="Arial" w:hAnsi="Arial"/>
          <w:sz w:val="20"/>
          <w:szCs w:val="20"/>
          <w:color w:val="auto"/>
        </w:rPr>
        <w:t>” has the meaning set forth in Section 1.07.</w:t>
      </w:r>
    </w:p>
    <w:p>
      <w:pPr>
        <w:spacing w:after="0" w:line="216"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Affected Party</w:t>
      </w:r>
      <w:r>
        <w:rPr>
          <w:rFonts w:ascii="Arial" w:cs="Arial" w:eastAsia="Arial" w:hAnsi="Arial"/>
          <w:sz w:val="20"/>
          <w:szCs w:val="20"/>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178"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Affiliate</w:t>
      </w:r>
      <w:r>
        <w:rPr>
          <w:rFonts w:ascii="Arial" w:cs="Arial" w:eastAsia="Arial" w:hAnsi="Arial"/>
          <w:sz w:val="20"/>
          <w:szCs w:val="20"/>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180"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Anti-Money Laundering Laws</w:t>
      </w:r>
      <w:r>
        <w:rPr>
          <w:rFonts w:ascii="Arial" w:cs="Arial" w:eastAsia="Arial" w:hAnsi="Arial"/>
          <w:sz w:val="20"/>
          <w:szCs w:val="20"/>
          <w:color w:val="auto"/>
        </w:rPr>
        <w:t>” means all applicable Laws, regulations and government guidance on the prevention and detection of money laundering, including, without limitation, (a) 18 U.S.C. §§ 1956 and 1957; and (b) the Bank Secrecy Act, 31 U.S.C. §§ 5311 et seq., and its implementing regulations, 31 CFR Part 103.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Annual Rental</w:t>
      </w:r>
      <w:r>
        <w:rPr>
          <w:rFonts w:ascii="Arial" w:cs="Arial" w:eastAsia="Arial" w:hAnsi="Arial"/>
          <w:sz w:val="20"/>
          <w:szCs w:val="20"/>
          <w:color w:val="auto"/>
        </w:rPr>
        <w:t>” has the meaning set forth in Section 1.05.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Monthly Rental</w:t>
      </w:r>
      <w:r>
        <w:rPr>
          <w:rFonts w:ascii="Arial" w:cs="Arial" w:eastAsia="Arial" w:hAnsi="Arial"/>
          <w:sz w:val="20"/>
          <w:szCs w:val="20"/>
          <w:color w:val="auto"/>
        </w:rPr>
        <w:t>” means an amount equal to 1/12 of the applicable Base Annual Rental</w:t>
      </w:r>
    </w:p>
    <w:p>
      <w:pPr>
        <w:spacing w:after="0" w:line="270"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Business Day</w:t>
      </w:r>
      <w:r>
        <w:rPr>
          <w:rFonts w:ascii="Arial" w:cs="Arial" w:eastAsia="Arial" w:hAnsi="Arial"/>
          <w:sz w:val="20"/>
          <w:szCs w:val="20"/>
          <w:color w:val="auto"/>
        </w:rPr>
        <w:t>” means a day on which banks located in Scottsdale, Arizona are not required or authorized to remain closed.</w:t>
      </w:r>
    </w:p>
    <w:p>
      <w:pPr>
        <w:spacing w:after="0" w:line="164"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Casualty</w:t>
      </w:r>
      <w:r>
        <w:rPr>
          <w:rFonts w:ascii="Arial" w:cs="Arial" w:eastAsia="Arial" w:hAnsi="Arial"/>
          <w:sz w:val="20"/>
          <w:szCs w:val="20"/>
          <w:color w:val="auto"/>
        </w:rPr>
        <w:t>” means any loss of or damage to any property included within or related to the Property or arising from an adjoining property caused by an Act of God, fire, flood or other catastrophe.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Code</w:t>
      </w:r>
      <w:r>
        <w:rPr>
          <w:rFonts w:ascii="Arial" w:cs="Arial" w:eastAsia="Arial" w:hAnsi="Arial"/>
          <w:sz w:val="20"/>
          <w:szCs w:val="20"/>
          <w:color w:val="auto"/>
        </w:rPr>
        <w:t>” means the Internal Revenue Code of 1986, as the same may be amended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Condemnation</w:t>
      </w:r>
      <w:r>
        <w:rPr>
          <w:rFonts w:ascii="Arial" w:cs="Arial" w:eastAsia="Arial" w:hAnsi="Arial"/>
          <w:sz w:val="20"/>
          <w:szCs w:val="20"/>
          <w:color w:val="auto"/>
        </w:rPr>
        <w:t>” means a Taking and/or a Requisition.</w:t>
      </w:r>
    </w:p>
    <w:p>
      <w:pPr>
        <w:spacing w:after="0" w:line="216"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Costs</w:t>
      </w:r>
      <w:r>
        <w:rPr>
          <w:rFonts w:ascii="Arial" w:cs="Arial" w:eastAsia="Arial" w:hAnsi="Arial"/>
          <w:sz w:val="20"/>
          <w:szCs w:val="20"/>
          <w:color w:val="auto"/>
        </w:rPr>
        <w:t>” means all reasonable costs and expenses incurred by a Person, including, without limitation, reasonable attorneys’ fees and expenses, court costs, expert witness fees, costs of tests and analyses, travel and accommodation expenses, deposition and trial transcripts, copies and other similar costs and fees, brokerage fees, escrow fees, title insurance premiums, appraisal fees, stamp taxes, recording fees and transfer taxes or fees, as the circumstances require.</w:t>
      </w: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-1</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733" w:right="239" w:bottom="1440" w:gutter="0" w:footer="0" w:header="0"/>
        </w:sectPr>
      </w:pPr>
    </w:p>
    <w:bookmarkStart w:id="147" w:name="page148"/>
    <w:bookmarkEnd w:id="14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Default Rate</w:t>
      </w:r>
      <w:r>
        <w:rPr>
          <w:rFonts w:ascii="Arial" w:cs="Arial" w:eastAsia="Arial" w:hAnsi="Arial"/>
          <w:sz w:val="20"/>
          <w:szCs w:val="20"/>
          <w:color w:val="auto"/>
        </w:rPr>
        <w:t>” means 18% per annum or the highest rate permitted by Law, whichever is less.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Effective Date</w:t>
      </w:r>
      <w:r>
        <w:rPr>
          <w:rFonts w:ascii="Arial" w:cs="Arial" w:eastAsia="Arial" w:hAnsi="Arial"/>
          <w:sz w:val="20"/>
          <w:szCs w:val="20"/>
          <w:color w:val="auto"/>
        </w:rPr>
        <w:t>” has the meaning set forth in the introductory paragraph of this Lease.</w:t>
      </w:r>
    </w:p>
    <w:p>
      <w:pPr>
        <w:spacing w:after="0" w:line="216"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Environmental Laws</w:t>
      </w:r>
      <w:r>
        <w:rPr>
          <w:rFonts w:ascii="Arial" w:cs="Arial" w:eastAsia="Arial" w:hAnsi="Arial"/>
          <w:sz w:val="20"/>
          <w:szCs w:val="20"/>
          <w:color w:val="auto"/>
        </w:rPr>
        <w:t>” means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Regulated Substances, USTs, and/or the protection of human health or the environment, or relating to liability for or Costs of Remediation or prevention of Releases, and apply to Lessee and/or the Property.</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Environmental Liens</w:t>
      </w:r>
      <w:r>
        <w:rPr>
          <w:rFonts w:ascii="Arial" w:cs="Arial" w:eastAsia="Arial" w:hAnsi="Arial"/>
          <w:sz w:val="20"/>
          <w:szCs w:val="20"/>
          <w:color w:val="auto"/>
        </w:rPr>
        <w:t>” means any liens and other encumbrances imposed pursuant to any Environmental Law.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Event of Default</w:t>
      </w:r>
      <w:r>
        <w:rPr>
          <w:rFonts w:ascii="Arial" w:cs="Arial" w:eastAsia="Arial" w:hAnsi="Arial"/>
          <w:sz w:val="20"/>
          <w:szCs w:val="20"/>
          <w:color w:val="auto"/>
        </w:rPr>
        <w:t>” has the meaning set forth in Section 12.01.</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Expenditure Cap</w:t>
      </w:r>
      <w:r>
        <w:rPr>
          <w:rFonts w:ascii="Arial" w:cs="Arial" w:eastAsia="Arial" w:hAnsi="Arial"/>
          <w:sz w:val="20"/>
          <w:szCs w:val="20"/>
          <w:color w:val="auto"/>
        </w:rPr>
        <w:t>” has the meaning set forth in Section 7.01(b). “</w:t>
      </w:r>
      <w:r>
        <w:rPr>
          <w:rFonts w:ascii="Arial" w:cs="Arial" w:eastAsia="Arial" w:hAnsi="Arial"/>
          <w:sz w:val="20"/>
          <w:szCs w:val="20"/>
          <w:i w:val="1"/>
          <w:iCs w:val="1"/>
          <w:color w:val="auto"/>
        </w:rPr>
        <w:t>Extension Option</w:t>
      </w:r>
      <w:r>
        <w:rPr>
          <w:rFonts w:ascii="Arial" w:cs="Arial" w:eastAsia="Arial" w:hAnsi="Arial"/>
          <w:sz w:val="20"/>
          <w:szCs w:val="20"/>
          <w:color w:val="auto"/>
        </w:rPr>
        <w:t>” has the meaning set forth in Section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3.02.</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Extension Term</w:t>
      </w:r>
      <w:r>
        <w:rPr>
          <w:rFonts w:ascii="Arial" w:cs="Arial" w:eastAsia="Arial" w:hAnsi="Arial"/>
          <w:sz w:val="20"/>
          <w:szCs w:val="20"/>
          <w:color w:val="auto"/>
        </w:rPr>
        <w:t>” has the meaning set forth in Section 3.02.</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First Deposit Return</w:t>
      </w:r>
      <w:r>
        <w:rPr>
          <w:rFonts w:ascii="Arial" w:cs="Arial" w:eastAsia="Arial" w:hAnsi="Arial"/>
          <w:sz w:val="20"/>
          <w:szCs w:val="20"/>
          <w:color w:val="auto"/>
        </w:rPr>
        <w:t>” has the meaning set forth in Section 4.09(c)(i). “</w:t>
      </w:r>
      <w:r>
        <w:rPr>
          <w:rFonts w:ascii="Arial" w:cs="Arial" w:eastAsia="Arial" w:hAnsi="Arial"/>
          <w:sz w:val="20"/>
          <w:szCs w:val="20"/>
          <w:i w:val="1"/>
          <w:iCs w:val="1"/>
          <w:color w:val="auto"/>
        </w:rPr>
        <w:t>Force Majeure Event</w:t>
      </w:r>
      <w:r>
        <w:rPr>
          <w:rFonts w:ascii="Arial" w:cs="Arial" w:eastAsia="Arial" w:hAnsi="Arial"/>
          <w:sz w:val="20"/>
          <w:szCs w:val="20"/>
          <w:color w:val="auto"/>
        </w:rPr>
        <w:t>” has the meaning set forth in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17.01.</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GAAP</w:t>
      </w:r>
      <w:r>
        <w:rPr>
          <w:rFonts w:ascii="Arial" w:cs="Arial" w:eastAsia="Arial" w:hAnsi="Arial"/>
          <w:sz w:val="20"/>
          <w:szCs w:val="20"/>
          <w:color w:val="auto"/>
        </w:rPr>
        <w:t>” means generally accepted accounting principles, consistently applied from period to period.</w:t>
      </w:r>
    </w:p>
    <w:p>
      <w:pPr>
        <w:spacing w:after="0" w:line="216"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Governmental Authority</w:t>
      </w:r>
      <w:r>
        <w:rPr>
          <w:rFonts w:ascii="Arial" w:cs="Arial" w:eastAsia="Arial" w:hAnsi="Arial"/>
          <w:sz w:val="20"/>
          <w:szCs w:val="20"/>
          <w:color w:val="auto"/>
        </w:rPr>
        <w:t>” means any governmental authority, agency, department, commission, bureau, board, instrumentality, court or quasi-governmental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180" w:lineRule="exact"/>
        <w:rPr>
          <w:sz w:val="20"/>
          <w:szCs w:val="20"/>
          <w:color w:val="auto"/>
        </w:rPr>
      </w:pPr>
    </w:p>
    <w:p>
      <w:pPr>
        <w:jc w:val="both"/>
        <w:ind w:right="20"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Guarantor</w:t>
      </w:r>
      <w:r>
        <w:rPr>
          <w:rFonts w:ascii="Arial" w:cs="Arial" w:eastAsia="Arial" w:hAnsi="Arial"/>
          <w:sz w:val="20"/>
          <w:szCs w:val="20"/>
          <w:color w:val="auto"/>
        </w:rPr>
        <w:t>” means Kratos Defense &amp; Security Solutions, Inc., a Delaware corporation, or any additional or replacement guarantor(s) approved by Lessor in its reasonable discretion.</w:t>
      </w:r>
    </w:p>
    <w:p>
      <w:pPr>
        <w:spacing w:after="0" w:line="164"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Guaranty</w:t>
      </w:r>
      <w:r>
        <w:rPr>
          <w:rFonts w:ascii="Arial" w:cs="Arial" w:eastAsia="Arial" w:hAnsi="Arial"/>
          <w:sz w:val="20"/>
          <w:szCs w:val="20"/>
          <w:color w:val="auto"/>
        </w:rPr>
        <w:t>” means that certain Amended and Restated Unconditional Guaranty of Payment and Performance dated as of the date hereof given by Guarantor for the benefit of Lessor, as the same may be amended from time to time.</w:t>
      </w:r>
    </w:p>
    <w:p>
      <w:pPr>
        <w:spacing w:after="0" w:line="164"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Hazardous Materials</w:t>
      </w:r>
      <w:r>
        <w:rPr>
          <w:rFonts w:ascii="Arial" w:cs="Arial" w:eastAsia="Arial" w:hAnsi="Arial"/>
          <w:sz w:val="20"/>
          <w:szCs w:val="20"/>
          <w:color w:val="auto"/>
        </w:rPr>
        <w:t>” includes: (a) oil, petroleum products, flammable substances, explosives, radioactive materials, hazardous wastes or substances, toxic wastes or substances or any other materials, contaminants or pollutants, the presence of which causes the Property to</w:t>
      </w:r>
    </w:p>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-2</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29" w:right="239" w:bottom="1440" w:gutter="0" w:footer="0" w:header="0"/>
        </w:sectPr>
      </w:pPr>
    </w:p>
    <w:bookmarkStart w:id="148" w:name="page149"/>
    <w:bookmarkEnd w:id="148"/>
    <w:p>
      <w:pPr>
        <w:jc w:val="both"/>
        <w:spacing w:after="0"/>
        <w:rPr>
          <w:sz w:val="20"/>
          <w:szCs w:val="20"/>
          <w:color w:val="auto"/>
        </w:rPr>
      </w:pPr>
      <w:r>
        <w:rPr>
          <w:rFonts w:ascii="Arial" w:cs="Arial" w:eastAsia="Arial" w:hAnsi="Arial"/>
          <w:sz w:val="20"/>
          <w:szCs w:val="20"/>
          <w:color w:val="auto"/>
        </w:rPr>
        <w:t>be in violation of any local, state or federal Law or regulation, or Environmental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 9601, et seq.; (ii) the Hazardous Materials Transportation Act, as amended, 49 U.S.C. § 5101, et seq.; (iii) the Resource Conservation and Recovery Act, as amended, 42 U.S.C. § 6901, et seq.; and (iv) regulations adopted and publications promulgated pursuant to the aforesaid Laws; (b) asbestos in any form which is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w:t>
      </w:r>
    </w:p>
    <w:p>
      <w:pPr>
        <w:spacing w:after="0" w:line="192"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Indemnified Parties</w:t>
      </w:r>
      <w:r>
        <w:rPr>
          <w:rFonts w:ascii="Arial" w:cs="Arial" w:eastAsia="Arial" w:hAnsi="Arial"/>
          <w:sz w:val="20"/>
          <w:szCs w:val="20"/>
          <w:color w:val="auto"/>
        </w:rPr>
        <w:t>” means Lessor, its members, managers, officers, directors, shareholders, partners, employees, affiliates, subsidiaries, successors and assigns, including, but not limited to, any successors by merger, consolidation or acquisition of all or a substantial portion of the assets and business of Lessor.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Initial Term</w:t>
      </w:r>
      <w:r>
        <w:rPr>
          <w:rFonts w:ascii="Arial" w:cs="Arial" w:eastAsia="Arial" w:hAnsi="Arial"/>
          <w:sz w:val="20"/>
          <w:szCs w:val="20"/>
          <w:color w:val="auto"/>
        </w:rPr>
        <w:t>” has the meaning set forth in Section 3.01.</w:t>
      </w:r>
    </w:p>
    <w:p>
      <w:pPr>
        <w:spacing w:after="0" w:line="216"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Insolvency Event</w:t>
      </w:r>
      <w:r>
        <w:rPr>
          <w:rFonts w:ascii="Arial" w:cs="Arial" w:eastAsia="Arial" w:hAnsi="Arial"/>
          <w:sz w:val="20"/>
          <w:szCs w:val="20"/>
          <w:color w:val="auto"/>
        </w:rPr>
        <w:t>” means (a) a Person’s making a general assignment for the benefit of creditors; (b) any proceeding being instituted by or against any Person (i) seeking to adjudicate it bankrupt or insolvent; (ii) seeking liquidation, dissolution,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any Person, either such proceeding shall remain undismissed for a period of one hundred twenty (120) days or any of the actions sought in such proceeding shall occur; or (c) any Person taking any corporate action to authorize any of the actions set forth above in this definition.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“Insurance Premiums” </w:t>
      </w:r>
      <w:r>
        <w:rPr>
          <w:rFonts w:ascii="Arial" w:cs="Arial" w:eastAsia="Arial" w:hAnsi="Arial"/>
          <w:sz w:val="20"/>
          <w:szCs w:val="20"/>
          <w:color w:val="auto"/>
        </w:rPr>
        <w:t>has the meaning in Section 6.04.</w:t>
      </w:r>
    </w:p>
    <w:p>
      <w:pPr>
        <w:spacing w:after="0" w:line="216"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Law(s)</w:t>
      </w:r>
      <w:r>
        <w:rPr>
          <w:rFonts w:ascii="Arial" w:cs="Arial" w:eastAsia="Arial" w:hAnsi="Arial"/>
          <w:sz w:val="20"/>
          <w:szCs w:val="20"/>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Lease Term</w:t>
      </w:r>
      <w:r>
        <w:rPr>
          <w:rFonts w:ascii="Arial" w:cs="Arial" w:eastAsia="Arial" w:hAnsi="Arial"/>
          <w:sz w:val="20"/>
          <w:szCs w:val="20"/>
          <w:color w:val="auto"/>
        </w:rPr>
        <w:t>” has the meaning described in Section 3.01.</w:t>
      </w:r>
    </w:p>
    <w:p>
      <w:pPr>
        <w:spacing w:after="0" w:line="216"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Legal Requirements</w:t>
      </w:r>
      <w:r>
        <w:rPr>
          <w:rFonts w:ascii="Arial" w:cs="Arial" w:eastAsia="Arial" w:hAnsi="Arial"/>
          <w:sz w:val="20"/>
          <w:szCs w:val="20"/>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including any judicial order, consent, decree or judgment, and all covenants, restrictions and conditions now or hereafter of record which may be applicable to Lessee or to the Property, or to the use, manner of use, occupancy, possession, operation, maintenance, alteration, repair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or restoration of the Property, even if compliance therewith necessitates structural changes or</w:t>
      </w: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-3</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852" w:right="23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improvements or results in interference with the use or enjoyment of the Property.</w:t>
      </w:r>
    </w:p>
    <w:p>
      <w:pPr>
        <w:spacing w:after="0" w:line="196" w:lineRule="exact"/>
        <w:rPr>
          <w:sz w:val="20"/>
          <w:szCs w:val="20"/>
          <w:color w:val="auto"/>
        </w:rPr>
      </w:pPr>
    </w:p>
    <w:p>
      <w:pPr>
        <w:jc w:val="both"/>
        <w:ind w:right="20"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Lender</w:t>
      </w:r>
      <w:r>
        <w:rPr>
          <w:rFonts w:ascii="Arial" w:cs="Arial" w:eastAsia="Arial" w:hAnsi="Arial"/>
          <w:sz w:val="20"/>
          <w:szCs w:val="20"/>
          <w:color w:val="auto"/>
        </w:rPr>
        <w:t>” means any lender in connection with any loan secured by Lessor’s interest in the Property, and any servicer of any loan secured by Lessor’s interest in the Property.</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“Lessee Entity” </w:t>
      </w:r>
      <w:r>
        <w:rPr>
          <w:rFonts w:ascii="Arial" w:cs="Arial" w:eastAsia="Arial" w:hAnsi="Arial"/>
          <w:sz w:val="20"/>
          <w:szCs w:val="20"/>
          <w:color w:val="auto"/>
        </w:rPr>
        <w:t>or “</w:t>
      </w:r>
      <w:r>
        <w:rPr>
          <w:rFonts w:ascii="Arial" w:cs="Arial" w:eastAsia="Arial" w:hAnsi="Arial"/>
          <w:sz w:val="20"/>
          <w:szCs w:val="20"/>
          <w:i w:val="1"/>
          <w:iCs w:val="1"/>
          <w:color w:val="auto"/>
        </w:rPr>
        <w:t>Lessee Entities</w:t>
      </w:r>
      <w:r>
        <w:rPr>
          <w:rFonts w:ascii="Arial" w:cs="Arial" w:eastAsia="Arial" w:hAnsi="Arial"/>
          <w:sz w:val="20"/>
          <w:szCs w:val="20"/>
          <w:color w:val="auto"/>
        </w:rPr>
        <w:t>” means individually or collectively, as the context may require, Lessee and Guarantor.</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“Lessee Reporting Entities” </w:t>
      </w:r>
      <w:r>
        <w:rPr>
          <w:rFonts w:ascii="Arial" w:cs="Arial" w:eastAsia="Arial" w:hAnsi="Arial"/>
          <w:sz w:val="20"/>
          <w:szCs w:val="20"/>
          <w:color w:val="auto"/>
        </w:rPr>
        <w:t>means individually or collectively, as the context may require, Lessee and Guarantor.</w:t>
      </w:r>
    </w:p>
    <w:p>
      <w:pPr>
        <w:spacing w:after="0" w:line="229" w:lineRule="exact"/>
        <w:rPr>
          <w:sz w:val="20"/>
          <w:szCs w:val="20"/>
          <w:color w:val="auto"/>
        </w:rPr>
      </w:pPr>
    </w:p>
    <w:p>
      <w:pPr>
        <w:jc w:val="both"/>
        <w:ind w:right="20" w:firstLine="621"/>
        <w:spacing w:after="0" w:line="267" w:lineRule="auto"/>
        <w:rPr>
          <w:sz w:val="20"/>
          <w:szCs w:val="20"/>
          <w:color w:val="auto"/>
        </w:rPr>
      </w:pPr>
      <w:r>
        <w:rPr>
          <w:rFonts w:ascii="Arial" w:cs="Arial" w:eastAsia="Arial" w:hAnsi="Arial"/>
          <w:sz w:val="20"/>
          <w:szCs w:val="20"/>
          <w:i w:val="1"/>
          <w:iCs w:val="1"/>
          <w:color w:val="auto"/>
        </w:rPr>
        <w:t xml:space="preserve">“Lessee’s Information” </w:t>
      </w:r>
      <w:r>
        <w:rPr>
          <w:rFonts w:ascii="Arial" w:cs="Arial" w:eastAsia="Arial" w:hAnsi="Arial"/>
          <w:sz w:val="20"/>
          <w:szCs w:val="20"/>
          <w:color w:val="auto"/>
        </w:rPr>
        <w:t>has the meaning set forth in Section 17.05(b). “</w:t>
      </w:r>
      <w:r>
        <w:rPr>
          <w:rFonts w:ascii="Arial" w:cs="Arial" w:eastAsia="Arial" w:hAnsi="Arial"/>
          <w:sz w:val="20"/>
          <w:szCs w:val="20"/>
          <w:i w:val="1"/>
          <w:iCs w:val="1"/>
          <w:color w:val="auto"/>
        </w:rPr>
        <w:t>Lessee’s Institutional Lenders</w:t>
      </w:r>
      <w:r>
        <w:rPr>
          <w:rFonts w:ascii="Arial" w:cs="Arial" w:eastAsia="Arial" w:hAnsi="Arial"/>
          <w:sz w:val="20"/>
          <w:szCs w:val="20"/>
          <w:color w:val="auto"/>
        </w:rPr>
        <w:t>” has the meaning set</w:t>
      </w:r>
      <w:r>
        <w:rPr>
          <w:rFonts w:ascii="Arial" w:cs="Arial" w:eastAsia="Arial" w:hAnsi="Arial"/>
          <w:sz w:val="20"/>
          <w:szCs w:val="20"/>
          <w:i w:val="1"/>
          <w:iCs w:val="1"/>
          <w:color w:val="auto"/>
        </w:rPr>
        <w:t xml:space="preserve"> </w:t>
      </w:r>
      <w:r>
        <w:rPr>
          <w:rFonts w:ascii="Arial" w:cs="Arial" w:eastAsia="Arial" w:hAnsi="Arial"/>
          <w:sz w:val="20"/>
          <w:szCs w:val="20"/>
          <w:color w:val="auto"/>
        </w:rPr>
        <w:t>forth in Section 16.01.</w:t>
      </w:r>
    </w:p>
    <w:p>
      <w:pPr>
        <w:spacing w:after="0" w:line="177" w:lineRule="exact"/>
        <w:rPr>
          <w:sz w:val="20"/>
          <w:szCs w:val="20"/>
          <w:color w:val="auto"/>
        </w:rPr>
      </w:pPr>
    </w:p>
    <w:p>
      <w:pPr>
        <w:jc w:val="both"/>
        <w:ind w:right="20" w:firstLine="621"/>
        <w:spacing w:after="0" w:line="267" w:lineRule="auto"/>
        <w:rPr>
          <w:sz w:val="20"/>
          <w:szCs w:val="20"/>
          <w:color w:val="auto"/>
        </w:rPr>
      </w:pPr>
      <w:r>
        <w:rPr>
          <w:rFonts w:ascii="Arial" w:cs="Arial" w:eastAsia="Arial" w:hAnsi="Arial"/>
          <w:sz w:val="20"/>
          <w:szCs w:val="20"/>
          <w:i w:val="1"/>
          <w:iCs w:val="1"/>
          <w:color w:val="auto"/>
        </w:rPr>
        <w:t xml:space="preserve">“Lessor Entity” </w:t>
      </w:r>
      <w:r>
        <w:rPr>
          <w:rFonts w:ascii="Arial" w:cs="Arial" w:eastAsia="Arial" w:hAnsi="Arial"/>
          <w:sz w:val="20"/>
          <w:szCs w:val="20"/>
          <w:color w:val="auto"/>
        </w:rPr>
        <w:t>or “</w:t>
      </w:r>
      <w:r>
        <w:rPr>
          <w:rFonts w:ascii="Arial" w:cs="Arial" w:eastAsia="Arial" w:hAnsi="Arial"/>
          <w:sz w:val="20"/>
          <w:szCs w:val="20"/>
          <w:i w:val="1"/>
          <w:iCs w:val="1"/>
          <w:color w:val="auto"/>
        </w:rPr>
        <w:t>Lessor Entities</w:t>
      </w:r>
      <w:r>
        <w:rPr>
          <w:rFonts w:ascii="Arial" w:cs="Arial" w:eastAsia="Arial" w:hAnsi="Arial"/>
          <w:sz w:val="20"/>
          <w:szCs w:val="20"/>
          <w:color w:val="auto"/>
        </w:rPr>
        <w:t>” means individually or collectively, as the context may require, Lessor and all Affiliates of</w:t>
      </w:r>
      <w:r>
        <w:rPr>
          <w:rFonts w:ascii="Arial" w:cs="Arial" w:eastAsia="Arial" w:hAnsi="Arial"/>
          <w:sz w:val="20"/>
          <w:szCs w:val="20"/>
          <w:i w:val="1"/>
          <w:iCs w:val="1"/>
          <w:color w:val="auto"/>
        </w:rPr>
        <w:t xml:space="preserve"> </w:t>
      </w:r>
      <w:r>
        <w:rPr>
          <w:rFonts w:ascii="Arial" w:cs="Arial" w:eastAsia="Arial" w:hAnsi="Arial"/>
          <w:sz w:val="20"/>
          <w:szCs w:val="20"/>
          <w:color w:val="auto"/>
        </w:rPr>
        <w:t>Lessor.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Lessor Expenditure</w:t>
      </w:r>
      <w:r>
        <w:rPr>
          <w:rFonts w:ascii="Arial" w:cs="Arial" w:eastAsia="Arial" w:hAnsi="Arial"/>
          <w:sz w:val="20"/>
          <w:szCs w:val="20"/>
          <w:color w:val="auto"/>
        </w:rPr>
        <w:t>” has the meaning set forth in Section 7.01(b).</w:t>
      </w:r>
    </w:p>
    <w:p>
      <w:pPr>
        <w:spacing w:after="0" w:line="216"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Losses</w:t>
      </w:r>
      <w:r>
        <w:rPr>
          <w:rFonts w:ascii="Arial" w:cs="Arial" w:eastAsia="Arial" w:hAnsi="Arial"/>
          <w:sz w:val="20"/>
          <w:szCs w:val="20"/>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inclusive of bodily injury and property damage to third parties (including, without limitation, attorneys’ fees and other Costs of defense).</w:t>
      </w:r>
    </w:p>
    <w:p>
      <w:pPr>
        <w:spacing w:after="0" w:line="180"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Material Adverse Effect</w:t>
      </w:r>
      <w:r>
        <w:rPr>
          <w:rFonts w:ascii="Arial" w:cs="Arial" w:eastAsia="Arial" w:hAnsi="Arial"/>
          <w:sz w:val="20"/>
          <w:szCs w:val="20"/>
          <w:color w:val="auto"/>
        </w:rPr>
        <w:t>” means a material adverse effect on (a) the Property, including without limitation, the operation of the Property as a Permitted Facility and/or the value of the Property; (b) Lessee’s ability to perform its obligations under this Lease; (c) Lessor’s interests in the Property, this Lease or the other Transaction Documents; or (d) Guarantor’s ability to perform its obligations under the Guaranty.</w:t>
      </w:r>
    </w:p>
    <w:p>
      <w:pPr>
        <w:spacing w:after="0" w:line="180" w:lineRule="exact"/>
        <w:rPr>
          <w:sz w:val="20"/>
          <w:szCs w:val="20"/>
          <w:color w:val="auto"/>
        </w:rPr>
      </w:pPr>
    </w:p>
    <w:p>
      <w:pPr>
        <w:jc w:val="both"/>
        <w:ind w:right="20"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Monetary Obligations</w:t>
      </w:r>
      <w:r>
        <w:rPr>
          <w:rFonts w:ascii="Arial" w:cs="Arial" w:eastAsia="Arial" w:hAnsi="Arial"/>
          <w:sz w:val="20"/>
          <w:szCs w:val="20"/>
          <w:color w:val="auto"/>
        </w:rPr>
        <w:t>” means all Rental and all other sums payable or reimbursable by Lessee under this Lease to Lessor, to any third party on behalf of Lessor, or to any Indemnified Party.</w:t>
      </w:r>
    </w:p>
    <w:p>
      <w:pPr>
        <w:spacing w:after="0" w:line="164"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Mortgage</w:t>
      </w:r>
      <w:r>
        <w:rPr>
          <w:rFonts w:ascii="Arial" w:cs="Arial" w:eastAsia="Arial" w:hAnsi="Arial"/>
          <w:sz w:val="20"/>
          <w:szCs w:val="20"/>
          <w:color w:val="auto"/>
        </w:rPr>
        <w:t>” means, collectively, the mortgages, deeds of trust or deeds to secure debt, assignments of rents and leases, security agreements and fixture filings executed by Lessor for the benefit of Lender with respect to the Property, as such instruments may be amended, modified, restated or supplemented from time to time and any and all replacements or substitutions.</w:t>
      </w:r>
    </w:p>
    <w:p>
      <w:pPr>
        <w:spacing w:after="0" w:line="180"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Net Award</w:t>
      </w:r>
      <w:r>
        <w:rPr>
          <w:rFonts w:ascii="Arial" w:cs="Arial" w:eastAsia="Arial" w:hAnsi="Arial"/>
          <w:sz w:val="20"/>
          <w:szCs w:val="20"/>
          <w:color w:val="auto"/>
        </w:rPr>
        <w:t>” means (a) the entire award payable with respect to a Property by reason of a Condemnation whether pursuant to a judgment or by agreement or otherwise; or (b) the entire proceeds of any insurance required under Section 6.03 payable with respect to a Property, as the case may be, and in either case, less any Costs incurred by Lessor in collecting such award or proceeds.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OFAC Laws</w:t>
      </w:r>
      <w:r>
        <w:rPr>
          <w:rFonts w:ascii="Arial" w:cs="Arial" w:eastAsia="Arial" w:hAnsi="Arial"/>
          <w:sz w:val="20"/>
          <w:szCs w:val="20"/>
          <w:color w:val="auto"/>
        </w:rPr>
        <w:t>” means Executive Order 13224 issued by the President of the United States,</w:t>
      </w: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-4</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50" w:name="page151"/>
    <w:bookmarkEnd w:id="150"/>
    <w:p>
      <w:pPr>
        <w:jc w:val="both"/>
        <w:spacing w:after="0"/>
        <w:rPr>
          <w:sz w:val="20"/>
          <w:szCs w:val="20"/>
          <w:color w:val="auto"/>
        </w:rPr>
      </w:pPr>
      <w:r>
        <w:rPr>
          <w:rFonts w:ascii="Arial" w:cs="Arial" w:eastAsia="Arial" w:hAnsi="Arial"/>
          <w:sz w:val="20"/>
          <w:szCs w:val="20"/>
          <w:color w:val="auto"/>
        </w:rPr>
        <w:t>and all regulations promulgated thereunder, including, without limitation, the Terrorism Sanctions Regulations (31 CFR Part 595), the Terrorism List Governments Sanctions Regulations (31 CFR Part 596), the Foreign Terrorist Organizations Sanctions Regulations (31 CFR Part 597), and the Cuban Assets Control Regulations (31 CFR Part 515), and all other present and future federal, state and local Laws, ordinances, regulations, policies, lists (including, without limitation, the Specially Designated Nationals and Blocked Persons List) and any other requirements of any Governmental Authority (including without limitation, the U.S. Department of the Treasury Office of Foreign Assets Control) addressing, relating to, or attempting to eliminate, terrorist acts and acts of war, each as supplemented, amended or modified from time to time after the Effective Date, and the present and future rules, regulations and guidance documents promulgated under any of the foregoing, or under similar Laws, ordinances, regulations, policies or requirements of other states or localities.</w:t>
      </w:r>
    </w:p>
    <w:p>
      <w:pPr>
        <w:spacing w:after="0" w:line="193"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Other Agreements</w:t>
      </w:r>
      <w:r>
        <w:rPr>
          <w:rFonts w:ascii="Arial" w:cs="Arial" w:eastAsia="Arial" w:hAnsi="Arial"/>
          <w:sz w:val="20"/>
          <w:szCs w:val="20"/>
          <w:color w:val="auto"/>
        </w:rPr>
        <w:t>” means, collectively, all agreements and instruments now or hereafter entered into between, among or by (a) any of the Lessee Entities; and, or for the benefit of, (b) any of the Lessor Entities, including, without limitation, leases, promissory notes and guaranties, but excluding this Lease and all other Transaction Documents.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Partial Condemnation</w:t>
      </w:r>
      <w:r>
        <w:rPr>
          <w:rFonts w:ascii="Arial" w:cs="Arial" w:eastAsia="Arial" w:hAnsi="Arial"/>
          <w:sz w:val="20"/>
          <w:szCs w:val="20"/>
          <w:color w:val="auto"/>
        </w:rPr>
        <w:t>” has the meaning set forth in Section 11.03.</w:t>
      </w:r>
    </w:p>
    <w:p>
      <w:pPr>
        <w:spacing w:after="0" w:line="216" w:lineRule="exact"/>
        <w:rPr>
          <w:sz w:val="20"/>
          <w:szCs w:val="20"/>
          <w:color w:val="auto"/>
        </w:rPr>
      </w:pPr>
    </w:p>
    <w:p>
      <w:pPr>
        <w:jc w:val="both"/>
        <w:ind w:firstLine="621"/>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Amounts</w:t>
      </w:r>
      <w:r>
        <w:rPr>
          <w:rFonts w:ascii="Arial" w:cs="Arial" w:eastAsia="Arial" w:hAnsi="Arial"/>
          <w:sz w:val="20"/>
          <w:szCs w:val="20"/>
          <w:color w:val="auto"/>
        </w:rPr>
        <w:t>” shall mean, with respect to any given level of Hazardous Materials or Regulated Substances, that level or quantity of Hazardous Materials or Regulated Substances in any form or combination of forms which does not constitute a violation of any Environmental Laws and is customarily employed in, or associated with, similar businesses located in the state where the Property is located.</w:t>
      </w:r>
    </w:p>
    <w:p>
      <w:pPr>
        <w:spacing w:after="0" w:line="180"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i w:val="1"/>
          <w:iCs w:val="1"/>
          <w:color w:val="auto"/>
        </w:rPr>
        <w:t xml:space="preserve">“Permitted Facility” </w:t>
      </w:r>
      <w:r>
        <w:rPr>
          <w:rFonts w:ascii="Arial" w:cs="Arial" w:eastAsia="Arial" w:hAnsi="Arial"/>
          <w:sz w:val="20"/>
          <w:szCs w:val="20"/>
          <w:color w:val="auto"/>
        </w:rPr>
        <w:t>means general office purposes, labs, storage and warehousing and any other lawful purpose common</w:t>
      </w:r>
      <w:r>
        <w:rPr>
          <w:rFonts w:ascii="Arial" w:cs="Arial" w:eastAsia="Arial" w:hAnsi="Arial"/>
          <w:sz w:val="20"/>
          <w:szCs w:val="20"/>
          <w:i w:val="1"/>
          <w:iCs w:val="1"/>
          <w:color w:val="auto"/>
        </w:rPr>
        <w:t xml:space="preserve"> </w:t>
      </w:r>
      <w:r>
        <w:rPr>
          <w:rFonts w:ascii="Arial" w:cs="Arial" w:eastAsia="Arial" w:hAnsi="Arial"/>
          <w:sz w:val="20"/>
          <w:szCs w:val="20"/>
          <w:color w:val="auto"/>
        </w:rPr>
        <w:t>to and suitable for modern suburban office buildings in Colorado Springs, CO, except for the “Prohibited Uses” described in Schedule 8.01 attached hereto.</w:t>
      </w:r>
    </w:p>
    <w:p>
      <w:pPr>
        <w:spacing w:after="0" w:line="178"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w:t>
      </w:r>
      <w:r>
        <w:rPr>
          <w:rFonts w:ascii="Arial" w:cs="Arial" w:eastAsia="Arial" w:hAnsi="Arial"/>
          <w:sz w:val="20"/>
          <w:szCs w:val="20"/>
          <w:color w:val="auto"/>
        </w:rPr>
        <w:t>” means any individual, partnership, corporation, limited liability company, trust, unincorporated organization, Governmental Authority or any other form of entity.</w:t>
      </w:r>
    </w:p>
    <w:p>
      <w:pPr>
        <w:spacing w:after="0" w:line="164"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Personalty</w:t>
      </w:r>
      <w:r>
        <w:rPr>
          <w:rFonts w:ascii="Arial" w:cs="Arial" w:eastAsia="Arial" w:hAnsi="Arial"/>
          <w:sz w:val="20"/>
          <w:szCs w:val="20"/>
          <w:color w:val="auto"/>
        </w:rPr>
        <w:t>” means any and all “goods” (excluding “inventory,” and including, without limitation, all “equipment,” “fixtures,” appliances and furniture (as “goods,” “inventory,” “equipment” and “fixtures” are defined in the applicable Uniform Commercial Code then in effect in the applicable jurisdiction)) from time to time situated on or used in connection with the Property, whether now owned or held or hereafter arising or acquired, together with all replacements and substitutions therefore and all cash and non-cash proceeds (including insurance proceeds and any title and UCC insurance proceeds) and products thereof, and, in the case of tangible collateral, together with all additions, attachments, accessions, parts, equipment and repairs now or hereafter attached or affixed thereto or used in connection therewith.</w:t>
      </w:r>
    </w:p>
    <w:p>
      <w:pPr>
        <w:spacing w:after="0" w:line="187"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Price Index</w:t>
      </w:r>
      <w:r>
        <w:rPr>
          <w:rFonts w:ascii="Arial" w:cs="Arial" w:eastAsia="Arial" w:hAnsi="Arial"/>
          <w:sz w:val="20"/>
          <w:szCs w:val="20"/>
          <w:color w:val="auto"/>
        </w:rPr>
        <w:t>” means the Consumer Price Index which is designated for the applicable month of determination as the United States City Average for All Urban Consumers, All Items, Not Seasonally Adjusted, with a base period equaling 100 in 1982 - 1984, as published by the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United States Department of Labor’s Bureau of Labor Statistics or any successor agency. In the</w:t>
      </w: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-5</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6" w:right="239" w:bottom="1440" w:gutter="0" w:footer="0" w:header="0"/>
        </w:sectPr>
      </w:pPr>
    </w:p>
    <w:bookmarkStart w:id="151" w:name="page152"/>
    <w:bookmarkEnd w:id="151"/>
    <w:p>
      <w:pPr>
        <w:jc w:val="both"/>
        <w:spacing w:after="0" w:line="241" w:lineRule="auto"/>
        <w:rPr>
          <w:sz w:val="20"/>
          <w:szCs w:val="20"/>
          <w:color w:val="auto"/>
        </w:rPr>
      </w:pPr>
      <w:r>
        <w:rPr>
          <w:rFonts w:ascii="Arial" w:cs="Arial" w:eastAsia="Arial" w:hAnsi="Arial"/>
          <w:sz w:val="20"/>
          <w:szCs w:val="20"/>
          <w:color w:val="auto"/>
        </w:rPr>
        <w:t>event that the Price Index ceases to be published, its successor index measuring cost of living as published by the same Governmental Authority which published the Price Index shall be substituted and any necessary reasonable adjustments shall be made by Lessor and Lessee in order to carry out the intent of Section 4.02. In the event there is no successor index measuring cost of living, Lessor shall reasonably select an alternative price index measuring cost of living that will constitute a reasonable substitute for the Price Index.</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Previous Lease</w:t>
      </w:r>
      <w:r>
        <w:rPr>
          <w:rFonts w:ascii="Arial" w:cs="Arial" w:eastAsia="Arial" w:hAnsi="Arial"/>
          <w:sz w:val="20"/>
          <w:szCs w:val="20"/>
          <w:color w:val="auto"/>
        </w:rPr>
        <w:t>” has the meaning set forth in the introductory paragraph of this Lease.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Property”</w:t>
      </w:r>
      <w:r>
        <w:rPr>
          <w:rFonts w:ascii="Arial" w:cs="Arial" w:eastAsia="Arial" w:hAnsi="Arial"/>
          <w:sz w:val="20"/>
          <w:szCs w:val="20"/>
          <w:color w:val="auto"/>
        </w:rPr>
        <w:t xml:space="preserve"> means that parcel or parcels of real estate legally described on </w:t>
      </w:r>
      <w:r>
        <w:rPr>
          <w:rFonts w:ascii="Arial" w:cs="Arial" w:eastAsia="Arial" w:hAnsi="Arial"/>
          <w:sz w:val="20"/>
          <w:szCs w:val="20"/>
          <w:u w:val="single" w:color="auto"/>
          <w:color w:val="auto"/>
        </w:rPr>
        <w:t>Exhibit B</w:t>
      </w:r>
    </w:p>
    <w:p>
      <w:pPr>
        <w:spacing w:after="0" w:line="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attached hereto, all rights, privileges, and appurtenances associated therewith, and all buildings, fixtures and other improvements now or hereafter located on such real estate (whether or not affixed to such real estate), but excluding Personalty.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 Closing Date” </w:t>
      </w:r>
      <w:r>
        <w:rPr>
          <w:rFonts w:ascii="Arial" w:cs="Arial" w:eastAsia="Arial" w:hAnsi="Arial"/>
          <w:sz w:val="20"/>
          <w:szCs w:val="20"/>
          <w:color w:val="auto"/>
        </w:rPr>
        <w:t>has the meaning set forth in Section 18.02(b).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“Purchase Offer”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“Real Estate Taxes” </w:t>
      </w:r>
      <w:r>
        <w:rPr>
          <w:rFonts w:ascii="Arial" w:cs="Arial" w:eastAsia="Arial" w:hAnsi="Arial"/>
          <w:sz w:val="20"/>
          <w:szCs w:val="20"/>
          <w:color w:val="auto"/>
        </w:rPr>
        <w:t>has the meaning set forth in Section 6.04.</w:t>
      </w:r>
    </w:p>
    <w:p>
      <w:pPr>
        <w:spacing w:after="0" w:line="216"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Regulated Substances</w:t>
      </w:r>
      <w:r>
        <w:rPr>
          <w:rFonts w:ascii="Arial" w:cs="Arial" w:eastAsia="Arial" w:hAnsi="Arial"/>
          <w:sz w:val="20"/>
          <w:szCs w:val="20"/>
          <w:color w:val="auto"/>
        </w:rPr>
        <w:t>” means “petroleum” and “petroleum-based substances” or any similar terms described or defined in any of the Environmental Laws and any applicable federal, state, county or local Laws applicable to or regulating USTs.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REIT</w:t>
      </w:r>
      <w:r>
        <w:rPr>
          <w:rFonts w:ascii="Arial" w:cs="Arial" w:eastAsia="Arial" w:hAnsi="Arial"/>
          <w:sz w:val="20"/>
          <w:szCs w:val="20"/>
          <w:color w:val="auto"/>
        </w:rPr>
        <w:t>” means a real estate investment trust as defined under Section 856 of the Code.</w:t>
      </w:r>
    </w:p>
    <w:p>
      <w:pPr>
        <w:spacing w:after="0" w:line="310" w:lineRule="exact"/>
        <w:rPr>
          <w:sz w:val="20"/>
          <w:szCs w:val="20"/>
          <w:color w:val="auto"/>
        </w:rPr>
      </w:pPr>
    </w:p>
    <w:p>
      <w:pPr>
        <w:ind w:right="30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Release</w:t>
      </w:r>
      <w:r>
        <w:rPr>
          <w:rFonts w:ascii="Arial" w:cs="Arial" w:eastAsia="Arial" w:hAnsi="Arial"/>
          <w:sz w:val="19"/>
          <w:szCs w:val="19"/>
          <w:color w:val="auto"/>
        </w:rPr>
        <w:t>” means any presence, release, deposit, discharge, emission, leaking, spilling, seeping, migrating, injecting, pumping, pouring, emptying, escaping, dumping, disposing or</w:t>
      </w:r>
    </w:p>
    <w:p>
      <w:pPr>
        <w:spacing w:after="0"/>
        <w:rPr>
          <w:sz w:val="20"/>
          <w:szCs w:val="20"/>
          <w:color w:val="auto"/>
        </w:rPr>
      </w:pPr>
      <w:r>
        <w:rPr>
          <w:rFonts w:ascii="Arial" w:cs="Arial" w:eastAsia="Arial" w:hAnsi="Arial"/>
          <w:sz w:val="20"/>
          <w:szCs w:val="20"/>
          <w:color w:val="auto"/>
        </w:rPr>
        <w:t>other movement of Hazardous Materials, Regulated Substances or USTs or any Threatened Release.</w:t>
      </w:r>
    </w:p>
    <w:p>
      <w:pPr>
        <w:spacing w:after="0" w:line="196"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Remediation</w:t>
      </w:r>
      <w:r>
        <w:rPr>
          <w:rFonts w:ascii="Arial" w:cs="Arial" w:eastAsia="Arial" w:hAnsi="Arial"/>
          <w:sz w:val="20"/>
          <w:szCs w:val="20"/>
          <w:color w:val="auto"/>
        </w:rPr>
        <w:t>” means any response, remedial, removal, or corrective action, any activity to cleanup, detoxify, decontaminate, contain or otherwise remediate any Hazardous Materials, Regulated Substances or USTs, any actions to prevent, cure or mitigate any Release, any action to comply with any Environmental Laws or with any permits issued pursuant thereto, any inspection, investigation, study, monitoring, assessment, audit, sampling and testing, laboratory or other analysis, or any evaluation relating to any Hazardous Materials, Regulated Substances or USTs.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Rental</w:t>
      </w:r>
      <w:r>
        <w:rPr>
          <w:rFonts w:ascii="Arial" w:cs="Arial" w:eastAsia="Arial" w:hAnsi="Arial"/>
          <w:sz w:val="20"/>
          <w:szCs w:val="20"/>
          <w:color w:val="auto"/>
        </w:rPr>
        <w:t>” means, collectively, the Base Annual Rental and the Additional Rental.</w:t>
      </w:r>
    </w:p>
    <w:p>
      <w:pPr>
        <w:spacing w:after="0" w:line="216" w:lineRule="exact"/>
        <w:rPr>
          <w:sz w:val="20"/>
          <w:szCs w:val="20"/>
          <w:color w:val="auto"/>
        </w:rPr>
      </w:pPr>
    </w:p>
    <w:p>
      <w:pPr>
        <w:jc w:val="both"/>
        <w:ind w:firstLine="621"/>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Rental Adjustment</w:t>
      </w:r>
      <w:r>
        <w:rPr>
          <w:rFonts w:ascii="Arial" w:cs="Arial" w:eastAsia="Arial" w:hAnsi="Arial"/>
          <w:sz w:val="20"/>
          <w:szCs w:val="20"/>
          <w:color w:val="auto"/>
        </w:rPr>
        <w:t>” means an amount equal to the lesser of (a) 2% of the Base Annual Rental in effect immediately prior to the applicable Adjustment Date, or (b) the product of (i) the percentage change between the Price Index for the month which is two months prior to the June 1, 2018, or the Price Index used for the immediately preceding Adjustment Date, as applicable, and the Price Index for the month which is two months prior to the applicable Adjustment Date; and (ii) the then current Base Annual Rental.</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Requisition</w:t>
      </w:r>
      <w:r>
        <w:rPr>
          <w:rFonts w:ascii="Arial" w:cs="Arial" w:eastAsia="Arial" w:hAnsi="Arial"/>
          <w:sz w:val="20"/>
          <w:szCs w:val="20"/>
          <w:color w:val="auto"/>
        </w:rPr>
        <w:t>” means any temporary requisition or confiscation of the use or occupancy of</w:t>
      </w: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-6</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5" w:right="239" w:bottom="1440" w:gutter="0" w:footer="0" w:header="0"/>
        </w:sectPr>
      </w:pPr>
    </w:p>
    <w:bookmarkStart w:id="152" w:name="page153"/>
    <w:bookmarkEnd w:id="152"/>
    <w:p>
      <w:pPr>
        <w:jc w:val="both"/>
        <w:spacing w:after="0" w:line="247" w:lineRule="auto"/>
        <w:rPr>
          <w:sz w:val="20"/>
          <w:szCs w:val="20"/>
          <w:color w:val="auto"/>
        </w:rPr>
      </w:pPr>
      <w:r>
        <w:rPr>
          <w:rFonts w:ascii="Arial" w:cs="Arial" w:eastAsia="Arial" w:hAnsi="Arial"/>
          <w:sz w:val="20"/>
          <w:szCs w:val="20"/>
          <w:color w:val="auto"/>
        </w:rPr>
        <w:t>the Property by any Governmental Authority, civil or military, whether pursuant to an agreement with such Governmental Authority in settlement of or under threat of any such requisition or confiscation, or otherwise.</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“Reserve” </w:t>
      </w:r>
      <w:r>
        <w:rPr>
          <w:rFonts w:ascii="Arial" w:cs="Arial" w:eastAsia="Arial" w:hAnsi="Arial"/>
          <w:sz w:val="20"/>
          <w:szCs w:val="20"/>
          <w:color w:val="auto"/>
        </w:rPr>
        <w:t>has the meaning in Section 6.04.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w:t>
      </w:r>
      <w:r>
        <w:rPr>
          <w:rFonts w:ascii="Arial" w:cs="Arial" w:eastAsia="Arial" w:hAnsi="Arial"/>
          <w:sz w:val="20"/>
          <w:szCs w:val="20"/>
          <w:color w:val="auto"/>
        </w:rPr>
        <w:t>” has the meaning set forth in Section 17.10.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Securities Act</w:t>
      </w:r>
      <w:r>
        <w:rPr>
          <w:rFonts w:ascii="Arial" w:cs="Arial" w:eastAsia="Arial" w:hAnsi="Arial"/>
          <w:sz w:val="20"/>
          <w:szCs w:val="20"/>
          <w:color w:val="auto"/>
        </w:rPr>
        <w:t>” means of the Securities Act of 1933, as amended. “</w:t>
      </w:r>
      <w:r>
        <w:rPr>
          <w:rFonts w:ascii="Arial" w:cs="Arial" w:eastAsia="Arial" w:hAnsi="Arial"/>
          <w:sz w:val="20"/>
          <w:szCs w:val="20"/>
          <w:i w:val="1"/>
          <w:iCs w:val="1"/>
          <w:color w:val="auto"/>
        </w:rPr>
        <w:t>Securitization</w:t>
      </w:r>
      <w:r>
        <w:rPr>
          <w:rFonts w:ascii="Arial" w:cs="Arial" w:eastAsia="Arial" w:hAnsi="Arial"/>
          <w:sz w:val="20"/>
          <w:szCs w:val="20"/>
          <w:color w:val="auto"/>
        </w:rPr>
        <w:t>” has the meaning set forth in Section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17.10. “</w:t>
      </w:r>
      <w:r>
        <w:rPr>
          <w:rFonts w:ascii="Arial" w:cs="Arial" w:eastAsia="Arial" w:hAnsi="Arial"/>
          <w:sz w:val="20"/>
          <w:szCs w:val="20"/>
          <w:i w:val="1"/>
          <w:iCs w:val="1"/>
          <w:color w:val="auto"/>
        </w:rPr>
        <w:t>Security Deposit</w:t>
      </w:r>
      <w:r>
        <w:rPr>
          <w:rFonts w:ascii="Arial" w:cs="Arial" w:eastAsia="Arial" w:hAnsi="Arial"/>
          <w:sz w:val="20"/>
          <w:szCs w:val="20"/>
          <w:color w:val="auto"/>
        </w:rPr>
        <w:t>” has the meaning set forth in Section 4.09(a).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“Subject Purchase Price” </w:t>
      </w:r>
      <w:r>
        <w:rPr>
          <w:rFonts w:ascii="Arial" w:cs="Arial" w:eastAsia="Arial" w:hAnsi="Arial"/>
          <w:sz w:val="20"/>
          <w:szCs w:val="20"/>
          <w:color w:val="auto"/>
        </w:rPr>
        <w:t>has the meaning set forth in Section 18.01. “</w:t>
      </w:r>
      <w:r>
        <w:rPr>
          <w:rFonts w:ascii="Arial" w:cs="Arial" w:eastAsia="Arial" w:hAnsi="Arial"/>
          <w:sz w:val="20"/>
          <w:szCs w:val="20"/>
          <w:i w:val="1"/>
          <w:iCs w:val="1"/>
          <w:color w:val="auto"/>
        </w:rPr>
        <w:t>Successor Lessor</w:t>
      </w:r>
      <w:r>
        <w:rPr>
          <w:rFonts w:ascii="Arial" w:cs="Arial" w:eastAsia="Arial" w:hAnsi="Arial"/>
          <w:sz w:val="20"/>
          <w:szCs w:val="20"/>
          <w:color w:val="auto"/>
        </w:rPr>
        <w:t>” has the meaning set forth in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13.03.</w:t>
      </w:r>
    </w:p>
    <w:p>
      <w:pPr>
        <w:spacing w:after="0" w:line="317" w:lineRule="exact"/>
        <w:rPr>
          <w:sz w:val="20"/>
          <w:szCs w:val="20"/>
          <w:color w:val="auto"/>
        </w:rPr>
      </w:pPr>
    </w:p>
    <w:p>
      <w:pPr>
        <w:jc w:val="both"/>
        <w:ind w:firstLine="621"/>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Taking</w:t>
      </w:r>
      <w:r>
        <w:rPr>
          <w:rFonts w:ascii="Arial" w:cs="Arial" w:eastAsia="Arial" w:hAnsi="Arial"/>
          <w:sz w:val="20"/>
          <w:szCs w:val="20"/>
          <w:color w:val="auto"/>
        </w:rPr>
        <w:t>” means (a) any taking or damaging of all or a portion of the Property (i) in or by condemnation or other eminent domain proceedings pursuant to any Law, general or special;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Temporary Taking</w:t>
      </w:r>
      <w:r>
        <w:rPr>
          <w:rFonts w:ascii="Arial" w:cs="Arial" w:eastAsia="Arial" w:hAnsi="Arial"/>
          <w:sz w:val="20"/>
          <w:szCs w:val="20"/>
          <w:color w:val="auto"/>
        </w:rPr>
        <w:t>” has the meaning set forth in Section 11.04.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“Third Party Offer” </w:t>
      </w:r>
      <w:r>
        <w:rPr>
          <w:rFonts w:ascii="Arial" w:cs="Arial" w:eastAsia="Arial" w:hAnsi="Arial"/>
          <w:sz w:val="20"/>
          <w:szCs w:val="20"/>
          <w:color w:val="auto"/>
        </w:rPr>
        <w:t>has the meaning set forth in Section 18.01.</w:t>
      </w:r>
    </w:p>
    <w:p>
      <w:pPr>
        <w:spacing w:after="0" w:line="216"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Threatened Release</w:t>
      </w:r>
      <w:r>
        <w:rPr>
          <w:rFonts w:ascii="Arial" w:cs="Arial" w:eastAsia="Arial" w:hAnsi="Arial"/>
          <w:sz w:val="20"/>
          <w:szCs w:val="20"/>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the Property which may result from such Release.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Condemnation</w:t>
      </w:r>
      <w:r>
        <w:rPr>
          <w:rFonts w:ascii="Arial" w:cs="Arial" w:eastAsia="Arial" w:hAnsi="Arial"/>
          <w:sz w:val="20"/>
          <w:szCs w:val="20"/>
          <w:color w:val="auto"/>
        </w:rPr>
        <w:t>” has the meaning set forth in Section 11.02.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Transaction</w:t>
      </w:r>
      <w:r>
        <w:rPr>
          <w:rFonts w:ascii="Arial" w:cs="Arial" w:eastAsia="Arial" w:hAnsi="Arial"/>
          <w:sz w:val="20"/>
          <w:szCs w:val="20"/>
          <w:color w:val="auto"/>
        </w:rPr>
        <w:t>” has the meaning set forth in Section 14.01.</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Transaction Documents</w:t>
      </w:r>
      <w:r>
        <w:rPr>
          <w:rFonts w:ascii="Arial" w:cs="Arial" w:eastAsia="Arial" w:hAnsi="Arial"/>
          <w:sz w:val="20"/>
          <w:szCs w:val="20"/>
          <w:color w:val="auto"/>
        </w:rPr>
        <w:t>” means this Lease, the Guaranty and all documents related thereto.</w:t>
      </w:r>
    </w:p>
    <w:p>
      <w:pPr>
        <w:spacing w:after="0" w:line="216"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 Publicly Traded Entity</w:t>
      </w:r>
      <w:r>
        <w:rPr>
          <w:rFonts w:ascii="Arial" w:cs="Arial" w:eastAsia="Arial" w:hAnsi="Arial"/>
          <w:sz w:val="20"/>
          <w:szCs w:val="20"/>
          <w:color w:val="auto"/>
        </w:rPr>
        <w:t>” means an entity whose securities are listed on a national securities exchange or quoted on an automated quotation system in the United States or a wholly-owned subsidiary of such an entity.</w:t>
      </w:r>
    </w:p>
    <w:p>
      <w:pPr>
        <w:spacing w:after="0" w:line="164"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USTs</w:t>
      </w:r>
      <w:r>
        <w:rPr>
          <w:rFonts w:ascii="Arial" w:cs="Arial" w:eastAsia="Arial" w:hAnsi="Arial"/>
          <w:sz w:val="20"/>
          <w:szCs w:val="20"/>
          <w:color w:val="auto"/>
        </w:rPr>
        <w:t>” means any one or combination of tanks and associated product piping systems used in connection with storage, dispensing and general use of Regulated Substances.</w:t>
      </w: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-7</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35" w:right="239" w:bottom="1440" w:gutter="0" w:footer="0" w:header="0"/>
        </w:sectPr>
      </w:pPr>
    </w:p>
    <w:bookmarkStart w:id="153" w:name="page154"/>
    <w:bookmarkEnd w:id="153"/>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Warranties</w:t>
      </w:r>
      <w:r>
        <w:rPr>
          <w:rFonts w:ascii="Arial" w:cs="Arial" w:eastAsia="Arial" w:hAnsi="Arial"/>
          <w:sz w:val="20"/>
          <w:szCs w:val="20"/>
          <w:color w:val="auto"/>
        </w:rPr>
        <w:t>” has the meaning set forth in Section 2.04.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A -8</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0099"/>
          </w:cols>
          <w:pgMar w:left="360" w:top="616" w:right="1440" w:bottom="1440" w:gutter="0" w:footer="0" w:header="0"/>
        </w:sectPr>
      </w:pPr>
    </w:p>
    <w:bookmarkStart w:id="154" w:name="page155"/>
    <w:bookmarkEnd w:id="154"/>
    <w:p>
      <w:pPr>
        <w:ind w:left="6040"/>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LEGAL DESCRIPTION AND STREET ADDRESS OF THE PROPERTY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w:t>
      </w:r>
      <w:r>
        <w:rPr>
          <w:rFonts w:ascii="Arial" w:cs="Arial" w:eastAsia="Arial" w:hAnsi="Arial"/>
          <w:sz w:val="20"/>
          <w:szCs w:val="20"/>
          <w:color w:val="auto"/>
        </w:rPr>
        <w:t>: 12515 and 12575 Academy Ridge View, Colorado Springs, CO 80921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Description</w:t>
      </w:r>
      <w:r>
        <w:rPr>
          <w:rFonts w:ascii="Arial" w:cs="Arial" w:eastAsia="Arial" w:hAnsi="Arial"/>
          <w:sz w:val="20"/>
          <w:szCs w:val="20"/>
          <w:color w:val="auto"/>
        </w:rPr>
        <w:t>:</w:t>
      </w:r>
    </w:p>
    <w:p>
      <w:pPr>
        <w:spacing w:after="0" w:line="2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Lot 1 in RT Logic Subdivision Filing No. 1, as amended by Affidavit of Correction, recorded October 17, 2005 at Reception No. 205165253 and Affidavit of Agreement recorded November 9, 2005 at Reception No. 205180227 in the City of Colorado Springs, County of El Paso, State of Colorado.</w:t>
      </w: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 -1</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0"/>
          </w:cols>
          <w:pgMar w:left="320" w:top="612" w:right="239" w:bottom="1440" w:gutter="0" w:footer="0" w:header="0"/>
        </w:sectPr>
      </w:pPr>
    </w:p>
    <w:bookmarkStart w:id="155" w:name="page156"/>
    <w:bookmarkEnd w:id="155"/>
    <w:p>
      <w:pPr>
        <w:jc w:val="center"/>
        <w:ind w:left="2720"/>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ind w:left="2720"/>
        <w:spacing w:after="0"/>
        <w:rPr>
          <w:sz w:val="20"/>
          <w:szCs w:val="20"/>
          <w:color w:val="auto"/>
        </w:rPr>
      </w:pPr>
      <w:r>
        <w:rPr>
          <w:rFonts w:ascii="Arial" w:cs="Arial" w:eastAsia="Arial" w:hAnsi="Arial"/>
          <w:sz w:val="20"/>
          <w:szCs w:val="20"/>
          <w:b w:val="1"/>
          <w:bCs w:val="1"/>
          <w:color w:val="auto"/>
        </w:rPr>
        <w:t>INCOMING WIRE INSTRUCTIONS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Please give these instructions to your bank when you initiate a wire payment to STORE CAPITAL ACQUISITIONS, LLC:</w:t>
      </w:r>
    </w:p>
    <w:p>
      <w:pPr>
        <w:sectPr>
          <w:pgSz w:w="11900" w:h="16838" w:orient="portrait"/>
          <w:cols w:equalWidth="0" w:num="1">
            <w:col w:w="11220"/>
          </w:cols>
          <w:pgMar w:left="360" w:top="598" w:right="319" w:bottom="1440" w:gutter="0" w:footer="0" w:header="0"/>
        </w:sectPr>
      </w:pPr>
    </w:p>
    <w:p>
      <w:pPr>
        <w:spacing w:after="0" w:line="22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Bank Name: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KeyBank, National Association</w:t>
      </w:r>
    </w:p>
    <w:p>
      <w:pPr>
        <w:spacing w:after="0" w:line="200" w:lineRule="exact"/>
        <w:rPr>
          <w:sz w:val="20"/>
          <w:szCs w:val="20"/>
          <w:color w:val="auto"/>
        </w:rPr>
      </w:pPr>
    </w:p>
    <w:p>
      <w:pPr>
        <w:sectPr>
          <w:pgSz w:w="11900" w:h="16838" w:orient="portrait"/>
          <w:cols w:equalWidth="0" w:num="2">
            <w:col w:w="3000" w:space="360"/>
            <w:col w:w="7860"/>
          </w:cols>
          <w:pgMar w:left="360" w:top="598" w:right="319" w:bottom="1440" w:gutter="0" w:footer="0" w:header="0"/>
          <w:type w:val="continuous"/>
        </w:sectPr>
      </w:pPr>
    </w:p>
    <w:p>
      <w:pPr>
        <w:spacing w:after="0" w:line="27" w:lineRule="exact"/>
        <w:rPr>
          <w:sz w:val="20"/>
          <w:szCs w:val="20"/>
          <w:color w:val="auto"/>
        </w:rPr>
      </w:pPr>
    </w:p>
    <w:p>
      <w:pPr>
        <w:ind w:left="1920"/>
        <w:spacing w:after="0"/>
        <w:tabs>
          <w:tab w:leader="none" w:pos="2880" w:val="left"/>
        </w:tabs>
        <w:rPr>
          <w:sz w:val="20"/>
          <w:szCs w:val="20"/>
          <w:color w:val="auto"/>
        </w:rPr>
      </w:pPr>
      <w:r>
        <w:rPr>
          <w:rFonts w:ascii="Arial" w:cs="Arial" w:eastAsia="Arial" w:hAnsi="Arial"/>
          <w:sz w:val="20"/>
          <w:szCs w:val="20"/>
          <w:color w:val="auto"/>
        </w:rPr>
        <w:t>ABA:</w:t>
      </w:r>
      <w:r>
        <w:rPr>
          <w:sz w:val="20"/>
          <w:szCs w:val="20"/>
          <w:color w:val="auto"/>
        </w:rPr>
        <w:tab/>
      </w:r>
      <w:r>
        <w:rPr>
          <w:rFonts w:ascii="Arial" w:cs="Arial" w:eastAsia="Arial" w:hAnsi="Arial"/>
          <w:sz w:val="20"/>
          <w:szCs w:val="20"/>
          <w:color w:val="auto"/>
        </w:rPr>
        <w:t>041-001-039</w:t>
      </w:r>
    </w:p>
    <w:p>
      <w:pPr>
        <w:ind w:left="1920"/>
        <w:spacing w:after="0"/>
        <w:tabs>
          <w:tab w:leader="none" w:pos="3420" w:val="left"/>
          <w:tab w:leader="none" w:pos="8060" w:val="left"/>
        </w:tabs>
        <w:rPr>
          <w:sz w:val="20"/>
          <w:szCs w:val="20"/>
          <w:color w:val="auto"/>
        </w:rPr>
      </w:pPr>
      <w:r>
        <w:rPr>
          <w:rFonts w:ascii="Arial" w:cs="Arial" w:eastAsia="Arial" w:hAnsi="Arial"/>
          <w:sz w:val="20"/>
          <w:szCs w:val="20"/>
          <w:color w:val="auto"/>
        </w:rPr>
        <w:t>Account Name:</w:t>
        <w:tab/>
        <w:t>KBREC Payment Clearing Account Account No.:</w:t>
      </w:r>
      <w:r>
        <w:rPr>
          <w:sz w:val="20"/>
          <w:szCs w:val="20"/>
          <w:color w:val="auto"/>
        </w:rPr>
        <w:tab/>
      </w:r>
      <w:r>
        <w:rPr>
          <w:rFonts w:ascii="Arial" w:cs="Arial" w:eastAsia="Arial" w:hAnsi="Arial"/>
          <w:sz w:val="19"/>
          <w:szCs w:val="19"/>
          <w:color w:val="auto"/>
        </w:rPr>
        <w:t>359951013036</w:t>
      </w:r>
    </w:p>
    <w:p>
      <w:pPr>
        <w:ind w:left="1920"/>
        <w:spacing w:after="0"/>
        <w:tabs>
          <w:tab w:leader="none" w:pos="3220" w:val="left"/>
        </w:tabs>
        <w:rPr>
          <w:sz w:val="20"/>
          <w:szCs w:val="20"/>
          <w:color w:val="auto"/>
        </w:rPr>
      </w:pPr>
      <w:r>
        <w:rPr>
          <w:rFonts w:ascii="Arial" w:cs="Arial" w:eastAsia="Arial" w:hAnsi="Arial"/>
          <w:sz w:val="20"/>
          <w:szCs w:val="20"/>
          <w:color w:val="auto"/>
        </w:rPr>
        <w:t>Reference:</w:t>
      </w:r>
      <w:r>
        <w:rPr>
          <w:sz w:val="20"/>
          <w:szCs w:val="20"/>
          <w:color w:val="auto"/>
        </w:rPr>
        <w:tab/>
      </w:r>
      <w:r>
        <w:rPr>
          <w:rFonts w:ascii="Arial" w:cs="Arial" w:eastAsia="Arial" w:hAnsi="Arial"/>
          <w:sz w:val="20"/>
          <w:szCs w:val="20"/>
          <w:color w:val="auto"/>
        </w:rPr>
        <w:t>Contract ID#: L0000836</w:t>
      </w:r>
    </w:p>
    <w:p>
      <w:pPr>
        <w:ind w:left="3860"/>
        <w:spacing w:after="0"/>
        <w:rPr>
          <w:sz w:val="20"/>
          <w:szCs w:val="20"/>
          <w:color w:val="auto"/>
        </w:rPr>
      </w:pPr>
      <w:r>
        <w:rPr>
          <w:rFonts w:ascii="Arial" w:cs="Arial" w:eastAsia="Arial" w:hAnsi="Arial"/>
          <w:sz w:val="20"/>
          <w:szCs w:val="20"/>
          <w:color w:val="auto"/>
        </w:rPr>
        <w:t>Property Name: RT Logic - Colorado Springs, CO</w:t>
      </w:r>
    </w:p>
    <w:p>
      <w:pPr>
        <w:sectPr>
          <w:pgSz w:w="11900" w:h="16838" w:orient="portrait"/>
          <w:cols w:equalWidth="0" w:num="1">
            <w:col w:w="11220"/>
          </w:cols>
          <w:pgMar w:left="360" w:top="598" w:right="31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1460" w:hanging="136"/>
        <w:spacing w:after="0"/>
        <w:tabs>
          <w:tab w:leader="none" w:pos="14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This information must be completed fully and accurately to ensure that there is no delay in crediting funds to the</w:t>
      </w:r>
    </w:p>
    <w:p>
      <w:pPr>
        <w:spacing w:after="0" w:line="11"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20"/>
          <w:szCs w:val="20"/>
          <w:color w:val="auto"/>
        </w:rPr>
        <w:t>proper account.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 -1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220"/>
          </w:cols>
          <w:pgMar w:left="360" w:top="598" w:right="319" w:bottom="1440" w:gutter="0" w:footer="0" w:header="0"/>
          <w:type w:val="continuous"/>
        </w:sectPr>
      </w:pPr>
    </w:p>
    <w:bookmarkStart w:id="156" w:name="page157"/>
    <w:bookmarkEnd w:id="156"/>
    <w:p>
      <w:pPr>
        <w:jc w:val="center"/>
        <w:ind w:left="2820"/>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ind w:left="2820"/>
        <w:spacing w:after="0"/>
        <w:rPr>
          <w:sz w:val="20"/>
          <w:szCs w:val="20"/>
          <w:color w:val="auto"/>
        </w:rPr>
      </w:pPr>
      <w:r>
        <w:rPr>
          <w:rFonts w:ascii="Arial" w:cs="Arial" w:eastAsia="Arial" w:hAnsi="Arial"/>
          <w:sz w:val="19"/>
          <w:szCs w:val="19"/>
          <w:b w:val="1"/>
          <w:bCs w:val="1"/>
          <w:color w:val="auto"/>
        </w:rPr>
        <w:t>STATE-SPECIFIC PROVISIONS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 -1</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0"/>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0139"/>
          </w:cols>
          <w:pgMar w:left="320" w:top="612" w:right="1440" w:bottom="1440" w:gutter="0" w:footer="0" w:header="0"/>
        </w:sectPr>
      </w:pPr>
    </w:p>
    <w:bookmarkStart w:id="157" w:name="page158"/>
    <w:bookmarkEnd w:id="157"/>
    <w:p>
      <w:pPr>
        <w:ind w:left="5604"/>
        <w:spacing w:after="0"/>
        <w:rPr>
          <w:sz w:val="20"/>
          <w:szCs w:val="20"/>
          <w:color w:val="auto"/>
        </w:rPr>
      </w:pPr>
      <w:r>
        <w:rPr>
          <w:rFonts w:ascii="Arial" w:cs="Arial" w:eastAsia="Arial" w:hAnsi="Arial"/>
          <w:sz w:val="20"/>
          <w:szCs w:val="20"/>
          <w:b w:val="1"/>
          <w:bCs w:val="1"/>
          <w:color w:val="auto"/>
        </w:rPr>
        <w:t>SCHEDULE 8.01 PROHIBITED USES</w:t>
      </w:r>
    </w:p>
    <w:p>
      <w:pPr>
        <w:spacing w:after="0" w:line="161" w:lineRule="exact"/>
        <w:rPr>
          <w:sz w:val="20"/>
          <w:szCs w:val="20"/>
          <w:color w:val="auto"/>
        </w:rPr>
      </w:pPr>
    </w:p>
    <w:p>
      <w:pPr>
        <w:jc w:val="both"/>
        <w:ind w:left="4" w:firstLine="9"/>
        <w:spacing w:after="0" w:line="298" w:lineRule="auto"/>
        <w:tabs>
          <w:tab w:leader="none" w:pos="7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Adult bookstore, video store or other establishment engaged in the business of selling, renting, exhibiting or delivering pornographic or obscene materials, except that this provision shall not prohibit (a) book stores that are not perceived to be and do not hold themselves out as an “adult book store” and are primarily engaged in the sale of general audience books notwithstanding the incidental concurrent sale of books. magazines and/or periodicals that may contain pornographic materials, or (b) video stores primarily selling or renting video media that on the date of this Lease would be “G” “PG-13” or “R” rated (or an equivalent rating under any rating system that hereafter replaces the current system and is in general use), notwithstanding the incidental concurrent rental of “X-rated” or “Not Rated” video media solely for off premises viewing and without means of on premises review in connection with its selection; provided that such bookstore or video store does not engage in any promotion, advertising, depiction or description of any aspect of the X-rated or Not Rated” material of any kind, that the sale or rental thereof is not from any special or segregated section of the store, and that the sale or rental of such material to minors is prohibited;</w:t>
      </w:r>
    </w:p>
    <w:p>
      <w:pPr>
        <w:spacing w:after="0" w:line="212" w:lineRule="exact"/>
        <w:rPr>
          <w:rFonts w:ascii="Arial" w:cs="Arial" w:eastAsia="Arial" w:hAnsi="Arial"/>
          <w:sz w:val="18"/>
          <w:szCs w:val="18"/>
          <w:color w:val="auto"/>
        </w:rPr>
      </w:pPr>
    </w:p>
    <w:p>
      <w:pPr>
        <w:ind w:left="4" w:firstLine="9"/>
        <w:spacing w:after="0" w:line="309" w:lineRule="auto"/>
        <w:tabs>
          <w:tab w:leader="none" w:pos="7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So-called “head shops” or other establishments primarily engaged in the sale of merchandise that facilitates enhances, promotes or encourages the use of illegal drugs under federal, state and/or local law;</w:t>
      </w:r>
    </w:p>
    <w:p>
      <w:pPr>
        <w:spacing w:after="0" w:line="169"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Off-track betting parlor;</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Pawn shop;</w:t>
      </w:r>
    </w:p>
    <w:p>
      <w:pPr>
        <w:spacing w:after="0" w:line="252" w:lineRule="exact"/>
        <w:rPr>
          <w:rFonts w:ascii="Arial" w:cs="Arial" w:eastAsia="Arial" w:hAnsi="Arial"/>
          <w:sz w:val="18"/>
          <w:szCs w:val="18"/>
          <w:color w:val="auto"/>
        </w:rPr>
      </w:pPr>
    </w:p>
    <w:p>
      <w:pPr>
        <w:ind w:left="724" w:hanging="711"/>
        <w:spacing w:after="0"/>
        <w:tabs>
          <w:tab w:leader="none" w:pos="72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“Second hand,” “slightly used” or other businesses or activities primarily engaged in the sale of used merchandise;</w:t>
      </w:r>
    </w:p>
    <w:p>
      <w:pPr>
        <w:spacing w:after="0" w:line="238"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Junk yard or flea market;</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Stockyard or recycling facility;</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Motor vehicle or boat storage facility;</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Billiard parlor;</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Dry cleaning or laundry plant (which shall not preclude a dry cleaning or laundry business);</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Living quarters, sleeping apartments, or lodging rooms;</w:t>
      </w:r>
    </w:p>
    <w:p>
      <w:pPr>
        <w:spacing w:after="0" w:line="225" w:lineRule="exact"/>
        <w:rPr>
          <w:rFonts w:ascii="Arial" w:cs="Arial" w:eastAsia="Arial" w:hAnsi="Arial"/>
          <w:sz w:val="18"/>
          <w:szCs w:val="18"/>
          <w:color w:val="auto"/>
        </w:rPr>
      </w:pPr>
    </w:p>
    <w:p>
      <w:pPr>
        <w:ind w:left="704" w:hanging="704"/>
        <w:spacing w:after="0"/>
        <w:tabs>
          <w:tab w:leader="none" w:pos="7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Mortuary;</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Massage parlor; or</w:t>
      </w:r>
    </w:p>
    <w:p>
      <w:pPr>
        <w:spacing w:after="0" w:line="225" w:lineRule="exact"/>
        <w:rPr>
          <w:rFonts w:ascii="Arial" w:cs="Arial" w:eastAsia="Arial" w:hAnsi="Arial"/>
          <w:sz w:val="18"/>
          <w:szCs w:val="18"/>
          <w:color w:val="auto"/>
        </w:rPr>
      </w:pPr>
    </w:p>
    <w:p>
      <w:pPr>
        <w:ind w:left="664" w:hanging="651"/>
        <w:spacing w:after="0"/>
        <w:tabs>
          <w:tab w:leader="none" w:pos="66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Refining, quarrying or mining operations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
        <w:spacing w:after="0"/>
        <w:rPr>
          <w:sz w:val="20"/>
          <w:szCs w:val="20"/>
          <w:color w:val="auto"/>
        </w:rPr>
      </w:pPr>
      <w:r>
        <w:rPr>
          <w:rFonts w:ascii="Arial" w:cs="Arial" w:eastAsia="Arial" w:hAnsi="Arial"/>
          <w:sz w:val="14"/>
          <w:szCs w:val="14"/>
          <w:color w:val="3A3B3B"/>
        </w:rPr>
        <w:t>4820-2439-8970. 3</w:t>
      </w:r>
    </w:p>
    <w:p>
      <w:pPr>
        <w:spacing w:after="0" w:line="6" w:lineRule="exact"/>
        <w:rPr>
          <w:sz w:val="20"/>
          <w:szCs w:val="20"/>
          <w:color w:val="auto"/>
        </w:rPr>
      </w:pPr>
    </w:p>
    <w:p>
      <w:pPr>
        <w:ind w:left="44"/>
        <w:spacing w:after="0"/>
        <w:rPr>
          <w:sz w:val="20"/>
          <w:szCs w:val="20"/>
          <w:color w:val="auto"/>
        </w:rPr>
      </w:pPr>
      <w:r>
        <w:rPr>
          <w:rFonts w:ascii="Arial" w:cs="Arial" w:eastAsia="Arial" w:hAnsi="Arial"/>
          <w:sz w:val="14"/>
          <w:szCs w:val="14"/>
          <w:color w:val="3A3B3B"/>
        </w:rPr>
        <w:t xml:space="preserve">STORE </w:t>
      </w:r>
      <w:r>
        <w:rPr>
          <w:rFonts w:ascii="Arial" w:cs="Arial" w:eastAsia="Arial" w:hAnsi="Arial"/>
          <w:sz w:val="16"/>
          <w:szCs w:val="16"/>
          <w:i w:val="1"/>
          <w:iCs w:val="1"/>
          <w:color w:val="3A3B3B"/>
        </w:rPr>
        <w:t>I</w:t>
      </w:r>
      <w:r>
        <w:rPr>
          <w:rFonts w:ascii="Arial" w:cs="Arial" w:eastAsia="Arial" w:hAnsi="Arial"/>
          <w:sz w:val="14"/>
          <w:szCs w:val="14"/>
          <w:color w:val="3A3B3B"/>
        </w:rPr>
        <w:t xml:space="preserve"> RT Logic (Kratos)</w:t>
      </w:r>
    </w:p>
    <w:p>
      <w:pPr>
        <w:ind w:left="44"/>
        <w:spacing w:after="0"/>
        <w:rPr>
          <w:sz w:val="20"/>
          <w:szCs w:val="20"/>
          <w:color w:val="auto"/>
        </w:rPr>
      </w:pPr>
      <w:r>
        <w:rPr>
          <w:rFonts w:ascii="Arial" w:cs="Arial" w:eastAsia="Arial" w:hAnsi="Arial"/>
          <w:sz w:val="14"/>
          <w:szCs w:val="14"/>
          <w:color w:val="3A3B3B"/>
        </w:rPr>
        <w:t>Amended and Restated Lease Agreement</w:t>
      </w:r>
    </w:p>
    <w:p>
      <w:pPr>
        <w:spacing w:after="0" w:line="1" w:lineRule="exact"/>
        <w:rPr>
          <w:sz w:val="20"/>
          <w:szCs w:val="20"/>
          <w:color w:val="auto"/>
        </w:rPr>
      </w:pPr>
    </w:p>
    <w:p>
      <w:pPr>
        <w:ind w:left="44"/>
        <w:spacing w:after="0"/>
        <w:rPr>
          <w:sz w:val="20"/>
          <w:szCs w:val="20"/>
          <w:color w:val="auto"/>
        </w:rPr>
      </w:pPr>
      <w:r>
        <w:rPr>
          <w:rFonts w:ascii="Arial" w:cs="Arial" w:eastAsia="Arial" w:hAnsi="Arial"/>
          <w:sz w:val="14"/>
          <w:szCs w:val="14"/>
          <w:color w:val="3A3B3B"/>
        </w:rPr>
        <w:t>File No: 7210/02-525.1</w:t>
      </w:r>
    </w:p>
    <w:p>
      <w:pPr>
        <w:sectPr>
          <w:pgSz w:w="11900" w:h="16838" w:orient="portrait"/>
          <w:cols w:equalWidth="0" w:num="1">
            <w:col w:w="11344"/>
          </w:cols>
          <w:pgMar w:left="316" w:top="733"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Ai Metrix, Inc.</w:t>
            </w:r>
          </w:p>
        </w:tc>
        <w:tc>
          <w:tcPr>
            <w:tcW w:w="4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Avtec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BSC Partners,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ISI,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Charleston Marine Containers,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Dallastown Realty I,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Dallastown Realty II,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Defense Systems, Incorporated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DEI Services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DFI Realty,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Digital Fusion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Digital Fusion,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DTI Associates,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Israel (1987)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Israel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General Microwave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Europe Limited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Systems Group,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Gichner Systems International,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Haverstick Consulting,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Haverstick Government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Ohio</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HGS Holdings,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JMA Associates,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Arabia,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Saudi Arabia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Communications,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Communications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Communications S.A.S.</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Defense (Australia) Pty Limited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Defense &amp; Rocket Support Services,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Holdings UK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Integral Holdings,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Integral Systems International,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GMI Eyal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Norway AS</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RT Logic,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Technology &amp; Training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Unmanned Aerial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Unmanned Systems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Space &amp; Missile Defense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Kratos Systems and Solutions,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LVDM,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Nevada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60"/>
          </w:cols>
          <w:pgMar w:left="500" w:top="135" w:right="239" w:bottom="1440" w:gutter="0" w:footer="0" w:header="0"/>
        </w:sectPr>
      </w:pPr>
    </w:p>
    <w:bookmarkStart w:id="159" w:name="page160"/>
    <w:bookmarkEnd w:id="1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Madison Research Corporation</w:t>
            </w:r>
          </w:p>
        </w:tc>
        <w:tc>
          <w:tcPr>
            <w:tcW w:w="4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Micro Systems,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MSI Acquisition Corp.</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Polexis,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Reality Based IT Services Ltd.</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Rocket Support Services,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SAT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SCT Acquisition,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SCT Real Estate, LLC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SecureInfo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Shadow I,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Shadow II, Inc.</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4"/>
        </w:trPr>
        <w:tc>
          <w:tcPr>
            <w:tcW w:w="6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Summit Research Corporation</w:t>
            </w:r>
          </w:p>
        </w:tc>
        <w:tc>
          <w:tcPr>
            <w:tcW w:w="4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612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920"/>
          </w:cols>
          <w:pgMar w:left="500" w:top="498" w:right="4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consent to the incorporation by reference in Registration Statement Nos. 333-53014, 333-71618, 333-74108, 333-161340, 333-172103, and 333-220339 on Form S-3; Registration Statement Nos. 333-150165, 333-155604, 333-167840, 333-174745, 333-174760, 333-177493, and 333-198265 on Form S-4; and Registration Statement Nos. 333-54818, 333-71702, 333-90455, 333-91852, 333-116903, 333-124957, 333-127060, 333-155317, 333-157826, 333-167839, 333-171257, 333-173383, 333-177494, 333-179977, 333-182910, 333-191156, 333-198268, 333-206620 and 333-219595 on Form S-8 of our report dated February 28, 2019, relating to the financial statements of Kratos Defense &amp; Security Solutions, Inc. and subsidiaries, and the effectiveness of Kratos Defense</w:t>
      </w:r>
    </w:p>
    <w:p>
      <w:pPr>
        <w:spacing w:after="0" w:line="2" w:lineRule="exact"/>
        <w:rPr>
          <w:sz w:val="20"/>
          <w:szCs w:val="20"/>
          <w:color w:val="auto"/>
        </w:rPr>
      </w:pPr>
    </w:p>
    <w:p>
      <w:pPr>
        <w:ind w:right="100" w:firstLine="8"/>
        <w:spacing w:after="0" w:line="255" w:lineRule="auto"/>
        <w:tabs>
          <w:tab w:leader="none" w:pos="1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Security Solutions, Inc. and subsidiaries’ internal control over financial reporting (which report expresses an unqualified opinion and includes an explanatory paragraph relating to the manner in which it accounts for revenues from contracts with customers), appearing in this Annual Report on Form 10-K of Kratos Defense &amp; Security Solutions, Inc. for the fiscal year ended December 30,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2019</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1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2019</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30, 2018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30, 2018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1)"/>
      <w:numFmt w:val="decimal"/>
      <w:start w:val="1"/>
    </w:lvl>
  </w:abstractNum>
  <w:abstractNum w:abstractNumId="21">
    <w:nsid w:val="15014ACB"/>
    <w:multiLevelType w:val="hybridMultilevel"/>
    <w:lvl w:ilvl="0">
      <w:lvlJc w:val="left"/>
      <w:lvlText w:val="(%1)"/>
      <w:numFmt w:val="lowerLetter"/>
      <w:start w:val="8"/>
    </w:lvl>
  </w:abstractNum>
  <w:abstractNum w:abstractNumId="22">
    <w:nsid w:val="5F5E7FD0"/>
    <w:multiLevelType w:val="hybridMultilevel"/>
    <w:lvl w:ilvl="0">
      <w:lvlJc w:val="left"/>
      <w:lvlText w:val="(%1)"/>
      <w:numFmt w:val="decimal"/>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lowerLetter"/>
      <w:start w:val="3"/>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1)"/>
      <w:numFmt w:val="lowerLetter"/>
      <w:start w:val="2"/>
    </w:lvl>
  </w:abstractNum>
  <w:abstractNum w:abstractNumId="33">
    <w:nsid w:val="51D9C564"/>
    <w:multiLevelType w:val="hybridMultilevel"/>
    <w:lvl w:ilvl="0">
      <w:lvlJc w:val="left"/>
      <w:lvlText w:val="(%1)"/>
      <w:numFmt w:val="lowerLetter"/>
      <w:start w:val="4"/>
    </w:lvl>
  </w:abstractNum>
  <w:abstractNum w:abstractNumId="34">
    <w:nsid w:val="613EFDC5"/>
    <w:multiLevelType w:val="hybridMultilevel"/>
    <w:lvl w:ilvl="0">
      <w:lvlJc w:val="left"/>
      <w:lvlText w:val="(%1)"/>
      <w:numFmt w:val="lowerLetter"/>
      <w:start w:val="5"/>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1)"/>
      <w:numFmt w:val="decimal"/>
      <w:start w:val="1"/>
    </w:lvl>
  </w:abstractNum>
  <w:abstractNum w:abstractNumId="37">
    <w:nsid w:val="42963E5A"/>
    <w:multiLevelType w:val="hybridMultilevel"/>
    <w:lvl w:ilvl="0">
      <w:lvlJc w:val="left"/>
      <w:lvlText w:val="(%1)"/>
      <w:numFmt w:val="lowerLetter"/>
      <w:start w:val="6"/>
    </w:lvl>
  </w:abstractNum>
  <w:abstractNum w:abstractNumId="38">
    <w:nsid w:val="A0382C5"/>
    <w:multiLevelType w:val="hybridMultilevel"/>
    <w:lvl w:ilvl="0">
      <w:lvlJc w:val="left"/>
      <w:lvlText w:val="(%1)"/>
      <w:numFmt w:val="lowerLetter"/>
      <w:start w:val="8"/>
    </w:lvl>
  </w:abstractNum>
  <w:abstractNum w:abstractNumId="39">
    <w:nsid w:val="8F2B15E"/>
    <w:multiLevelType w:val="hybridMultilevel"/>
    <w:lvl w:ilvl="0">
      <w:lvlJc w:val="left"/>
      <w:lvlText w:val="(%1)"/>
      <w:numFmt w:val="lowerRoman"/>
      <w:start w:val="1"/>
    </w:lvl>
  </w:abstractNum>
  <w:abstractNum w:abstractNumId="40">
    <w:nsid w:val="1A32234B"/>
    <w:multiLevelType w:val="hybridMultilevel"/>
    <w:lvl w:ilvl="0">
      <w:lvlJc w:val="left"/>
      <w:lvlText w:val="(%1)"/>
      <w:numFmt w:val="lowerLetter"/>
      <w:start w:val="11"/>
    </w:lvl>
  </w:abstractNum>
  <w:abstractNum w:abstractNumId="41">
    <w:nsid w:val="3B0FD379"/>
    <w:multiLevelType w:val="hybridMultilevel"/>
    <w:lvl w:ilvl="0">
      <w:lvlJc w:val="left"/>
      <w:lvlText w:val="(%1)"/>
      <w:numFmt w:val="lowerLetter"/>
      <w:start w:val="12"/>
    </w:lvl>
  </w:abstractNum>
  <w:abstractNum w:abstractNumId="42">
    <w:nsid w:val="68EB2F63"/>
    <w:multiLevelType w:val="hybridMultilevel"/>
    <w:lvl w:ilvl="0">
      <w:lvlJc w:val="left"/>
      <w:lvlText w:val="(%1)"/>
      <w:numFmt w:val="lowerLetter"/>
      <w:start w:val="13"/>
    </w:lvl>
  </w:abstractNum>
  <w:abstractNum w:abstractNumId="43">
    <w:nsid w:val="4962813B"/>
    <w:multiLevelType w:val="hybridMultilevel"/>
    <w:lvl w:ilvl="0">
      <w:lvlJc w:val="left"/>
      <w:lvlText w:val="(%1)"/>
      <w:numFmt w:val="lowerLetter"/>
      <w:start w:val="14"/>
    </w:lvl>
  </w:abstractNum>
  <w:abstractNum w:abstractNumId="44">
    <w:nsid w:val="60B6DF70"/>
    <w:multiLevelType w:val="hybridMultilevel"/>
    <w:lvl w:ilvl="0">
      <w:lvlJc w:val="left"/>
      <w:lvlText w:val="(%1)"/>
      <w:numFmt w:val="lowerLetter"/>
      <w:start w:val="16"/>
    </w:lvl>
  </w:abstractNum>
  <w:abstractNum w:abstractNumId="45">
    <w:nsid w:val="6A5EE64"/>
    <w:multiLevelType w:val="hybridMultilevel"/>
    <w:lvl w:ilvl="0">
      <w:lvlJc w:val="left"/>
      <w:lvlText w:val="(%1)"/>
      <w:numFmt w:val="lowerLetter"/>
      <w:start w:val="17"/>
    </w:lvl>
  </w:abstractNum>
  <w:abstractNum w:abstractNumId="46">
    <w:nsid w:val="14330624"/>
    <w:multiLevelType w:val="hybridMultilevel"/>
    <w:lvl w:ilvl="0">
      <w:lvlJc w:val="left"/>
      <w:lvlText w:val="(%1)"/>
      <w:numFmt w:val="lowerLetter"/>
      <w:start w:val="19"/>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lowerLetter"/>
      <w:start w:val="2"/>
    </w:lvl>
  </w:abstractNum>
  <w:abstractNum w:abstractNumId="49">
    <w:nsid w:val="71EA1109"/>
    <w:multiLevelType w:val="hybridMultilevel"/>
    <w:lvl w:ilvl="0">
      <w:lvlJc w:val="left"/>
      <w:lvlText w:val="(%1)"/>
      <w:numFmt w:val="lowerLetter"/>
      <w:start w:val="3"/>
    </w:lvl>
  </w:abstractNum>
  <w:abstractNum w:abstractNumId="50">
    <w:nsid w:val="100F59DC"/>
    <w:multiLevelType w:val="hybridMultilevel"/>
    <w:lvl w:ilvl="0">
      <w:lvlJc w:val="left"/>
      <w:lvlText w:val="(%1)"/>
      <w:numFmt w:val="lowerLetter"/>
      <w:start w:val="10"/>
    </w:lvl>
  </w:abstractNum>
  <w:abstractNum w:abstractNumId="51">
    <w:nsid w:val="7FB7E0AA"/>
    <w:multiLevelType w:val="hybridMultilevel"/>
    <w:lvl w:ilvl="0">
      <w:lvlJc w:val="left"/>
      <w:lvlText w:val="(%1)"/>
      <w:numFmt w:val="lowerLetter"/>
      <w:start w:val="2"/>
    </w:lvl>
  </w:abstractNum>
  <w:abstractNum w:abstractNumId="52">
    <w:nsid w:val="6EB5BD4"/>
    <w:multiLevelType w:val="hybridMultilevel"/>
    <w:lvl w:ilvl="0">
      <w:lvlJc w:val="left"/>
      <w:lvlText w:val="(%1)"/>
      <w:numFmt w:val="decimal"/>
      <w:start w:val="1"/>
    </w:lvl>
  </w:abstractNum>
  <w:abstractNum w:abstractNumId="53">
    <w:nsid w:val="6F6DD9AC"/>
    <w:multiLevelType w:val="hybridMultilevel"/>
    <w:lvl w:ilvl="0">
      <w:lvlJc w:val="left"/>
      <w:lvlText w:val="(%1)"/>
      <w:numFmt w:val="lowerLetter"/>
      <w:start w:val="3"/>
    </w:lvl>
  </w:abstractNum>
  <w:abstractNum w:abstractNumId="54">
    <w:nsid w:val="94211F2"/>
    <w:multiLevelType w:val="hybridMultilevel"/>
    <w:lvl w:ilvl="0">
      <w:lvlJc w:val="left"/>
      <w:lvlText w:val="(%1)"/>
      <w:numFmt w:val="decimal"/>
      <w:start w:val="3"/>
    </w:lvl>
  </w:abstractNum>
  <w:abstractNum w:abstractNumId="55">
    <w:nsid w:val="885E1B"/>
    <w:multiLevelType w:val="hybridMultilevel"/>
    <w:lvl w:ilvl="0">
      <w:lvlJc w:val="left"/>
      <w:lvlText w:val="(%1)"/>
      <w:numFmt w:val="lowerLetter"/>
      <w:start w:val="1"/>
    </w:lvl>
  </w:abstractNum>
  <w:abstractNum w:abstractNumId="56">
    <w:nsid w:val="76272110"/>
    <w:multiLevelType w:val="hybridMultilevel"/>
    <w:lvl w:ilvl="0">
      <w:lvlJc w:val="left"/>
      <w:lvlText w:val="(%1)"/>
      <w:numFmt w:val="lowerLetter"/>
      <w:start w:val="2"/>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1"/>
      <w:numFmt w:val="lowerLetter"/>
      <w:start w:val="1"/>
    </w:lvl>
    <w:lvl w:ilvl="1">
      <w:lvlJc w:val="left"/>
      <w:lvlText w:val="(%2)"/>
      <w:numFmt w:val="lowerLetter"/>
      <w:start w:val="2"/>
    </w:lvl>
  </w:abstractNum>
  <w:abstractNum w:abstractNumId="59">
    <w:nsid w:val="14E17E33"/>
    <w:multiLevelType w:val="hybridMultilevel"/>
    <w:lvl w:ilvl="0">
      <w:lvlJc w:val="left"/>
      <w:lvlText w:val="(%1)"/>
      <w:numFmt w:val="lowerLetter"/>
      <w:start w:val="9"/>
    </w:lvl>
    <w:lvl w:ilvl="1">
      <w:lvlJc w:val="left"/>
      <w:lvlText w:val="%2"/>
      <w:numFmt w:val="lowerLetter"/>
      <w:start w:val="1"/>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Roman"/>
      <w:start w:val="1"/>
    </w:lvl>
  </w:abstractNum>
  <w:abstractNum w:abstractNumId="62">
    <w:nsid w:val="68EBC550"/>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5"/>
    </w:lvl>
  </w:abstractNum>
  <w:abstractNum w:abstractNumId="63">
    <w:nsid w:val="2DF6D648"/>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64">
    <w:nsid w:val="46B7D4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65">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66">
    <w:nsid w:val="39EE01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9"/>
    </w:lvl>
    <w:lvl w:ilvl="1">
      <w:lvlJc w:val="left"/>
      <w:lvlText w:val="(%2)"/>
      <w:numFmt w:val="lowerLetter"/>
      <w:start w:val="2"/>
    </w:lvl>
  </w:abstractNum>
  <w:abstractNum w:abstractNumId="70">
    <w:nsid w:val="60EF0119"/>
    <w:multiLevelType w:val="hybridMultilevel"/>
    <w:lvl w:ilvl="0">
      <w:lvlJc w:val="left"/>
      <w:lvlText w:val="(%1)"/>
      <w:numFmt w:val="lowerLetter"/>
      <w:start w:val="1"/>
    </w:lvl>
  </w:abstractNum>
  <w:abstractNum w:abstractNumId="71">
    <w:nsid w:val="26F324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
    <w:nsid w:val="7F0157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6"/>
    </w:lvl>
  </w:abstractNum>
  <w:abstractNum w:abstractNumId="73">
    <w:nsid w:val="49DA307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4">
    <w:nsid w:val="7055A5F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75">
    <w:nsid w:val="5FB8370B"/>
    <w:multiLevelType w:val="hybridMultilevel"/>
    <w:lvl w:ilvl="0">
      <w:lvlJc w:val="left"/>
      <w:lvlText w:val="(%1)"/>
      <w:numFmt w:val="lowerLetter"/>
      <w:start w:val="22"/>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76">
    <w:nsid w:val="50801EE1"/>
    <w:multiLevelType w:val="hybridMultilevel"/>
    <w:lvl w:ilvl="0">
      <w:lvlJc w:val="left"/>
      <w:lvlText w:val="(%1)"/>
      <w:numFmt w:val="lowerLetter"/>
      <w:start w:val="4"/>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1"/>
    </w:lvl>
    <w:lvl w:ilvl="1">
      <w:lvlJc w:val="left"/>
      <w:lvlText w:val="(%2)"/>
      <w:numFmt w:val="lowerLetter"/>
      <w:start w:val="3"/>
    </w:lvl>
  </w:abstractNum>
  <w:abstractNum w:abstractNumId="80">
    <w:nsid w:val="7672BD23"/>
    <w:multiLevelType w:val="hybridMultilevel"/>
    <w:lvl w:ilvl="0">
      <w:lvlJc w:val="left"/>
      <w:lvlText w:val="(%1)"/>
      <w:numFmt w:val="lowerLetter"/>
      <w:start w:val="9"/>
    </w:lvl>
    <w:lvl w:ilvl="1">
      <w:lvlJc w:val="left"/>
      <w:lvlText w:val="%2"/>
      <w:numFmt w:val="lowerLetter"/>
      <w:start w:val="1"/>
    </w:lvl>
  </w:abstractNum>
  <w:abstractNum w:abstractNumId="81">
    <w:nsid w:val="6FC75AF8"/>
    <w:multiLevelType w:val="hybridMultilevel"/>
    <w:lvl w:ilvl="0">
      <w:lvlJc w:val="left"/>
      <w:lvlText w:val="(%1)"/>
      <w:numFmt w:val="lowerLetter"/>
      <w:start w:val="7"/>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1)"/>
      <w:numFmt w:val="lowerLetter"/>
      <w:start w:val="1"/>
    </w:lvl>
    <w:lvl w:ilvl="1">
      <w:lvlJc w:val="left"/>
      <w:lvlText w:val="(%2)"/>
      <w:numFmt w:val="lowerLetter"/>
      <w:start w:val="9"/>
    </w:lvl>
  </w:abstractNum>
  <w:abstractNum w:abstractNumId="84">
    <w:nsid w:val="5F3534A4"/>
    <w:multiLevelType w:val="hybridMultilevel"/>
    <w:lvl w:ilvl="0">
      <w:lvlJc w:val="left"/>
      <w:lvlText w:val="(%1)"/>
      <w:numFmt w:val="lowerRoman"/>
      <w:start w:val="2"/>
    </w:lvl>
  </w:abstractNum>
  <w:abstractNum w:abstractNumId="85">
    <w:nsid w:val="73A1821B"/>
    <w:multiLevelType w:val="hybridMultilevel"/>
    <w:lvl w:ilvl="0">
      <w:lvlJc w:val="left"/>
      <w:lvlText w:val="(%1)"/>
      <w:numFmt w:val="lowerLetter"/>
      <w:start w:val="1"/>
    </w:lvl>
  </w:abstractNum>
  <w:abstractNum w:abstractNumId="86">
    <w:nsid w:val="7DE67713"/>
    <w:multiLevelType w:val="hybridMultilevel"/>
    <w:lvl w:ilvl="0">
      <w:lvlJc w:val="left"/>
      <w:lvlText w:val="(%1)"/>
      <w:numFmt w:val="decimal"/>
      <w:start w:val="30"/>
    </w:lvl>
    <w:lvl w:ilvl="1">
      <w:lvlJc w:val="left"/>
      <w:lvlText w:val="(%2)"/>
      <w:numFmt w:val="lowerLetter"/>
      <w:start w:val="7"/>
    </w:lvl>
  </w:abstractNum>
  <w:abstractNum w:abstractNumId="87">
    <w:nsid w:val="555C55B5"/>
    <w:multiLevelType w:val="hybridMultilevel"/>
    <w:lvl w:ilvl="0">
      <w:lvlJc w:val="left"/>
      <w:lvlText w:val="(%1)"/>
      <w:numFmt w:val="decimal"/>
      <w:start w:val="90"/>
    </w:lvl>
    <w:lvl w:ilvl="1">
      <w:lvlJc w:val="left"/>
      <w:lvlText w:val="(%2)"/>
      <w:numFmt w:val="lowerLetter"/>
      <w:start w:val="10"/>
    </w:lvl>
  </w:abstractNum>
  <w:abstractNum w:abstractNumId="88">
    <w:nsid w:val="3FA62ACA"/>
    <w:multiLevelType w:val="hybridMultilevel"/>
    <w:lvl w:ilvl="0">
      <w:lvlJc w:val="left"/>
      <w:lvlText w:val="(%1)"/>
      <w:numFmt w:val="lowerLetter"/>
      <w:start w:val="1"/>
    </w:lvl>
  </w:abstractNum>
  <w:abstractNum w:abstractNumId="89">
    <w:nsid w:val="14FCE74E"/>
    <w:multiLevelType w:val="hybridMultilevel"/>
    <w:lvl w:ilvl="0">
      <w:lvlJc w:val="left"/>
      <w:lvlText w:val="(%1)"/>
      <w:numFmt w:val="lowerLetter"/>
      <w:start w:val="3"/>
    </w:lvl>
  </w:abstractNum>
  <w:abstractNum w:abstractNumId="90">
    <w:nsid w:val="6A3DD3E8"/>
    <w:multiLevelType w:val="hybridMultilevel"/>
    <w:lvl w:ilvl="0">
      <w:lvlJc w:val="left"/>
      <w:lvlText w:val="(%1)"/>
      <w:numFmt w:val="lowerLetter"/>
      <w:start w:val="6"/>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Roman"/>
      <w:start w:val="1"/>
    </w:lvl>
  </w:abstractNum>
  <w:abstractNum w:abstractNumId="93">
    <w:nsid w:val="53299938"/>
    <w:multiLevelType w:val="hybridMultilevel"/>
    <w:lvl w:ilvl="0">
      <w:lvlJc w:val="left"/>
      <w:lvlText w:val="(%1)"/>
      <w:numFmt w:val="lowerRoman"/>
      <w:start w:val="1"/>
    </w:lvl>
    <w:lvl w:ilvl="1">
      <w:lvlJc w:val="left"/>
      <w:lvlText w:val="(%2)"/>
      <w:numFmt w:val="upperLetter"/>
      <w:start w:val="1"/>
    </w:lvl>
  </w:abstractNum>
  <w:abstractNum w:abstractNumId="94">
    <w:nsid w:val="1FBFE8E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95">
    <w:nsid w:val="5092CA7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96">
    <w:nsid w:val="1D545C4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97">
    <w:nsid w:val="59ADEA3D"/>
    <w:multiLevelType w:val="hybridMultilevel"/>
    <w:lvl w:ilvl="0">
      <w:lvlJc w:val="left"/>
      <w:lvlText w:val="(%1)"/>
      <w:numFmt w:val="lowerRoman"/>
      <w:start w:val="5"/>
    </w:lvl>
  </w:abstractNum>
  <w:abstractNum w:abstractNumId="98">
    <w:nsid w:val="288F1A34"/>
    <w:multiLevelType w:val="hybridMultilevel"/>
    <w:lvl w:ilvl="0">
      <w:lvlJc w:val="left"/>
      <w:lvlText w:val="(%1)"/>
      <w:numFmt w:val="lowerLetter"/>
      <w:start w:val="3"/>
    </w:lvl>
  </w:abstractNum>
  <w:abstractNum w:abstractNumId="99">
    <w:nsid w:val="2A155DBC"/>
    <w:multiLevelType w:val="hybridMultilevel"/>
    <w:lvl w:ilvl="0">
      <w:lvlJc w:val="left"/>
      <w:lvlText w:val="%1."/>
      <w:numFmt w:val="decimal"/>
      <w:start w:val="1"/>
    </w:lvl>
  </w:abstractNum>
  <w:abstractNum w:abstractNumId="100">
    <w:nsid w:val="1D9F6E5F"/>
    <w:multiLevelType w:val="hybridMultilevel"/>
    <w:lvl w:ilvl="0">
      <w:lvlJc w:val="left"/>
      <w:lvlText w:val="(%1)"/>
      <w:numFmt w:val="lowerRoman"/>
      <w:start w:val="1"/>
    </w:lvl>
  </w:abstractNum>
  <w:abstractNum w:abstractNumId="101">
    <w:nsid w:val="97E1B4E"/>
    <w:multiLevelType w:val="hybridMultilevel"/>
    <w:lvl w:ilvl="0">
      <w:lvlJc w:val="left"/>
      <w:lvlText w:val="(%1)"/>
      <w:numFmt w:val="lowerLetter"/>
      <w:start w:val="1"/>
    </w:lvl>
  </w:abstractNum>
  <w:abstractNum w:abstractNumId="102">
    <w:nsid w:val="51088277"/>
    <w:multiLevelType w:val="hybridMultilevel"/>
    <w:lvl w:ilvl="0">
      <w:lvlJc w:val="left"/>
      <w:lvlText w:val="(%1)"/>
      <w:numFmt w:val="lowerLetter"/>
      <w:start w:val="2"/>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1"/>
    </w:lvl>
  </w:abstractNum>
  <w:abstractNum w:abstractNumId="105">
    <w:nsid w:val="415E286C"/>
    <w:multiLevelType w:val="hybridMultilevel"/>
    <w:lvl w:ilvl="0">
      <w:lvlJc w:val="left"/>
      <w:lvlText w:val="(%1)"/>
      <w:numFmt w:val="lowerRoman"/>
      <w:start w:val="2"/>
    </w:lvl>
  </w:abstractNum>
  <w:abstractNum w:abstractNumId="106">
    <w:nsid w:val="7C58FD05"/>
    <w:multiLevelType w:val="hybridMultilevel"/>
    <w:lvl w:ilvl="0">
      <w:lvlJc w:val="left"/>
      <w:lvlText w:val="%1"/>
      <w:numFmt w:val="lowerLetter"/>
      <w:start w:val="1"/>
    </w:lvl>
    <w:lvl w:ilvl="1">
      <w:lvlJc w:val="left"/>
      <w:lvlText w:val="(%2)"/>
      <w:numFmt w:val="lowerLetter"/>
      <w:start w:val="1"/>
    </w:lvl>
  </w:abstractNum>
  <w:abstractNum w:abstractNumId="107">
    <w:nsid w:val="23D86AAC"/>
    <w:multiLevelType w:val="hybridMultilevel"/>
    <w:lvl w:ilvl="0">
      <w:lvlJc w:val="left"/>
      <w:lvlText w:val="(%1)"/>
      <w:numFmt w:val="lowerLetter"/>
      <w:start w:val="9"/>
    </w:lvl>
    <w:lvl w:ilvl="1">
      <w:lvlJc w:val="left"/>
      <w:lvlText w:val="%2"/>
      <w:numFmt w:val="lowerLetter"/>
      <w:start w:val="1"/>
    </w:lvl>
  </w:abstractNum>
  <w:abstractNum w:abstractNumId="108">
    <w:nsid w:val="45E6D486"/>
    <w:multiLevelType w:val="hybridMultilevel"/>
    <w:lvl w:ilvl="0">
      <w:lvlJc w:val="left"/>
      <w:lvlText w:val="(%1)"/>
      <w:numFmt w:val="lowerRoman"/>
      <w:start w:val="1"/>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1"/>
      <w:numFmt w:val="decimal"/>
      <w:start w:val="1"/>
    </w:lvl>
    <w:lvl w:ilvl="1">
      <w:lvlJc w:val="left"/>
      <w:lvlText w:val="%2."/>
      <w:numFmt w:val="decimal"/>
      <w:start w:val="1"/>
    </w:lvl>
  </w:abstractNum>
  <w:abstractNum w:abstractNumId="111">
    <w:nsid w:val="3C5991AA"/>
    <w:multiLevelType w:val="hybridMultilevel"/>
    <w:lvl w:ilvl="0">
      <w:lvlJc w:val="left"/>
      <w:lvlText w:val="%1."/>
      <w:numFmt w:val="decimal"/>
      <w:start w:val="12"/>
    </w:lvl>
    <w:lvl w:ilvl="1">
      <w:lvlJc w:val="left"/>
      <w:lvlText w:val="%2."/>
      <w:numFmt w:val="decimal"/>
      <w:start w:val="13"/>
    </w:lvl>
  </w:abstractNum>
  <w:abstractNum w:abstractNumId="112">
    <w:nsid w:val="4BD8591A"/>
    <w:multiLevelType w:val="hybridMultilevel"/>
    <w:lvl w:ilvl="0">
      <w:lvlJc w:val="left"/>
      <w:lvlText w:val="&amp;"/>
      <w:numFmt w:val="bullet"/>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55" Type="http://schemas.openxmlformats.org/officeDocument/2006/relationships/image" Target="media/image8.png"/><Relationship Id="rId56" Type="http://schemas.openxmlformats.org/officeDocument/2006/relationships/image" Target="media/image9.png"/><Relationship Id="rId57" Type="http://schemas.openxmlformats.org/officeDocument/2006/relationships/image" Target="media/image10.png"/><Relationship Id="rId58" Type="http://schemas.openxmlformats.org/officeDocument/2006/relationships/image" Target="media/image11.png"/><Relationship Id="rId59" Type="http://schemas.openxmlformats.org/officeDocument/2006/relationships/image" Target="media/image12.png"/><Relationship Id="rId60" Type="http://schemas.openxmlformats.org/officeDocument/2006/relationships/image" Target="media/image13.png"/><Relationship Id="rId61" Type="http://schemas.openxmlformats.org/officeDocument/2006/relationships/image" Target="media/image14.png"/><Relationship Id="rId62" Type="http://schemas.openxmlformats.org/officeDocument/2006/relationships/image" Target="media/image15.png"/><Relationship Id="rId63" Type="http://schemas.openxmlformats.org/officeDocument/2006/relationships/image" Target="media/image16.png"/><Relationship Id="rId64"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6.png"/><Relationship Id="rId74" Type="http://schemas.openxmlformats.org/officeDocument/2006/relationships/image" Target="media/image27.png"/><Relationship Id="rId75" Type="http://schemas.openxmlformats.org/officeDocument/2006/relationships/image" Target="media/image28.png"/><Relationship Id="rId76" Type="http://schemas.openxmlformats.org/officeDocument/2006/relationships/image" Target="media/image29.png"/><Relationship Id="rId77" Type="http://schemas.openxmlformats.org/officeDocument/2006/relationships/image" Target="media/image30.png"/><Relationship Id="rId78" Type="http://schemas.openxmlformats.org/officeDocument/2006/relationships/image" Target="media/image31.png"/><Relationship Id="rId79" Type="http://schemas.openxmlformats.org/officeDocument/2006/relationships/image" Target="media/image32.png"/><Relationship Id="rId80" Type="http://schemas.openxmlformats.org/officeDocument/2006/relationships/image" Target="media/image33.png"/><Relationship Id="rId81" Type="http://schemas.openxmlformats.org/officeDocument/2006/relationships/image" Target="media/image34.png"/><Relationship Id="rId82" Type="http://schemas.openxmlformats.org/officeDocument/2006/relationships/image" Target="media/image35.png"/><Relationship Id="rId83" Type="http://schemas.openxmlformats.org/officeDocument/2006/relationships/image" Target="media/image36.png"/><Relationship Id="rId84" Type="http://schemas.openxmlformats.org/officeDocument/2006/relationships/image" Target="media/image37.png"/><Relationship Id="rId85" Type="http://schemas.openxmlformats.org/officeDocument/2006/relationships/image" Target="media/image38.png"/><Relationship Id="rId86" Type="http://schemas.openxmlformats.org/officeDocument/2006/relationships/image" Target="media/image39.png"/><Relationship Id="rId87" Type="http://schemas.openxmlformats.org/officeDocument/2006/relationships/image" Target="media/image40.png"/><Relationship Id="rId88" Type="http://schemas.openxmlformats.org/officeDocument/2006/relationships/image" Target="media/image41.png"/><Relationship Id="rId89"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png"/><Relationship Id="rId9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5" Type="http://schemas.openxmlformats.org/officeDocument/2006/relationships/hyperlink" Target="http://www.sec.gov/Archives/edgar/data/1069258/000106925815000029/ktos20150628ex-24.htm" TargetMode="External"/><Relationship Id="rId16" Type="http://schemas.openxmlformats.org/officeDocument/2006/relationships/hyperlink" Target="http://www.sec.gov/Archives/edgar/data/1069258/000106925818000021/ktos20180401ex-22.htm" TargetMode="External"/><Relationship Id="rId17" Type="http://schemas.openxmlformats.org/officeDocument/2006/relationships/hyperlink" Target="http://www.sec.gov/Archives/edgar/data/1069258/000106925817000009/ktos20161225ex-31.htm" TargetMode="External"/><Relationship Id="rId18" Type="http://schemas.openxmlformats.org/officeDocument/2006/relationships/hyperlink" Target="http://www.sec.gov/Archives/edgar/data/1069258/000106925817000009/ktos20161225ex-32.htm" TargetMode="External"/><Relationship Id="rId19" Type="http://schemas.openxmlformats.org/officeDocument/2006/relationships/hyperlink" Target="http://www.sec.gov/Archives/edgar/data/1069258/000106925817000009/kratoscommonformofcertif.htm" TargetMode="External"/><Relationship Id="rId20" Type="http://schemas.openxmlformats.org/officeDocument/2006/relationships/hyperlink" Target="http://www.sec.gov/Archives/edgar/data/1069258/000106925814000023/seniornotesregistration.htm" TargetMode="External"/><Relationship Id="rId21" Type="http://schemas.openxmlformats.org/officeDocument/2006/relationships/hyperlink" Target="http://www.sec.gov/Archives/edgar/data/1069258/000110465917069690/a17-27375_1ex4d1.htm" TargetMode="External"/><Relationship Id="rId22" Type="http://schemas.openxmlformats.org/officeDocument/2006/relationships/hyperlink" Target="http://www.sec.gov/Archives/edgar/data/1069258/000106925818000006/ktos20171231ex-45.htm" TargetMode="External"/><Relationship Id="rId23" Type="http://schemas.openxmlformats.org/officeDocument/2006/relationships/hyperlink" Target="http://www.sec.gov/Archives/edgar/data/1069258/000110465911043760/a11-14022_1ex10d8.htm" TargetMode="External"/><Relationship Id="rId24" Type="http://schemas.openxmlformats.org/officeDocument/2006/relationships/hyperlink" Target="http://www.sec.gov/Archives/edgar/data/1069258/000106925817000033/exhibit9911999espp.htm" TargetMode="External"/><Relationship Id="rId25" Type="http://schemas.openxmlformats.org/officeDocument/2006/relationships/hyperlink" Target="http://www.sec.gov/Archives/edgar/data/1069258/000089843000003415/0000898430-00-003415-0003.txt" TargetMode="External"/><Relationship Id="rId26" Type="http://schemas.openxmlformats.org/officeDocument/2006/relationships/hyperlink" Target="http://www.sec.gov/Archives/edgar/data/1069258/000089843000003415/0000898430-00-003415-0004.txt" TargetMode="External"/><Relationship Id="rId27" Type="http://schemas.openxmlformats.org/officeDocument/2006/relationships/hyperlink" Target="http://www.sec.gov/Archives/edgar/data/1069258/000110465905035184/a05-12199_1ex99d2.htm" TargetMode="External"/><Relationship Id="rId28" Type="http://schemas.openxmlformats.org/officeDocument/2006/relationships/hyperlink" Target="http://www.sec.gov/Archives/edgar/data/1069258/000110465905035184/a05-12199_1ex99d1.htm" TargetMode="External"/><Relationship Id="rId29" Type="http://schemas.openxmlformats.org/officeDocument/2006/relationships/hyperlink" Target="http://www.sec.gov/Archives/edgar/data/1069258/000110465907002926/a07-2027_1ex99d3.htm" TargetMode="External"/><Relationship Id="rId30" Type="http://schemas.openxmlformats.org/officeDocument/2006/relationships/hyperlink" Target="http://www.sec.gov/Archives/edgar/data/1069258/000110465911019265/a11-9736_1ex4d11.htm" TargetMode="External"/><Relationship Id="rId31" Type="http://schemas.openxmlformats.org/officeDocument/2006/relationships/hyperlink" Target="http://www.sec.gov/Archives/edgar/data/1069258/000110465911019265/a11-9736_1ex4d13.htm" TargetMode="External"/><Relationship Id="rId32" Type="http://schemas.openxmlformats.org/officeDocument/2006/relationships/hyperlink" Target="http://www.sec.gov/Archives/edgar/data/1069258/000110465911019265/a11-9736_1ex4d14.htm" TargetMode="External"/><Relationship Id="rId33" Type="http://schemas.openxmlformats.org/officeDocument/2006/relationships/hyperlink" Target="http://www.sec.gov/Archives/edgar/data/1069258/000110465911019265/a11-9736_1ex4d15.htm" TargetMode="External"/><Relationship Id="rId34" Type="http://schemas.openxmlformats.org/officeDocument/2006/relationships/hyperlink" Target="http://www.sec.gov/Archives/edgar/data/1069258/000104746911003699/a2203337zdef14a.htm" TargetMode="External"/><Relationship Id="rId35" Type="http://schemas.openxmlformats.org/officeDocument/2006/relationships/hyperlink" Target="http://www.sec.gov/Archives/edgar/data/1069258/000106925811000053/form8k1stamendto726credagrmt.htm" TargetMode="External"/><Relationship Id="rId36" Type="http://schemas.openxmlformats.org/officeDocument/2006/relationships/hyperlink" Target="http://www.sec.gov/Archives/edgar/data/1069258/000104746914003722/a2219439zdef14a.htm" TargetMode="External"/><Relationship Id="rId37" Type="http://schemas.openxmlformats.org/officeDocument/2006/relationships/hyperlink" Target="http://www.sec.gov/Archives/edgar/data/1069258/000106925814000038/ktos20140928ex-101.htm" TargetMode="External"/><Relationship Id="rId38" Type="http://schemas.openxmlformats.org/officeDocument/2006/relationships/hyperlink" Target="http://www.sec.gov/Archives/edgar/data/1069258/000110465911043760/a11-14022_1ex10d3.htm" TargetMode="External"/><Relationship Id="rId39" Type="http://schemas.openxmlformats.org/officeDocument/2006/relationships/hyperlink" Target="http://www.sec.gov/Archives/edgar/data/1069258/000110465911043760/a11-14022_1ex10d4.htm" TargetMode="External"/><Relationship Id="rId40" Type="http://schemas.openxmlformats.org/officeDocument/2006/relationships/hyperlink" Target="http://www.sec.gov/Archives/edgar/data/1069258/000104746910002038/a2197108zex-10_26.htm" TargetMode="External"/><Relationship Id="rId41" Type="http://schemas.openxmlformats.org/officeDocument/2006/relationships/hyperlink" Target="http://www.sec.gov/Archives/edgar/data/1069258/000110465912016313/a12-6623_1ex4d10.htm" TargetMode="External"/><Relationship Id="rId42" Type="http://schemas.openxmlformats.org/officeDocument/2006/relationships/hyperlink" Target="http://www.sec.gov/Archives/edgar/data/1069258/000110465912016313/a12-6623_1ex4d11.htm" TargetMode="External"/><Relationship Id="rId43" Type="http://schemas.openxmlformats.org/officeDocument/2006/relationships/hyperlink" Target="http://www.sec.gov/Archives/edgar/data/1069258/000110465912037298/a12-11460_5ex10d1.htm" TargetMode="External"/><Relationship Id="rId44" Type="http://schemas.openxmlformats.org/officeDocument/2006/relationships/hyperlink" Target="http://www.sec.gov/Archives/edgar/data/1069258/000106925812000020/ceiforms8.htm" TargetMode="External"/><Relationship Id="rId45" Type="http://schemas.openxmlformats.org/officeDocument/2006/relationships/hyperlink" Target="http://www.sec.gov/Archives/edgar/data/1069258/000106925815000005/q414earningsrelease.htm" TargetMode="External"/><Relationship Id="rId46" Type="http://schemas.openxmlformats.org/officeDocument/2006/relationships/hyperlink" Target="http://www.sec.gov/Archives/edgar/data/1069258/000106925815000023/poirierbonusagreement.htm" TargetMode="External"/><Relationship Id="rId47" Type="http://schemas.openxmlformats.org/officeDocument/2006/relationships/hyperlink" Target="http://www.sec.gov/Archives/edgar/data/1069258/000106925816000088/beaman8k.htm" TargetMode="External"/><Relationship Id="rId48" Type="http://schemas.openxmlformats.org/officeDocument/2006/relationships/hyperlink" Target="http://www.sec.gov/Archives/edgar/data/1069258/000106925816000097/carrai8k.htm" TargetMode="External"/><Relationship Id="rId49" Type="http://schemas.openxmlformats.org/officeDocument/2006/relationships/hyperlink" Target="http://www.sec.gov/Archives/edgar/data/1069258/000106925815000029/ktos20150628ex-101.htm" TargetMode="External"/><Relationship Id="rId50" Type="http://schemas.openxmlformats.org/officeDocument/2006/relationships/hyperlink" Target="http://www.sec.gov/Archives/edgar/data/1069258/000106925815000034/ktos201508248kexhibit101.htm" TargetMode="External"/><Relationship Id="rId51" Type="http://schemas.openxmlformats.org/officeDocument/2006/relationships/hyperlink" Target="http://www.sec.gov/Archives/edgar/data/1069258/000106925818000006/ktos20171231ex-1034.htm" TargetMode="External"/><Relationship Id="rId52" Type="http://schemas.openxmlformats.org/officeDocument/2006/relationships/hyperlink" Target="http://www.sec.gov/Archives/edgar/data/1069258/000110465917069690/a17-27375_1ex10d1.htm" TargetMode="External"/><Relationship Id="rId53" Type="http://schemas.openxmlformats.org/officeDocument/2006/relationships/hyperlink" Target="http://www.sec.gov/Archives/edgar/data/1069258/000106925818000025/ktos201806118kexhibit101.htm" TargetMode="External"/><Relationship Id="rId54" Type="http://schemas.openxmlformats.org/officeDocument/2006/relationships/hyperlink" Target="http://www.sec.gov/Archives/edgar/data/1069258/000106925817000015/ktos20170326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2019-12-28T15:45:22Z</dcterms:created>
  <dcterms:modified xsi:type="dcterms:W3CDTF">2019-12-28T15:45:22Z</dcterms:modified>
</cp:coreProperties>
</file>