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9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26, 2016</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55"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189"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29, 2016, 60,435,980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26,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26, 2016 and December 27, 2015 (unaudited)</w:t>
              </w:r>
            </w:hyperlink>
          </w:p>
        </w:tc>
        <w:tc>
          <w:tcPr>
            <w:tcW w:w="310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and Six Months Ended June 26, 2016 and</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June 28, 2015 (unaudited)</w:t>
              </w:r>
            </w:hyperlink>
          </w:p>
        </w:tc>
        <w:tc>
          <w:tcPr>
            <w:tcW w:w="7660" w:type="dxa"/>
            <w:vAlign w:val="bottom"/>
            <w:tcBorders>
              <w:top w:val="single" w:sz="8" w:color="0000EE"/>
            </w:tcBorders>
            <w:gridSpan w:val="11"/>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June 26, 2016 and June 28, 2015 (unaudited)</w:t>
              </w:r>
            </w:hyperlink>
          </w:p>
        </w:tc>
        <w:tc>
          <w:tcPr>
            <w:tcW w:w="10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9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5.</w:t>
              </w:r>
            </w:hyperlink>
          </w:p>
        </w:tc>
        <w:tc>
          <w:tcPr>
            <w:tcW w:w="990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990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1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June 26, 2016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27, 2015</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520" w:type="dxa"/>
            <w:vAlign w:val="bottom"/>
          </w:tcPr>
          <w:p>
            <w:pPr>
              <w:jc w:val="right"/>
              <w:ind w:right="13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Inventoried costs</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5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5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903.3</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520" w:type="dxa"/>
            <w:vAlign w:val="bottom"/>
          </w:tcPr>
          <w:p>
            <w:pPr>
              <w:jc w:val="right"/>
              <w:ind w:right="13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5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debt, net of current portion</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444.7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444.1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649.1</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5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2"/>
              </w:rPr>
              <w:t>Preferred stock, $0.001 par value, 5,000,000 shares authorized, 0 shares outstanding at June 26, 2016 and</w:t>
            </w:r>
          </w:p>
        </w:tc>
        <w:tc>
          <w:tcPr>
            <w:tcW w:w="1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December 27, 2015</w:t>
            </w:r>
          </w:p>
        </w:tc>
        <w:tc>
          <w:tcPr>
            <w:tcW w:w="15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Common stock, $0.001 par value, 195,000,000 shares authorized; 59,675,841 and 59,139,651 shares issued</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outstanding at June 26, 2016 and December 27, 2015, respectively</w:t>
            </w:r>
          </w:p>
        </w:tc>
        <w:tc>
          <w:tcPr>
            <w:tcW w:w="15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5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877.3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873.2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15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(650.2)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(617.6)</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w:t>
            </w:r>
          </w:p>
        </w:tc>
        <w:tc>
          <w:tcPr>
            <w:tcW w:w="0" w:type="dxa"/>
            <w:vAlign w:val="bottom"/>
          </w:tcPr>
          <w:p>
            <w:pPr>
              <w:spacing w:after="0"/>
              <w:rPr>
                <w:sz w:val="1"/>
                <w:szCs w:val="1"/>
                <w:color w:val="auto"/>
              </w:rPr>
            </w:pPr>
          </w:p>
        </w:tc>
      </w:tr>
      <w:tr>
        <w:trPr>
          <w:trHeight w:val="244"/>
        </w:trPr>
        <w:tc>
          <w:tcPr>
            <w:tcW w:w="7200" w:type="dxa"/>
            <w:vAlign w:val="bottom"/>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520" w:type="dxa"/>
            <w:vAlign w:val="bottom"/>
            <w:tcBorders>
              <w:top w:val="single" w:sz="8" w:color="auto"/>
              <w:bottom w:val="single" w:sz="8" w:color="auto"/>
            </w:tcBorders>
          </w:tcPr>
          <w:p>
            <w:pPr>
              <w:jc w:val="right"/>
              <w:ind w:right="13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874.2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LOSS (in millions, except per share amounts)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26, 2016</w:t>
            </w: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28, 2015</w:t>
            </w:r>
          </w:p>
        </w:tc>
        <w:tc>
          <w:tcPr>
            <w:tcW w:w="12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26, 2016</w:t>
            </w:r>
          </w:p>
        </w:tc>
        <w:tc>
          <w:tcPr>
            <w:tcW w:w="12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June 28, 2015</w:t>
            </w:r>
          </w:p>
        </w:tc>
        <w:tc>
          <w:tcPr>
            <w:tcW w:w="0" w:type="dxa"/>
            <w:vAlign w:val="bottom"/>
          </w:tcPr>
          <w:p>
            <w:pPr>
              <w:spacing w:after="0"/>
              <w:rPr>
                <w:sz w:val="1"/>
                <w:szCs w:val="1"/>
                <w:color w:val="auto"/>
              </w:rPr>
            </w:pPr>
          </w:p>
        </w:tc>
      </w:tr>
      <w:tr>
        <w:trPr>
          <w:trHeight w:val="236"/>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17"/>
        </w:trPr>
        <w:tc>
          <w:tcPr>
            <w:tcW w:w="652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Unused office space, restructuring expenses, and other</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652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Discontinued operations (Note 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Loss from operations of discontinued component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loss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 weighted average common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above)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148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26, 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4"/>
              </w:rPr>
              <w:t>June 28, 2015</w:t>
            </w:r>
          </w:p>
        </w:tc>
      </w:tr>
      <w:tr>
        <w:trPr>
          <w:trHeight w:val="21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500" w:type="dxa"/>
            <w:vAlign w:val="bottom"/>
          </w:tcPr>
          <w:p>
            <w:pPr>
              <w:jc w:val="right"/>
              <w:ind w:right="130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discontinued operations</w:t>
            </w:r>
          </w:p>
        </w:tc>
        <w:tc>
          <w:tcPr>
            <w:tcW w:w="1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Adjustments to reconcile loss from continuing operations to net cash used in operating activities from</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1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discount on Senior Secured Notes</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Litigation related charges</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non-cash restructuring charges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15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5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used in operating activities from continuing operations</w:t>
            </w:r>
          </w:p>
        </w:tc>
        <w:tc>
          <w:tcPr>
            <w:tcW w:w="1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5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15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15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5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acquisition payments</w:t>
            </w:r>
          </w:p>
        </w:tc>
        <w:tc>
          <w:tcPr>
            <w:tcW w:w="15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1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5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5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500" w:type="dxa"/>
            <w:vAlign w:val="bottom"/>
            <w:tcBorders>
              <w:bottom w:val="single" w:sz="8" w:color="auto"/>
            </w:tcBorders>
            <w:shd w:val="clear" w:color="auto" w:fill="CCEEFF"/>
          </w:tcPr>
          <w:p>
            <w:pPr>
              <w:jc w:val="right"/>
              <w:ind w:right="130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0"/>
        </w:trPr>
        <w:tc>
          <w:tcPr>
            <w:tcW w:w="7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90"/>
        <w:spacing w:after="0" w:line="270" w:lineRule="auto"/>
        <w:rPr>
          <w:sz w:val="20"/>
          <w:szCs w:val="20"/>
          <w:color w:val="auto"/>
        </w:rPr>
      </w:pPr>
      <w:r>
        <w:rPr>
          <w:rFonts w:ascii="Arial" w:cs="Arial" w:eastAsia="Arial" w:hAnsi="Arial"/>
          <w:sz w:val="17"/>
          <w:szCs w:val="17"/>
          <w:color w:val="auto"/>
        </w:rPr>
        <w:t>The information as of June 26, 2016 and for the three and six months ended June 26, 2016 and June 28, 2015 is unaudited. The condensed consolidated balance sheet as of December 27, 2015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27, 2015, included in the Company’s Annual Report on Form 10-K filed with the U.S. Securities and Exchange Commission (the “SEC”) on March 11, 2016 (the “Form 10-K”). Interim operating results are not necessarily indicative of operating results expected in subsequent periods or for the year as a whole.</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discussed in Note 2 - Discontinued Operations, the amounts in these condensed consolidated financial statements reflect the August 21, 2015 disposition of the Company’s 100% owned subsidiary Herley Industries, Inc. (“Herley”) and certain of Herley’s subsidiaries, including Herley-CTI, Inc., EW Simulation Technology, Ltd. and Stapor Research, Inc. (collectively, the “Herley Entities”) as discontinued operations.</w:t>
      </w:r>
    </w:p>
    <w:p>
      <w:pPr>
        <w:spacing w:after="0" w:line="16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 three and six month periods ended June 26, 2016 and June 28, 2015 consisted of 13-week periods. There are 52 calendar weeks in the fiscal years ending on December 25, 2016 and December 27, 2015.</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There have been no significant changes in the Company’s accounting estimates for the three and six months ended June 26, 2016 as compared to the accounting estimates described in the Form 10-K. Subsequent to June 26, 2016, the Company was awarded a competitive, $40.8 million single award, cost-share contract by the Air Force Research Laboratory (“AFRL”) for the Low-Cost Attritable Strike Unmanned Aerial System (“UAS”) Demonstration (“LCASD”). Under the terms of this contract, the Company will receive $7.3 million in government funding, and will be required to invest up to $33.5 million over the approximate 30 month period of performance. The Company is making this investment in order to retain the related intellectual property and system rights. The Company expects to record a loss accrual related to this contract in the third quarter of 2016. The Company is currently in the process of determining the amount of the loss accrual.</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In May 2016, the Financial Accounting Standards Board (“FASB”) issued Accounting Standards Update (“ASU”) 2016-12 (“ASU 2016-12”), </w:t>
      </w:r>
      <w:r>
        <w:rPr>
          <w:rFonts w:ascii="Arial" w:cs="Arial" w:eastAsia="Arial" w:hAnsi="Arial"/>
          <w:sz w:val="18"/>
          <w:szCs w:val="18"/>
          <w:i w:val="1"/>
          <w:iCs w:val="1"/>
          <w:color w:val="auto"/>
        </w:rPr>
        <w:t>Revenue from Contracts with Customers, Narrow-Scope Improvements and Practical Expedients</w:t>
      </w:r>
      <w:r>
        <w:rPr>
          <w:rFonts w:ascii="Arial" w:cs="Arial" w:eastAsia="Arial" w:hAnsi="Arial"/>
          <w:sz w:val="18"/>
          <w:szCs w:val="18"/>
          <w:color w:val="auto"/>
        </w:rPr>
        <w:t>. ASU 2016-12 clarifies the assessment of the collectability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criterion, the presentation of sales taxes, the measurement of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noncash consideration, the treatment of contract modifications at transition, and the treatment of completed contracts at transition. In April 2016, the FASB issued ASU 2016-10 (“ASU 2016-10”), </w:t>
      </w:r>
      <w:r>
        <w:rPr>
          <w:rFonts w:ascii="Arial" w:cs="Arial" w:eastAsia="Arial" w:hAnsi="Arial"/>
          <w:sz w:val="16"/>
          <w:szCs w:val="16"/>
          <w:i w:val="1"/>
          <w:iCs w:val="1"/>
          <w:color w:val="auto"/>
        </w:rPr>
        <w:t>Revenue from Contracts with Customers, Identifying Performance Obligations and Licensing</w:t>
      </w:r>
      <w:r>
        <w:rPr>
          <w:rFonts w:ascii="Arial" w:cs="Arial" w:eastAsia="Arial" w:hAnsi="Arial"/>
          <w:sz w:val="16"/>
          <w:szCs w:val="16"/>
          <w:color w:val="auto"/>
        </w:rPr>
        <w:t xml:space="preserve">. ASU 2016-10 provides additional guidance on identifying performance obligations and clarifies the implementation guidance on licensing. In March 2016, the FASB issued ASU 2016-08 (“ASU 2016-08”), </w:t>
      </w:r>
      <w:r>
        <w:rPr>
          <w:rFonts w:ascii="Arial" w:cs="Arial" w:eastAsia="Arial" w:hAnsi="Arial"/>
          <w:sz w:val="16"/>
          <w:szCs w:val="16"/>
          <w:i w:val="1"/>
          <w:iCs w:val="1"/>
          <w:color w:val="auto"/>
        </w:rPr>
        <w:t>Revenue from Contracts with Customers, Principal versus Agent Considerations.</w:t>
      </w:r>
      <w:r>
        <w:rPr>
          <w:rFonts w:ascii="Arial" w:cs="Arial" w:eastAsia="Arial" w:hAnsi="Arial"/>
          <w:sz w:val="16"/>
          <w:szCs w:val="16"/>
          <w:color w:val="auto"/>
        </w:rPr>
        <w:t xml:space="preserve"> ASU 2016-08 clarifies the implementation guidance and illustrations in the new revenue standard. In August 2015, the FASB issued ASU 2015-14 (“ASU 2015-14”),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Deferral of the Effective Date, </w:t>
      </w:r>
      <w:r>
        <w:rPr>
          <w:rFonts w:ascii="Arial" w:cs="Arial" w:eastAsia="Arial" w:hAnsi="Arial"/>
          <w:sz w:val="16"/>
          <w:szCs w:val="16"/>
          <w:color w:val="auto"/>
        </w:rPr>
        <w:t>that deferred the effective date of ASU 2014-09 (“ASU 2014-09”),</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Pursuant to ASU 2015-14, public business entities, certain not-for-profit entities, and certain employee benefit plans should apply the guidance in ASU 2014-09 to annual reporting periods beginning after December 15, 2017, including interim reporting periods within those reporting periods. The FASB issued ASU 2014-09 in May 2014. ASU 2014-09 affects any entity using GAAP that either enters into contracts with customers to transfer goods or services or enters into contracts for the transfer of nonfinancial assets unless those contracts are within the scope of other standards (</w:t>
      </w:r>
      <w:r>
        <w:rPr>
          <w:rFonts w:ascii="Arial" w:cs="Arial" w:eastAsia="Arial" w:hAnsi="Arial"/>
          <w:sz w:val="16"/>
          <w:szCs w:val="16"/>
          <w:i w:val="1"/>
          <w:iCs w:val="1"/>
          <w:color w:val="auto"/>
        </w:rPr>
        <w:t>e.g</w:t>
      </w:r>
      <w:r>
        <w:rPr>
          <w:rFonts w:ascii="Arial" w:cs="Arial" w:eastAsia="Arial" w:hAnsi="Arial"/>
          <w:sz w:val="16"/>
          <w:szCs w:val="16"/>
          <w:color w:val="auto"/>
        </w:rPr>
        <w:t xml:space="preserve">., insurance contracts or lease contracts). ASU 2014-09 will supersede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ASU 2014-09 also supersedes some cost guidance included in FASB Accounting Standards Codification (“ASC”) Subtopic 605-35, </w:t>
      </w:r>
      <w:r>
        <w:rPr>
          <w:rFonts w:ascii="Arial" w:cs="Arial" w:eastAsia="Arial" w:hAnsi="Arial"/>
          <w:sz w:val="16"/>
          <w:szCs w:val="16"/>
          <w:i w:val="1"/>
          <w:iCs w:val="1"/>
          <w:color w:val="auto"/>
        </w:rPr>
        <w:t xml:space="preserve">Revenue Recognition—Construction-Type and Production-Type Contracts. </w:t>
      </w:r>
      <w:r>
        <w:rPr>
          <w:rFonts w:ascii="Arial" w:cs="Arial" w:eastAsia="Arial" w:hAnsi="Arial"/>
          <w:sz w:val="16"/>
          <w:szCs w:val="16"/>
          <w:color w:val="auto"/>
        </w:rPr>
        <w:t>The guidance permits companies to either apply the requirements retrospectively to all prior periods presented or apply</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in the year of adoption, through a cumulative adjustment. The Company has not yet selected a transition method nor has it determined the impact of adoption on its condensed consolidated financial statements.</w:t>
      </w:r>
    </w:p>
    <w:p>
      <w:pPr>
        <w:spacing w:after="0" w:line="1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March 2016, the FASB issued ASU 2016-09 (“ASU 2016-09”), </w:t>
      </w:r>
      <w:r>
        <w:rPr>
          <w:rFonts w:ascii="Arial" w:cs="Arial" w:eastAsia="Arial" w:hAnsi="Arial"/>
          <w:sz w:val="17"/>
          <w:szCs w:val="17"/>
          <w:i w:val="1"/>
          <w:iCs w:val="1"/>
          <w:color w:val="auto"/>
        </w:rPr>
        <w:t>Compensation — Stock Compensation (Topic 718): 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ASU 2016-09 simplifies several aspects of the accounting for employee share-based payments, including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forfeitures, statutory tax withholding requirements, and classification on the statement of cash flows. The amendments in this ASU are effective for annual periods beginning after December 15, 2016. Early adoption is permitted, however, the Company does not intend to early adopt this ASU. The Company has not determined the impact of adoption on its condensed consolidated financial statements.</w:t>
      </w:r>
    </w:p>
    <w:p>
      <w:pPr>
        <w:spacing w:after="0" w:line="173"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 xml:space="preserve">In February 2016, the FASB issued ASU 2016-02 (“ASU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requires that lessees recognize assets and liabilities for the rights and obligations for leases with a lease term of more than one year. The amendments in this ASU are effective for annual periods ending after December 15, 2018. Early adoption is permitted, however, the Company does not intend to early adopt this ASU. The standard must be applied using a modified retrospective approach. The Company has not determined the impact of adoption on its condensed consolidated financial statements.</w:t>
      </w:r>
    </w:p>
    <w:p>
      <w:pPr>
        <w:spacing w:after="0" w:line="15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January 2015, the FASB issued ASU 2015-01 (“ASU 2015-01”), </w:t>
      </w:r>
      <w:r>
        <w:rPr>
          <w:rFonts w:ascii="Arial" w:cs="Arial" w:eastAsia="Arial" w:hAnsi="Arial"/>
          <w:sz w:val="18"/>
          <w:szCs w:val="18"/>
          <w:i w:val="1"/>
          <w:iCs w:val="1"/>
          <w:color w:val="auto"/>
        </w:rPr>
        <w:t>Income Statement - Extraordinary and Unusual Items (Subtopic 225-20):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Simplifying Income Statement Presentation by Eliminating the Concept of Extraordinary Items. </w:t>
      </w:r>
      <w:r>
        <w:rPr>
          <w:rFonts w:ascii="Arial" w:cs="Arial" w:eastAsia="Arial" w:hAnsi="Arial"/>
          <w:sz w:val="18"/>
          <w:szCs w:val="18"/>
          <w:color w:val="auto"/>
        </w:rPr>
        <w:t>ASU 2015-01 eliminates from GAAP the concept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extraordinary items. Subtopic 225-20, </w:t>
      </w:r>
      <w:r>
        <w:rPr>
          <w:rFonts w:ascii="Arial" w:cs="Arial" w:eastAsia="Arial" w:hAnsi="Arial"/>
          <w:sz w:val="18"/>
          <w:szCs w:val="18"/>
          <w:i w:val="1"/>
          <w:iCs w:val="1"/>
          <w:color w:val="auto"/>
        </w:rPr>
        <w:t>Income Statement - Extraordinary and Unusual Items</w:t>
      </w:r>
      <w:r>
        <w:rPr>
          <w:rFonts w:ascii="Arial" w:cs="Arial" w:eastAsia="Arial" w:hAnsi="Arial"/>
          <w:sz w:val="18"/>
          <w:szCs w:val="18"/>
          <w:color w:val="auto"/>
        </w:rPr>
        <w:t>, required that an entity separately classify, present, and disclose extraordinary events and transactions. Presently, an event or transaction is presumed to be an ordinary and usual activity of the reporting entity unless evidence clearly supports its classification as an extraordinary item. The amendments in this ASU are effective for fiscal years, and interim periods within those fiscal years, beginning after December 15, 2015. The Company adopted this standard in the quarter ended March 27, 2016, which did not have a material impact on its condensed consolidated financial statements.</w:t>
      </w:r>
    </w:p>
    <w:p>
      <w:pPr>
        <w:spacing w:after="0" w:line="122"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 xml:space="preserve">In August 2014, the FASB issued ASU 2014-15 (“ASU 2014-15”), </w:t>
      </w:r>
      <w:r>
        <w:rPr>
          <w:rFonts w:ascii="Arial" w:cs="Arial" w:eastAsia="Arial" w:hAnsi="Arial"/>
          <w:sz w:val="16"/>
          <w:szCs w:val="16"/>
          <w:i w:val="1"/>
          <w:iCs w:val="1"/>
          <w:color w:val="auto"/>
        </w:rPr>
        <w:t>Presentation of Financial Statements—Going Concern (Subtopic 205-40):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of Uncertainties about an Entity’s Ability to Continue as a Going Concern. </w:t>
      </w:r>
      <w:r>
        <w:rPr>
          <w:rFonts w:ascii="Arial" w:cs="Arial" w:eastAsia="Arial" w:hAnsi="Arial"/>
          <w:sz w:val="16"/>
          <w:szCs w:val="16"/>
          <w:color w:val="auto"/>
        </w:rPr>
        <w:t>ASU 2014-15 is intended to define management’s responsibility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ASU 2014-15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the first annual period ending after December 15, 2016, and for annual and interim periods thereafter. Early application is permitted for annual or interim reporting periods for which the financial statements have not previously been issued. The Company does not believe that the adoption of this guidance will have a material impact on its condensed consolidated financial statements.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in the Company’s significant accounting policies, other than the adoption of ASU</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2015-01, for the three and six months ended June 26, 2016 as compared to the significant accounting policies described in the Form 10-K.</w:t>
      </w:r>
    </w:p>
    <w:p>
      <w:pPr>
        <w:spacing w:after="0" w:line="32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June 26, 2016 and December 27, 2015 are presented in Note 8.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June 26, 2016 and December 27, 2015 due to the short-term nature of these instruments.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and the Herley Entities, for $260.0 million in cash and $5.0 million for taxes incurred as part of the Transaction, less a $2.0 million escrow to satisfy any purchase price adjustments, and an estimated working capital adjustment of $8.3 million. The Purchase Agreement also contained certain non-compete and indemnification provisions. Under the Purchase Agreement, the Company entered into an agreement to indemnify the Buyer for any pre-acquisition tax liabilities. As a result of this arrangement, the Company recorded amounts that have historically been classified as unrecognized tax benefits into other long-term liabilities. The Company also agreed to indemnify Ultra for pre-existing environmental conditions for a period of five years from the closing date, with a maximum indemnification payment of $34.0 million. The Company does not believe payments will be required under the environmental indemnification provision, and the assessment of the fair value is immaterial. Under the terms of the Purchase Agreement, a joint 338(h)(10) election has been made for income tax purposes, providing a “step up” in tax basis to Ultra. The Company incurred approximately $11.5 million in transaction-related costs. The gain on sale of $80.8 million is subject to changes in the indemnification obligations. In accordance with </w:t>
      </w:r>
      <w:r>
        <w:rPr>
          <w:rFonts w:ascii="Arial" w:cs="Arial" w:eastAsia="Arial" w:hAnsi="Arial"/>
          <w:sz w:val="16"/>
          <w:szCs w:val="16"/>
          <w:i w:val="1"/>
          <w:iCs w:val="1"/>
          <w:color w:val="auto"/>
        </w:rPr>
        <w:t>ASC 360-10-45-9, Property, Plant, and Equipment (Topic 360)</w:t>
      </w:r>
      <w:r>
        <w:rPr>
          <w:rFonts w:ascii="Arial" w:cs="Arial" w:eastAsia="Arial" w:hAnsi="Arial"/>
          <w:sz w:val="16"/>
          <w:szCs w:val="16"/>
          <w:color w:val="auto"/>
        </w:rPr>
        <w:t xml:space="preserve"> and </w:t>
      </w:r>
      <w:r>
        <w:rPr>
          <w:rFonts w:ascii="Arial" w:cs="Arial" w:eastAsia="Arial" w:hAnsi="Arial"/>
          <w:sz w:val="16"/>
          <w:szCs w:val="16"/>
          <w:i w:val="1"/>
          <w:iCs w:val="1"/>
          <w:color w:val="auto"/>
        </w:rPr>
        <w:t>ASC 205-20-45-3 Presentation of Financial Statements (Topic 205),</w:t>
      </w:r>
      <w:r>
        <w:rPr>
          <w:rFonts w:ascii="Arial" w:cs="Arial" w:eastAsia="Arial" w:hAnsi="Arial"/>
          <w:sz w:val="16"/>
          <w:szCs w:val="16"/>
          <w:color w:val="auto"/>
        </w:rPr>
        <w:t xml:space="preserve"> the Herley Entities were classified as discontinued operations in the accompanying condensed consolidated financial statements for all periods presented.</w:t>
      </w:r>
    </w:p>
    <w:p>
      <w:pPr>
        <w:spacing w:after="0" w:line="16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and will continue their current operations as wholly owned subsidiaries of the Company.</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November 2015, the Company and Ultra settled the working capital adjustment at $8.1 million, and the net cash position at closing, resulting in a net payment to the Company of $2.7 million. This represented a payment from escrow to the Company of $2.0 million, as well as a payment from Ultra to the Company of $0.7 million, reflecting the difference in the estimated working capital and actual working capital and the net cash position at the close of the Transaction. In January 2016, Ultra reimbursed the Company the $5.0 million maximum for taxes incurred as part of the Transaction.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June 26, 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June 28, 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June 26,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June 28, 2015</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 expense (income) items that are not major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Depreciation and amortization expense included in selling, general and administrative expenses was $1.6 million and $3.2 million for the three and six months ended June 28, 2015, respectively.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Interest expense is included based on an allocation consistent with the redemption of $175.0 million of the Company’s 7.00% Senior Secured Notes due 2019 (the “Notes”) and the repayment of $41.0 million in outstanding borrowings on that certain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Leader Arranger and Sole Book Runner, that was repaid upon the completion of the sale of the Herley Entities in accordance with the terms and conditions of the Indenture (as defined below) and the Credit Agreement, respectively. Refer to Note 8 for further discussion.</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liabilities of discontinued operations in the accompanying condensed consolidated balance sheets as of June 26,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2015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June 26,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27,</w:t>
            </w:r>
          </w:p>
        </w:tc>
      </w:tr>
      <w:tr>
        <w:trPr>
          <w:trHeight w:val="192"/>
        </w:trPr>
        <w:tc>
          <w:tcPr>
            <w:tcW w:w="90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w:t>
            </w:r>
          </w:p>
        </w:tc>
      </w:tr>
      <w:tr>
        <w:trPr>
          <w:trHeight w:val="27"/>
        </w:trPr>
        <w:tc>
          <w:tcPr>
            <w:tcW w:w="9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82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r>
      <w:tr>
        <w:trPr>
          <w:trHeight w:val="20"/>
        </w:trPr>
        <w:tc>
          <w:tcPr>
            <w:tcW w:w="9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902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82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3.8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w:t>
            </w:r>
          </w:p>
        </w:tc>
      </w:tr>
      <w:tr>
        <w:trPr>
          <w:trHeight w:val="20"/>
        </w:trPr>
        <w:tc>
          <w:tcPr>
            <w:tcW w:w="9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June 26, 2016 and December 27, 2015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Public Safety &amp;</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Kratos</w:t>
            </w:r>
          </w:p>
        </w:tc>
        <w:tc>
          <w:tcPr>
            <w:tcW w:w="14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Unmanned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Systems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9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26, 2016</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27, 2015</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$5.3 million and $7.3 million for the six months ended June 26, 2016 and June 28,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w:t>
            </w: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4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 inventoried costs</w:t>
            </w:r>
          </w:p>
        </w:tc>
        <w:tc>
          <w:tcPr>
            <w:tcW w:w="4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4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4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26, 2016</w:t>
            </w:r>
          </w:p>
        </w:tc>
        <w:tc>
          <w:tcPr>
            <w:tcW w:w="140" w:type="dxa"/>
            <w:vAlign w:val="bottom"/>
          </w:tcPr>
          <w:p>
            <w:pPr>
              <w:spacing w:after="0"/>
              <w:rPr>
                <w:sz w:val="22"/>
                <w:szCs w:val="22"/>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June 28, 2015</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for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26, 2016</w:t>
            </w:r>
          </w:p>
        </w:tc>
        <w:tc>
          <w:tcPr>
            <w:tcW w:w="140" w:type="dxa"/>
            <w:vAlign w:val="bottom"/>
          </w:tcPr>
          <w:p>
            <w:pPr>
              <w:spacing w:after="0"/>
              <w:rPr>
                <w:sz w:val="24"/>
                <w:szCs w:val="2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June 28, 2015</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Post-retirement benefit reserve adjustment net of tax expense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reclassifications from other comprehensive loss to net income (loss) for the six months ended June 26, 2016 and June 28, 2015.</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issued by the Company for the six months ended June 26, 2016 and June 28, 2015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9020" w:type="dxa"/>
            <w:vAlign w:val="bottom"/>
          </w:tcPr>
          <w:p>
            <w:pPr>
              <w:spacing w:after="0"/>
              <w:rPr>
                <w:sz w:val="22"/>
                <w:szCs w:val="22"/>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2016</w:t>
            </w:r>
          </w:p>
        </w:tc>
        <w:tc>
          <w:tcPr>
            <w:tcW w:w="1140" w:type="dxa"/>
            <w:vAlign w:val="bottom"/>
          </w:tcPr>
          <w:p>
            <w:pPr>
              <w:jc w:val="right"/>
              <w:ind w:right="54"/>
              <w:spacing w:after="0"/>
              <w:rPr>
                <w:sz w:val="20"/>
                <w:szCs w:val="20"/>
                <w:color w:val="auto"/>
              </w:rPr>
            </w:pPr>
            <w:r>
              <w:rPr>
                <w:rFonts w:ascii="Arial" w:cs="Arial" w:eastAsia="Arial" w:hAnsi="Arial"/>
                <w:sz w:val="14"/>
                <w:szCs w:val="14"/>
                <w:b w:val="1"/>
                <w:bCs w:val="1"/>
                <w:color w:val="auto"/>
              </w:rPr>
              <w:t>June 28, 2015</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1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Common Share</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The Company calculates net loss per share in accordance with FASB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w:t>
      </w:r>
      <w:r>
        <w:rPr>
          <w:rFonts w:ascii="Arial" w:cs="Arial" w:eastAsia="Arial" w:hAnsi="Arial"/>
          <w:sz w:val="18"/>
          <w:szCs w:val="18"/>
          <w:i w:val="1"/>
          <w:iCs w:val="1"/>
          <w:color w:val="auto"/>
        </w:rPr>
        <w:t>.</w:t>
      </w:r>
      <w:r>
        <w:rPr>
          <w:rFonts w:ascii="Arial" w:cs="Arial" w:eastAsia="Arial" w:hAnsi="Arial"/>
          <w:sz w:val="18"/>
          <w:szCs w:val="18"/>
          <w:color w:val="auto"/>
        </w:rPr>
        <w:t xml:space="preserve">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81"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1.4 million and 1.7 million for the three and six months ended June 26, 2016, respectively, and 1.8 million and 2.3 million for the three and six months ended June 28, 2015,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jc w:val="both"/>
        <w:ind w:right="40" w:firstLine="567"/>
        <w:spacing w:after="0" w:line="264" w:lineRule="auto"/>
        <w:rPr>
          <w:sz w:val="20"/>
          <w:szCs w:val="20"/>
          <w:color w:val="auto"/>
        </w:rPr>
      </w:pPr>
      <w:r>
        <w:rPr>
          <w:rFonts w:ascii="Arial" w:cs="Arial" w:eastAsia="Arial" w:hAnsi="Arial"/>
          <w:sz w:val="18"/>
          <w:szCs w:val="18"/>
          <w:color w:val="auto"/>
        </w:rPr>
        <w:t>A reconciliation of the income tax benefit from continuing operations computed by applying the statutory federal income tax rate of 35% to loss from continuing operations before income taxes to the income tax provision for the three and six months ended June 26, 2016 and June 28, 2015 was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For the Six Months Ended</w:t>
            </w:r>
          </w:p>
        </w:tc>
      </w:tr>
      <w:tr>
        <w:trPr>
          <w:trHeight w:val="152"/>
        </w:trPr>
        <w:tc>
          <w:tcPr>
            <w:tcW w:w="606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June 28,</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26,</w:t>
            </w:r>
          </w:p>
        </w:tc>
        <w:tc>
          <w:tcPr>
            <w:tcW w:w="240" w:type="dxa"/>
            <w:vAlign w:val="bottom"/>
          </w:tcPr>
          <w:p>
            <w:pPr>
              <w:spacing w:after="0"/>
              <w:rPr>
                <w:sz w:val="13"/>
                <w:szCs w:val="13"/>
                <w:color w:val="auto"/>
              </w:rPr>
            </w:pPr>
          </w:p>
        </w:tc>
        <w:tc>
          <w:tcPr>
            <w:tcW w:w="10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6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8.1</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were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 the six months ended June 26, 2016, such limitations did not impact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6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of December 27, 2015, the Company had $17.2 million of unrecognized tax benefits that, if recognized, would impact the effective income tax rate, subject to possible offset by an increase in the deferred tax asset valuation allowance. During the six months ended June 26, 2016, unrecognized tax benefits were increased by $1.3 million relating to various current year and prior positions. In connection with the Company’s disposition of the Electronic Products Division, the Company entered into an agreement to indemnify the Buyer for any pre-acquisition tax liabilities. As a result of this arrangement, the Company recorded amounts that have historically been classified as unrecognized tax benefits into other long-term liabilities.</w:t>
      </w:r>
    </w:p>
    <w:p>
      <w:pPr>
        <w:spacing w:after="0" w:line="15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six months ended June 26, 2016 and June 28, 2015, a $0.7 million expense and $0.1 million expense, respectively, were recorded related to interest and penalties related to unrecognized tax benefits. For the six months ended June 26, 2016 and June 28, 2015, there was no material benefit recorded related to the removal of interest and penalties. The Company believes that no significant amount of the liabilities for uncertain tax positions will expire within twelve months of June 26,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2014, the Company refinanced its $625.0 million 10% Senior Secured Notes due in 2017 (the “10% Notes”) with $625.0 million of newly issued Notes, as defined above. The net proceeds from the issuance of the Notes was $618.5 million after an original issue discount of $6.5 million. The Company incurred debt issuance costs of $8.8 million associated with the new Notes. The Company utilized the net proceeds from the Notes, a $41.0 million draw on the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completed the offering of the Notes in a private placement conducted pursuant to Rule 144A and Regulation S under the Securities Act of 1933, as amended (the “Act”). The Notes are governed by the Indenture, dated May 14, 2014 (the “Indenture”), among the Company, certain of the Company’s subsidiaries (the “Subsidiary Guarantors”) and Wilmington Trust, National Association, as Trustee and Collateral Agent. A Subsidiary Guarantor can be released from its Guarantee (as defined in the Indenture) (a) if all of the Capital Stock (as defined in the Indenture) issued by such Subsidiary Guarantor or all or substantially all of the assets of such Subsidiary Guarantor are sold or otherwise disposed of; (b) if the Company designates such Subsidiary Guarantor as an Unrestricted Subsidiary (as defined in the Indenture); (c) if the Company exercises its legal defeasance option or its covenant defeasance option; or (d) upon satisfaction and discharge of the Indenture or payment in full in cash of the principal of, premium, if any, and accrued and unpaid interest.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junior to the Company’s $110.0 million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May 15 and November 15 of each year.</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26, 2016, the Company was in compliance with the covenants contained in the Indenture governing the Notes.</w:t>
      </w:r>
    </w:p>
    <w:p>
      <w:pPr>
        <w:spacing w:after="0" w:line="19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may redeem some or all of the Notes at 105.25% of the aggregate principal amount of such Notes through May 15, 2017, 102.625% of the aggregate principal amount of such Notes if redeemed on or after May 16, 2017 but on or before May 15, 2018 and 100% of the aggregate principal amount of such Notes if redeemed on or after May 16, 2018, plus accrued and unpaid interest to the date of redemption.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16, 2014, the Company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terms of the Indenture require that the net cash proceeds from asset dispositions be utilized, as applicable, to (i) repay or prepay amounts outstanding under the Company’s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(ii) and (iii), such amounts are required to be utilized to repurchase Notes at par after 360 days following the asset disposition.</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Following the sale of the Herley Entities (see Note 2 of these Notes to the Condensed Consolidated Financial Statements), the Company, on August 21, 2015, paid down the $41.0 million outstanding on the Company’s $110.0 million Credit Agreement and on September 22, 2015, repurchased $175.0 million of the Notes at par, in accordance with the Indenture. Related to the $175.0 million repurchase of Notes, the Company wrote off $1.8 million of unamortized issue costs, $1.4 million of unamortized discount, and incurred $0.2 million of legal fees, which resulted in a loss on extinguishment of debt of $3.4 million.</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June 26, 2016, the Company has reinvested all net proceeds remaining after the repurchase of the $175.0 million of Notes in replacement collateral under the Indenture within the 360 days following the asset disposition.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26, 2016, there was $450.0 million in Notes outstanding.</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14, 2014, the Company replaced its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shall automatically and immediately terminate and the principal of, and interest then outstanding on, all of the loans shall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At June 26, 2016, no event of default had occurred and the Company believed that events or conditions having a material adverse effect, giving rise to an acceleration of any amounts outstanding under the Credit Agreement, had not occurred and the likelihood of such events or conditions occurring was remote.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jc w:val="both"/>
        <w:ind w:firstLine="8"/>
        <w:spacing w:after="0" w:line="255" w:lineRule="auto"/>
        <w:tabs>
          <w:tab w:leader="none" w:pos="32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- 2.00% for base rate revolving loans and swingline loans and 2.50% - 3.00% for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w:t>
      </w:r>
    </w:p>
    <w:p>
      <w:pPr>
        <w:spacing w:after="0" w:line="187"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end of any quarterly reporting period ending after June 30, 2015, if on such date</w:t>
      </w:r>
    </w:p>
    <w:p>
      <w:pPr>
        <w:spacing w:after="0" w:line="2" w:lineRule="exact"/>
        <w:rPr>
          <w:sz w:val="20"/>
          <w:szCs w:val="20"/>
          <w:color w:val="auto"/>
        </w:rPr>
      </w:pPr>
    </w:p>
    <w:p>
      <w:pPr>
        <w:ind w:right="20" w:firstLine="8"/>
        <w:spacing w:after="0" w:line="251"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June 26, 2016,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has reinstated the maximum facility to the full $110.0 million as of the end of the first quarter of 2016.</w:t>
      </w:r>
    </w:p>
    <w:p>
      <w:pPr>
        <w:spacing w:after="0" w:line="19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On August 19,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up to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26, 2016, there were no borrowings outstanding on the Credit Agreement and $13.0 million outstanding on letters of credit, resulting in net borrowing base availability of $48.4 million. The Company was in compliance with the financial covenants of the Credit Agreement and its amendments as of June 26,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has a $10.0 million ten-year term loan with a bank in Israel entered into on September 16, 2008 in connection with the acquisition of one of its wholly owned subsidiaries. The balance as of June 26, 2016 was $2.2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contained in this loan agreement as of June 26, 2016.</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June 26, 2016 and December 27, 2015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As of June 26, 2016</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27, 2015</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right="40" w:firstLine="683"/>
        <w:spacing w:after="0" w:line="276" w:lineRule="auto"/>
        <w:rPr>
          <w:sz w:val="20"/>
          <w:szCs w:val="20"/>
          <w:color w:val="auto"/>
        </w:rPr>
      </w:pPr>
      <w:r>
        <w:rPr>
          <w:rFonts w:ascii="Arial" w:cs="Arial" w:eastAsia="Arial" w:hAnsi="Arial"/>
          <w:sz w:val="17"/>
          <w:szCs w:val="17"/>
          <w:color w:val="auto"/>
        </w:rPr>
        <w:t>As of June 26, 2016, the difference between the carrying amount of $445.7 million and the principal amount of $452.2 million presented in the previous table is the net unamortized original issue discount of $2.9 million and the unamortized debt issuance costs of $3.6 million, which are being accreted to interest expense over the term of the related debt. As of December 27, 2015, the difference between the carrying amount of $445.1 million and the principal amount of $452.7 million presented in the previous table is the net unamortized original issue discount of $3.3 million and the unamortized debt issuance costs of $4.3 million, which are being accreted to interest expense over the term of the related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Kratos Government Solutions (“KGS”) reportable segment is comprised of an aggregation of KGS operating segments, including our microwave electronic products, satellite communications, modular systems and defense and rocket support operating segments. The Unmanned Systems (“US”) reportable segment consists of our unmanned aerial, ground,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The Public Safety &amp; Security (“PSS”) reportable segment designs, engineers, deploys, operates, integrates into command and control infrastructure, maintains and operates security and surveillance solutions for homeland security, public safety, critical infrastructure, government and commercial customers. PSS customers include those in the critical infrastructure, power generation, power transport, nuclear energy, financial, IT, healthcare, education, transportation and petro-chemical industries, as well as certain government and military customers.</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7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discussed in Note 2 - Discontinued Operations, the Company began reporting the Herley Entities as discontinued operations effective in the second quarter of fiscal 2015. Prior to the decision to sell the Herley Entities, the Company reported their financial results in the KGS reportable segment.</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six months ended June 26, 2016, the PSS reportable segment recorded a $1.9 million charge related to a litigation settlement of a contract dispute and the KGS reportable segment recorded a $7.7 million charge as a result of the decision to close one of its manufacturing facilities and exit certain lower margin product business lines.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and six month periods ended June 26, 2016 and June 28, 2015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26, 2016</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28, 2015</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26, 2016</w:t>
            </w:r>
          </w:p>
        </w:tc>
        <w:tc>
          <w:tcPr>
            <w:tcW w:w="16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28, 2015</w:t>
            </w:r>
          </w:p>
        </w:tc>
        <w:tc>
          <w:tcPr>
            <w:tcW w:w="0" w:type="dxa"/>
            <w:vAlign w:val="bottom"/>
          </w:tcPr>
          <w:p>
            <w:pPr>
              <w:spacing w:after="0"/>
              <w:rPr>
                <w:sz w:val="1"/>
                <w:szCs w:val="1"/>
                <w:color w:val="auto"/>
              </w:rPr>
            </w:pP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43"/>
        </w:trPr>
        <w:tc>
          <w:tcPr>
            <w:tcW w:w="472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472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Product sales</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Unmanned Systems</w:t>
            </w: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13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loss from continuing operations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$102.9 million and $99.2 million, or 61% and 62% of total Kratos revenue, for the three months ended June 26, 2016 and June 28, 2015, respectively, and $198.2 million and $194.2 million, or 62% and 61% of total Kratos revenue, for the six months ended June 26, 2016 and June 28,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On July 28, 2015, the Company received a determination letter from the Defense Contract Management Agency (“DCMA”) regarding what the DCMA believed were certain unallowable costs for one of the Company’s subsidiaries with respect to fiscal year 2007. In April 2016, the Company reached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operations or cash flows. In the first quarter of fiscal 2016, the Company recorded a charge of $1.9 million related to a litigation settlement of a contract dispute in the PSS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has $450.0 million in outstanding Notes (see Note 8). The Notes are guaranteed by the Subsidiary Guarantors and are collateralized by the assets of all of the Company’s 100% owned subsidiaries. The Notes are fully and unconditionally guaranteed on a joint and several basis by each Subsidiary Guarantor and the Company. There are no contractual restrictions limiting cash transfers from Subsidiary Guarantors by dividends, loans or advances to the Company. The Notes are not guaranteed by the Company’s foreign subsidiaries (the “Non-Guarantor Subsidiaries”).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 Also, as discussed in Note 2 - Discontinued Operations, the following condensed consolidating financial statements reflect the disposition of the Herley Entities as discontinued operations.</w:t>
      </w:r>
    </w:p>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7"/>
          <w:szCs w:val="17"/>
          <w:color w:val="auto"/>
        </w:rPr>
        <w:t>Subsequent to the issuance of the Company’s condensed consolidated financial statements for the quarter ended June 28, 2015, the Company corrected certain information related to the classification of interest expense allocated to discontinued operations within the income (loss) from discontinued operations and equity in net income (loss) of subsidiaries lines of the unaudited condensed consolidating statement of operations and comprehensive income (loss), and the net cash provided by (used in) operating activities from continuing operations, investment in affiliated companies and the financing from affiliated companies lines within the unaudited condensed consolidating statement of cash flows. The Company determined these classification corrections to be immaterial to the Company’s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26,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211.0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229.4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698.6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(740.3)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874.2</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318.4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444.7</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337.1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648.6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225.6</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(740.3)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874.2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206.8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444.1</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649.1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815.8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903.3</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June 26,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June 28,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26, 2016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Cost of product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115.4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240.1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81.1</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84.4</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-2628265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28, 2015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Cost of product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right="620"/>
        <w:spacing w:after="0" w:line="389" w:lineRule="auto"/>
        <w:rPr>
          <w:sz w:val="20"/>
          <w:szCs w:val="20"/>
          <w:color w:val="auto"/>
        </w:rPr>
      </w:pPr>
      <w:r>
        <w:rPr>
          <w:rFonts w:ascii="Arial" w:cs="Arial" w:eastAsia="Arial" w:hAnsi="Arial"/>
          <w:sz w:val="14"/>
          <w:szCs w:val="14"/>
          <w:color w:val="auto"/>
        </w:rPr>
        <w:t>Income (loss) from discontinued operations 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105.1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222.4</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238.2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79.2</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78.6</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-2628265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26,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Financings from affiliated companies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w w:val="91"/>
              </w:rPr>
              <w:t>Effect of exchange rate changes on cash and cash equivalents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28,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Financing from affiliated companies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6"/>
          <w:szCs w:val="16"/>
          <w:color w:val="auto"/>
        </w:rPr>
        <w:t>“</w:t>
      </w:r>
      <w:r>
        <w:rPr>
          <w:rFonts w:ascii="Arial" w:cs="Arial" w:eastAsia="Arial" w:hAnsi="Arial"/>
          <w:sz w:val="16"/>
          <w:szCs w:val="16"/>
          <w:i w:val="1"/>
          <w:iCs w:val="1"/>
          <w:color w:val="auto"/>
        </w:rPr>
        <w:t>DoD</w:t>
      </w:r>
      <w:r>
        <w:rPr>
          <w:rFonts w:ascii="Arial" w:cs="Arial" w:eastAsia="Arial" w:hAnsi="Arial"/>
          <w:sz w:val="16"/>
          <w:szCs w:val="16"/>
          <w:color w:val="auto"/>
        </w:rPr>
        <w:t>”)</w:t>
      </w:r>
      <w:r>
        <w:rPr>
          <w:rFonts w:ascii="Arial" w:cs="Arial" w:eastAsia="Arial" w:hAnsi="Arial"/>
          <w:sz w:val="16"/>
          <w:szCs w:val="16"/>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including the impact of the sale of the Herley Entities and the repurchase of our outstanding 7.00% Senior Secured Notes due 2019 (the “Notes”) with a portion of the proceeds from the sale;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27, 2015 filed with the U.S. Securities and Exchange Commission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 on March 11, 2016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3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a mid-tier government contractor at the forefront of the DoD’s Third Offset Strategy. We are a leading technology, intellectual property and proprietary product and solution company focused on the U.S. and its allies’ national security. We are the industry leader in high performance unmanned aerial drone target systems used to test weapon systems and to train the warfighter, and a provider of high performance unmanned combat aerial systems for force multiplication and amplification. We are also an industry leader in satellite communications, microwave electronics, cyber security/warfare, missile defense and combat systems. We have primarily an engineering and technically oriented work force of approximately 2,800 with a significant number holding national security clearances. Substantially all of our work is performed on a military base, in a secure facility or at a critical infrastructure location. Our primary end customers are National Security related agencies. We believe that our technology, intellectual property, proprietary products and designed-in positions on our customers’ platforms and systems is a competitive advantage and high barrier to entry into our markets. Our entire organization is focused on executing our strategy of becoming the leading technology and intellectual property based company in our industry.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Faced with significant budget pressures, in recent years the U.S. Government has implemented reductions in government spending, including reductions in appropriations for the DoD and other federal agencies, pursuant to the Budget Control Act of 2011 (“BCA”), as amended by the American Taxpayer Relief Act of 2012 and the Bipartisan Budget Act of 2013. Pursuant to the terms of the BCA, a sequestration went into effect in March 2013 resulting in a 7.8% reduction to the DoD budget for FY 2013 to $495.5 billion, excluding funding for military personnel. The DoD budget was approximately $496.0 billion in FY 2014 and remained at a similar level in FY 2015. The DoD base budget excludes funding for overseas contingency operations, such as Afghanistan, Iraq and Syria, which are appropriated separately and are not currently subject to the BCA.</w:t>
      </w:r>
    </w:p>
    <w:p>
      <w:pPr>
        <w:spacing w:after="0" w:line="13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November 2, 2015, President Obama signed the Bipartisan Budget Act of 2015, formalizing the terms of a two year budget agreement which raises the U.S. debt ceiling and lifts the sequestration spending caps by $80.0 billion. Under the budget agreement, the total federal spending increase over the BCA topline funding caps will be $50.0 billion in FY 2016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$30.0 billion in FY 2017, with the amounts divided equally between defense and domestic priorities. The overall discretionary budget will be $1.067 trillion in FY 2016 and $1.07 trillion in FY 2017. The FY 2016 discretionary defense budget will be $548.0 billion, a $25.0 billion increase over the BCA topline funding caps.</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Under the Bipartisan Budget Act of 2015, the Obama Administration will receive $33.0 billion of the $38.0 billion national defense spending increase it sought in FY 2016. In summary, the budget agreement:</w:t>
      </w:r>
    </w:p>
    <w:p>
      <w:pPr>
        <w:spacing w:after="0" w:line="170"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extends the BCA out to 2025;</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suspends the U.S. debt limit/ceiling until March 2017;</w:t>
      </w:r>
    </w:p>
    <w:p>
      <w:pPr>
        <w:spacing w:after="0" w:line="9" w:lineRule="exact"/>
        <w:rPr>
          <w:rFonts w:ascii="Arial" w:cs="Arial" w:eastAsia="Arial" w:hAnsi="Arial"/>
          <w:sz w:val="18"/>
          <w:szCs w:val="18"/>
          <w:color w:val="auto"/>
        </w:rPr>
      </w:pPr>
    </w:p>
    <w:p>
      <w:pPr>
        <w:ind w:left="1300" w:right="8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spending caps for FY 2016 and FY 2017, by $80.0 billion, including $50.0 billion in FY 2016 and $30.0 billion in FY 2017, split evenly between defense and domestic priorities;</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FY 2016 DoD base budget of $548.0 billion;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FY 2016 overseas contingency operation budget of $59.0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operate in three reportable segments: Kratos Government Solutions (“KGS”), Unmanned Systems (“US”) and Public Safety &amp; Security (“PSS”). The KGS reportable segment is comprised of an aggregation of KGS operating segments, including our microwave electronic products, satellite communications, modular systems and rocket support operating segments. The US reportable segment consists of our unmanned aerial system and unmanned ground and seaborne system businesses. The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9 of the Notes to Condensed Consolidated Financial Statements. From a customer and solutions perspective, we view our business as an integrated whole, leveraging skills and assets wherever possible.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On August 21, 2015, we completed the sale of the U.S. and U.K. operations of our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 subsidiaries, including Herley-CTI, Inc., EW Simulation Technology, Ltd. and Stapor Research, Inc. (collectively, the “Herley Entities”), for $260.0 million in cash plus $5.0 million for taxes incurred as part of the Transaction, less a $2.0 million escrow to satisfy any purchase price adjustments, and an estimated working capital adjustment of $8.3 million. The Purchase Agreement also contained certain non-compete and indemnification provisions. Under the Purchase Agreement, we entered into an agreement to indemnify the Buyer for any pre-acquisition tax liabilities. As a result of this arrangement, we recorded amounts that have historically been classified as unrecognized tax benefits into other long-term liabilities. We also agreed to indemnify Ultra for pre-existing environmental conditions for a period of five years from the closing date, with a maximum indemnification payment of $34.0 million. We do not believe payments will be required under the environmental indemnification provision, and the assessment of the fair value is immaterial. Under the terms of the Purchase Agreement, a joint 338(h)(10) election has been made for income tax purposes, providing a “step up” in tax basis to Ultra. We incurred approximately $11.5 million in transaction-related costs. The gain on sale of $80.8 million is subject to changes in the indemnification obligations. In accordance with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xml:space="preserve"> (“ASC”) </w:t>
      </w:r>
      <w:r>
        <w:rPr>
          <w:rFonts w:ascii="Arial" w:cs="Arial" w:eastAsia="Arial" w:hAnsi="Arial"/>
          <w:sz w:val="16"/>
          <w:szCs w:val="16"/>
          <w:i w:val="1"/>
          <w:iCs w:val="1"/>
          <w:color w:val="auto"/>
        </w:rPr>
        <w:t>360-10-45-9, Property, Plant, and Equipment (Topic 360) and ASC 205-20-45-3 Presentation of Financial Statements (Topic 205),</w:t>
      </w:r>
      <w:r>
        <w:rPr>
          <w:rFonts w:ascii="Arial" w:cs="Arial" w:eastAsia="Arial" w:hAnsi="Arial"/>
          <w:sz w:val="16"/>
          <w:szCs w:val="16"/>
          <w:color w:val="auto"/>
        </w:rPr>
        <w:t xml:space="preserve"> the Herley Entities are reported in discontinued operations in the accompanying condensed consolidated financial statements for all periods presented.</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us and will continue their current operations as our wholly owned subsidiaries.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November 2015, we settled the working capital adjustment with Ultra at $8.1 million, and the net cash position at closing, resulting in a net payment to us of $2.7 million. This represented a payment from escrow to us of $2.0 million, as well as a payment from Ultra to us of $0.7 million, reflecting the difference in the estimated working capital and actual working capital and the net cash position at the close of the Transaction. In January 2016, Ultra reimbursed us the $5.0 million maximum for taxes incurred as part of the Transaction.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Following the sale of the Herley Entities (see Note 2), on August 21, 2015, we paid down the $41.0 million outstanding on that certain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and on September 22, 2015, we repurchased $175.0 million of the Notes at par, in accordance with the Indenture, dated May 14, 2014 (the “Indenture”), among us, certain of our subsidiaries (the “Subsidiary Guarantors”) and Wilmington Trust, National Association, as Trustee and Collateral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There have been no changes to our key financial statement concepts for the three months ended June 26, 2016. For a complete description of our business and a discussion of our critical accounting matters, please refer to Item 7, “Management’s Discussion and Analysis of Financial Condition and Results of Operations,”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26, 2016 to the Three Months Ended June 28, 2015</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June 26, 2016 and June 28, 2015 are as follows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26, 2016</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2015</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12.0 %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11.6 %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Revenues increased $7.7 million to $168.2 million for the three months ended June 26, 2016 from $160.5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28, 2015. The increase in revenues was primarily due to increased work in our satellite communications, ballistic missile targets and training businesses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our KGS segment, partially offset by a decline in our PSS business revenue of $5.1 million due to the wind-down of certain security installation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projects and due to the Company’s change in strategic direction for the PSS business, whereby the Company will seek to capture higher margin work and only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selectively bid on larger security integration projects that traditionally generate lower margins. Revenues in our US segment decreased slightly due to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decrease in shipments of certain of our aerial target products.</w:t>
      </w:r>
    </w:p>
    <w:p>
      <w:pPr>
        <w:spacing w:after="0" w:line="21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Product sales increased $8.3 million to $80.0 million for the three months ended June 26, 2016 from $71.7 million for the three months ended June 28, 2015, primarily as a result of an increase in product shipments in our KGS segment. As a percentage of total revenue, product sales were 47.6% for the three months ended June 26, 2016 as compared to 44.7% for the three months ended June 28, 2015. Service revenues decreased by $0.6 million to $88.2 million for the three months ended June 26, 2016 from $88.8 million for the three months ended June 28, 2015. The decrease was primarily related to the change in strategic direction in our PSS segment, partially offset by an increase in service revenue in our KGS segment.</w:t>
      </w:r>
    </w:p>
    <w:p>
      <w:pPr>
        <w:spacing w:after="0" w:line="173"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$3.4 million to $123.0 million for the three months ended June 26, 2016 from $119.6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28, 2015. The increase in cost of revenues was primarily a result of the revenue changes discussed above.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Gross margin increased to 26.9% for the three months ended June 26, 2016 from 25.5% for the three months ended June 28, 2015. Margins on services increased to 27.0% for the three months ended June 26, 2016 from 24.4% for the three months ended June 28, 2015, due primarily to a more favorable mix of revenues. Margins on products were 26.8% for the three months ended June 26, 2016 and June 28, 2015. Margins in the KGS segment increased to 27.2% for the three months ended June 26, 2016 from 26.1% for the three months ended June 28, 2015, primarily as a result of a more favorable mix of revenues. Margins in the US segment increased to 23.0% for the three months ended June 26, 2016 from 21.8% for the three months ended June 28, 2015, primarily due to a more favorable mix of products produced and shipped during the three months ended June 26, 2016. Margins in the PSS segment increased to 27.6% for the three months ended June 26, 2016 from 25.4% for the three months ended June 28, 2015, due primarily to the change in strategic focus to smaller, higher margin projects.</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SG&amp;A expense was $36.4 million for the three months ended June 26, 2016 and $40.3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28, 2015. As a percentage of revenues, SG&amp;A decreased to 21.6% at June 26, 2016 from 25.1% at June 28, 2015, which is primarily due to the increase in revenue discussed above and a $1.0 million decrease in amortization of intangibles, as well as due to cost reduction actions that we took in the first quarter of 2016.</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Research and Development (</w:t>
      </w:r>
      <w:r>
        <w:rPr>
          <w:rFonts w:ascii="Arial" w:cs="Arial" w:eastAsia="Arial" w:hAnsi="Arial"/>
          <w:sz w:val="18"/>
          <w:szCs w:val="18"/>
          <w:color w:val="auto"/>
        </w:rPr>
        <w:t>“</w:t>
      </w:r>
      <w:r>
        <w:rPr>
          <w:rFonts w:ascii="Arial" w:cs="Arial" w:eastAsia="Arial" w:hAnsi="Arial"/>
          <w:sz w:val="18"/>
          <w:szCs w:val="18"/>
          <w:i w:val="1"/>
          <w:iCs w:val="1"/>
          <w:color w:val="auto"/>
        </w:rPr>
        <w:t>R&amp;D</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R&amp;D expenses were $4.0 million for the three months ended June 26, 2016 and $4.3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28, 2015. As a percentage of revenues, R&amp;D decreased to 2.4% for the three months ended June 26, 2016 from 2.7% of revenues in the three months ended June 28, 2015.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Unused Office Space, Restructuring Expenses, and Other. </w:t>
      </w:r>
      <w:r>
        <w:rPr>
          <w:rFonts w:ascii="Arial" w:cs="Arial" w:eastAsia="Arial" w:hAnsi="Arial"/>
          <w:sz w:val="18"/>
          <w:szCs w:val="18"/>
          <w:color w:val="auto"/>
        </w:rPr>
        <w:t>The expense of $4.8 million for the three months ended June 26, 2016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 $4.7 million charge that was recorded in the Company’s modular systems business as a result of the closure of one of its manufacturing facilities and the exit from certain lower margin product business lines in the second quarter of 2016. The restructuring charges were comprised of an impairment charge of $3.4 million related to fixed and intangible assets and a $1.3 million charge for excess facility costs. There were no similar expenses in the three months ended June 28, 2015.</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$8.5 million from $9.9 million for the three months ended June 26, 2016 and June 28,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expense of $1.4 million is primarily related to foreign currency transaction gains in the second quarter of 2016 as compared to foreign currency transaction losses in the second quarter of 2015.</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for the three months ended June 26, 2016 and June 28, 2015 was $1.8 million and $2.3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For the three months ended June 26, 2016 and June 28, 2015,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w:t>
      </w:r>
    </w:p>
    <w:p>
      <w:pPr>
        <w:spacing w:after="0" w:line="171" w:lineRule="exact"/>
        <w:rPr>
          <w:sz w:val="20"/>
          <w:szCs w:val="20"/>
          <w:color w:val="auto"/>
        </w:rPr>
      </w:pPr>
    </w:p>
    <w:p>
      <w:pPr>
        <w:ind w:right="60" w:firstLine="693"/>
        <w:spacing w:after="0" w:line="264"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sale of the Herley Entities occurred on August 21, 2015, and therefore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2015 reflects a full quarter’s operating results for the comparable prior year, which resulted in net income from discontinued operations of $0.9 million for the three months ended June 28, 2015.</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June 26, 2016 to the Six Months Ended June 28, 2015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operating segment for the six months ended June 26, 2016 and June 28, 2015 are as follows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26, 2016</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2015</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6.9 %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Revenues increased $3.8 million to $321.2 million for the six months ended June 26, 2016 from $317.4 million for the six months ended June 28, 2015. The increase in revenues was primarily due to increased work in our satellite communications, microwave products, ballistic missile targets and training businesses within our KGS segment, partially offset by a decline in our PSS business revenue of $12.4 million due to the wind-down of certain security installation projects and due to the Company’s change in strategic direction for the PSS business, whereby the Company will seek to capture higher margin work and only selectively bid on larger security integration projects that traditionally generate lower margins. Revenues in our US segment increased due to an increase in shipments of certain of our aerial target products.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sales increased $9.1 million to $150.4 million for the six months ended June 26, 2016 from $141.3 million for the six months ended June 28, 2015, primarily as a result of an increase in product shipments in our KGS segment. As a percentage of total revenue, product sales were 46.8% for the six months ended June 26, 2016 as compared to 44.5% for the six months ended June 28, 2015. Service revenues decreased by $5.3 million to $170.8 million for the six months ended June 26, 2016 from $176.1 million for the six months ended June 28, 2015. The decrease was primarily related to the change in strategic direction in our PSS segment.</w:t>
      </w:r>
    </w:p>
    <w:p>
      <w:pPr>
        <w:spacing w:after="0" w:line="18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$1.9 million to $240.1 million for the six months ended June 26, 2016 from $238.2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28, 2015. The increase in cost of revenues was primarily a result of the revenue changes discussed above.</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Gross margin increased to 25.2% for the six months ended June 26, 2016 from 25.0% for the six months ended June 28, 2015. Margins on services increased to 27.0% for the six months ended June 26, 2016 from 24.4% for the six months ended June 28, 2015, due primarily to a more favorable mix of revenues. Margins on products decreased to 23.3% for the six months ended June 26, 2016 from 25.6% for the six months ended June 28, 2015, primarily due to the mix of products shipped. Margins in the KGS segment were 25.5% for the six months ended June 26, 2016 and June 28, 2015. Margins in the US segment decreased to 18.4% for the six months ended June 26, 2016 from 19.1% for the six months ended June 28, 2015, primarily due to a less favorable mix of products produced and shipped during the six months ended June 26, 2016. Margins in the PSS segment increased to 27.7% for the six months ended June 26, 2016 from 25.9% for the six months ended June 28, 2015, due primarily to the change in strategic focus to smaller, higher margin projects.</w:t>
      </w:r>
    </w:p>
    <w:p>
      <w:pPr>
        <w:spacing w:after="0" w:line="16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SG&amp;A Expenses. </w:t>
      </w:r>
      <w:r>
        <w:rPr>
          <w:rFonts w:ascii="Arial" w:cs="Arial" w:eastAsia="Arial" w:hAnsi="Arial"/>
          <w:sz w:val="18"/>
          <w:szCs w:val="18"/>
          <w:color w:val="auto"/>
        </w:rPr>
        <w:t>SG&amp;A expense was $74.1 million for the six months ended June 26, 2016 and $77.7 million for the six months ended June 28,</w:t>
      </w:r>
      <w:r>
        <w:rPr>
          <w:rFonts w:ascii="Arial" w:cs="Arial" w:eastAsia="Arial" w:hAnsi="Arial"/>
          <w:sz w:val="18"/>
          <w:szCs w:val="18"/>
          <w:i w:val="1"/>
          <w:iCs w:val="1"/>
          <w:color w:val="auto"/>
        </w:rPr>
        <w:t xml:space="preserve"> </w:t>
      </w:r>
      <w:r>
        <w:rPr>
          <w:rFonts w:ascii="Arial" w:cs="Arial" w:eastAsia="Arial" w:hAnsi="Arial"/>
          <w:sz w:val="18"/>
          <w:szCs w:val="18"/>
          <w:color w:val="auto"/>
        </w:rPr>
        <w:t>2015. As a percentage of revenues, SG&amp;A decreased to 23.1% at June 26, 2016 from 24.5% at June 28, 2015, which is primarily due to the increase in revenue discussed above and a $2.0 million decrease in amortization of intangibles, as well as due to the impact of cost reduction actions we took in the first quarter of 2016.</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R&amp;D Expenses. </w:t>
      </w:r>
      <w:r>
        <w:rPr>
          <w:rFonts w:ascii="Arial" w:cs="Arial" w:eastAsia="Arial" w:hAnsi="Arial"/>
          <w:sz w:val="16"/>
          <w:szCs w:val="16"/>
          <w:color w:val="auto"/>
        </w:rPr>
        <w:t>R&amp;D expenses were $6.9 million for the six months ended June 26, 2016 and $8.2 million for the six months ended June 28, 2015.</w:t>
      </w:r>
      <w:r>
        <w:rPr>
          <w:rFonts w:ascii="Arial" w:cs="Arial" w:eastAsia="Arial" w:hAnsi="Arial"/>
          <w:sz w:val="16"/>
          <w:szCs w:val="16"/>
          <w:i w:val="1"/>
          <w:iCs w:val="1"/>
          <w:color w:val="auto"/>
        </w:rPr>
        <w:t xml:space="preserve"> </w:t>
      </w:r>
      <w:r>
        <w:rPr>
          <w:rFonts w:ascii="Arial" w:cs="Arial" w:eastAsia="Arial" w:hAnsi="Arial"/>
          <w:sz w:val="16"/>
          <w:szCs w:val="16"/>
          <w:color w:val="auto"/>
        </w:rPr>
        <w:t>As a percentage of revenues, R&amp;D decreased to 2.1% for the six months ended June 26, 2016 from 2.6% of revenues in the six months ended June 28, 2015.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products that support these programs as well as technology upgrades and refresh activities that are necessary for the next generation of our existing product lines.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Unused Office Space, Restructuring Expenses, and Other. </w:t>
      </w:r>
      <w:r>
        <w:rPr>
          <w:rFonts w:ascii="Arial" w:cs="Arial" w:eastAsia="Arial" w:hAnsi="Arial"/>
          <w:sz w:val="17"/>
          <w:szCs w:val="17"/>
          <w:color w:val="auto"/>
        </w:rPr>
        <w:t>The expense of $10.3 million for the six months ended June 26, 2016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 $7.7 million charge that was recorded in the Company’s modular systems business as a result of the closure of one of its manufacturing facilities and the exit from certain lower margin product business lines, a $1.9 million charge related to a litigation settlement of a contract dispute in our PSS business during the first quarter of 2016, and employee termination costs related to personnel reduction actions taken in the first quarter of 2016. The restructuring charge recorded in our modular systems business was comprised of $3.4 million related to fixed and intangible assets, $3.0 million related to exited product lines and $1.3 million related to excess facilities. The expense of $0.9 million for the six months ended June 28, 2015 was primarily due to employee termination costs related to personnel reduction actions taken during the first quarter of 2015.</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$16.9 million from $18.6 million for the six months ended June 26, 2016 and June 28,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expense of $1.7 million is primarily related to foreign currency transaction gains in the six months ended June 26, 2016 as compared to foreign currency transaction losses for the six months ended June 28, 2015.</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for the six months ended June 26, 2016 and June 28, 2015 was $5.4 million and $4.2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For the six months ended June 26, 2016 and June 28, 2015,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 The income tax expense for the six months ended June 26, 2016 includes a discrete tax expense of $1.7 million related to an increase in uncertain tax positions.</w:t>
      </w:r>
    </w:p>
    <w:p>
      <w:pPr>
        <w:spacing w:after="0" w:line="173" w:lineRule="exact"/>
        <w:rPr>
          <w:sz w:val="20"/>
          <w:szCs w:val="20"/>
          <w:color w:val="auto"/>
        </w:rPr>
      </w:pPr>
    </w:p>
    <w:p>
      <w:pPr>
        <w:ind w:right="20" w:firstLine="693"/>
        <w:spacing w:after="0" w:line="264"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sale of the Herley Entities occurred on August 21, 2015, and therefore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2015 reflects two full quarter’s operating results for the comparable prior year, which resulted in a net loss from discontinued operations of $0.9 million for the six months ended June 28, 2015.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of June 26, 2016 and June 28, 2015, our backlog was approximately $874.6 million and $953.5 million, respectively, of which $542.3 million was funded in 2016 and $554.2 million was funded in 2015.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or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As of June 26, 2016, we had cash and cash equivalents of $17.6 million compared with cash and cash equivalents of $28.5 million as of December 27, 2015, which includes $8.5 million and $10.8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total debt, including capital lease obligations, principal due on our Notes, and other term debt increased from $445.1 million at December 27, 2015 to $445.7 million at June 26, 2016, due to the amortization of the discount on our Notes and the amortization of deferred financing costs, partially offset by the principal payment required on our ten-year term loan with a bank in Israel.</w:t>
      </w:r>
    </w:p>
    <w:p>
      <w:pPr>
        <w:spacing w:after="0" w:line="18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operating cash flow is used to finance trade accounts receivable, inventory, capital expenditures, support ongoing operations, fund investments for new products and offerings, service our debt and make strategic acquisitions. Cash from continuing operations is primarily derived from our customer contracts in progress and associated changes in working capital components. Our Days Sales Outstanding (“DSOs”) have increased from 106 days at December 27, 2015 to 114 days as of June 26, 2016, primarily as a result of certain contractual billing milestones that have not yet been attained, such as equipment shipments and deliveries on certain products, and for certain flight requirements that must be fulfilled on certain aerial target programs, and therefore we are unable to contractually bill for amounts outstanding related to those milestones at this time. In addition, during the first quarter we invoiced sizable advanced billings on certain contracts for which work has not yet commenced or has recently commenced and therefore expected revenue has not yet been earned or recorded, which resulted in an increase to our DSOs. As work is performed and revenue is earned and recorded on these projects, we expect DSOs to reduce in the next few quarters. The challenging DoD budgetary environment described above, which has in certain instances caused delays in obtaining funding necessary to proceed with payments, has impacted our DSOs as well.</w:t>
      </w:r>
    </w:p>
    <w:p>
      <w:pPr>
        <w:spacing w:after="0" w:line="16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summary of our net cash used in operating activities from continuing operations, investing activities, and financing activities and our cash flows from discontinued operations from our condensed consolidated statements of cash flows is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26, 2016</w:t>
            </w: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28, 2015</w:t>
            </w:r>
          </w:p>
        </w:tc>
      </w:tr>
      <w:tr>
        <w:trPr>
          <w:trHeight w:val="250"/>
        </w:trPr>
        <w:tc>
          <w:tcPr>
            <w:tcW w:w="8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 from continuing operations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operating cash flows of discontinued operations</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investing cash flows of discontinued operations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Net cash used in operating activities from continuing operations for the six months ended June 26, 2016 and June 28, 2015 was negatively impacted by our net loss and changes in working capital accounts.</w:t>
      </w:r>
    </w:p>
    <w:p>
      <w:pPr>
        <w:spacing w:after="0" w:line="170" w:lineRule="exact"/>
        <w:rPr>
          <w:sz w:val="20"/>
          <w:szCs w:val="20"/>
          <w:color w:val="auto"/>
        </w:rPr>
      </w:pPr>
    </w:p>
    <w:p>
      <w:pPr>
        <w:ind w:right="640" w:firstLine="693"/>
        <w:spacing w:after="0" w:line="277" w:lineRule="auto"/>
        <w:rPr>
          <w:sz w:val="20"/>
          <w:szCs w:val="20"/>
          <w:color w:val="auto"/>
        </w:rPr>
      </w:pPr>
      <w:r>
        <w:rPr>
          <w:rFonts w:ascii="Arial" w:cs="Arial" w:eastAsia="Arial" w:hAnsi="Arial"/>
          <w:sz w:val="18"/>
          <w:szCs w:val="18"/>
          <w:color w:val="auto"/>
        </w:rPr>
        <w:t>Net cash used in investing activities for the six months ended June 26, 2016 is comprised of capital expenditures, which consist primarily of investment in machinery, computer hardware and software and improvement of our physical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properties in order to maintain suitable conditions in which to conduct our business. Net cash provided by investing activities for the six months ended June 28, 2015 is primarily driven by a reduction in our restricted cash balances, partially offset by capital expenditures.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six months ended June 26, 2016 and June 28, 2015 was primarily proceeds from our employee stock purchase plan.</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investing cash flow from discontinued operations for the six months ended June 26, 2016 reflects cash provided of $4.5 million, primarily related to the reimbursement of taxes related to the Transaction. The operating cash flow from discontinued operations for the six month period ended June 28, 2015 is substantially related to Herley and the Herley Entities, which have been reported in discontinued operations. The investing cash flow from discontinued operations for the six months ended June 28, 2015 reflects cash used of $0.5 million, which is related to capital expenditures of the Herley Entities, which have been reported in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7.00% Senior Secured Notes due 2019</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May 2014, we refinanced our $625.0 million 10% Senior Secured Notes due in 2017 (the “10% Notes”) with $625.0 million of newly issued Notes. The net proceeds from the issuance of the Notes was $618.5 million after an original issue discount of $6.5 million. We incurred debt issuance costs of $8.8 million associated with the new Notes. We utilized the net proceeds from the Notes, a $41.0 million draw on our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completed the offering of the Notes in a private placement conducted pursuant to Rule 144A and Regulation S under the Securities Act of 1933, as amended (the “Act”). The Notes are governed by the Indenture among us, the Subsidiary Guarantors and Wilmington Trust, National Association, as Trustee and Collateral Agent. A Subsidiary Guarantor can be released from its guarantee (a) if all of the Capital Stock (as defined by the Indenture) issued by such Subsidiary Guarantor or all or substantially all of the assets of such Subsidiary Guarantor are sold or otherwise disposed of; (b) if we designate such Subsidiary Guarantor as an Unrestricted Subsidiary (as defined by the Indenture); (c) if we exercised our legal defeasance option or our covenant defeasance option; or (d) upon satisfaction and discharge of the Indenture or payment in full in cash of the principal of, premium, if any, and accrued and unpaid interest.</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the Notes have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Notes have a second priority lien junior to our $110.0 million Credit Agreement.</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pay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26, 2016, we were in compliance with the covenants contained in the Indenture governing the Notes.</w:t>
      </w:r>
    </w:p>
    <w:p>
      <w:pPr>
        <w:spacing w:after="0" w:line="15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may redeem some or all of the Notes at 105.25% of the aggregate principal amount of such Notes through May 15, 2017, 102.625% of the aggregate principal amount of such Notes if redeemed on or after May 16, 2017 but on or before May 15, 2018 and 100% of the aggregate principal amount of such Notes if redeemed on or after May 16, 2018, plus accrued and unpaid interest to the date of redemption.</w:t>
      </w:r>
    </w:p>
    <w:p>
      <w:pPr>
        <w:spacing w:after="0" w:line="16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October 16, 2014, we exchanged the outstanding Notes for an equal amount of new Notes that have been registered under the Act. The terms of the Notes issued in the exchange offer are identical in all material respects to the terms of the Notes, except the Notes issued in the exchange offer have been registered under the Act.</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terms of the Indenture require that the net cash proceeds from asset dispositions be utilized, as applicable, to (i) repay or prepay amounts outstanding under our Credit Agreement unless such amounts are reinvested in similar collateral, (ii)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make an investment in assets that replace the collateral of the Notes or (iii) a combination of both (i) and (ii). To the extent there are any remaining net proceeds from the asset disposition after application of (i), (ii) and (iii), such amounts are required to be utilized to repurchase Notes at par after 360 days following the asset disposition.</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Following the sale of our U.S. and U.K. Electronic Products Division (see Note 2 of the Notes to the Condensed Consolidated Financial Statements), on September 22, 2015, we repurchased $175.0 million of the Notes at par, in accordance with the Indenture and on August 21, 2015 paid down the $41.0 million outstanding on our $110.0 million Credit Agreement.</w:t>
      </w:r>
    </w:p>
    <w:p>
      <w:pPr>
        <w:spacing w:after="0" w:line="181"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total reacquisition price of the Notes was $178.4 million including the write off of $1.8 million of unamortized issue costs, $1.4 million of unamortized discount, along with $0.2 million of legal fees, which resulted in a loss on extinguishment of debt of $3.4 million.</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June 26, 2016, we have reinvested all net proceeds remaining after the repurchase of the $175.0 million of Notes in replacement collateral under the Indenture within 360 days following the asset disposition.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26, 2016, there was $450.0 million in Notes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14, 2014, we replaced our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our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us or any of our subsidiaries to the Agent or the lenders shall prove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shall automatically and immediately terminate and the principal of, and interest then outstanding on, all of the loans shall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At June 26, 2016, no event of default had occurred and we believed that events or conditions having a material adverse effect, giving rise to an acceleration of any amounts outstanding under the Credit Agreement, had not occurred and the likelihood of such events or conditions occurring was remote.</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jc w:val="both"/>
        <w:ind w:firstLine="8"/>
        <w:spacing w:after="0" w:line="254"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- 2.00% for base rate revolving loans and swingline loans and 2.50% - 3.00% for Eurodollar loans, and is based on several factors including our then-existing borrowing base and the Lender’s total commitment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 and revolving credit exposure. The calculation of our borrowing base takes into account several items relating to us and our subsidiaries, including amounts due and owing under billed and unbilled accounts receivables, then-held eligible raw materials inventory, work-in-process inventory, and applicable reserves.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June 26, 2016, there was no reserve on the maximum borrowings, resulting from a cumulative reinvestment in similar collateral assets since the sale of the Herley Entities in excess of the $50.8 million reserve established at the date of the sale of the Herley Entities. We made investments in assets that replaced the collateral, which reinstated the maximum facility to the full $110.0 million as of the end of the first quarter of 2016.</w:t>
      </w:r>
    </w:p>
    <w:p>
      <w:pPr>
        <w:spacing w:after="0" w:line="19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August 19,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up to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26, 2016, there were no borrowings outstanding on the Credit Agreement and $13.0 million was outstanding on letters of credit, resulting in net borrowing base availability of $48.4 million. We were in compliance with the financial covenants as of June 26,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jc w:val="both"/>
        <w:ind w:firstLine="690"/>
        <w:spacing w:after="0" w:line="279" w:lineRule="auto"/>
        <w:rPr>
          <w:sz w:val="20"/>
          <w:szCs w:val="20"/>
          <w:color w:val="auto"/>
        </w:rPr>
      </w:pPr>
      <w:r>
        <w:rPr>
          <w:rFonts w:ascii="Arial" w:cs="Arial" w:eastAsia="Arial" w:hAnsi="Arial"/>
          <w:sz w:val="17"/>
          <w:szCs w:val="17"/>
          <w:color w:val="auto"/>
        </w:rPr>
        <w:t>We assumed a $10.0 million ten-year term loan with a bank in Israel entered into on September 16, 2008 in connection with the acquisition of one of its wholly owned subsidiaries. The balance as of June 26, 2016 was $2.2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contained in the loan agreement as of June 26,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As described in Note 1 to the Condensed Consolidated Financial Statements, we adopted Accounting Standards Update 2015-01, </w:t>
      </w:r>
      <w:r>
        <w:rPr>
          <w:rFonts w:ascii="Arial" w:cs="Arial" w:eastAsia="Arial" w:hAnsi="Arial"/>
          <w:sz w:val="17"/>
          <w:szCs w:val="17"/>
          <w:i w:val="1"/>
          <w:iCs w:val="1"/>
          <w:color w:val="auto"/>
        </w:rPr>
        <w:t>Income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Extraordinary and Unusual Items (Subtopic 225-20): Simplifying Income Statement Presentation by Eliminating the Concept of Extraordinary Items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 period ended March 27, 2016. Other than the adoption of ASU 2015-01, there have been no significant changes to our “Critical Accounting Policies or Estimates” as compared to the significant accounting policies described in the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 a 1% change in the LIBOR would not significantly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would be contracted with investment grade counterparties to reduce exposure to nonperformance.</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enter into limited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cash and cash equivalents as of June 26, 2016 were $17.6 million and are primarily invested in money market interest bearing accounts. A hypothetical 10% adverse change in the average interest rate on our money market cash investments and short-term investments would have had no material effect on our net loss for the six months ended June 26,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26,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June 26, 2016 that has materially affected, or is reasonably likely to materially affect, our internal control over financial reporting.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27, 2015, which we filed with the SEC on March 11, 2016,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2.1#†</w:t>
            </w:r>
          </w:p>
        </w:tc>
        <w:tc>
          <w:tcPr>
            <w:tcW w:w="4220" w:type="dxa"/>
            <w:vAlign w:val="bottom"/>
          </w:tcPr>
          <w:p>
            <w:pPr>
              <w:ind w:left="20"/>
              <w:spacing w:after="0"/>
              <w:rPr>
                <w:sz w:val="20"/>
                <w:szCs w:val="20"/>
                <w:color w:val="auto"/>
              </w:rPr>
            </w:pPr>
            <w:r>
              <w:rPr>
                <w:rFonts w:ascii="Arial" w:cs="Arial" w:eastAsia="Arial" w:hAnsi="Arial"/>
                <w:sz w:val="18"/>
                <w:szCs w:val="18"/>
                <w:color w:val="auto"/>
              </w:rPr>
              <w:t>Stock Purchase Agreement, dated May 31,</w:t>
            </w:r>
          </w:p>
        </w:tc>
        <w:tc>
          <w:tcPr>
            <w:tcW w:w="12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2015, among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 Herley Industries, Inc.,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Defense Inc. and Ultra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Electronics Holdings plc.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Amended and Restated Certificate of Incorporation of</w:t>
            </w: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Ownership and Merger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09/14/2007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into Wireless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Facilities,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Amendment to Amended and Restated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11/3/2009</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Certificate of Incorporation of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11/13/2001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Series A Preferred Stock.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rPr>
              <w:t>8-K/A</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06/5/2002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Series B Preferred Stock (included as Exhibit A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(000-27231)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Preferred Stock Purchase Agreement dated as of May 16,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2002 among the Company, Meritech Capital Partners II</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L.P., Meritech Capital Affiliates II L.P., MCB</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Entrepreneur Partners II L.P., Oak Investment Partners X,</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Limited Partnership, Oak X Affiliates Fund, Limited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Partnership, Oak Investment Partners IX, L.P., Oak</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Affiliates Fund, L.P., Oak IX Affiliates Fund-A, L.P., and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the KLS Trust dated July 14, 1999).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Designation of the Series C Preferred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12/17/2004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Second Amended and Restated Bylaws of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03/15/2011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(0-27231)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Amendment to the Second Amended and Restated</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11/07/2014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Bylaws of Kratos Defense &amp; Security Solutions, Inc.</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Specimen Stock Certificate.</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03/02/2011</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Indenture, dated as of May 14, 2014, among Kratos</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as Issuer,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Guarantors party thereto, and Wilmington Trust, National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Association, as Trustee and Collateral Agent (including</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the Form of 7.00% Senior Secured Notes due 2019).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Registration Rights Agreement, dated as of May 14,</w:t>
            </w: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2014,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as Issuer, the Guarantors party thereto, and SunTrust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1"/>
              </w:rPr>
              <w:t>Robinson Humphrey, Inc., as Representative of the Initial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Purchasers.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00" w:type="dxa"/>
            <w:vAlign w:val="bottom"/>
            <w:gridSpan w:val="2"/>
          </w:tcPr>
          <w:p>
            <w:pPr>
              <w:jc w:val="right"/>
              <w:ind w:right="11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for the quarter ended June 26, 2016 formatted in XBRL: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6120" w:firstLine="5"/>
        <w:spacing w:after="0" w:line="292" w:lineRule="auto"/>
        <w:tabs>
          <w:tab w:leader="none" w:pos="1515"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Condensed Consolidated Balance Sheets, (ii) the Condensed Consolidated Statements of Operations and Comprehensive Loss, (iii) the Condensed Consolidated Statements of Cash Flows, (iv) the Notes to the Condensed Consolidated Financial Statements.</w:t>
      </w:r>
    </w:p>
    <w:p>
      <w:pPr>
        <w:spacing w:after="0" w:line="200" w:lineRule="exact"/>
        <w:rPr>
          <w:rFonts w:ascii="Arial" w:cs="Arial" w:eastAsia="Arial" w:hAnsi="Arial"/>
          <w:sz w:val="16"/>
          <w:szCs w:val="16"/>
          <w:color w:val="auto"/>
        </w:rPr>
      </w:pPr>
    </w:p>
    <w:p>
      <w:pPr>
        <w:spacing w:after="0" w:line="368" w:lineRule="exact"/>
        <w:rPr>
          <w:rFonts w:ascii="Arial" w:cs="Arial" w:eastAsia="Arial" w:hAnsi="Arial"/>
          <w:sz w:val="16"/>
          <w:szCs w:val="16"/>
          <w:color w:val="auto"/>
        </w:rPr>
      </w:pPr>
    </w:p>
    <w:p>
      <w:pPr>
        <w:ind w:right="540" w:firstLine="8"/>
        <w:spacing w:after="0" w:line="308" w:lineRule="auto"/>
        <w:tabs>
          <w:tab w:leader="none" w:pos="2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right="3840" w:firstLine="8"/>
        <w:spacing w:after="0" w:line="264"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August 4, 2016</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2016</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2016</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26, 2016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26, 2016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1)"/>
      <w:numFmt w:val="lowerLetter"/>
      <w:start w:val="3"/>
    </w:lvl>
  </w:abstractNum>
  <w:abstractNum w:abstractNumId="4">
    <w:nsid w:val="1F16E9E8"/>
    <w:multiLevelType w:val="hybridMultilevel"/>
    <w:lvl w:ilvl="0">
      <w:lvlJc w:val="left"/>
      <w:lvlText w:val="(%1)"/>
      <w:numFmt w:val="lowerLetter"/>
      <w:start w:val="6"/>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Roman"/>
      <w:start w:val="3"/>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3"/>
    </w:lvl>
  </w:abstractNum>
  <w:abstractNum w:abstractNumId="11">
    <w:nsid w:val="7FDCC233"/>
    <w:multiLevelType w:val="hybridMultilevel"/>
    <w:lvl w:ilvl="0">
      <w:lvlJc w:val="left"/>
      <w:lvlText w:val="#"/>
      <w:numFmt w:val="bullet"/>
      <w:start w:val="1"/>
    </w:lvl>
    <w:lvl w:ilvl="1">
      <w:lvlJc w:val="left"/>
      <w:lvlText w:val="(%2)"/>
      <w:numFmt w:val="lowerRoman"/>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2019-12-29T10:49:36Z</dcterms:created>
  <dcterms:modified xsi:type="dcterms:W3CDTF">2019-12-29T10:49:36Z</dcterms:modified>
</cp:coreProperties>
</file>