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7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30, 2018</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120"/>
          </w:cols>
          <w:pgMar w:left="240" w:top="233"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10680 Treena St., Suite 600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San Diego, CA 92131</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San Diego, CA 92121</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304800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257"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180" w:space="720"/>
            <w:col w:w="3480"/>
          </w:cols>
          <w:pgMar w:left="240" w:top="233" w:right="27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spacing w:after="0" w:line="8" w:lineRule="exact"/>
        <w:rPr>
          <w:sz w:val="24"/>
          <w:szCs w:val="24"/>
          <w:color w:val="auto"/>
        </w:rPr>
      </w:pPr>
    </w:p>
    <w:p>
      <w:pPr>
        <w:ind w:left="75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233" w:right="279" w:bottom="1440" w:gutter="0" w:footer="0" w:header="0"/>
          <w:type w:val="continuous"/>
        </w:sectPr>
      </w:pPr>
    </w:p>
    <w:p>
      <w:pPr>
        <w:spacing w:after="0" w:line="22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1" w:lineRule="exact"/>
        <w:rPr>
          <w:sz w:val="24"/>
          <w:szCs w:val="24"/>
          <w:color w:val="auto"/>
        </w:rPr>
      </w:pPr>
    </w:p>
    <w:p>
      <w:pPr>
        <w:ind w:left="340" w:right="18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2, 2018, 103,752,514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September 30, 2018 and December 31, 2017 (unaudited)</w:t>
              </w:r>
            </w:hyperlink>
          </w:p>
        </w:tc>
        <w:tc>
          <w:tcPr>
            <w:tcW w:w="26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Income (Loss) for the Three and Nine Months Ended September</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30, 2018 and October 1, 2017 (unaudited)</w:t>
              </w:r>
            </w:hyperlink>
          </w:p>
        </w:tc>
        <w:tc>
          <w:tcPr>
            <w:tcW w:w="680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for the Nine Months Ended September 30, 2018 and October 1, 2017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3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9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99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9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425.7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Preferred stock, $0.001 par value, 5,000,000 shares authorized, 0 shares outstanding at September 30, 2018</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December 31, 2017</w:t>
            </w:r>
          </w:p>
        </w:tc>
        <w:tc>
          <w:tcPr>
            <w:tcW w:w="24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4"/>
              </w:rPr>
              <w:t>Common stock, $0.001 par value, 195,000,000 shares authorized; 103,752,514 and 103,297,525 shares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issued and outstanding at September 30, 2018 and December 31, 2017, respectively</w:t>
            </w:r>
          </w:p>
        </w:tc>
        <w:tc>
          <w:tcPr>
            <w:tcW w:w="24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(720.8)</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2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1, 2017</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October 1, 2017</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expenses and other</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operations of discontinued components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Income tax benefit (expense)</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 per common share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common share:</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income (loss) per common share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71"/>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income (loss) (from above)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Pr>
          <w:p>
            <w:pPr>
              <w:spacing w:after="0"/>
              <w:rPr>
                <w:sz w:val="22"/>
                <w:szCs w:val="22"/>
                <w:color w:val="auto"/>
              </w:rPr>
            </w:pPr>
          </w:p>
        </w:tc>
        <w:tc>
          <w:tcPr>
            <w:tcW w:w="1720" w:type="dxa"/>
            <w:vAlign w:val="bottom"/>
          </w:tcPr>
          <w:p>
            <w:pPr>
              <w:jc w:val="right"/>
              <w:ind w:right="459"/>
              <w:spacing w:after="0"/>
              <w:rPr>
                <w:sz w:val="20"/>
                <w:szCs w:val="20"/>
                <w:color w:val="auto"/>
              </w:rPr>
            </w:pPr>
            <w:r>
              <w:rPr>
                <w:rFonts w:ascii="Arial" w:cs="Arial" w:eastAsia="Arial" w:hAnsi="Arial"/>
                <w:sz w:val="14"/>
                <w:szCs w:val="14"/>
                <w:b w:val="1"/>
                <w:bCs w:val="1"/>
                <w:color w:val="auto"/>
              </w:rPr>
              <w:t>October 1, 2017</w:t>
            </w:r>
          </w:p>
        </w:tc>
      </w:tr>
      <w:tr>
        <w:trPr>
          <w:trHeight w:val="210"/>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(income)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 (used in)</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28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Unbilled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43"/>
        </w:trPr>
        <w:tc>
          <w:tcPr>
            <w:tcW w:w="720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2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204.7</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70.7</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240.1</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04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04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September 30, 2018 and for the three and nine months ended September 30, 2018 and October 1, 2017 is unaudited. The condensed consolidated balance sheet as of December 31, 2017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31, 2017, included in the Company’s Annual Report on Form 10-K filed with the U.S. Securities and Exchange Commission on February 28, 2018 (the “Form 10-K”). Interim operating results are not necessarily indicative of operating results expected in subsequent periods or for the year as a whole.</w:t>
      </w:r>
    </w:p>
    <w:p>
      <w:pPr>
        <w:spacing w:after="0" w:line="178" w:lineRule="exact"/>
        <w:rPr>
          <w:sz w:val="20"/>
          <w:szCs w:val="20"/>
          <w:color w:val="auto"/>
        </w:rPr>
      </w:pPr>
    </w:p>
    <w:p>
      <w:pPr>
        <w:ind w:right="160" w:firstLine="683"/>
        <w:spacing w:after="0" w:line="286" w:lineRule="auto"/>
        <w:rPr>
          <w:sz w:val="20"/>
          <w:szCs w:val="20"/>
          <w:color w:val="auto"/>
        </w:rPr>
      </w:pPr>
      <w:r>
        <w:rPr>
          <w:rFonts w:ascii="Arial" w:cs="Arial" w:eastAsia="Arial" w:hAnsi="Arial"/>
          <w:sz w:val="17"/>
          <w:szCs w:val="17"/>
          <w:color w:val="auto"/>
        </w:rPr>
        <w:t>As discussed in “Discontinued Operations” in Note 3, these condensed consolidated financial statements have been recast for all periods presented to reflect the disposition of the Company’s Public Safety &amp; Security business unit. Accordingly, PSS (as defined below) and its subsidiaries have been reported in discontinued operations in the condensed consolidated financial statements for all periods presented.</w:t>
      </w:r>
    </w:p>
    <w:p>
      <w:pPr>
        <w:spacing w:after="0" w:line="16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a 52/53 week fiscal year ending on the last Sunday of the calendar year. The three month periods ended September 30, 2018 and October 1, 2017 consisted of a 13-week period and a 14-week periods respectively. The nine month periods ended September 30, 2018 and October 1, 2017 consisted of a 39-week period and a 40-week period, respectively. There are 52 calendar weeks in the fiscal year ending on December 30, 2018 and 53 calendar weeks in the fiscal year ending on December 31, 2017.</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and nine months ended September 30, 2018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 xml:space="preserve">In November 2016, the Financial Accounting Standards Board (“FASB”) issued Accounting Standards Update (“ASU”) 2016-18 (“ASU 2016-18”), </w:t>
      </w:r>
      <w:r>
        <w:rPr>
          <w:rFonts w:ascii="Arial" w:cs="Arial" w:eastAsia="Arial" w:hAnsi="Arial"/>
          <w:sz w:val="16"/>
          <w:szCs w:val="16"/>
          <w:i w:val="1"/>
          <w:iCs w:val="1"/>
          <w:color w:val="auto"/>
        </w:rPr>
        <w:t>Statement of Cash Flows (Topic 230) - Restricted Cash</w:t>
      </w:r>
      <w:r>
        <w:rPr>
          <w:rFonts w:ascii="Arial" w:cs="Arial" w:eastAsia="Arial" w:hAnsi="Arial"/>
          <w:sz w:val="16"/>
          <w:szCs w:val="16"/>
          <w:color w:val="auto"/>
        </w:rPr>
        <w:t>, which requires that restricted cash and cash equivalents be included with cash and cash equivalents when reconciling beginning-of-period and end-of-period total amounts shown on the consolidated statements of cash flows. ASU 2016-18 is effective for public entities for fiscal years beginning after December 15, 2017 and for interim periods therein. The Company adopted ASU 2016-18 as of January 1, 2018. The adoption of the ASU 2016-18 did not have a material impact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August 2016, the FASB issued ASU 2016-15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ASU 2016-15 is designed to clarify how entities should classify cash receipts and cash payments in the statement of cash flows. ASU 2016-15 became effective for the Company beginning January 1, 2018. The standard requires retrospective application. The adoption of the ASU 2016-15 did not have a material impact on the Company’s consolidated financial statements.</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In February 2016, the FASB issued ASU 2016-02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which, among other things, allows a company to elect an optional transition method that applies the new lease requirements through a cumulative-effect adjustment in the period of adoption. The Company expects to adopt the standard on December 31, 2018 using the optional transition method. The Company is currently identifying and implementing appropriate changes to its policies, business processes, systems and controls to support lease accounting and disclosures under ASU 2016-02. The majority of the Company’s existing lease arrangements are classified as operating leases, which the Company expects will continue to be classified as operating under the new standard. The Company does not expect the impact on the results of operations and cash flows after adoption to be material.</w:t>
      </w:r>
    </w:p>
    <w:p>
      <w:pPr>
        <w:spacing w:after="0" w:line="17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Effective January 1, 2018, the Company adopted ASU 2014-09, </w:t>
      </w:r>
      <w:r>
        <w:rPr>
          <w:rFonts w:ascii="Arial" w:cs="Arial" w:eastAsia="Arial" w:hAnsi="Arial"/>
          <w:sz w:val="18"/>
          <w:szCs w:val="18"/>
          <w:i w:val="1"/>
          <w:iCs w:val="1"/>
          <w:color w:val="auto"/>
        </w:rPr>
        <w:t>Revenue from Contracts with Customers, as amended (Topic 606)</w:t>
      </w:r>
      <w:r>
        <w:rPr>
          <w:rFonts w:ascii="Arial" w:cs="Arial" w:eastAsia="Arial" w:hAnsi="Arial"/>
          <w:sz w:val="18"/>
          <w:szCs w:val="18"/>
          <w:color w:val="auto"/>
        </w:rPr>
        <w:t xml:space="preserve"> (“ASC 606”), which establishes a broad principle that requires entities to assess the products or services promised in contracts with customers at contract inception to determine the appropriate unit at which to record revenues, which is referred to as a performance obligation. Revenue is recognized when control of the promised products or services is transferred to customers, at an amount that reflects the consideration to which the entity expects to be entitled in exchange for those products or services. The new standard supersedes GAAP guidance on revenue recognition and requires the use of more estimates and judgments than the present standards. In addition, the standard requires disclosure of the nature, amount, timing, and uncertainty of revenue and cash flows arising from contracts with customers.</w:t>
      </w:r>
    </w:p>
    <w:p>
      <w:pPr>
        <w:spacing w:after="0" w:line="189"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ASC 606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adopted the new revenue standard through the use of the modified-retrospective method. The cumulative effects of applying the new guidance to all contracts with customers that were not completed as of January 1, 2018 was recorded as a decrease in opening equity of $0.2 million. Additional disclosures have been included in Note 2 in accordance with the ASU. The following changes were made to the Company’s condensed consolidated balance sheet on January 1, 2018 as a result of the adoption of ASC 606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Balance at</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ASC 606</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Adjusted Balance at</w:t>
            </w:r>
          </w:p>
        </w:tc>
      </w:tr>
      <w:tr>
        <w:trPr>
          <w:trHeight w:val="210"/>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January 1, 2018</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January 1, 2018</w:t>
            </w:r>
          </w:p>
        </w:tc>
      </w:tr>
      <w:tr>
        <w:trPr>
          <w:trHeight w:val="33"/>
        </w:trPr>
        <w:tc>
          <w:tcPr>
            <w:tcW w:w="5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72"/>
        </w:trPr>
        <w:tc>
          <w:tcPr>
            <w:tcW w:w="5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Unbilled receivables, net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139.4</w:t>
            </w:r>
          </w:p>
        </w:tc>
      </w:tr>
      <w:tr>
        <w:trPr>
          <w:trHeight w:val="27"/>
        </w:trPr>
        <w:tc>
          <w:tcPr>
            <w:tcW w:w="5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r>
      <w:tr>
        <w:trPr>
          <w:trHeight w:val="243"/>
        </w:trPr>
        <w:tc>
          <w:tcPr>
            <w:tcW w:w="5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5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Billings in excess of costs and earnings on uncompleted contracts</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43"/>
        </w:trPr>
        <w:tc>
          <w:tcPr>
            <w:tcW w:w="5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(721.0)</w:t>
            </w:r>
          </w:p>
        </w:tc>
      </w:tr>
      <w:tr>
        <w:trPr>
          <w:trHeight w:val="702"/>
        </w:trPr>
        <w:tc>
          <w:tcPr>
            <w:tcW w:w="5220" w:type="dxa"/>
            <w:vAlign w:val="bottom"/>
          </w:tcPr>
          <w:p>
            <w:pPr>
              <w:spacing w:after="0"/>
              <w:rPr>
                <w:sz w:val="24"/>
                <w:szCs w:val="24"/>
                <w:color w:val="auto"/>
              </w:rPr>
            </w:pPr>
          </w:p>
        </w:tc>
        <w:tc>
          <w:tcPr>
            <w:tcW w:w="1760" w:type="dxa"/>
            <w:vAlign w:val="bottom"/>
          </w:tcPr>
          <w:p>
            <w:pPr>
              <w:jc w:val="right"/>
              <w:ind w:right="11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impacts of ASC 606 adoption on the Company’s operating income from continuing operations for the three and nine months ended September 30, 2018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gridSpan w:val="6"/>
          </w:tcPr>
          <w:p>
            <w:pPr>
              <w:ind w:left="20"/>
              <w:spacing w:after="0"/>
              <w:rPr>
                <w:sz w:val="20"/>
                <w:szCs w:val="20"/>
                <w:color w:val="auto"/>
              </w:rPr>
            </w:pPr>
            <w:r>
              <w:rPr>
                <w:rFonts w:ascii="Arial" w:cs="Arial" w:eastAsia="Arial" w:hAnsi="Arial"/>
                <w:sz w:val="16"/>
                <w:szCs w:val="16"/>
                <w:b w:val="1"/>
                <w:bCs w:val="1"/>
                <w:color w:val="auto"/>
                <w:w w:val="92"/>
              </w:rPr>
              <w:t>Three Months Ended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Nine Months Ended</w:t>
            </w:r>
          </w:p>
        </w:tc>
        <w:tc>
          <w:tcPr>
            <w:tcW w:w="880" w:type="dxa"/>
            <w:vAlign w:val="bottom"/>
          </w:tcPr>
          <w:p>
            <w:pPr>
              <w:spacing w:after="0"/>
              <w:rPr>
                <w:sz w:val="17"/>
                <w:szCs w:val="17"/>
                <w:color w:val="auto"/>
              </w:rPr>
            </w:pPr>
          </w:p>
        </w:tc>
      </w:t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ind w:left="20"/>
              <w:spacing w:after="0"/>
              <w:rPr>
                <w:sz w:val="20"/>
                <w:szCs w:val="20"/>
                <w:color w:val="auto"/>
              </w:rPr>
            </w:pPr>
            <w:r>
              <w:rPr>
                <w:rFonts w:ascii="Arial" w:cs="Arial" w:eastAsia="Arial" w:hAnsi="Arial"/>
                <w:sz w:val="16"/>
                <w:szCs w:val="16"/>
                <w:b w:val="1"/>
                <w:bCs w:val="1"/>
                <w:color w:val="auto"/>
                <w:w w:val="90"/>
              </w:rPr>
              <w:t>September 30, 2018</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5"/>
          </w:tcPr>
          <w:p>
            <w:pPr>
              <w:ind w:left="80"/>
              <w:spacing w:after="0"/>
              <w:rPr>
                <w:sz w:val="20"/>
                <w:szCs w:val="20"/>
                <w:color w:val="auto"/>
              </w:rPr>
            </w:pPr>
            <w:r>
              <w:rPr>
                <w:rFonts w:ascii="Arial" w:cs="Arial" w:eastAsia="Arial" w:hAnsi="Arial"/>
                <w:sz w:val="16"/>
                <w:szCs w:val="16"/>
                <w:b w:val="1"/>
                <w:bCs w:val="1"/>
                <w:color w:val="auto"/>
                <w:w w:val="90"/>
              </w:rPr>
              <w:t>September 30, 2018</w:t>
            </w:r>
          </w:p>
        </w:tc>
        <w:tc>
          <w:tcPr>
            <w:tcW w:w="88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Balances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Balances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Without</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240" w:type="dxa"/>
            <w:vAlign w:val="bottom"/>
          </w:tcPr>
          <w:p>
            <w:pPr>
              <w:spacing w:after="0"/>
              <w:rPr>
                <w:sz w:val="17"/>
                <w:szCs w:val="17"/>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Effect of</w:t>
            </w: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Adoption of</w:t>
            </w:r>
          </w:p>
        </w:tc>
        <w:tc>
          <w:tcPr>
            <w:tcW w:w="30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As</w:t>
            </w:r>
          </w:p>
        </w:tc>
        <w:tc>
          <w:tcPr>
            <w:tcW w:w="12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Adoption of</w:t>
            </w:r>
          </w:p>
        </w:tc>
        <w:tc>
          <w:tcPr>
            <w:tcW w:w="24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Change</w:t>
            </w:r>
          </w:p>
        </w:tc>
      </w:t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w w:val="91"/>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ASC 606</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Higher/(Lower)</w:t>
            </w:r>
          </w:p>
        </w:tc>
        <w:tc>
          <w:tcPr>
            <w:tcW w:w="1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Reported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ASC 606</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4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color w:val="auto"/>
              </w:rPr>
              <w:t>Service revenues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54.9</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w:t>
            </w:r>
          </w:p>
        </w:tc>
      </w:tr>
      <w:tr>
        <w:trPr>
          <w:trHeight w:val="217"/>
        </w:trPr>
        <w:tc>
          <w:tcPr>
            <w:tcW w:w="496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21.0</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Cost of product sales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15.5</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costs</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color w:val="auto"/>
              </w:rPr>
              <w:t>Operating income from continuing operations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w:t>
            </w:r>
          </w:p>
        </w:tc>
      </w:tr>
      <w:tr>
        <w:trPr>
          <w:trHeight w:val="33"/>
        </w:trPr>
        <w:tc>
          <w:tcPr>
            <w:tcW w:w="4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impacts of ASC 606 adoption on the Company’s balance sheet as of September 30, 2018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September 30, 2018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Balances Without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Adoption of ASC</w:t>
            </w:r>
          </w:p>
        </w:tc>
        <w:tc>
          <w:tcPr>
            <w:tcW w:w="140" w:type="dxa"/>
            <w:vAlign w:val="bottom"/>
          </w:tcPr>
          <w:p>
            <w:pPr>
              <w:spacing w:after="0"/>
              <w:rPr>
                <w:sz w:val="17"/>
                <w:szCs w:val="17"/>
                <w:color w:val="auto"/>
              </w:rPr>
            </w:pPr>
          </w:p>
        </w:tc>
        <w:tc>
          <w:tcPr>
            <w:tcW w:w="1340" w:type="dxa"/>
            <w:vAlign w:val="bottom"/>
          </w:tcPr>
          <w:p>
            <w:pPr>
              <w:jc w:val="right"/>
              <w:ind w:right="73"/>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As Reported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right="251"/>
              <w:spacing w:after="0"/>
              <w:rPr>
                <w:sz w:val="20"/>
                <w:szCs w:val="20"/>
                <w:color w:val="auto"/>
              </w:rPr>
            </w:pPr>
            <w:r>
              <w:rPr>
                <w:rFonts w:ascii="Arial" w:cs="Arial" w:eastAsia="Arial" w:hAnsi="Arial"/>
                <w:sz w:val="16"/>
                <w:szCs w:val="16"/>
                <w:b w:val="1"/>
                <w:bCs w:val="1"/>
                <w:color w:val="auto"/>
                <w:w w:val="89"/>
              </w:rPr>
              <w:t>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Higher/(Lower)</w:t>
            </w:r>
          </w:p>
        </w:tc>
      </w:tr>
      <w:tr>
        <w:trPr>
          <w:trHeight w:val="33"/>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4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Inventoried costs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(729.2)</w:t>
            </w:r>
          </w:p>
        </w:tc>
        <w:tc>
          <w:tcPr>
            <w:tcW w:w="4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5.5</w:t>
            </w:r>
          </w:p>
        </w:tc>
      </w:tr>
    </w:tbl>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than the adjustments noted above, there have been no changes in the Company’s significant accounting policies for the nine months ended September 30, 2018 as compared to the significant accounting policies described in the Form 10-K.</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September 30, 2018 and December 31, 2017 are presented in Note 9. The carrying 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September 30, 2018 and December 31, 2017 due to the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described in Note 1, the Company adopted ASC 606 on January 1, 2018, using the modified retrospective method. The Company recorded a decrease in opening equity of $0.2 million as of January 1, 2018 due to the cumulative impact of</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adopting ASC 606. The impact of adopting ASC 606 for the three months ended September 30, 2018 was an increase of $5.3 million to revenues and a corresponding increase in cost of revenues of $3.8 million. The impact of adopting ASC 606 for the nine months ended September 30, 2018 was an increase of $21.0 million to revenues and a corresponding increase in cost of revenues of $15.5 million. Total net cash provided by operating activities from continuing operations, total net cash provided by investing activities from continuing operations and total net cash provided by financing activities on the Company’s consolidated statements of cash flows were not impacted by the adoption of ASC 606. Discontinued operations were not affected by the implementation of ASC 606.</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The reported results for 2018 reflect the application of ASC 606 guidance while the reported results for periods prior to January 1, 2018 were prepared under the guidance of FASB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The adoption of ASC 606 represents a change in accounting principle. In accordance with ASC 606, revenue is recognized when a customer obtains control of promised services and products. The amount of revenue recognized reflects the consideration that the Company expects to be entitled to receive in exchange for these services and products.</w:t>
      </w:r>
    </w:p>
    <w:p>
      <w:pPr>
        <w:spacing w:after="0" w:line="15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Prior to the adoption of ASC 606, the Company recognized the majority of its revenues using the percentage-of completion method of accounting. Based on the nature of products provided or services performed, revenue was recorded as costs were incurred (the “percentage-of-completion cost-to-cost method”) or as units were delivered (the “percentage-of completion units-of-delivery method”). For the majority of contracts,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w:t>
      </w:r>
    </w:p>
    <w:p>
      <w:pPr>
        <w:spacing w:after="0" w:line="16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ind w:right="180" w:firstLine="8"/>
        <w:spacing w:after="0" w:line="270"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Since the Company’s adoption of ASC 606 on January 1, 2018, revenues from remaining performance obligations are now calculated as the dollar value of the remaining performance obligations on executed contracts. On September 30, 2018, the Company had approximately $571.7 million of remaining performance obligations. The Company expects to recognize approximately 23.3% of the remaining performance obligations as revenue in 2018, an additional 42.6% by 2020, and the balance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Due to the nature of the work required to be performed on many performance obligations, the estimation of total revenue and cost at completion is complex, subject to many variables and requires significant judgment. It is common for the Company’s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 performance obligation is recognized in the period the loss is determined. No adjustment on any one contract was material to the Company’s unaudited condensed consolidated financial statements for the nine month periods ended September 30, 2018 and October 1, 2017. Total adjustments were not significant for the nine month period ended September 30,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Contract liabilities include advance payments and billings in excess of revenue recognized. Certain customers make advance payments prior to the satisfaction of the Company’s performance obligations on the contract. These amounts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1, 2018</w:t>
            </w:r>
          </w:p>
        </w:tc>
        <w:tc>
          <w:tcPr>
            <w:tcW w:w="26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rPr>
              <w:t>Net Change</w:t>
            </w: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Contract assets increased $26.7 million during the nine months ended September 30, 2018, primarily due to the recognition of revenue related to the satisfaction or partial satisfaction of performance obligations during the nine months ended September 30, 2018 for which the Company has not yet billed the customers. There were no significant impairment losses related to any receivables or contract assets arising from the Company’s contracts with customers during the nine months ended September 30, 2018. Contract liabilities decreased $4.0 million during the nine months ended September 30, 2018, primarily due to revenue recognized in excess of payments received on these performance obligations. For the three and nine months ended September 30, 2018, the Company recognized revenue of $14.5 million and $33.1 million, respectively, that was previously included in the beginning balance of contract liabilities.</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174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Nine Months Ended</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18"/>
                <w:szCs w:val="18"/>
                <w:color w:val="auto"/>
              </w:rPr>
            </w:pPr>
          </w:p>
        </w:tc>
        <w:tc>
          <w:tcPr>
            <w:tcW w:w="1740" w:type="dxa"/>
            <w:vAlign w:val="bottom"/>
          </w:tcPr>
          <w:p>
            <w:pPr>
              <w:jc w:val="right"/>
              <w:ind w:right="172"/>
              <w:spacing w:after="0"/>
              <w:rPr>
                <w:sz w:val="20"/>
                <w:szCs w:val="20"/>
                <w:color w:val="auto"/>
              </w:rPr>
            </w:pPr>
            <w:r>
              <w:rPr>
                <w:rFonts w:ascii="Arial" w:cs="Arial" w:eastAsia="Arial" w:hAnsi="Arial"/>
                <w:sz w:val="16"/>
                <w:szCs w:val="16"/>
                <w:b w:val="1"/>
                <w:bCs w:val="1"/>
                <w:color w:val="auto"/>
                <w:w w:val="97"/>
              </w:rPr>
              <w:t>September 30, 2018</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Kratos Government Solutions</w:t>
            </w:r>
          </w:p>
        </w:tc>
        <w:tc>
          <w:tcPr>
            <w:tcW w:w="3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price</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Cost plus fee</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materials</w:t>
            </w:r>
          </w:p>
        </w:tc>
        <w:tc>
          <w:tcPr>
            <w:tcW w:w="3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Total Kratos Government Solutions</w:t>
            </w:r>
          </w:p>
        </w:tc>
        <w:tc>
          <w:tcPr>
            <w:tcW w:w="3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w:t>
            </w:r>
          </w:p>
        </w:tc>
        <w:tc>
          <w:tcPr>
            <w:tcW w:w="3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Fixed price</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plus fee</w:t>
            </w:r>
          </w:p>
        </w:tc>
        <w:tc>
          <w:tcPr>
            <w:tcW w:w="3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Time and materials</w:t>
            </w: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Unmanned Systems</w:t>
            </w:r>
          </w:p>
        </w:tc>
        <w:tc>
          <w:tcPr>
            <w:tcW w:w="3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140" w:type="dxa"/>
            <w:vAlign w:val="bottom"/>
            <w:vMerge w:val="restart"/>
          </w:tcPr>
          <w:p>
            <w:pPr>
              <w:jc w:val="right"/>
              <w:ind w:right="143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174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Nine Months Ended</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18"/>
                <w:szCs w:val="18"/>
                <w:color w:val="auto"/>
              </w:rPr>
            </w:pPr>
          </w:p>
        </w:tc>
        <w:tc>
          <w:tcPr>
            <w:tcW w:w="1740" w:type="dxa"/>
            <w:vAlign w:val="bottom"/>
          </w:tcPr>
          <w:p>
            <w:pPr>
              <w:jc w:val="right"/>
              <w:ind w:right="172"/>
              <w:spacing w:after="0"/>
              <w:rPr>
                <w:sz w:val="20"/>
                <w:szCs w:val="20"/>
                <w:color w:val="auto"/>
              </w:rPr>
            </w:pPr>
            <w:r>
              <w:rPr>
                <w:rFonts w:ascii="Arial" w:cs="Arial" w:eastAsia="Arial" w:hAnsi="Arial"/>
                <w:sz w:val="16"/>
                <w:szCs w:val="16"/>
                <w:b w:val="1"/>
                <w:bCs w:val="1"/>
                <w:color w:val="auto"/>
                <w:w w:val="97"/>
              </w:rPr>
              <w:t>September 30, 2018</w:t>
            </w:r>
          </w:p>
        </w:tc>
        <w:tc>
          <w:tcPr>
            <w:tcW w:w="0" w:type="dxa"/>
            <w:vAlign w:val="bottom"/>
          </w:tcPr>
          <w:p>
            <w:pPr>
              <w:spacing w:after="0"/>
              <w:rPr>
                <w:sz w:val="1"/>
                <w:szCs w:val="1"/>
                <w:color w:val="auto"/>
              </w:rPr>
            </w:pPr>
          </w:p>
        </w:tc>
      </w:tr>
      <w:tr>
        <w:trPr>
          <w:trHeight w:val="33"/>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Commercial and other customers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U.S. Commercial and other customers</w:t>
            </w:r>
          </w:p>
        </w:tc>
        <w:tc>
          <w:tcPr>
            <w:tcW w:w="20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8"/>
        <w:spacing w:after="0" w:line="276" w:lineRule="auto"/>
        <w:tabs>
          <w:tab w:leader="none" w:pos="187"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03" w:lineRule="exact"/>
        <w:rPr>
          <w:rFonts w:ascii="Arial" w:cs="Arial" w:eastAsia="Arial" w:hAnsi="Arial"/>
          <w:sz w:val="22"/>
          <w:szCs w:val="22"/>
          <w:color w:val="auto"/>
          <w:vertAlign w:val="superscript"/>
        </w:rPr>
      </w:pPr>
    </w:p>
    <w:p>
      <w:pPr>
        <w:ind w:right="180" w:firstLine="8"/>
        <w:spacing w:after="0" w:line="330" w:lineRule="auto"/>
        <w:tabs>
          <w:tab w:leader="none" w:pos="178" w:val="left"/>
        </w:tabs>
        <w:numPr>
          <w:ilvl w:val="0"/>
          <w:numId w:val="7"/>
        </w:numPr>
        <w:rPr>
          <w:rFonts w:ascii="Arial" w:cs="Arial" w:eastAsia="Arial" w:hAnsi="Arial"/>
          <w:sz w:val="20"/>
          <w:szCs w:val="20"/>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net working capital adjustment at closing (the “Transaction”). The Company expects to receive approximately $70 million of net cash proceeds from the Transaction, subject to a net working capital adjustment, after taking into account amounts to be paid by the Company pursuant to a negotiated transaction services agreement between the Company and Buyer, receipt by the Company of approximately $7 million in net working capital to be retained by the Company, and associated transaction fees and expenses. The Company currently expects that the net working capital retained by the Company will be collected by the first half of 2019 once certain legacy projects are completed and the project close-out process has been completed. The Company incurred approximately $2.7 million of transaction related costs, which has been reflected in the loss from discontinued operations in the periods incurred. The Company currently expects to recognize a net break-even on the Transaction once the aggregate net proceeds described above have been collected. Any changes or adjustments to the expected net proceeds will be reflected in future periods.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terms of the Indenture (as defined below) for the Company’s 6.5% Notes (as defined below) require that the net cash proceeds from asset dispositions (within 360 days from the date of any such sale) be either utilized to (i) repay or prepay amounts outstanding under the Credit Agreement (as defined below)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intends to utilize the net proceeds from the Transaction to fund growth initiatives by making investments in similar collateral in accordance with the terms of the Indenture.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In accordance with ASC 360-10-45-9,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360) and ASC 205-20-45-3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(Topic 205), PSS and its subsidiaries have been reported in discontinued operations in the accompanying condensed consolidated financial statements for all periods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3"/>
          </w:tcPr>
          <w:p>
            <w:pPr>
              <w:jc w:val="right"/>
              <w:ind w:right="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October 1, 2017</w:t>
            </w: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October 1, 2017</w:t>
            </w:r>
          </w:p>
        </w:tc>
      </w:tr>
      <w:tr>
        <w:trPr>
          <w:trHeight w:val="33"/>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Gain on disposal of discontinued operations before income taxes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 (loss) on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Operating results for 2018 are through the date of divestiture of June 11, 2018. Revenue and operating results for the three months ended September 30, 2018 reflect the performance on the contracts and working capital retained by the Company. Revenue and operating results for the nine months ended September 30, 2018 were impacted by approximately $1.8 million and $2.0 million, respectively, of cost adjustments on certain security system deployment projects for a mass transit authority. Transaction expenses of $0.0 million and $2.7 million, primarily comprised of investment advisory fees, legal fees, and other direct transaction expenses related to the Transaction, were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for the three and nine months ended September 30, 2018, respectively. Depreciation expense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was $0.0 million and $0.1 million for the three months ended September 30, 2018 and October 1, 2017, respectively, and $0.1 million and $0.2 million for the nine months ended September 30, 2018 and October 1, 2017,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in the accompanying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December 31, 2017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Accounts receivable, net and unbilled receivables, net</w:t>
            </w: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56.0</w:t>
            </w: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w:t>
            </w: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9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38.8</w:t>
            </w:r>
          </w:p>
        </w:tc>
      </w:tr>
      <w:tr>
        <w:trPr>
          <w:trHeight w:val="176"/>
        </w:trPr>
        <w:tc>
          <w:tcPr>
            <w:tcW w:w="8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in excess of cost and earnings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304"/>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51"/>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4"/>
        </w:trPr>
        <w:tc>
          <w:tcPr>
            <w:tcW w:w="8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September 30, 2018 and December 31, 2017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Kratos Government</w:t>
            </w:r>
          </w:p>
        </w:tc>
        <w:tc>
          <w:tcPr>
            <w:tcW w:w="220" w:type="dxa"/>
            <w:vAlign w:val="bottom"/>
          </w:tcPr>
          <w:p>
            <w:pPr>
              <w:spacing w:after="0"/>
              <w:rPr>
                <w:sz w:val="14"/>
                <w:szCs w:val="1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Unmanned Systems</w:t>
            </w:r>
          </w:p>
        </w:tc>
        <w:tc>
          <w:tcPr>
            <w:tcW w:w="440" w:type="dxa"/>
            <w:vAlign w:val="bottom"/>
          </w:tcPr>
          <w:p>
            <w:pPr>
              <w:spacing w:after="0"/>
              <w:rPr>
                <w:sz w:val="14"/>
                <w:szCs w:val="14"/>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As of September 30, 2018</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31, 2017</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$4.5 million and $7.9 million for the nine months ended September 30, 2018 and October 1,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600" w:type="dxa"/>
            <w:vAlign w:val="bottom"/>
          </w:tcPr>
          <w:p>
            <w:pPr>
              <w:ind w:left="180"/>
              <w:spacing w:after="0"/>
              <w:rPr>
                <w:sz w:val="20"/>
                <w:szCs w:val="20"/>
                <w:color w:val="auto"/>
              </w:rPr>
            </w:pPr>
            <w:r>
              <w:rPr>
                <w:rFonts w:ascii="Arial" w:cs="Arial" w:eastAsia="Arial" w:hAnsi="Arial"/>
                <w:sz w:val="18"/>
                <w:szCs w:val="18"/>
                <w:color w:val="auto"/>
              </w:rPr>
              <w:t>Subtotal inventoried costs</w:t>
            </w:r>
          </w:p>
        </w:tc>
        <w:tc>
          <w:tcPr>
            <w:tcW w:w="4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4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4600" w:type="dxa"/>
            <w:vAlign w:val="bottom"/>
          </w:tcPr>
          <w:p>
            <w:pPr>
              <w:ind w:left="280"/>
              <w:spacing w:after="0"/>
              <w:rPr>
                <w:sz w:val="20"/>
                <w:szCs w:val="20"/>
                <w:color w:val="auto"/>
              </w:rPr>
            </w:pPr>
            <w:r>
              <w:rPr>
                <w:rFonts w:ascii="Arial" w:cs="Arial" w:eastAsia="Arial" w:hAnsi="Arial"/>
                <w:sz w:val="18"/>
                <w:szCs w:val="18"/>
                <w:color w:val="auto"/>
              </w:rPr>
              <w:t>Total inventoried costs</w:t>
            </w:r>
          </w:p>
        </w:tc>
        <w:tc>
          <w:tcPr>
            <w:tcW w:w="4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200" w:type="dxa"/>
            <w:vAlign w:val="bottom"/>
            <w:vMerge w:val="restart"/>
          </w:tcPr>
          <w:p>
            <w:pPr>
              <w:jc w:val="right"/>
              <w:ind w:right="291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October 1, 2017</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Impact from the adoption of ASC 606 (Note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 and warrants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cash</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 at end of period</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October 1, 2017</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There were no reclassifications from accumulated other comprehensive loss to net loss for the nine months ended September 30, 2018 and October 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Common stock issued by the Company for the nine months ended September 30, 2018 and October 1, 2017 was as follows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880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9"/>
              </w:rPr>
              <w:t>October 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Stock issued for cash</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28.0</w:t>
            </w:r>
          </w:p>
        </w:tc>
      </w:tr>
      <w:tr>
        <w:trPr>
          <w:trHeight w:val="27"/>
        </w:trPr>
        <w:tc>
          <w:tcPr>
            <w:tcW w:w="8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103.3</w:t>
            </w:r>
          </w:p>
        </w:tc>
      </w:tr>
      <w:tr>
        <w:trPr>
          <w:trHeight w:val="27"/>
        </w:trPr>
        <w:tc>
          <w:tcPr>
            <w:tcW w:w="88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Loss per Common Share</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w:t>
      </w:r>
      <w:r>
        <w:rPr>
          <w:rFonts w:ascii="Arial" w:cs="Arial" w:eastAsia="Arial" w:hAnsi="Arial"/>
          <w:sz w:val="18"/>
          <w:szCs w:val="18"/>
          <w:i w:val="1"/>
          <w:iCs w:val="1"/>
          <w:color w:val="auto"/>
        </w:rPr>
        <w:t>.</w:t>
      </w:r>
      <w:r>
        <w:rPr>
          <w:rFonts w:ascii="Arial" w:cs="Arial" w:eastAsia="Arial" w:hAnsi="Arial"/>
          <w:sz w:val="18"/>
          <w:szCs w:val="18"/>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0.0 million and 0.1 million for the three and nine months ended September 30, 2018, respectively, and 0.1 million and 0.2 million for the three and nine months ended October 1, 2017,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ind w:firstLine="554"/>
        <w:spacing w:after="0" w:line="287" w:lineRule="auto"/>
        <w:rPr>
          <w:sz w:val="20"/>
          <w:szCs w:val="20"/>
          <w:color w:val="auto"/>
        </w:rPr>
      </w:pPr>
      <w:r>
        <w:rPr>
          <w:rFonts w:ascii="Arial" w:cs="Arial" w:eastAsia="Arial" w:hAnsi="Arial"/>
          <w:sz w:val="16"/>
          <w:szCs w:val="16"/>
          <w:color w:val="auto"/>
        </w:rPr>
        <w:t>The U.S. government enacted tax legislation commonly known as the U.S. Tax Cuts and Jobs Act of 2017 on December 22, 2017 (the “Tax Act”). The Tax Act made broad and complex changes to the U.S. tax code, including but not limited to, a reduction to the U.S. federal corporate income tax rate from 35% to 21%; a one-time transition tax on certain unrepatriated earnings of foreign subsidiaries (the “Transition Tax”); eliminating the corporate alternative minimum tax (AMT) and changing realization of AMT credits; changing rules related to uses and limitations of net operating loss (NOL) carryforwards created in tax years after December 31, 2017; changes to the limitations on available interest expense deductions; and changes to other existing deductions and business-related exclusions. The SEC issued Staff Accounting Bulletin No. 118, “Income Tax Accounting Implications of the Tax Cuts and Jobs Act” (“SAB 118”), which provides guidance on the accounting for the tax effects of the Tax Act. SAB 118 provides a measurement period that should not extend beyond one year from the Tax Act enactment date to complete the accounting under ASC 740, “Income Taxes.” The Company’s accounting for the income tax effects of the Tax Act is incomplete. In accordance with SAB 118, the Company was able to make reasonable estimates of certain effects of the Tax Act reflected in the financial statements as of December 31, 2017. There have been no material changes to the provisional amounts as disclosed in the Form 10-K. The Company is continuing to evaluate the estimates used to record and disclose the effects of the Tax Act.</w:t>
      </w:r>
    </w:p>
    <w:p>
      <w:pPr>
        <w:spacing w:after="0" w:line="173" w:lineRule="exact"/>
        <w:rPr>
          <w:sz w:val="20"/>
          <w:szCs w:val="20"/>
          <w:color w:val="auto"/>
        </w:rPr>
      </w:pPr>
    </w:p>
    <w:p>
      <w:pPr>
        <w:jc w:val="both"/>
        <w:ind w:right="60" w:firstLine="554"/>
        <w:spacing w:after="0" w:line="264" w:lineRule="auto"/>
        <w:rPr>
          <w:sz w:val="20"/>
          <w:szCs w:val="20"/>
          <w:color w:val="auto"/>
        </w:rPr>
      </w:pPr>
      <w:r>
        <w:rPr>
          <w:rFonts w:ascii="Arial" w:cs="Arial" w:eastAsia="Arial" w:hAnsi="Arial"/>
          <w:sz w:val="18"/>
          <w:szCs w:val="18"/>
          <w:color w:val="auto"/>
        </w:rPr>
        <w:t>The Tax Act subjects a U.S. parent to the base erosion minimum tax (“BEAT”) and a current tax on its global intangible low-taxed income (“GILTI”). The Company has elected to recognize the resulting tax on GILTI as a period expense in the period the tax is incurred. The Company estimates that the effect from the BEAT and GILTI taxes on its effective tax rate will not be material.</w:t>
      </w:r>
    </w:p>
    <w:p>
      <w:pPr>
        <w:spacing w:after="0" w:line="181"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A reconciliation of the income tax provision from continuing operations computed by applying the statutory federal income tax rate of 21% to income from continuing operations before income taxes to the income tax provision for the three and nine months ended September 30, 2018, and applying the statutory federal income tax rate of 35% to loss from continuing operations before income taxes to the income tax provision for the three and nine months ended October 1, 2017 was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reserves for uncertain tax positions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For the nine months ended September 30, 2018, such limitations did not impact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NOLs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As of September 30, 2018 the Company has been notified by the Internal Revenue Service that its federal income tax return for the calendar year ended December 27, 2015 has been selected for examination. Additionally, the Company has been notified by the New York State Department of Taxation and Finance that it has been selected for examination of its income tax returns for the calendar years ended December 28, 2014, December 27, 2015, and December 25, 2016. The outcomes of the examinations has not been determined at this time.</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December 31, 2017, the Company had $14.0 million of unrecognized tax benefits that, if recognized, would impact the Company’s effective income tax rate for continuing operations, subject to possible offset by an increase in the deferred tax asset valuation allowance. During the nine months ended September 30, 2018, unrecognized tax benefits increased by $3.0 million relating to various current and prior year positions. As of December 31, 2017, the Company had $1.6 million of unrecognized tax benefits related to discontinued operations. During the nine months ended September 30, 2018, there was a decrease of $1.6 million in unrecognized tax benefits related to discontinued operations due to the disposition of the Company’s PSS division. In connection with the Company’s disposition of the PSS division, the Company entered into an agreement to indemnify the Buyer for any pre-acquisition tax liabilities. As a result of this arrangement, the Company recorded amounts that have historically been classified as unrecognized tax benefits into other long term liabilities.</w:t>
      </w:r>
    </w:p>
    <w:p>
      <w:pPr>
        <w:spacing w:after="0" w:line="167" w:lineRule="exact"/>
        <w:rPr>
          <w:sz w:val="20"/>
          <w:szCs w:val="20"/>
          <w:color w:val="auto"/>
        </w:rPr>
      </w:pPr>
    </w:p>
    <w:p>
      <w:pPr>
        <w:ind w:right="100" w:firstLine="567"/>
        <w:spacing w:after="0" w:line="273"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nine months ended September 30, 2018 and October 1, 2017, a $0.5 million expense and $0.4 million expense, respectively, were recorded related to interest and penalties related to unrecognized tax benefits. For the nine months ended September 30, 2018, there was a decrease of $0.8 million for interest and penalties removed as a result of the disposition of PSS. For the nine months ended October 1, 2017, there was no material benefit recorded related to the removal of interest and penalties. The Company believes that it is reasonably possible that as much as $0.4 million of the liabilities for uncertain tax positions will expire within twelve months of September 30, 2018 due to the expiration of various applicable statutes of limitation.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outstanding 7% Notes (as defined below). The total reacquisition price of the 7% Notes was $385.2 million, including a $12.0 million call premium, and $0.3 million of accrued interest.</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(i) all of the capital stock issued by such Subsidiary Guarantor or all or substantially all of the assets of such Subsidiary Guarantor are sold or otherwise disposed of; (ii) the Company designates such Subsidiary Guarantor as an Unrestricted Subsidiary (as defined in the Indenture); (iii) the Company exercises its legal defeasance option or its covenant defeasance option; or (iv)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(i) pay dividends on or make distributions or repurchase or redeem the Company’s capital stock or make other restricted payments; (ii) incur additional debt and guarantee debt;</w:t>
      </w: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prepay, redeem or repurchase certain debt; (iv) issue certain preferred stock or similar equity securities; (v) make loans and investments; (vi) sell assets;</w:t>
      </w:r>
    </w:p>
    <w:p>
      <w:pPr>
        <w:spacing w:after="0" w:line="32" w:lineRule="exact"/>
        <w:rPr>
          <w:rFonts w:ascii="Arial" w:cs="Arial" w:eastAsia="Arial" w:hAnsi="Arial"/>
          <w:sz w:val="16"/>
          <w:szCs w:val="16"/>
          <w:color w:val="auto"/>
        </w:rPr>
      </w:pPr>
    </w:p>
    <w:p>
      <w:pPr>
        <w:jc w:val="both"/>
        <w:ind w:firstLine="8"/>
        <w:spacing w:after="0" w:line="254" w:lineRule="auto"/>
        <w:tabs>
          <w:tab w:leader="none" w:pos="3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liens; (viii) consolidate, merge, sell or otherwise dispose of all or substantially all of the Company’s assets; (ix) enter into transactions with affiliates; and (x) enter into agreements restricting the Company’s ability and certain of its subsidiaries’ ability to pay dividends. These covenants are subject to a number of exceptions. As of September 30, 2018, the Company was in compliance with the covenants contained in the Indenture governing the 6.5% Notes.</w:t>
      </w:r>
    </w:p>
    <w:p>
      <w:pPr>
        <w:spacing w:after="0" w:line="1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terms of the Indenture require that the net cash proceeds from asset dispositions (within 360 days from the date of any such sale) be either utilized to (i) repay or prepay amounts outstanding under the Credit Agreement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As of September 30, 2018, there was $300.0 million in 6.5% Notes outstanding. The Company currently intends to invest the net proceeds from the Transaction (see Note 3) in replacement collateral under the Credit Agreement and Indenture within the 360 days following the Transaction.</w:t>
      </w:r>
    </w:p>
    <w:p>
      <w:pPr>
        <w:spacing w:after="0" w:line="14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2014, the Company refinanced its $625.0 million of 10% Senior Secured Notes due in 2017 (the “10% Notes”) with $625.0 million of newly issued 7.00% Senior Secured Notes due in 2019 (the “7% Notes”, and collectively with the 6.5% Notes, the “Notes”). The net proceeds from the issuance of the 7% Notes was $618.5 million after an original issue discount of $6.5 million. The Company incurred debt issuance costs of $8.8 million associated with the 7% Notes. The Company utilized the net proceeds from the issuance of the 7% Notes, a $41.0 million draw on its Credit Agreement,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 On October 16, 2014, the Company exchanged the outstanding 7% Notes for an equal amount of 7% Notes that had been registered under the Act.</w:t>
      </w:r>
    </w:p>
    <w:p>
      <w:pPr>
        <w:spacing w:after="0" w:line="1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among the Company, certain of the Company’s subsidiaries and Wilmington Trust, National Association, as trustee and collateral agent. The Company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December 25, 2016, the Company repurchased and extinguished $14.5 million of the outstanding 7%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7%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quarter ended December 31, 2017, the Company redeemed and extinguished the remaining $372.8 million of outstanding 7% Notes, which resulted in a loss of $12.0 million and the realization of $1.9 million of unamortized issuance cost and $1.3 million of unamortized discount resulting in a loss on extinguishment of debt of $15.2 million.</w:t>
      </w:r>
    </w:p>
    <w:p>
      <w:pPr>
        <w:spacing w:after="0" w:line="177" w:lineRule="exact"/>
        <w:rPr>
          <w:sz w:val="20"/>
          <w:szCs w:val="20"/>
          <w:color w:val="auto"/>
        </w:rPr>
      </w:pPr>
    </w:p>
    <w:p>
      <w:pPr>
        <w:jc w:val="right"/>
        <w:ind w:left="660" w:right="9500" w:hanging="652"/>
        <w:spacing w:after="0" w:line="566" w:lineRule="auto"/>
        <w:tabs>
          <w:tab w:leader="none" w:pos="39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Indebtedness </w:t>
      </w:r>
      <w:r>
        <w:rPr>
          <w:rFonts w:ascii="Arial" w:cs="Arial" w:eastAsia="Arial" w:hAnsi="Arial"/>
          <w:sz w:val="16"/>
          <w:szCs w:val="16"/>
          <w:i w:val="1"/>
          <w:iCs w:val="1"/>
          <w:color w:val="auto"/>
        </w:rPr>
        <w:t>Credit Agreement</w:t>
      </w:r>
    </w:p>
    <w:p>
      <w:pPr>
        <w:spacing w:after="0" w:line="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May 14, 2014, the Company entered into a $110.0 million Credit and Security Agreement, dated May 14, 2014 (the “Credit Agreement”), with the lenders from time to time party thereto, SunTrust Bank, as Agent (the “Agent”), PNC Bank, National Association, as Joint Lead Arranger and Documentation Agent (“PNC Bank”), and SunTrust Robinson Humphrey, Inc., as Joint Lead Arranger and Sole Book Runner (“SunTrust Robinson Humphrey”).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Notes, on all of the Company’s other assets.</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Credit Agreement contains certain covenants, which include, but are not limited to, restrictions on indebtedness, liens, and investments, and limits on other various payments, as well as a financial covenant relating to a minimum fixed charge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w:t>
      </w:r>
    </w:p>
    <w:p>
      <w:pPr>
        <w:spacing w:after="0" w:line="180"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by the Company of Herley Industries, Inc. and certain of Herley’s subsidiaries, including Herley-CTI, Inc., EW Simulation Technology, Ltd. and Stapor Research, Inc. (collectively, the “Herley Entities”), was approved by the lenders, a minimum $175.0 million repurchase of the 7%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in the Third Amendment)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the 7% Notes with proceeds from the sale of the Herley Entities shall be deemed to have occurred on the first day of the most recently completed four quarterly reporting periods prior to the sale.</w:t>
      </w:r>
    </w:p>
    <w:p>
      <w:pPr>
        <w:spacing w:after="0" w:line="19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On November 20, 2017, the Company entered into an amended and restated Credit Agreement with the lenders from time to time party thereto, the Agent, PNC Bank and SunTrust Robinson Humphrey. As amended and restated, the Credit Agreement establishes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including amounts due and owing under billed and unbilled accounts receivable, then held eligible raw materials inventory, work-in-process inventory, and applicable reserves.</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fifty percent of the lesser of the borrowing base or the total commitment amount.</w:t>
      </w:r>
    </w:p>
    <w:p>
      <w:pPr>
        <w:spacing w:after="0" w:line="12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June 11, 2018, the Company entered into a first amendment (the “First Amendment”) to the amended and restated Credit Agreement. Among other things, the First Amendment permitted the consummation of the Transaction, provided that certain conditions, including application of the proceeds in accordance with the terms of documents governing the Company’s outstanding indebtedness, were satisfied.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there were no borrowings outstanding on the Credit Agreement and $5.3 million outstanding on letters of credit, resulting in net borrowing base availability of $57.4 million. The Company was in compliance with the financial covenants of the Credit Agreement and its amendments as of September 30, 2018.</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had a $10.0 million ten-year term loan with a bank in Israel entered into on September 16, 2008 in connection with the acquisition of one of its wholly owned subsidiaries. The term loan was paid in full in the quarter ended September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September 30, 2018 and December 31, 2017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31, 2017</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120" w:firstLine="683"/>
        <w:spacing w:after="0" w:line="302" w:lineRule="auto"/>
        <w:rPr>
          <w:sz w:val="20"/>
          <w:szCs w:val="20"/>
          <w:color w:val="auto"/>
        </w:rPr>
      </w:pPr>
      <w:r>
        <w:rPr>
          <w:rFonts w:ascii="Arial" w:cs="Arial" w:eastAsia="Arial" w:hAnsi="Arial"/>
          <w:sz w:val="16"/>
          <w:szCs w:val="16"/>
          <w:color w:val="auto"/>
        </w:rPr>
        <w:t>As of September 30, 2018, the difference between the carrying amount of $294.0 million and the principal amount of $300.0 million presented in the table above is the unamortized debt issuance costs of $6.0 million, which are being accreted to interest expense over the term of the related debt. As of December 31, 2017, the difference between the carrying amount of $294.3 million and the principal amount of $300.8 million presented in the table above is the unamortized debt issuance costs of $6.5 million, which are being accreted to interest expense over the term of the related debt.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operates in two reportable segments. The Kratos Government Solutions (“KGS”) reportable segment is comprised of an aggregation of KGS operating segments, including the microwave electronic products, satellite communications, modular systems and defense and rocket support services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“Discontinued Operations” in Note 3, on June 11, 2018, the Company completed the sale of its PSS business unit which had previously been reported as a separate reportable business segment. Accordingly, PSS and its subsidiaries have been reported in discontinued operations in the accompanying condensed consolidated financial statements for all periods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acquisition and restructuring expenses, and other corporate costs not allocated to the segments, and other miscellaneous corporate activities.</w:t>
      </w:r>
    </w:p>
    <w:p>
      <w:pPr>
        <w:spacing w:after="0" w:line="178" w:lineRule="exact"/>
        <w:rPr>
          <w:sz w:val="20"/>
          <w:szCs w:val="20"/>
          <w:color w:val="auto"/>
        </w:rPr>
      </w:pPr>
    </w:p>
    <w:p>
      <w:pPr>
        <w:ind w:right="46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nine month periods ended September 30, 2018 and October 1, 2017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1, 2017</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October 1, 2017</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Unmanned Systems product sales</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Depreciation &amp; amortization:</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Included in the corporate operating income from continuing operations for the nine months ended September 30, 2018 is $2.3 million and $0.5 million of costs related to a pending legal settlement and associated legal costs, respectively, for a matter involving a former employee that was part of an acquisition of a legacy government services company in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including foreign military sales, amounted to approximately $120.8 million and $117.4 million, or 76% and 75% of total revenue, for the three months ended September 30, 2018 and October 1, 2017, respectively, and $328.3 million and $325.0 million, or 72% and 74% of total revenue, for the nine months ended September 30, 2018 and October 1,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 During the second quarter of 2018, the Company entered into a pending legal settlement for $2.3 million related to a matter involving a former employee that was part of an acquisition of a legacy government services company in 2006. The pending settlement and related legal fees of approximately $0.5 million are included in operating expenses for the nine months ended September 30, 2018.</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xml:space="preserve"> and foreign military sales,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31, 2017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28, 2018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Kratos is a government contractor at the forefront of the DoD’s Third Offset Strategy and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 key element of our business plan is to make Company-funded investments related to key platforms, products and systems, so that we own the related intellectual property, providing us designed in, sole and single source positions with our offerings.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space communications, microwave electronics, cyber security/warfare, missile defense, C5ISR and training systems. Our workforce is primarily engineering and technically oriented with a significant number of employees holding national security clearances. Substantially all of our work is performed at customer locations, or in a secure facility. Our primary end customers are national and homeland security related agencies.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entire organization is focused on executing our strategy of becoming the leading affordable systems, product, technology and intellectual property based company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9, 2018, Congress approved and the President signed the Bipartisan Budget Act of 2018, which provides that:</w:t>
      </w:r>
    </w:p>
    <w:p>
      <w:pPr>
        <w:spacing w:after="0" w:line="225" w:lineRule="exact"/>
        <w:rPr>
          <w:sz w:val="20"/>
          <w:szCs w:val="20"/>
          <w:color w:val="auto"/>
        </w:rPr>
      </w:pP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spending limits created by the Budget Control Act of 2011 will be increased by approximately $300 billion over the next two years;</w:t>
      </w:r>
    </w:p>
    <w:p>
      <w:pPr>
        <w:spacing w:after="0" w:line="23" w:lineRule="exact"/>
        <w:rPr>
          <w:rFonts w:ascii="Arial" w:cs="Arial" w:eastAsia="Arial" w:hAnsi="Arial"/>
          <w:sz w:val="18"/>
          <w:szCs w:val="18"/>
          <w:color w:val="auto"/>
        </w:rPr>
      </w:pPr>
    </w:p>
    <w:p>
      <w:pPr>
        <w:ind w:left="420" w:right="100" w:hanging="250"/>
        <w:spacing w:after="0" w:line="250"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defense spending will be increased by $80 billion in the current fiscal year (“FY18”) and by $85 billion next fiscal year (FY19), to approximately $700 billion and $705 billion, respectively;</w:t>
      </w: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spending will be increased by $63 billion this year and by $68 billion next year;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Congress will suspend the debt limit through March 2019, putting the next debt limit vote past the 2018 midterm elections.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Congress and the President also executed a fifth continuing resolution authorization through March 23, 2018, to provide congressional appropriators the time required to appropriately document and allocate the authorized spending. On March 23, 2018, the President signed the Omnibus Appropriations Act for FY18, which provides $1.3 trillion in discretionary funding for federal agencies. In total for FY 18, Congress appropriated approximately $700 billion for national security, including approximately $630 billion for base discretionary funding and approximately $70 billion in Overseas Contingency Operations “OCO” funding.</w:t>
      </w:r>
    </w:p>
    <w:p>
      <w:pPr>
        <w:spacing w:after="0" w:line="188" w:lineRule="exact"/>
        <w:rPr>
          <w:sz w:val="20"/>
          <w:szCs w:val="20"/>
          <w:color w:val="auto"/>
        </w:rPr>
      </w:pPr>
    </w:p>
    <w:p>
      <w:pPr>
        <w:ind w:right="580" w:firstLine="648"/>
        <w:spacing w:after="0" w:line="259" w:lineRule="auto"/>
        <w:rPr>
          <w:sz w:val="20"/>
          <w:szCs w:val="20"/>
          <w:color w:val="auto"/>
        </w:rPr>
      </w:pPr>
      <w:r>
        <w:rPr>
          <w:rFonts w:ascii="Arial" w:cs="Arial" w:eastAsia="Arial" w:hAnsi="Arial"/>
          <w:sz w:val="18"/>
          <w:szCs w:val="18"/>
          <w:color w:val="auto"/>
        </w:rPr>
        <w:t>On September 28, 2018, full-year appropriations for FY 19 were enacted representing over half of discretionary federal spending. For FY 19, Congress appropriated approximately $716 billion for national security, including approximately $647 billion for base discretionary funding and approximately $69 billion in OCO funding. A continuing resolution is in place to provide funding for other agencies (including NASA and other civil agencies) through December 7, 2018.</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 in the future. If a prolonged government shutdown or disruption were to occur, it could result in program cancellations and/or stop work orders and could limit our ability to perform on our U.S. Government contracts and the U.S. Government’s ability to make timely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has historically operated in three reportable segments. The Kratos Government Solutions (“KGS”) reportable segment is comprised of an aggregation of KGS operating segments, including our microwave electronic products, satellite communications, modular systems and defense and rocket support services operating segments. The Unmanned Systems (“US”) reportable segment consists of our unmanned aerial system and unmanned ground and seaborne system businesses. The Public Safety &amp; Security reportable segment (which was divested in June 2018 and has been classified as discontinued operations - see Note 3 of the notes to the condensed consolidated financial statements contained within this Quarterly report) previously provided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w:t>
      </w:r>
    </w:p>
    <w:p>
      <w:pPr>
        <w:spacing w:after="0" w:line="18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June 11, 2018, we completed the sale of all the issued and outstanding capital stock of Kratos Public Safety &amp; Security Solutions, Inc., a Delaware corporation and wholly owned subsidiary of the Company (“PSS”), to Securitas Electronic Security, Inc., a Delaware corporation (“Buyer”). Pursuant to the terms of that certain Stock Purchase Agreement, dated February 28, 2018, by and among Kratos, PSS and the Buyer , the Buyer agreed to purchase all of the issued and outstanding capital stock of PSS for a purchase price of $69 million in cash, subject to a net working capital adjustment at closing (the “Transaction”). We expect to receive approximately $70 million of net cash proceeds from the Transaction, after taking into account amounts to be paid by us pursuant to a negotiated transaction services agreement between us and the Buyer, receipt of approximately $7.0 million in net working capital to be retained by the Company, and associated transaction fees and expenses, and subject to a net working capital adjustment. We currently expect that the net working capital retained by the Company will be collected by the first half of 2019 once certain legacy projects are completed and the project close-out process has been completed. The Company currently expects to recognize a net break-even on the Transaction once the aggregate net proceeds described above have been collected. Any changes or adjustments to the expected net proceeds will be reflected in future periods.</w:t>
      </w:r>
    </w:p>
    <w:p>
      <w:pPr>
        <w:spacing w:after="0" w:line="16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additional information regarding our reportable segments, see Note 10 of the notes to condensed consolidated financial statements contained within this Quarterly Report. From a customer and solutions perspective, we view our business as an integrated whole, leveraging skills and assets wherever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Effective January 1, 2018, we adopted the requirements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utilizing the modified retrospective method as discussed in Notes 1 and 2 to the accompanying condensed consolidated financial statements. Other than the adoption of ASC 606, there have been no changes to our key financial statement concepts for the nine months ended September 30, 2018. For a complete description of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business and a discussion of our critical accounting matters, please refer to Item 7, “Management’s Discussion and Analysis of Financial Condition and Results of Operations,”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30, 2018 to the Three Months Ended October 1,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September 30, 2018 and October 1, 2017 are as follows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 2017</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97"/>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r>
      <w:tr>
        <w:trPr>
          <w:trHeight w:val="284"/>
        </w:trPr>
        <w:tc>
          <w:tcPr>
            <w:tcW w:w="4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47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Revenues increased $2.3 million to $159.4 million for the three months ended September 30, 2018 from $157.1 million for the three months ended October 1, 2017. Revenues in our KGS segment increased $10.6 million due primarily to increased work performed in our satellite communications business of $12.0 million and $1.2 million in our training systems business, partially offset by reductions in our legacy government services business which has been impacted by continued commoditization and price competitiveness in the government services industry due to contract awards on a lowest price technically acceptable (“LPTA”) basis rather than on a best value basis and reductions in our modular systems business. Revenues in our US segment decreased as compared to the three months ended October 1, 2017 due to the timing of the ramp in production on certain programs in 2017, including the AFSAT/167 program, the SSAT/177 aerial targets program which was awarded in July 2017, and an international program for aerial targets, offset partially by the impact from the acceleration in revenue recognition resulting from the implementation of ASC 606.</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Product sales decreased $5.0 million to $104.5 million for the three months ended September 30, 2018 from $109.5 million for the three months ended October 1, 2017, as a result of reduced production activity in our US segment, as certain new programs began to ramp in 2017. As a percentage of total revenue, product sales were 65.6% for the three months ended September 30, 2018 as compared to 69.7% for the three months ended October 1, 2017. Service revenues increased by $7.3 million to $54.9 million for the three months ended September 30, 2018 from $47.6 million for the three months ended October 1, 2017. The increase was primarily related to services performed related to products in our satellite communications business within KGS.</w:t>
      </w:r>
    </w:p>
    <w:p>
      <w:pPr>
        <w:spacing w:after="0" w:line="15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$4.6 million to $115.3 million for the three months ended September 30, 2018 from $119.9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October 1, 2017. The decrease in cost of revenues was primarily a result of the revenue changes discussed above.</w:t>
      </w:r>
    </w:p>
    <w:p>
      <w:pPr>
        <w:spacing w:after="0" w:line="14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Gross margin increased to 27.7% for the three months ended September 30, 2018 from 23.7% for the three months ended October 1, 2017. Margins on services increased to 37.5% for the three months ended September 30, 2018 from 31.3% for the three months ended October 1, 2017, due primarily to a more favorable mix of revenues. Margins on product sales increased to 22.5% for the three months ended September 30, 2018 from 20.4% for the three months ended October 1, 2017, due primarily to the mix of products shipped. Margins in the KGS segment increased to 29.7% for the three months ended September 30, 2018 from 24.8% for the three months ended October 1, 2017, primarily as a result of a more favorable mix of revenues. Margins in the US segment decreased to 20.1% for the three months ended September 30, 2018 from 20.7% for the three months ended October 1, 2017, primarily due to a less favorable mix of products being produced during the three months ended September 30, 2018.</w:t>
      </w:r>
    </w:p>
    <w:p>
      <w:pPr>
        <w:spacing w:after="0" w:line="178"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$29.5 million for the three months ended September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$32.9 million for the three months ended October 1, 2017. As a percentage of revenues, SG&amp;A decreased to 18.5% at September 30, 2018 from 20.9% at October 1, 2017 primarily as a result of cost reduction actions taken by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i w:val="1"/>
          <w:iCs w:val="1"/>
          <w:color w:val="auto"/>
        </w:rPr>
        <w:t>Research and Development (</w:t>
      </w:r>
      <w:r>
        <w:rPr>
          <w:rFonts w:ascii="Arial" w:cs="Arial" w:eastAsia="Arial" w:hAnsi="Arial"/>
          <w:sz w:val="18"/>
          <w:szCs w:val="18"/>
          <w:color w:val="auto"/>
        </w:rPr>
        <w:t>“</w:t>
      </w:r>
      <w:r>
        <w:rPr>
          <w:rFonts w:ascii="Arial" w:cs="Arial" w:eastAsia="Arial" w:hAnsi="Arial"/>
          <w:sz w:val="18"/>
          <w:szCs w:val="18"/>
          <w:i w:val="1"/>
          <w:iCs w:val="1"/>
          <w:color w:val="auto"/>
        </w:rPr>
        <w:t>R&amp;D</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R&amp;D expenses were $4.4 million for the three months ended September 30, 2018 and $4.2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October 1, 2017. As a percentage of revenues, R&amp;D increased to 2.8% for the three months ended September 30, 2018 from 2.7% the three months ended October 1, 2017. R&amp;D expenditures are primarily related to investments we are making in coordination with our customers, with the objective of the Company owning the data package of new systems or platforms, or a “designed-in” position on the Company’s products on certain new long-term program opportunities.</w:t>
      </w:r>
    </w:p>
    <w:p>
      <w:pPr>
        <w:spacing w:after="0" w:line="18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The expense of $0.1 million for the three months ended September 30, 2018 was primarily due to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costs related to personnel reduction actions taken in the third quarter of 2018. There was $0.0 million expense for the three months ended October 1, 2017.</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$5.3 million from $7.1 million for the three months ended September 30, 2018 and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The decrease in expense of $1.8 million is primarily related to a $2.5 million reduction in interest expense reflecting the Company’s refinance of its 7% Notes in November 2017, which resulted in a reduced borrowing rate from 7.0% to 6.5% and a reduced outstanding principal balance from $431 million to $300 million offset by foreign currency transaction losses in the third quarter of 2018 as compared to foreign currency transaction gains in the third quarter of 2017.</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Income tax expense for the three months ended September 30, 2018 was $3.4 million. The income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October 1, 2017 was $1.1 million. For the three months ended September 30, 2018 and October 1, 2017, the expense and benefit was primarily a function of the estimated effective tax rate for the year and nonrecurring discrete items. The estimated effective tax rate is driven by estimated foreign taxes, estimated federal and state taxes, permanent book/tax differences, tax amortization of intangible assets that have an indefinite life under accounting principles generally accepted in the U.S. (“GAAP”) and the projected income or loss for the year. In addition, the income tax expense for the three months ended September 30, 2018 includes a discrete tax expense of $2.0 million related to an increase in uncertain tax positions.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The income from discontinued operations was $0.3 million for the three months ended September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income from discontinued operations was $1.6 million for the three months ended October 1, 2017.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30, 2018 to the Nine Months Ended October 1,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nine months ended September 30, 2018 and October 1, 2017 are as follows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 2017</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97"/>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r>
      <w:tr>
        <w:trPr>
          <w:trHeight w:val="284"/>
        </w:trPr>
        <w:tc>
          <w:tcPr>
            <w:tcW w:w="4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57"/>
        </w:trPr>
        <w:tc>
          <w:tcPr>
            <w:tcW w:w="48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Revenues increased $16.6 million to $453.6 million for the nine months ended September 30, 2018 from $437.0 million for the nine months ended October 1, 2017. Revenues in our KGS segment decreased $0.7 million due to reductions of approximately $21.3 million resulting from contract losses in our legacy government services business which has been impacted by continued commoditization and price competitiveness in the government services industry due to contract awards on a LPTA basis rather than on a best value basis, as well as a reduction of approximately $3.3 million primarily in our modular business. These reductions were partially offset by the approximately $5.3 million impact from the acceleration in revenue recognition resulting from the implementation of ASC 606 along with growth of approximately $18.9 million resulting from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recent contract awards and production in our satellite communications, ballistic missile target, microwave products and training solutions businesses. Revenues in our US segment increased due to the approximately $15.7 million impact from the acceleration in revenue recognition resulting from the implementation of ASC 606 that was positively affected by recent contract awards for our aerial target products, which include the commencement in July 2017 of low rate initial production of our SSAT/177 aerial targets for the U.S. Navy and the recent award from the U.S. Army for high performance unmanned aerial systems, both of which are now recognized using the percentage of completion method versus the units of delivery method under ASC 605.</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Product sales increased $19.3 million to $305.7 million for the nine months ended September 30, 2018 from $286.4 million for the nine months ended October 1, 2017, primarily as a result of a $21.0 million impact from the acceleration in revenue recognition resulting from the implementation of ASC 606, that was positively affected by an increase in production activity in our US segment. As a percentage of total revenue, product sales were 67.4% for the nine months ended September 30, 2018 as compared to 65.5% for the nine months ended October 1, 2017. Service revenues decreased by $2.7 million to $147.9 million for the nine months ended September 30, 2018 from $150.6 million for the nine months ended October 1, 2017. The decrease was primarily related to reductions in our legacy government services businesses within KGS.</w:t>
      </w:r>
    </w:p>
    <w:p>
      <w:pPr>
        <w:spacing w:after="0" w:line="17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$3.2 million to $329.4 million for the nine months ended September 30, 2018 from $326.2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October 1, 2017. The increase in cost of revenues was primarily a result of the revenue changes discussed above.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Gross margin increased to 27.4% for the nine months ended September 30, 2018 from 25.4% for the nine months ended October 1, 2017. Margins on services increased to 32.1% for the nine months ended September 30, 2018 from 29.1% for the nine months ended October 1, 2017, due primarily to a more favorable mix of revenues including the Company’s de-emphasis of lower margin opportunities. Margins on product sales increased to 25.1% for the nine months ended September 30, 2018 from 23.4% for the nine months ended October 1, 2017, primarily due to the mix of products shipped including the Company’s de-emphasis of lower margin opportunities. Margins in the KGS segment increased to 29.0% for the nine months ended September 30, 2018 from 26.7% for the nine months ended October 1, 2017, primarily as a result of a more favorable mix of revenues including the Company’s de-emphasis of lower margin opportunities. Margins in the US segment increased to 21.3% for the nine months ended September 30, 2018 from 19.4% for the nine months ended October 1, 2017, primarily due to a more favorable mix of products produced and shipped during the nine months ended September 30, 2018, the migration from development to production on certain platforms and the leverage on the overhead and manufacturing base due to the increase in production volumes and a de-emphasis of lower margin opportunities.</w:t>
      </w:r>
    </w:p>
    <w:p>
      <w:pPr>
        <w:spacing w:after="0" w:line="178"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i w:val="1"/>
          <w:iCs w:val="1"/>
          <w:color w:val="auto"/>
        </w:rPr>
        <w:t xml:space="preserve">SG&amp;A Expenses. </w:t>
      </w:r>
      <w:r>
        <w:rPr>
          <w:rFonts w:ascii="Arial" w:cs="Arial" w:eastAsia="Arial" w:hAnsi="Arial"/>
          <w:sz w:val="16"/>
          <w:szCs w:val="16"/>
          <w:color w:val="auto"/>
        </w:rPr>
        <w:t>SG&amp;A expense was $89.4 million for the nine months ended September 30, 2018 and $94.8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1, 2017. As a percentage of revenues, SG&amp;A decreased to 19.7% at September 30, 2018 from 21.7% at October 1, 2017, which is primarily due to the leverage on the fixed SG&amp;A infrastructure as revenues have increased, as well as the impact of cost reduction actions taken by the Company.</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R&amp;D Expenses. </w:t>
      </w:r>
      <w:r>
        <w:rPr>
          <w:rFonts w:ascii="Arial" w:cs="Arial" w:eastAsia="Arial" w:hAnsi="Arial"/>
          <w:sz w:val="18"/>
          <w:szCs w:val="18"/>
          <w:color w:val="auto"/>
        </w:rPr>
        <w:t>R&amp;D expenses were $11.6 million for the nine months ended September 30, 2018 and $12.7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2017. As a percentage of revenues, R&amp;D decreased to 2.6% for the nine months ended September 30, 2018 from 2.9% of revenues in the nine months ended October 1, 2017. R&amp;D expenditures are primarily related to investments we are making in coordination with our customers, with the objective of the Company owning the data package of a new system or platforms, or a “designed-in” position on of the Company’s products on certain new long-term program opportunities.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Restructuring Expenses and Other. </w:t>
      </w:r>
      <w:r>
        <w:rPr>
          <w:rFonts w:ascii="Arial" w:cs="Arial" w:eastAsia="Arial" w:hAnsi="Arial"/>
          <w:sz w:val="17"/>
          <w:szCs w:val="17"/>
          <w:color w:val="auto"/>
        </w:rPr>
        <w:t>The expense of $3.5 million for the nine months ended September 30, 2018 was primarily due to a pending</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settlement and related legal costs of approximately $2.8 million, and employee termination costs of approximately $0.7 million related to personnel reduction actions taken in the first, second, and third quarters of 2018. The expense of $0.3 million for the nine months ended October 1, 2017 was primarily due to employee termination costs related to personnel reduction actions taken in the first and second quarters of 2017.</w:t>
      </w:r>
    </w:p>
    <w:p>
      <w:pPr>
        <w:spacing w:after="0" w:line="17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decreased to $16.4 million from $24.3 million for the nine months ended September 30,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1, 2017, respectively. The decrease in other expense, net, of $7.9 million is primarily related to the loss of $1.4 million and the realization of $0.4 million of unamortized issuance cost and $0.3 million of unamortized discount from the repurchase and extinguishment of $62.7 million of our 7% Notes, which resulted in a $2.1 million loss on extinguishment of debt in the first quarter of 2017 along with a $7.0 million reduction in interest expense reflecting the Company’s refinance of its Senior Notes in November 2017, which resulted in a reduced borrowing rate from 7.0% to 6.5% and a reduced outstanding principal balance from $431 million to $300 million, offset by foreign currency transaction losses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nine months ended September 30, 2018 as compared to foreign currency transaction gains in the nine months ending October 1, 2017.</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nine months ended September 30, 2018 and October 1, 2017 was $4.4 million and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For the nine months ended September 30, 2018 and October 1, 2017, the expense was primarily a function of the estimated effective tax rate for the year and nonrecurring discrete items. The estimated effective tax rate is driven by estimated foreign taxes, estimated federal and state taxes, permanent book/tax differences, tax amortization of intangible assets that have an indefinite life under GAAP and the projected income or loss for the year. In addition, the income tax expense for the nine months ended September 30, 2018 includes a discrete tax expense of $3.3 million related to an increase in uncertain tax positions.</w:t>
      </w:r>
    </w:p>
    <w:p>
      <w:pPr>
        <w:spacing w:after="0" w:line="193" w:lineRule="exact"/>
        <w:rPr>
          <w:sz w:val="20"/>
          <w:szCs w:val="20"/>
          <w:color w:val="auto"/>
        </w:rPr>
      </w:pPr>
    </w:p>
    <w:p>
      <w:pPr>
        <w:ind w:right="80" w:firstLine="693"/>
        <w:spacing w:after="0" w:line="259"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loss from discontinued operations was $7.1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which includes a gain from disposal of $0.0 million and a loss of $6.4 million from operating activities through the completion of the Transaction and approximately $2.7 million of transaction-related expenses. The income from discontinued operations was $2.4 million for the nine months ended October 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93"/>
        <w:spacing w:after="0" w:line="255" w:lineRule="auto"/>
        <w:rPr>
          <w:sz w:val="20"/>
          <w:szCs w:val="20"/>
          <w:color w:val="auto"/>
        </w:rPr>
      </w:pPr>
      <w:r>
        <w:rPr>
          <w:rFonts w:ascii="Arial" w:cs="Arial" w:eastAsia="Arial" w:hAnsi="Arial"/>
          <w:sz w:val="18"/>
          <w:szCs w:val="18"/>
          <w:color w:val="auto"/>
        </w:rPr>
        <w:t>Since our adoption of ASC 606 on January 1, 2018, revenues from remaining performance obligations, also referred to as total backlog, are now calculated as the dollar value of our remaining performance obligations on executed contracts. On September 30, 2018, we had approximately $571.7 million of total backlog, of which $528.1 million was funded. We expect to recognize approximately 23.3% of the remaining total backlog as revenue in 2018, an additional 42.6% in 2019 and the balance thereafter. The adoption of ASC 606 resulted in a reduction of approximately $176.7 million of our total backlog as of September 30, 2018. Our comparable total backlog balance as of October 1, 2017, applying the requirements under ASC 606, was approximately $569.8 million, of which $495.5 million was funded.</w:t>
      </w:r>
    </w:p>
    <w:p>
      <w:pPr>
        <w:spacing w:after="0" w:line="19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at the most likely amount to which the Company is expected to be entitled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(IDIQ) contracts, only awarded or funded task orders are included for backlog purposes.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of September 30, 2018, we had cash and cash equivalents of $187.2 million compared with cash and cash equivalents of $130.5 million as of December 31, 2017, which includes $14.0 million and $10.7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We do not currently intend to repatriate these earnings.</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total debt, including principal due on our Notes, and other term debt decreased from $294.3 million at December 31, 2017 to $294.0 million at September 30, 2018, due to the principal payment required on our ten-year term loan with a bank in Israel, offset partially by the amortization of the discount on our Notes and the amortization of deferred financing costs.</w:t>
      </w:r>
    </w:p>
    <w:p>
      <w:pPr>
        <w:spacing w:after="0" w:line="18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fund capital expenditures, our internal research and development investments, our product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w:t>
      </w:r>
    </w:p>
    <w:p>
      <w:pPr>
        <w:spacing w:after="0" w:line="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have increased to 129 days as of September 30, 2018 from 116 days as of December 31, 2017,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17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4"/>
                <w:szCs w:val="14"/>
                <w:b w:val="1"/>
                <w:bCs w:val="1"/>
                <w:color w:val="auto"/>
                <w:w w:val="97"/>
              </w:rPr>
              <w:t>October 1, 2017</w:t>
            </w:r>
          </w:p>
        </w:tc>
      </w:tr>
      <w:tr>
        <w:trPr>
          <w:trHeight w:val="250"/>
        </w:trPr>
        <w:tc>
          <w:tcPr>
            <w:tcW w:w="8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204.7</w:t>
            </w: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investing cash flows of discontinued operations</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Net cash provided by operating activities from continuing operations for the nine months ended September 30, 2018 was positively impacted by increased operating income as compared to the nine months ended October 1, 2017, offset by changes in working capital accounts. The net use in working capital accounts for the nine months ended September 30, 2018 includes approximately $3.3 million of internal development investments we are making related to the Low Cost Attritable Unmanned Aerial System Demonstration (“LCASD”). For fiscal 2018, we expect to spend $5.0 million to $7.0 million on internal product development efforts that are the remaining non-capital expenditures related for the LCASD program.</w:t>
      </w:r>
    </w:p>
    <w:p>
      <w:pPr>
        <w:spacing w:after="0" w:line="17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Net cash provided by investing activities from continuing operations for the nine months ended September 30, 2018 was positively impacted by the approximately $66.7 million net proceeds, net of related transaction expenses, received from the Transaction. These proceeds were partially offset by capital expenditures of $17.9 million, which consist primarily of investments in machinery, computer hardware and software and improvement of our physical properties in order to maintain suitable conditions in which to conduct our business. We expect to receive approximately $70 million of net cash proceeds from the Transaction, after taking into account amounts to be paid by us pursuant to a negotiated transaction services agreement between us and the Buyer, receipt of approximately $7 million in net working capital to be retained by us, and associated transaction fees and expenses, subject to a net working capital adjustment. We currently expect that the net working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retained by the Company will be collected in the first half of 2019 once certain legacy projects are completed and the project close-out process has been completed.</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Net cash used in investing activities for the nine months ended October 1, 2017 is comprised of capital expenditures, which consist primarily of investment in machinery, computer hardware and software and improvement of our physical properties in order to maintain suitable conditions in which to conduct our business, as well as expenditures related to internal capital investments to build Company-owned capital aerial targets and related support equipment and tooling related to the LCASD and UTAP-22 platforms. During the nine months ended September 30, 2018, capital expenditures of approximately $10.9 million were incurred in our US business, primarily related to our unmanned combat target initiative. We expect our capital expenditures for fiscal 2018 to be significant due primarily to the capital aerial targets and related support equipment and tooling that we are building related to the LCASD and UTAP-22 platforms in our US business. These capital expenditures are expected to equal an aggregate of approximately $22.0 million to $25.0 million for fiscal 2018, with approximately $13.0 to $16.0 million related to our unmanned aerial system business. In addition, during the three months ended September 30, 2018, a final payment of approximately $2.9 million was paid for a previously acquired satellite communications technology.</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provided by financing activities from continuing operations was $1.7 million for the nine months ended September 30, 2018. Net cash provided by financing activities from continuing operations for the nine months ended October 1, 2017 was primarily net proceeds of $268.0 million from our equity offerings of approximately 28 million shares of common stock, partially offset by $64.0 million used to retire approximately $62.7 million in principal amount of outstanding 7% Notes.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operating cash flows of discontinued operations for the nine month period ended September 30, 2018 is substantially related to the discontinued operations of our Public Safety &amp; Security (PSS) business unit, which includes the payment of approximately $2.5 million to the Buyer of the PSS business pursuant to a negotiated transaction services agreement. The operating cash flows of discontinued operations for the nine month period ended October 1, 2017 is substantially related to the discontinued operations of our Public Safety &amp; Security business unit. The investing cash flow from discontinued operations for the nine months ended October 1, 2017 reflects cash used of $0.6 million, primarily related to the discontinued operations of Herley Industries, Inc. (“Herley”) and certain of Herley’s subsidiaries, including Herley-CTI, Inc., EW Simulation Technology, Ltd. and Stapor Research, Inc. (collectively, the “Herley Entities”).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We incurred debt issuance costs of $6.6 million associated with the new 6.5% Notes. We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(i) all of the capital stock issued by such Subsidiary Guarantor or all or substantially all of the assets of such Subsidiary Guarantor are sold or otherwise disposed of; (ii) we designate such Subsidiary Guarantor as an Unrestricted Subsidiary (as defined in the Indenture); (iii) we exercise our legal defeasance option or our covenant defeasance option; or (iv) upon satisfaction and discharge of the Indenture or payment in full in cash of the principal of, premium, if any, and accrued and unpaid interest on the 6.5% Notes.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(i) pay dividends on or make distributions or repurchase or redeem our capital stock or make other restricted payments; (ii) incur additional debt and guarantee debt; (iii) prepay, redeem or repurchase certain debt; (iv) issue certain preferred stock or similar equity securities; (v) make loans and investments; (vi) sell assets; (vii) incur liens; (viii) consolidate, merge, sell or otherwise dispose of all or substantially all of our assets; (ix) enter into transactions with affiliates; and (x) enter into agreements restricting our ability and certain of its subsidiaries’ ability to pay dividends. These covenants are subject to a number of exceptions. As of September 30, 2018, we were in compliance with the covenants contained in the Indenture governing the 6.5% Notes.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terms of the Indenture require that the net cash proceeds from asset dispositions (within 360 days from the date of any such sale) be either utilized to (i) repay or prepay amounts outstanding under the Credit Agreement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 The Company currently intends to invest the net proceeds from the Transaction in replacement collateral under the Credit Agreement and Indenture within the 360 days following the Transaction.</w:t>
      </w:r>
    </w:p>
    <w:p>
      <w:pPr>
        <w:spacing w:after="0" w:line="18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there was $300.0 million of 6.5% Notes outstanding.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May 2014, we refinanced our $625.0 million of 10% Senior Secured Notes due in 2017 (the “10% Notes”) with $625.0 million of newly issued 7.00% Senior Secured Notes due in 2019 (the “7% Notes” and collectively with the 6.5% Notes, the “Notes”). The net proceeds from the issuance of the 7% Notes was $618.5 million after an original issue discount of $6.5 million. We incurred debt issuance costs of $8.8 million associated with the 7% Notes. We utilized the net proceeds from the issuance of the 7% Notes, a $41.0 million draw on our Credit Agreement,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 On October 16, 2014, we exchanged the outstanding 7% Notes for an equal amount of 7% Notes that had been registered under the Act.</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among the Company, certain of the Company’s 100% owned domestic subsidiaries and Wilmington Trust, National Association, as trustee and collateral agent. We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25, 2016, we repurchased and extinguished $14.5 million of the outstanding 7% Notes, which resulted in a gain of $0.4 million offset by $0.1 million of unamortized issuance cost and $0.1 million of unamortized discount resulting in a gain on extinguishment of debt of $0.2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During the quarter ended March 26, 2017, we repurchased and extinguished $62.7 million of the outstanding 7%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quarter ended December 31, 2017, we redeemed and extinguished the remaining $372.8 million of outstanding 7% Notes, which resulted in a loss of $12.0 million and the realization of $1.9 million of unamortized issuance cost and $1.3 million of unamortized discount resulting in a loss on extinguishment of debt of $15.2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May 14, 2014, we entered into a $110.0 million Credit and Security Agreement, dated May 14, 2014 (the “Credit Agreement”), with the lenders from time to time party thereto, SunTrust Bank, as Agent (the “Agent”), PNC Bank, National Association, as Joint Lead Arranger and Documentation Agent (“PNC Bank”), and SunTrust Robinson Humphrey, Inc., as Joint Lead Arranger and Sole Book Runner (“SunTrust Robinson Humphrey”).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 and (ii) a second priority lien, junior to the lien securing the Notes, on all of our other assets.</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September 30, 2018,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us was required, and the payment in full of the outstanding balance of the Credit Agreement was required.</w:t>
      </w:r>
    </w:p>
    <w:p>
      <w:pPr>
        <w:ind w:right="140"/>
        <w:spacing w:after="0" w:line="281" w:lineRule="auto"/>
        <w:rPr>
          <w:sz w:val="20"/>
          <w:szCs w:val="20"/>
          <w:color w:val="auto"/>
        </w:rPr>
      </w:pPr>
      <w:r>
        <w:rPr>
          <w:rFonts w:ascii="Arial" w:cs="Arial" w:eastAsia="Arial" w:hAnsi="Arial"/>
          <w:sz w:val="16"/>
          <w:szCs w:val="16"/>
          <w:color w:val="auto"/>
        </w:rPr>
        <w:t>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w:t>
      </w:r>
    </w:p>
    <w:p>
      <w:pPr>
        <w:spacing w:after="0" w:line="1" w:lineRule="exact"/>
        <w:rPr>
          <w:sz w:val="20"/>
          <w:szCs w:val="20"/>
          <w:color w:val="auto"/>
        </w:rPr>
      </w:pPr>
    </w:p>
    <w:p>
      <w:pPr>
        <w:ind w:right="180" w:firstLine="8"/>
        <w:spacing w:after="0" w:line="252"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in the Third Amendment)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7% Notes with proceeds from the sale of the Herley Entities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shall be deemed to have occurred on the first day of the most recently completed four quarterly reporting periods prior to the sale.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20, 2017, we entered into an amended and restated Credit Agreement with the lenders from time to time party thereto, the Agent, PNC Bank and SunTrust Robinson Humphrey, Inc. As amended and restated, the Credit Agreement establishes a five-year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fifty percent of the lesser of the borrowing base or the total commitment amount.</w:t>
      </w:r>
    </w:p>
    <w:p>
      <w:pPr>
        <w:spacing w:after="0" w:line="1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June 11, 2018, we entered into a first amendment (the “First Amendment”) to the amended and restated Credit Agreement. Among other things, the First Amendment permitted the consummation of the Transaction, provided that certain conditions, including application of the proceeds in accordance with the terms of documents governing our outstanding indebtedness, were satisfied.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there were no borrowings outstanding on the Credit Agreement and $5.3 million was outstanding on letters of credit, resulting in net borrowing base availability of $57.4 million. We were in compliance with the financial covenants of the Credit Agreement and its amendments as of September 30,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jc w:val="both"/>
        <w:ind w:firstLine="690"/>
        <w:spacing w:after="0" w:line="277" w:lineRule="auto"/>
        <w:rPr>
          <w:sz w:val="20"/>
          <w:szCs w:val="20"/>
          <w:color w:val="auto"/>
        </w:rPr>
      </w:pPr>
      <w:r>
        <w:rPr>
          <w:rFonts w:ascii="Arial" w:cs="Arial" w:eastAsia="Arial" w:hAnsi="Arial"/>
          <w:sz w:val="18"/>
          <w:szCs w:val="18"/>
          <w:color w:val="auto"/>
        </w:rPr>
        <w:t>We assumed a $10.0 million ten-year term loan with a bank in Israel entered into on September 16, 2008 in connection with the acquisition of one of its wholly owned subsidiaries. The balance under the term loan was fully repaid as of September 30,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Effective January 1, 2018, we adopted the requirements of ASC 606 utilizing the modified retrospective method as discussed in Notes 1 and 2 to the accompanying condensed consolidated financial statements. Other than the adoption of ASC 606, there have been no significant changes to our “Critical Accounting Policies or Estimates” as compared to the significant accounting policies described in the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0" w:firstLine="648"/>
        <w:spacing w:after="0" w:line="264" w:lineRule="auto"/>
        <w:rPr>
          <w:sz w:val="20"/>
          <w:szCs w:val="20"/>
          <w:color w:val="auto"/>
        </w:rPr>
      </w:pPr>
      <w:r>
        <w:rPr>
          <w:rFonts w:ascii="Arial" w:cs="Arial" w:eastAsia="Arial" w:hAnsi="Arial"/>
          <w:sz w:val="18"/>
          <w:szCs w:val="18"/>
          <w:color w:val="auto"/>
        </w:rPr>
        <w:t>Since December 31, 2017,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September 30, 2018 that has materially affected, or is reasonably likely to materially affect, our internal control over financial reporting.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Note 12 of the notes to the condensed consolidated financial statements contained within this Quarterly Report for a discussion of our legal proceedings.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364"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gridSpan w:val="29"/>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8"/>
              </w:rPr>
              <w:t>2.1#†</w:t>
            </w:r>
          </w:p>
        </w:tc>
        <w:tc>
          <w:tcPr>
            <w:tcW w:w="20" w:type="dxa"/>
            <w:vAlign w:val="bottom"/>
          </w:tcPr>
          <w:p>
            <w:pPr>
              <w:spacing w:after="0"/>
              <w:rPr>
                <w:sz w:val="17"/>
                <w:szCs w:val="17"/>
                <w:color w:val="auto"/>
              </w:rPr>
            </w:pPr>
          </w:p>
        </w:tc>
        <w:tc>
          <w:tcPr>
            <w:tcW w:w="4200" w:type="dxa"/>
            <w:vAlign w:val="bottom"/>
            <w:gridSpan w:val="30"/>
          </w:tcPr>
          <w:p>
            <w:pPr>
              <w:spacing w:after="0" w:line="202"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Stock Purchase Agreement, dated May 31, 2015, among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Kratos Defense &amp; Security Solutions, Inc., Herley</w:t>
              </w:r>
            </w:hyperlink>
          </w:p>
        </w:tc>
        <w:tc>
          <w:tcPr>
            <w:tcW w:w="440" w:type="dxa"/>
            <w:vAlign w:val="bottom"/>
            <w:tcBorders>
              <w:top w:val="single" w:sz="8" w:color="0000FF"/>
            </w:tcBorders>
            <w:gridSpan w:val="11"/>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Industries, Inc., Ultra Electronics Defense Inc. and Ultra</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Electronics Holdings plc.</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w w:val="96"/>
              </w:rPr>
            </w:pPr>
            <w:hyperlink r:id="rId16">
              <w:r>
                <w:rPr>
                  <w:rFonts w:ascii="Arial" w:cs="Arial" w:eastAsia="Arial" w:hAnsi="Arial"/>
                  <w:sz w:val="18"/>
                  <w:szCs w:val="18"/>
                  <w:color w:val="0000FF"/>
                  <w:w w:val="96"/>
                </w:rPr>
                <w:t>Stock Purchase Agreement, dated February 28,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among Kratos Defense &amp; Security Solutions, Inc.,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Public Safety &amp; Security Solutions, Inc. and Securitas</w:t>
              </w:r>
            </w:hyperlink>
          </w:p>
        </w:tc>
        <w:tc>
          <w:tcPr>
            <w:tcW w:w="220" w:type="dxa"/>
            <w:vAlign w:val="bottom"/>
            <w:tcBorders>
              <w:top w:val="single" w:sz="8" w:color="0000FF"/>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Electronic Security,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20"/>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Certificate of Incorporation of</w:t>
              </w:r>
            </w:hyperlink>
          </w:p>
        </w:tc>
        <w:tc>
          <w:tcPr>
            <w:tcW w:w="3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Kratos Defense &amp; Security Solutions, Inc., as amended.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13"/>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Second Amended and Restated Bylaws of Kratos</w:t>
              </w:r>
            </w:hyperlink>
          </w:p>
        </w:tc>
        <w:tc>
          <w:tcPr>
            <w:tcW w:w="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Defense &amp; Security Solutions, Inc., as amended.</w:t>
              </w:r>
            </w:hyperlink>
          </w:p>
        </w:tc>
        <w:tc>
          <w:tcPr>
            <w:tcW w:w="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0000FF"/>
            </w:tcBorders>
            <w:gridSpan w:val="4"/>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Specimen Stock Certificate.</w:t>
              </w:r>
            </w:hyperlink>
          </w:p>
        </w:tc>
        <w:tc>
          <w:tcPr>
            <w:tcW w:w="218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6"/>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Indenture, dated as of May 14, 2014, among Kratos</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Defense &amp; Security Solutions, Inc., as Issuer, the</w:t>
              </w:r>
            </w:hyperlink>
          </w:p>
        </w:tc>
        <w:tc>
          <w:tcPr>
            <w:tcW w:w="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Guarantors party thereto, and Wilmington Trust, National</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Association, as Trustee and Collateral Agent (including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tcBorders>
            <w:gridSpan w:val="23"/>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the Form of 7.00% Senior Secured Notes due 2019).</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Registration Rights Agreement, dated as of May 14,</w:t>
              </w:r>
            </w:hyperlink>
          </w:p>
        </w:tc>
        <w:tc>
          <w:tcPr>
            <w:tcW w:w="20" w:type="dxa"/>
            <w:vAlign w:val="bottom"/>
            <w:tcBorders>
              <w:top w:val="single" w:sz="8" w:color="0000FF"/>
            </w:tcBorders>
          </w:tcPr>
          <w:p>
            <w:pPr>
              <w:spacing w:after="0"/>
              <w:rPr>
                <w:sz w:val="21"/>
                <w:szCs w:val="21"/>
                <w:color w:val="auto"/>
              </w:rPr>
            </w:pPr>
          </w:p>
        </w:tc>
        <w:tc>
          <w:tcPr>
            <w:tcW w:w="4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2014, among Kratos Defense &amp; Security Solutions, Inc.,</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5"/>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as Issuer, the Guarantors party thereto, and SunTrust</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Robinson Humphrey, Inc., as Representative of the Initial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Purchasers.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Indenture, dated as of November 20, 2017, among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Guarantors party thereto, and Wilmington Trust, National</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Association, as Trustee and Collateral Agent.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First Supplemental Indenture, dated as of December 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2017, among Kratos Defense &amp; Security Solutions,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as Issuer, the Guarantor as party thereto, and Wilmington</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Trust,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6"/>
          </w:tcPr>
          <w:p>
            <w:pPr>
              <w:spacing w:after="0" w:line="196" w:lineRule="exact"/>
              <w:rPr>
                <w:rFonts w:ascii="Arial" w:cs="Arial" w:eastAsia="Arial" w:hAnsi="Arial"/>
                <w:sz w:val="18"/>
                <w:szCs w:val="18"/>
                <w:color w:val="0000FF"/>
                <w:w w:val="97"/>
              </w:rPr>
            </w:pPr>
            <w:hyperlink w:anchor="page40">
              <w:r>
                <w:rPr>
                  <w:rFonts w:ascii="Arial" w:cs="Arial" w:eastAsia="Arial" w:hAnsi="Arial"/>
                  <w:sz w:val="18"/>
                  <w:szCs w:val="18"/>
                  <w:color w:val="0000FF"/>
                  <w:w w:val="97"/>
                </w:rPr>
                <w:t>Section 302 of the Sarbanes Oxley Act of 2002</w:t>
              </w:r>
              <w:r>
                <w:rPr>
                  <w:rFonts w:ascii="Arial" w:cs="Arial" w:eastAsia="Arial" w:hAnsi="Arial"/>
                  <w:sz w:val="18"/>
                  <w:szCs w:val="18"/>
                  <w:color w:val="000000"/>
                  <w:w w:val="97"/>
                </w:rPr>
                <w:t>.</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15"/>
          </w:tcPr>
          <w:p>
            <w:pPr>
              <w:spacing w:after="0" w:line="196" w:lineRule="exact"/>
              <w:rPr>
                <w:rFonts w:ascii="Arial" w:cs="Arial" w:eastAsia="Arial" w:hAnsi="Arial"/>
                <w:sz w:val="18"/>
                <w:szCs w:val="18"/>
                <w:color w:val="0000FF"/>
                <w:w w:val="96"/>
              </w:rPr>
            </w:pPr>
            <w:hyperlink w:anchor="page41">
              <w:r>
                <w:rPr>
                  <w:rFonts w:ascii="Arial" w:cs="Arial" w:eastAsia="Arial" w:hAnsi="Arial"/>
                  <w:sz w:val="18"/>
                  <w:szCs w:val="18"/>
                  <w:color w:val="0000FF"/>
                  <w:w w:val="96"/>
                </w:rPr>
                <w:t>Section 302 of the Sarbanes Oxley Act of 2002.</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11"/>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adopted pursuant to Section 906 of the Sarbanes-Oxley</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Act of 2002 for Eric M. DeMarco.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3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adopted pursuant to Section 906 of the Sarbanes-Oxley</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Act of 2002 for Deanna Lund.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05/10/2018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5500" w:space="120"/>
            <w:col w:w="580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right"/>
              <w:ind w:right="36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for the quarter ended September 30, 2018 formatted 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XBRL: (i) the Condensed Consolidated Balance Sheets,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140" w:firstLine="5"/>
        <w:spacing w:after="0" w:line="281" w:lineRule="auto"/>
        <w:tabs>
          <w:tab w:leader="none" w:pos="156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and Comprehensive Income (Loss), (iii) the Condensed Consolidated Statements of Cash Flows,</w:t>
      </w:r>
    </w:p>
    <w:p>
      <w:pPr>
        <w:spacing w:after="0" w:line="2" w:lineRule="exact"/>
        <w:rPr>
          <w:rFonts w:ascii="Arial" w:cs="Arial" w:eastAsia="Arial" w:hAnsi="Arial"/>
          <w:sz w:val="16"/>
          <w:szCs w:val="16"/>
          <w:color w:val="auto"/>
        </w:rPr>
      </w:pPr>
    </w:p>
    <w:p>
      <w:pPr>
        <w:ind w:left="1300" w:right="6120" w:firstLine="5"/>
        <w:spacing w:after="0" w:line="261" w:lineRule="auto"/>
        <w:tabs>
          <w:tab w:leader="none" w:pos="16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Notes to the Condensed Consolidated Financial Statements.</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6, 2018</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39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30, 2018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30, 2018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2"/>
    </w:lvl>
  </w:abstractNum>
  <w:abstractNum w:abstractNumId="3">
    <w:nsid w:val="140E0F76"/>
    <w:multiLevelType w:val="hybridMultilevel"/>
    <w:lvl w:ilvl="0">
      <w:lvlJc w:val="left"/>
      <w:lvlText w:val="(%1)"/>
      <w:numFmt w:val="lowerLetter"/>
      <w:start w:val="3"/>
    </w:lvl>
  </w:abstractNum>
  <w:abstractNum w:abstractNumId="4">
    <w:nsid w:val="3352255A"/>
    <w:multiLevelType w:val="hybridMultilevel"/>
    <w:lvl w:ilvl="0">
      <w:lvlJc w:val="left"/>
      <w:lvlText w:val="(%1)"/>
      <w:numFmt w:val="lowerLetter"/>
      <w:start w:val="6"/>
    </w:lvl>
  </w:abstractNum>
  <w:abstractNum w:abstractNumId="5">
    <w:nsid w:val="109CF92E"/>
    <w:multiLevelType w:val="hybridMultilevel"/>
    <w:lvl w:ilvl="0">
      <w:lvlJc w:val="left"/>
      <w:lvlText w:val="(%1)"/>
      <w:numFmt w:val="lowerRoman"/>
      <w:start w:val="4"/>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lowerRoman"/>
      <w:start w:val="7"/>
    </w:lvl>
  </w:abstractNum>
  <w:abstractNum w:abstractNumId="10">
    <w:nsid w:val="6B68079A"/>
    <w:multiLevelType w:val="hybridMultilevel"/>
    <w:lvl w:ilvl="0">
      <w:lvlJc w:val="left"/>
      <w:lvlText w:val="(%1)"/>
      <w:numFmt w:val="lowerLetter"/>
      <w:start w:val="2"/>
    </w:lvl>
  </w:abstractNum>
  <w:abstractNum w:abstractNumId="11">
    <w:nsid w:val="4E6AFB66"/>
    <w:multiLevelType w:val="hybridMultilevel"/>
    <w:lvl w:ilvl="0">
      <w:lvlJc w:val="left"/>
      <w:lvlText w:val="(%1)"/>
      <w:numFmt w:val="lowerLetter"/>
      <w:start w:val="3"/>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
      <w:numFmt w:val="bullet"/>
      <w:start w:val="1"/>
    </w:lvl>
    <w:lvl w:ilvl="1">
      <w:lvlJc w:val="left"/>
      <w:lvlText w:val="(%2)"/>
      <w:numFmt w:val="lowerRoman"/>
      <w:start w:val="2"/>
    </w:lvl>
  </w:abstractNum>
  <w:abstractNum w:abstractNumId="15">
    <w:nsid w:val="3F2DBA31"/>
    <w:multiLevelType w:val="hybridMultilevel"/>
    <w:lvl w:ilvl="0">
      <w:lvlJc w:val="left"/>
      <w:lvlText w:val="#"/>
      <w:numFmt w:val="bullet"/>
      <w:start w:val="1"/>
    </w:lvl>
    <w:lvl w:ilvl="1">
      <w:lvlJc w:val="left"/>
      <w:lvlText w:val="(%2)"/>
      <w:numFmt w:val="lowerRoman"/>
      <w:start w:val="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15" Type="http://schemas.openxmlformats.org/officeDocument/2006/relationships/hyperlink" Target="http://www.sec.gov/Archives/edgar/data/1069258/000106925815000029/ktos20150628ex-24.htm" TargetMode="External"/><Relationship Id="rId16" Type="http://schemas.openxmlformats.org/officeDocument/2006/relationships/hyperlink" Target="http://www.sec.gov/Archives/edgar/data/1069258/000106925818000021/ktos20180401ex-22.htm" TargetMode="External"/><Relationship Id="rId17" Type="http://schemas.openxmlformats.org/officeDocument/2006/relationships/hyperlink" Target="http://www.sec.gov/Archives/edgar/data/1069258/000106925817000009/ktos20161225ex-31.htm" TargetMode="External"/><Relationship Id="rId18" Type="http://schemas.openxmlformats.org/officeDocument/2006/relationships/hyperlink" Target="http://www.sec.gov/Archives/edgar/data/1069258/000106925817000009/ktos20161225ex-32.htm" TargetMode="External"/><Relationship Id="rId19" Type="http://schemas.openxmlformats.org/officeDocument/2006/relationships/hyperlink" Target="http://www.sec.gov/Archives/edgar/data/1069258/000106925817000009/kratoscommonformofcertif.htm" TargetMode="External"/><Relationship Id="rId20" Type="http://schemas.openxmlformats.org/officeDocument/2006/relationships/hyperlink" Target="http://www.sec.gov/Archives/edgar/data/1069258/000106925814000023/seniornotesregistration.htm" TargetMode="External"/><Relationship Id="rId21" Type="http://schemas.openxmlformats.org/officeDocument/2006/relationships/hyperlink" Target="http://www.sec.gov/Archives/edgar/data/1069258/000110465917069690/a17-27375_1ex4d1.htm" TargetMode="External"/><Relationship Id="rId22"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2019-12-28T18:28:12Z</dcterms:created>
  <dcterms:modified xsi:type="dcterms:W3CDTF">2019-12-28T18:28:12Z</dcterms:modified>
</cp:coreProperties>
</file>