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267335</wp:posOffset>
            </wp:positionV>
            <wp:extent cx="7274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72745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136525</wp:posOffset>
            </wp:positionV>
            <wp:extent cx="37909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90950" cy="6985"/>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4" w:lineRule="exact"/>
        <w:rPr>
          <w:sz w:val="24"/>
          <w:szCs w:val="24"/>
          <w:color w:val="auto"/>
        </w:rPr>
      </w:pPr>
    </w:p>
    <w:p>
      <w:pPr>
        <w:ind w:left="1880" w:hanging="317"/>
        <w:spacing w:after="0"/>
        <w:tabs>
          <w:tab w:leader="none" w:pos="1880" w:val="left"/>
        </w:tabs>
        <w:numPr>
          <w:ilvl w:val="0"/>
          <w:numId w:val="1"/>
        </w:numPr>
        <w:rPr>
          <w:rFonts w:ascii="MS PGothic" w:cs="MS PGothic" w:eastAsia="MS PGothic" w:hAnsi="MS PGothic"/>
          <w:sz w:val="19"/>
          <w:szCs w:val="19"/>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2019</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or</w:t>
      </w:r>
    </w:p>
    <w:p>
      <w:pPr>
        <w:spacing w:after="0" w:line="37" w:lineRule="exact"/>
        <w:rPr>
          <w:sz w:val="24"/>
          <w:szCs w:val="24"/>
          <w:color w:val="auto"/>
        </w:rPr>
      </w:pPr>
    </w:p>
    <w:p>
      <w:pPr>
        <w:ind w:left="1700" w:hanging="341"/>
        <w:spacing w:after="0"/>
        <w:tabs>
          <w:tab w:leader="none" w:pos="1700" w:val="left"/>
        </w:tabs>
        <w:numPr>
          <w:ilvl w:val="0"/>
          <w:numId w:val="2"/>
        </w:numPr>
        <w:rPr>
          <w:rFonts w:ascii="MS PGothic" w:cs="MS PGothic" w:eastAsia="MS PGothic" w:hAnsi="MS PGothic"/>
          <w:sz w:val="19"/>
          <w:szCs w:val="19"/>
          <w:color w:val="auto"/>
        </w:rPr>
      </w:pPr>
      <w:r>
        <w:rPr>
          <w:rFonts w:ascii="Arial" w:cs="Arial" w:eastAsia="Arial" w:hAnsi="Arial"/>
          <w:sz w:val="15"/>
          <w:szCs w:val="15"/>
          <w:b w:val="1"/>
          <w:bCs w:val="1"/>
          <w:color w:val="auto"/>
        </w:rPr>
        <w:t>TRANSITION REPORT PURSUANT TO SECTION 13 OR 15(d) OF THE SECURITIES AND EXCHANGE ACT OF 1934</w:t>
      </w:r>
    </w:p>
    <w:p>
      <w:pPr>
        <w:spacing w:after="0" w:line="61"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For the transition period from __________ to 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137795</wp:posOffset>
            </wp:positionV>
            <wp:extent cx="37909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90950" cy="698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60"/>
          </w:cols>
          <w:pgMar w:left="220" w:top="215" w:right="219" w:bottom="1440" w:gutter="0" w:footer="0" w:header="0"/>
        </w:sectPr>
      </w:pPr>
    </w:p>
    <w:p>
      <w:pPr>
        <w:spacing w:after="0" w:line="125" w:lineRule="exact"/>
        <w:rPr>
          <w:sz w:val="24"/>
          <w:szCs w:val="24"/>
          <w:color w:val="auto"/>
        </w:rPr>
      </w:pPr>
    </w:p>
    <w:p>
      <w:pPr>
        <w:ind w:left="25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13-3818604</w:t>
      </w:r>
    </w:p>
    <w:p>
      <w:pPr>
        <w:spacing w:after="0" w:line="81" w:lineRule="exact"/>
        <w:rPr>
          <w:sz w:val="24"/>
          <w:szCs w:val="24"/>
          <w:color w:val="auto"/>
        </w:rPr>
      </w:pPr>
    </w:p>
    <w:p>
      <w:pPr>
        <w:sectPr>
          <w:pgSz w:w="11900" w:h="16838" w:orient="portrait"/>
          <w:cols w:equalWidth="0" w:num="2">
            <w:col w:w="7540" w:space="720"/>
            <w:col w:w="3200"/>
          </w:cols>
          <w:pgMar w:left="220" w:top="215" w:right="219" w:bottom="1440" w:gutter="0" w:footer="0" w:header="0"/>
          <w:type w:val="continuous"/>
        </w:sectPr>
      </w:pPr>
    </w:p>
    <w:p>
      <w:pPr>
        <w:ind w:left="2040"/>
        <w:spacing w:after="0"/>
        <w:rPr>
          <w:sz w:val="20"/>
          <w:szCs w:val="20"/>
          <w:color w:val="auto"/>
        </w:rPr>
      </w:pPr>
      <w:r>
        <w:rPr>
          <w:rFonts w:ascii="Arial" w:cs="Arial" w:eastAsia="Arial" w:hAnsi="Arial"/>
          <w:sz w:val="13"/>
          <w:szCs w:val="13"/>
          <w:color w:val="auto"/>
        </w:rPr>
        <w:t>(State or other jurisdiction of</w:t>
      </w:r>
    </w:p>
    <w:p>
      <w:pPr>
        <w:spacing w:after="0" w:line="32" w:lineRule="exact"/>
        <w:rPr>
          <w:sz w:val="24"/>
          <w:szCs w:val="24"/>
          <w:color w:val="auto"/>
        </w:rPr>
      </w:pPr>
    </w:p>
    <w:p>
      <w:pPr>
        <w:ind w:left="20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16" w:lineRule="exact"/>
        <w:rPr>
          <w:sz w:val="24"/>
          <w:szCs w:val="24"/>
          <w:color w:val="auto"/>
        </w:rPr>
      </w:pPr>
    </w:p>
    <w:p>
      <w:pPr>
        <w:sectPr>
          <w:pgSz w:w="11900" w:h="16838" w:orient="portrait"/>
          <w:cols w:equalWidth="0" w:num="2">
            <w:col w:w="6840" w:space="720"/>
            <w:col w:w="3900"/>
          </w:cols>
          <w:pgMar w:left="220" w:top="215" w:right="219"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10680 Treena St., Suite 600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San Diego, CA 92131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(858) 812-7300</w:t>
      </w:r>
    </w:p>
    <w:p>
      <w:pPr>
        <w:jc w:val="center"/>
        <w:ind w:right="-19"/>
        <w:spacing w:after="0"/>
        <w:rPr>
          <w:sz w:val="20"/>
          <w:szCs w:val="20"/>
          <w:color w:val="auto"/>
        </w:rPr>
      </w:pPr>
      <w:r>
        <w:rPr>
          <w:rFonts w:ascii="Arial" w:cs="Arial" w:eastAsia="Arial" w:hAnsi="Arial"/>
          <w:sz w:val="13"/>
          <w:szCs w:val="13"/>
          <w:color w:val="auto"/>
        </w:rPr>
        <w:t>(Address, including zip code, and telephone number, including</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area code, of registrant’s principal executive offices)</w:t>
      </w:r>
    </w:p>
    <w:p>
      <w:pPr>
        <w:spacing w:after="0" w:line="217" w:lineRule="exact"/>
        <w:rPr>
          <w:sz w:val="24"/>
          <w:szCs w:val="24"/>
          <w:color w:val="auto"/>
        </w:rPr>
      </w:pPr>
    </w:p>
    <w:p>
      <w:pPr>
        <w:ind w:left="26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460"/>
          </w:cols>
          <w:pgMar w:left="220" w:top="215" w:right="219" w:bottom="1440" w:gutter="0" w:footer="0" w:header="0"/>
          <w:type w:val="continuous"/>
        </w:sectPr>
      </w:pPr>
    </w:p>
    <w:p>
      <w:pPr>
        <w:spacing w:after="0" w:line="228" w:lineRule="exact"/>
        <w:rPr>
          <w:sz w:val="24"/>
          <w:szCs w:val="24"/>
          <w:color w:val="auto"/>
        </w:rPr>
      </w:pPr>
    </w:p>
    <w:tbl>
      <w:tblPr>
        <w:tblLayout w:type="fixed"/>
        <w:tblInd w:w="50" w:type="dxa"/>
        <w:tblCellMar>
          <w:top w:w="0" w:type="dxa"/>
          <w:left w:w="0" w:type="dxa"/>
          <w:bottom w:w="0" w:type="dxa"/>
          <w:right w:w="0" w:type="dxa"/>
        </w:tblCellMar>
      </w:tblPr>
      <w:tr>
        <w:trPr>
          <w:trHeight w:val="204"/>
        </w:trPr>
        <w:tc>
          <w:tcPr>
            <w:tcW w:w="3900" w:type="dxa"/>
            <w:vAlign w:val="bottom"/>
            <w:tcBorders>
              <w:top w:val="single" w:sz="8" w:color="auto"/>
              <w:left w:val="single" w:sz="8" w:color="auto"/>
              <w:right w:val="single" w:sz="8" w:color="auto"/>
            </w:tcBorders>
          </w:tcPr>
          <w:p>
            <w:pPr>
              <w:ind w:left="14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7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
        </w:trPr>
        <w:tc>
          <w:tcPr>
            <w:tcW w:w="3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84"/>
        </w:trPr>
        <w:tc>
          <w:tcPr>
            <w:tcW w:w="39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$0.001 par value</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KTOS</w:t>
            </w:r>
          </w:p>
        </w:tc>
        <w:tc>
          <w:tcPr>
            <w:tcW w:w="37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The NASDAQ Global Select Market</w:t>
            </w:r>
          </w:p>
        </w:tc>
      </w:tr>
      <w:tr>
        <w:trPr>
          <w:trHeight w:val="23"/>
        </w:trPr>
        <w:tc>
          <w:tcPr>
            <w:tcW w:w="3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239395</wp:posOffset>
            </wp:positionV>
            <wp:extent cx="37909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90950" cy="698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200" w:firstLine="259"/>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2" w:lineRule="exact"/>
        <w:rPr>
          <w:sz w:val="24"/>
          <w:szCs w:val="24"/>
          <w:color w:val="auto"/>
        </w:rPr>
      </w:pPr>
    </w:p>
    <w:p>
      <w:pPr>
        <w:ind w:right="180" w:firstLine="259"/>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2" w:lineRule="exact"/>
        <w:rPr>
          <w:sz w:val="24"/>
          <w:szCs w:val="24"/>
          <w:color w:val="auto"/>
        </w:rPr>
      </w:pPr>
    </w:p>
    <w:p>
      <w:pPr>
        <w:ind w:right="420" w:firstLine="259"/>
        <w:spacing w:after="0" w:line="28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1660" w:type="dxa"/>
        <w:tblCellMar>
          <w:top w:w="0" w:type="dxa"/>
          <w:left w:w="0" w:type="dxa"/>
          <w:bottom w:w="0" w:type="dxa"/>
          <w:right w:w="0" w:type="dxa"/>
        </w:tblCellMar>
      </w:tblPr>
      <w:tr>
        <w:trPr>
          <w:trHeight w:val="225"/>
        </w:trPr>
        <w:tc>
          <w:tcPr>
            <w:tcW w:w="2260" w:type="dxa"/>
            <w:vAlign w:val="bottom"/>
            <w:vMerge w:val="restart"/>
          </w:tcPr>
          <w:p>
            <w:pPr>
              <w:jc w:val="center"/>
              <w:ind w:right="908"/>
              <w:spacing w:after="0"/>
              <w:rPr>
                <w:sz w:val="20"/>
                <w:szCs w:val="20"/>
                <w:color w:val="auto"/>
              </w:rPr>
            </w:pPr>
            <w:r>
              <w:rPr>
                <w:rFonts w:ascii="Arial" w:cs="Arial" w:eastAsia="Arial" w:hAnsi="Arial"/>
                <w:sz w:val="14"/>
                <w:szCs w:val="14"/>
                <w:color w:val="auto"/>
                <w:w w:val="92"/>
              </w:rPr>
              <w:t>Large accelerated filer</w:t>
            </w:r>
          </w:p>
        </w:tc>
        <w:tc>
          <w:tcPr>
            <w:tcW w:w="22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580" w:type="dxa"/>
            <w:vAlign w:val="bottom"/>
            <w:vMerge w:val="restart"/>
          </w:tcPr>
          <w:p>
            <w:pPr>
              <w:jc w:val="center"/>
              <w:ind w:left="148"/>
              <w:spacing w:after="0"/>
              <w:rPr>
                <w:sz w:val="20"/>
                <w:szCs w:val="20"/>
                <w:color w:val="auto"/>
              </w:rPr>
            </w:pPr>
            <w:r>
              <w:rPr>
                <w:rFonts w:ascii="Arial" w:cs="Arial" w:eastAsia="Arial" w:hAnsi="Arial"/>
                <w:sz w:val="14"/>
                <w:szCs w:val="14"/>
                <w:color w:val="auto"/>
                <w:w w:val="95"/>
              </w:rPr>
              <w:t>Accelerated filer</w:t>
            </w:r>
          </w:p>
        </w:tc>
        <w:tc>
          <w:tcPr>
            <w:tcW w:w="1260" w:type="dxa"/>
            <w:vAlign w:val="bottom"/>
          </w:tcPr>
          <w:p>
            <w:pPr>
              <w:ind w:left="11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92"/>
        </w:trPr>
        <w:tc>
          <w:tcPr>
            <w:tcW w:w="2260" w:type="dxa"/>
            <w:vAlign w:val="bottom"/>
            <w:vMerge w:val="continue"/>
          </w:tcPr>
          <w:p>
            <w:pPr>
              <w:spacing w:after="0"/>
              <w:rPr>
                <w:sz w:val="7"/>
                <w:szCs w:val="7"/>
                <w:color w:val="auto"/>
              </w:rPr>
            </w:pPr>
          </w:p>
        </w:tc>
        <w:tc>
          <w:tcPr>
            <w:tcW w:w="220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2260" w:type="dxa"/>
            <w:vAlign w:val="bottom"/>
            <w:vMerge w:val="restart"/>
          </w:tcPr>
          <w:p>
            <w:pPr>
              <w:jc w:val="center"/>
              <w:ind w:right="908"/>
              <w:spacing w:after="0"/>
              <w:rPr>
                <w:sz w:val="20"/>
                <w:szCs w:val="20"/>
                <w:color w:val="auto"/>
              </w:rPr>
            </w:pPr>
            <w:r>
              <w:rPr>
                <w:rFonts w:ascii="Arial" w:cs="Arial" w:eastAsia="Arial" w:hAnsi="Arial"/>
                <w:sz w:val="14"/>
                <w:szCs w:val="14"/>
                <w:color w:val="auto"/>
                <w:w w:val="92"/>
              </w:rPr>
              <w:t>Non-accelerated filer</w:t>
            </w:r>
          </w:p>
        </w:tc>
        <w:tc>
          <w:tcPr>
            <w:tcW w:w="22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580" w:type="dxa"/>
            <w:vAlign w:val="bottom"/>
            <w:vMerge w:val="restart"/>
          </w:tcPr>
          <w:p>
            <w:pPr>
              <w:jc w:val="center"/>
              <w:ind w:left="168"/>
              <w:spacing w:after="0"/>
              <w:rPr>
                <w:sz w:val="20"/>
                <w:szCs w:val="20"/>
                <w:color w:val="auto"/>
              </w:rPr>
            </w:pPr>
            <w:r>
              <w:rPr>
                <w:rFonts w:ascii="Arial" w:cs="Arial" w:eastAsia="Arial" w:hAnsi="Arial"/>
                <w:sz w:val="14"/>
                <w:szCs w:val="14"/>
                <w:color w:val="auto"/>
                <w:w w:val="94"/>
              </w:rPr>
              <w:t>Smaller reporting company</w:t>
            </w:r>
          </w:p>
        </w:tc>
        <w:tc>
          <w:tcPr>
            <w:tcW w:w="126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92"/>
        </w:trPr>
        <w:tc>
          <w:tcPr>
            <w:tcW w:w="2260" w:type="dxa"/>
            <w:vAlign w:val="bottom"/>
            <w:vMerge w:val="continue"/>
          </w:tcPr>
          <w:p>
            <w:pPr>
              <w:spacing w:after="0"/>
              <w:rPr>
                <w:sz w:val="7"/>
                <w:szCs w:val="7"/>
                <w:color w:val="auto"/>
              </w:rPr>
            </w:pPr>
          </w:p>
        </w:tc>
        <w:tc>
          <w:tcPr>
            <w:tcW w:w="220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580" w:type="dxa"/>
            <w:vAlign w:val="bottom"/>
            <w:vMerge w:val="restart"/>
          </w:tcPr>
          <w:p>
            <w:pPr>
              <w:jc w:val="center"/>
              <w:ind w:left="168"/>
              <w:spacing w:after="0"/>
              <w:rPr>
                <w:sz w:val="20"/>
                <w:szCs w:val="20"/>
                <w:color w:val="auto"/>
              </w:rPr>
            </w:pPr>
            <w:r>
              <w:rPr>
                <w:rFonts w:ascii="Arial" w:cs="Arial" w:eastAsia="Arial" w:hAnsi="Arial"/>
                <w:sz w:val="14"/>
                <w:szCs w:val="14"/>
                <w:color w:val="auto"/>
                <w:w w:val="94"/>
              </w:rPr>
              <w:t>Emerging growth company</w:t>
            </w:r>
          </w:p>
        </w:tc>
        <w:tc>
          <w:tcPr>
            <w:tcW w:w="126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92"/>
        </w:trPr>
        <w:tc>
          <w:tcPr>
            <w:tcW w:w="22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ind w:right="540" w:firstLine="259"/>
        <w:spacing w:after="0" w:line="28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9" w:lineRule="exact"/>
        <w:rPr>
          <w:sz w:val="24"/>
          <w:szCs w:val="24"/>
          <w:color w:val="auto"/>
        </w:rPr>
      </w:pPr>
    </w:p>
    <w:p>
      <w:pPr>
        <w:ind w:left="260" w:right="3740"/>
        <w:spacing w:after="0" w:line="26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r>
        <w:rPr>
          <w:rFonts w:ascii="Arial" w:cs="Arial" w:eastAsia="Arial" w:hAnsi="Arial"/>
          <w:sz w:val="14"/>
          <w:szCs w:val="14"/>
          <w:color w:val="auto"/>
        </w:rPr>
        <w:t xml:space="preserve"> As of July 26, 2019, 106,104,642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745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145415</wp:posOffset>
            </wp:positionV>
            <wp:extent cx="72745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6985"/>
                    </a:xfrm>
                    <a:prstGeom prst="rect">
                      <a:avLst/>
                    </a:prstGeom>
                    <a:noFill/>
                  </pic:spPr>
                </pic:pic>
              </a:graphicData>
            </a:graphic>
          </wp:anchor>
        </w:drawing>
      </w:r>
    </w:p>
    <w:p>
      <w:pPr>
        <w:sectPr>
          <w:pgSz w:w="11900" w:h="16838" w:orient="portrait"/>
          <w:cols w:equalWidth="0" w:num="1">
            <w:col w:w="11460"/>
          </w:cols>
          <w:pgMar w:left="220" w:top="215" w:right="21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KRATOS DEFENSE &amp; SECURITY SOLUTIONS,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1"/>
                <w:szCs w:val="11"/>
                <w:b w:val="1"/>
                <w:bCs w:val="1"/>
                <w:color w:val="auto"/>
              </w:rPr>
              <w:t>Page</w:t>
            </w:r>
          </w:p>
        </w:tc>
      </w:tr>
      <w:tr>
        <w:trPr>
          <w:trHeight w:val="151"/>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tcBorders>
              <w:bottom w:val="single" w:sz="8" w:color="0000EE"/>
            </w:tcBorders>
            <w:gridSpan w:val="5"/>
          </w:tcPr>
          <w:p>
            <w:pPr>
              <w:jc w:val="center"/>
              <w:spacing w:after="0" w:line="151" w:lineRule="exact"/>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 FINANCIAL INFORMATION</w:t>
              </w:r>
            </w:hyperlink>
          </w:p>
        </w:tc>
        <w:tc>
          <w:tcPr>
            <w:tcW w:w="3760" w:type="dxa"/>
            <w:vAlign w:val="bottom"/>
            <w:gridSpan w:val="4"/>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
              <w:r>
                <w:rPr>
                  <w:rFonts w:ascii="Arial" w:cs="Arial" w:eastAsia="Arial" w:hAnsi="Arial"/>
                  <w:sz w:val="14"/>
                  <w:szCs w:val="14"/>
                  <w:color w:val="0000EE"/>
                  <w:w w:val="93"/>
                </w:rPr>
                <w:t>Item 1.</w:t>
              </w:r>
            </w:hyperlink>
          </w:p>
        </w:tc>
        <w:tc>
          <w:tcPr>
            <w:tcW w:w="520" w:type="dxa"/>
            <w:vAlign w:val="bottom"/>
            <w:gridSpan w:val="2"/>
          </w:tcPr>
          <w:p>
            <w:pPr>
              <w:spacing w:after="0"/>
              <w:rPr>
                <w:sz w:val="24"/>
                <w:szCs w:val="24"/>
                <w:color w:val="auto"/>
              </w:rPr>
            </w:pPr>
          </w:p>
        </w:tc>
        <w:tc>
          <w:tcPr>
            <w:tcW w:w="1200" w:type="dxa"/>
            <w:vAlign w:val="bottom"/>
            <w:gridSpan w:val="4"/>
          </w:tcPr>
          <w:p>
            <w:pPr>
              <w:spacing w:after="0"/>
              <w:rPr>
                <w:rFonts w:ascii="Arial" w:cs="Arial" w:eastAsia="Arial" w:hAnsi="Arial"/>
                <w:sz w:val="14"/>
                <w:szCs w:val="14"/>
                <w:color w:val="0000EE"/>
                <w:w w:val="90"/>
              </w:rPr>
            </w:pPr>
            <w:hyperlink w:anchor="page3">
              <w:r>
                <w:rPr>
                  <w:rFonts w:ascii="Arial" w:cs="Arial" w:eastAsia="Arial" w:hAnsi="Arial"/>
                  <w:sz w:val="14"/>
                  <w:szCs w:val="14"/>
                  <w:color w:val="0000EE"/>
                  <w:w w:val="90"/>
                </w:rPr>
                <w:t>Financial Statements</w:t>
              </w:r>
            </w:hyperlink>
          </w:p>
        </w:tc>
        <w:tc>
          <w:tcPr>
            <w:tcW w:w="8740" w:type="dxa"/>
            <w:vAlign w:val="bottom"/>
            <w:gridSpan w:val="13"/>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3">
              <w:r>
                <w:rPr>
                  <w:rFonts w:ascii="Arial" w:cs="Arial" w:eastAsia="Arial" w:hAnsi="Arial"/>
                  <w:sz w:val="14"/>
                  <w:szCs w:val="14"/>
                  <w:color w:val="0000EE"/>
                  <w:w w:val="76"/>
                </w:rPr>
                <w:t>3</w:t>
              </w:r>
            </w:hyperlink>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20" w:type="dxa"/>
            <w:vAlign w:val="bottom"/>
            <w:gridSpan w:val="11"/>
          </w:tcPr>
          <w:p>
            <w:pPr>
              <w:spacing w:after="0"/>
              <w:rPr>
                <w:rFonts w:ascii="Arial" w:cs="Arial" w:eastAsia="Arial" w:hAnsi="Arial"/>
                <w:sz w:val="14"/>
                <w:szCs w:val="14"/>
                <w:color w:val="0000EE"/>
                <w:w w:val="90"/>
              </w:rPr>
            </w:pPr>
            <w:hyperlink w:anchor="page3">
              <w:r>
                <w:rPr>
                  <w:rFonts w:ascii="Arial" w:cs="Arial" w:eastAsia="Arial" w:hAnsi="Arial"/>
                  <w:sz w:val="14"/>
                  <w:szCs w:val="14"/>
                  <w:color w:val="0000EE"/>
                  <w:w w:val="90"/>
                </w:rPr>
                <w:t>Condensed Consolidated Balance Sheets at June 30, 2019 and December 30, 2018 (unaudited)</w:t>
              </w:r>
            </w:hyperlink>
          </w:p>
        </w:tc>
        <w:tc>
          <w:tcPr>
            <w:tcW w:w="4520" w:type="dxa"/>
            <w:vAlign w:val="bottom"/>
            <w:gridSpan w:val="6"/>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3">
              <w:r>
                <w:rPr>
                  <w:rFonts w:ascii="Arial" w:cs="Arial" w:eastAsia="Arial" w:hAnsi="Arial"/>
                  <w:sz w:val="14"/>
                  <w:szCs w:val="14"/>
                  <w:color w:val="0000EE"/>
                  <w:w w:val="76"/>
                </w:rPr>
                <w:t>3</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4"/>
                <w:szCs w:val="14"/>
                <w:color w:val="0000EE"/>
                <w:w w:val="94"/>
              </w:rPr>
            </w:pPr>
            <w:hyperlink w:anchor="page4">
              <w:r>
                <w:rPr>
                  <w:rFonts w:ascii="Arial" w:cs="Arial" w:eastAsia="Arial" w:hAnsi="Arial"/>
                  <w:sz w:val="14"/>
                  <w:szCs w:val="14"/>
                  <w:color w:val="0000EE"/>
                  <w:w w:val="94"/>
                </w:rPr>
                <w:t>Condensed Consolidated Statements of Operations and Comprehensive Income (Loss) for the Three and Six Months Ended June 30, 2019 and July 1, 2018 (unaudited)</w:t>
              </w:r>
            </w:hyperlink>
          </w:p>
        </w:tc>
        <w:tc>
          <w:tcPr>
            <w:tcW w:w="560" w:type="dxa"/>
            <w:vAlign w:val="bottom"/>
            <w:gridSpan w:val="4"/>
          </w:tcPr>
          <w:p>
            <w:pPr>
              <w:jc w:val="right"/>
              <w:ind w:right="20"/>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60" w:type="dxa"/>
            <w:vAlign w:val="bottom"/>
            <w:gridSpan w:val="15"/>
          </w:tcPr>
          <w:p>
            <w:pPr>
              <w:spacing w:after="0"/>
              <w:rPr>
                <w:rFonts w:ascii="Arial" w:cs="Arial" w:eastAsia="Arial" w:hAnsi="Arial"/>
                <w:sz w:val="14"/>
                <w:szCs w:val="14"/>
                <w:color w:val="0000EE"/>
                <w:w w:val="92"/>
              </w:rPr>
            </w:pPr>
            <w:hyperlink w:anchor="page5">
              <w:r>
                <w:rPr>
                  <w:rFonts w:ascii="Arial" w:cs="Arial" w:eastAsia="Arial" w:hAnsi="Arial"/>
                  <w:sz w:val="14"/>
                  <w:szCs w:val="14"/>
                  <w:color w:val="0000EE"/>
                  <w:w w:val="92"/>
                </w:rPr>
                <w:t>Condensed Consolidated Statements of Stockholders’ Equity for the Three and Six Months Ended June 30, 2019 and July 1, 2018 (unaudited)</w:t>
              </w:r>
            </w:hyperlink>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5">
              <w:r>
                <w:rPr>
                  <w:rFonts w:ascii="Arial" w:cs="Arial" w:eastAsia="Arial" w:hAnsi="Arial"/>
                  <w:sz w:val="14"/>
                  <w:szCs w:val="14"/>
                  <w:color w:val="0000EE"/>
                  <w:w w:val="76"/>
                </w:rPr>
                <w:t>5</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0" w:type="dxa"/>
            <w:vAlign w:val="bottom"/>
            <w:gridSpan w:val="14"/>
          </w:tcPr>
          <w:p>
            <w:pPr>
              <w:spacing w:after="0"/>
              <w:rPr>
                <w:rFonts w:ascii="Arial" w:cs="Arial" w:eastAsia="Arial" w:hAnsi="Arial"/>
                <w:sz w:val="14"/>
                <w:szCs w:val="14"/>
                <w:color w:val="0000EE"/>
                <w:w w:val="91"/>
              </w:rPr>
            </w:pPr>
            <w:hyperlink w:anchor="page6">
              <w:r>
                <w:rPr>
                  <w:rFonts w:ascii="Arial" w:cs="Arial" w:eastAsia="Arial" w:hAnsi="Arial"/>
                  <w:sz w:val="14"/>
                  <w:szCs w:val="14"/>
                  <w:color w:val="0000EE"/>
                  <w:w w:val="91"/>
                </w:rPr>
                <w:t>Condensed Consolidated Statements of Cash Flows for the Six Months Ended June 30, 2019 and July 1, 2018 (unaudited)</w:t>
              </w:r>
            </w:hyperlink>
          </w:p>
        </w:tc>
        <w:tc>
          <w:tcPr>
            <w:tcW w:w="1160" w:type="dxa"/>
            <w:vAlign w:val="bottom"/>
          </w:tcPr>
          <w:p>
            <w:pPr>
              <w:spacing w:after="0"/>
              <w:rPr>
                <w:sz w:val="24"/>
                <w:szCs w:val="24"/>
                <w:color w:val="auto"/>
              </w:rPr>
            </w:pPr>
          </w:p>
        </w:tc>
        <w:tc>
          <w:tcPr>
            <w:tcW w:w="1780" w:type="dxa"/>
            <w:vAlign w:val="bottom"/>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6">
              <w:r>
                <w:rPr>
                  <w:rFonts w:ascii="Arial" w:cs="Arial" w:eastAsia="Arial" w:hAnsi="Arial"/>
                  <w:sz w:val="14"/>
                  <w:szCs w:val="14"/>
                  <w:color w:val="0000EE"/>
                  <w:w w:val="76"/>
                </w:rPr>
                <w:t>6</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4"/>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80" w:type="dxa"/>
            <w:vAlign w:val="bottom"/>
            <w:gridSpan w:val="9"/>
          </w:tcPr>
          <w:p>
            <w:pPr>
              <w:spacing w:after="0"/>
              <w:rPr>
                <w:rFonts w:ascii="Arial" w:cs="Arial" w:eastAsia="Arial" w:hAnsi="Arial"/>
                <w:sz w:val="14"/>
                <w:szCs w:val="14"/>
                <w:color w:val="0000EE"/>
                <w:w w:val="90"/>
              </w:rPr>
            </w:pPr>
            <w:hyperlink w:anchor="page7">
              <w:r>
                <w:rPr>
                  <w:rFonts w:ascii="Arial" w:cs="Arial" w:eastAsia="Arial" w:hAnsi="Arial"/>
                  <w:sz w:val="14"/>
                  <w:szCs w:val="14"/>
                  <w:color w:val="0000EE"/>
                  <w:w w:val="90"/>
                </w:rPr>
                <w:t>Notes to Condensed Consolidated Financial Statements (unaudited)</w:t>
              </w:r>
            </w:hyperlink>
          </w:p>
        </w:tc>
        <w:tc>
          <w:tcPr>
            <w:tcW w:w="3120" w:type="dxa"/>
            <w:vAlign w:val="bottom"/>
            <w:gridSpan w:val="5"/>
          </w:tcPr>
          <w:p>
            <w:pPr>
              <w:spacing w:after="0"/>
              <w:rPr>
                <w:sz w:val="24"/>
                <w:szCs w:val="24"/>
                <w:color w:val="auto"/>
              </w:rPr>
            </w:pPr>
          </w:p>
        </w:tc>
        <w:tc>
          <w:tcPr>
            <w:tcW w:w="2940" w:type="dxa"/>
            <w:vAlign w:val="bottom"/>
            <w:gridSpan w:val="3"/>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4"/>
                <w:szCs w:val="14"/>
                <w:color w:val="0000EE"/>
                <w:w w:val="76"/>
              </w:rPr>
            </w:pPr>
            <w:hyperlink w:anchor="page7">
              <w:r>
                <w:rPr>
                  <w:rFonts w:ascii="Arial" w:cs="Arial" w:eastAsia="Arial" w:hAnsi="Arial"/>
                  <w:sz w:val="14"/>
                  <w:szCs w:val="14"/>
                  <w:color w:val="0000EE"/>
                  <w:w w:val="76"/>
                </w:rPr>
                <w:t>7</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25">
              <w:r>
                <w:rPr>
                  <w:rFonts w:ascii="Arial" w:cs="Arial" w:eastAsia="Arial" w:hAnsi="Arial"/>
                  <w:sz w:val="14"/>
                  <w:szCs w:val="14"/>
                  <w:color w:val="0000EE"/>
                  <w:w w:val="93"/>
                </w:rPr>
                <w:t>Item 2.</w:t>
              </w:r>
            </w:hyperlink>
          </w:p>
        </w:tc>
        <w:tc>
          <w:tcPr>
            <w:tcW w:w="520" w:type="dxa"/>
            <w:vAlign w:val="bottom"/>
            <w:gridSpan w:val="2"/>
          </w:tcPr>
          <w:p>
            <w:pPr>
              <w:spacing w:after="0"/>
              <w:rPr>
                <w:sz w:val="24"/>
                <w:szCs w:val="24"/>
                <w:color w:val="auto"/>
              </w:rPr>
            </w:pPr>
          </w:p>
        </w:tc>
        <w:tc>
          <w:tcPr>
            <w:tcW w:w="9940" w:type="dxa"/>
            <w:vAlign w:val="bottom"/>
            <w:gridSpan w:val="17"/>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Management’s Discussion and Analysis of Financial Condition and Results of Operations</w:t>
              </w:r>
            </w:hyperlink>
          </w:p>
        </w:tc>
        <w:tc>
          <w:tcPr>
            <w:tcW w:w="540" w:type="dxa"/>
            <w:vAlign w:val="bottom"/>
            <w:gridSpan w:val="3"/>
          </w:tcPr>
          <w:p>
            <w:pPr>
              <w:jc w:val="right"/>
              <w:spacing w:after="0"/>
              <w:rPr>
                <w:rFonts w:ascii="Arial" w:cs="Arial" w:eastAsia="Arial" w:hAnsi="Arial"/>
                <w:sz w:val="14"/>
                <w:szCs w:val="14"/>
                <w:color w:val="0000EE"/>
              </w:rPr>
            </w:pPr>
            <w:hyperlink w:anchor="page25">
              <w:r>
                <w:rPr>
                  <w:rFonts w:ascii="Arial" w:cs="Arial" w:eastAsia="Arial" w:hAnsi="Arial"/>
                  <w:sz w:val="14"/>
                  <w:szCs w:val="14"/>
                  <w:color w:val="0000EE"/>
                </w:rPr>
                <w:t>25</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Item 3.</w:t>
              </w:r>
            </w:hyperlink>
          </w:p>
        </w:tc>
        <w:tc>
          <w:tcPr>
            <w:tcW w:w="520" w:type="dxa"/>
            <w:vAlign w:val="bottom"/>
            <w:gridSpan w:val="2"/>
          </w:tcPr>
          <w:p>
            <w:pPr>
              <w:spacing w:after="0"/>
              <w:rPr>
                <w:sz w:val="24"/>
                <w:szCs w:val="24"/>
                <w:color w:val="auto"/>
              </w:rPr>
            </w:pPr>
          </w:p>
        </w:tc>
        <w:tc>
          <w:tcPr>
            <w:tcW w:w="3460" w:type="dxa"/>
            <w:vAlign w:val="bottom"/>
            <w:gridSpan w:val="7"/>
          </w:tcPr>
          <w:p>
            <w:pPr>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Quantitative and Qualitative Disclosures About Market Risk</w:t>
              </w:r>
            </w:hyperlink>
          </w:p>
        </w:tc>
        <w:tc>
          <w:tcPr>
            <w:tcW w:w="1680" w:type="dxa"/>
            <w:vAlign w:val="bottom"/>
            <w:gridSpan w:val="3"/>
          </w:tcPr>
          <w:p>
            <w:pPr>
              <w:spacing w:after="0"/>
              <w:rPr>
                <w:sz w:val="24"/>
                <w:szCs w:val="24"/>
                <w:color w:val="auto"/>
              </w:rPr>
            </w:pPr>
          </w:p>
        </w:tc>
        <w:tc>
          <w:tcPr>
            <w:tcW w:w="4800" w:type="dxa"/>
            <w:vAlign w:val="bottom"/>
            <w:gridSpan w:val="7"/>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4">
              <w:r>
                <w:rPr>
                  <w:rFonts w:ascii="Arial" w:cs="Arial" w:eastAsia="Arial" w:hAnsi="Arial"/>
                  <w:sz w:val="14"/>
                  <w:szCs w:val="14"/>
                  <w:color w:val="0000EE"/>
                </w:rPr>
                <w:t>34</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Item 4.</w:t>
              </w:r>
            </w:hyperlink>
          </w:p>
        </w:tc>
        <w:tc>
          <w:tcPr>
            <w:tcW w:w="520" w:type="dxa"/>
            <w:vAlign w:val="bottom"/>
            <w:gridSpan w:val="2"/>
          </w:tcPr>
          <w:p>
            <w:pPr>
              <w:spacing w:after="0"/>
              <w:rPr>
                <w:sz w:val="24"/>
                <w:szCs w:val="24"/>
                <w:color w:val="auto"/>
              </w:rPr>
            </w:pPr>
          </w:p>
        </w:tc>
        <w:tc>
          <w:tcPr>
            <w:tcW w:w="3460" w:type="dxa"/>
            <w:vAlign w:val="bottom"/>
            <w:gridSpan w:val="7"/>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Controls and Procedures</w:t>
              </w:r>
            </w:hyperlink>
          </w:p>
        </w:tc>
        <w:tc>
          <w:tcPr>
            <w:tcW w:w="6480" w:type="dxa"/>
            <w:vAlign w:val="bottom"/>
            <w:gridSpan w:val="10"/>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4">
              <w:r>
                <w:rPr>
                  <w:rFonts w:ascii="Arial" w:cs="Arial" w:eastAsia="Arial" w:hAnsi="Arial"/>
                  <w:sz w:val="14"/>
                  <w:szCs w:val="14"/>
                  <w:color w:val="0000EE"/>
                </w:rPr>
                <w:t>34</w:t>
              </w:r>
            </w:hyperlink>
          </w:p>
        </w:tc>
        <w:tc>
          <w:tcPr>
            <w:tcW w:w="20" w:type="dxa"/>
            <w:vAlign w:val="bottom"/>
          </w:tcPr>
          <w:p>
            <w:pPr>
              <w:spacing w:after="0"/>
              <w:rPr>
                <w:sz w:val="24"/>
                <w:szCs w:val="24"/>
                <w:color w:val="auto"/>
              </w:rPr>
            </w:pPr>
          </w:p>
        </w:tc>
      </w:tr>
      <w:tr>
        <w:trPr>
          <w:trHeight w:val="411"/>
        </w:trPr>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Borders>
              <w:bottom w:val="single" w:sz="8" w:color="0000EE"/>
            </w:tcBorders>
            <w:gridSpan w:val="3"/>
          </w:tcPr>
          <w:p>
            <w:pPr>
              <w:jc w:val="center"/>
              <w:spacing w:after="0"/>
              <w:rPr>
                <w:rFonts w:ascii="Arial" w:cs="Arial" w:eastAsia="Arial" w:hAnsi="Arial"/>
                <w:sz w:val="14"/>
                <w:szCs w:val="14"/>
                <w:b w:val="1"/>
                <w:bCs w:val="1"/>
                <w:color w:val="0000EE"/>
              </w:rPr>
            </w:pPr>
            <w:hyperlink w:anchor="page36">
              <w:r>
                <w:rPr>
                  <w:rFonts w:ascii="Arial" w:cs="Arial" w:eastAsia="Arial" w:hAnsi="Arial"/>
                  <w:sz w:val="14"/>
                  <w:szCs w:val="14"/>
                  <w:b w:val="1"/>
                  <w:bCs w:val="1"/>
                  <w:color w:val="0000EE"/>
                </w:rPr>
                <w:t>PART II. OTHER INFORMATION</w:t>
              </w:r>
            </w:hyperlink>
          </w:p>
        </w:tc>
        <w:tc>
          <w:tcPr>
            <w:tcW w:w="388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6">
              <w:r>
                <w:rPr>
                  <w:rFonts w:ascii="Arial" w:cs="Arial" w:eastAsia="Arial" w:hAnsi="Arial"/>
                  <w:sz w:val="14"/>
                  <w:szCs w:val="14"/>
                  <w:color w:val="0000EE"/>
                  <w:w w:val="93"/>
                </w:rPr>
                <w:t>Item 1.</w:t>
              </w:r>
            </w:hyperlink>
          </w:p>
        </w:tc>
        <w:tc>
          <w:tcPr>
            <w:tcW w:w="520" w:type="dxa"/>
            <w:vAlign w:val="bottom"/>
            <w:gridSpan w:val="2"/>
          </w:tcPr>
          <w:p>
            <w:pPr>
              <w:spacing w:after="0"/>
              <w:rPr>
                <w:sz w:val="24"/>
                <w:szCs w:val="24"/>
                <w:color w:val="auto"/>
              </w:rPr>
            </w:pPr>
          </w:p>
        </w:tc>
        <w:tc>
          <w:tcPr>
            <w:tcW w:w="1040" w:type="dxa"/>
            <w:vAlign w:val="bottom"/>
            <w:gridSpan w:val="3"/>
          </w:tcPr>
          <w:p>
            <w:pPr>
              <w:spacing w:after="0"/>
              <w:rPr>
                <w:rFonts w:ascii="Arial" w:cs="Arial" w:eastAsia="Arial" w:hAnsi="Arial"/>
                <w:sz w:val="14"/>
                <w:szCs w:val="14"/>
                <w:color w:val="0000EE"/>
                <w:w w:val="86"/>
              </w:rPr>
            </w:pPr>
            <w:hyperlink w:anchor="page36">
              <w:r>
                <w:rPr>
                  <w:rFonts w:ascii="Arial" w:cs="Arial" w:eastAsia="Arial" w:hAnsi="Arial"/>
                  <w:sz w:val="14"/>
                  <w:szCs w:val="14"/>
                  <w:color w:val="0000EE"/>
                  <w:w w:val="86"/>
                </w:rPr>
                <w:t>Legal Proceedings</w:t>
              </w:r>
            </w:hyperlink>
          </w:p>
        </w:tc>
        <w:tc>
          <w:tcPr>
            <w:tcW w:w="8900" w:type="dxa"/>
            <w:vAlign w:val="bottom"/>
            <w:gridSpan w:val="14"/>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520" w:type="dxa"/>
            <w:vAlign w:val="bottom"/>
            <w:gridSpan w:val="2"/>
          </w:tcPr>
          <w:p>
            <w:pPr>
              <w:spacing w:after="0"/>
              <w:rPr>
                <w:rFonts w:ascii="Arial" w:cs="Arial" w:eastAsia="Arial" w:hAnsi="Arial"/>
                <w:sz w:val="14"/>
                <w:szCs w:val="14"/>
                <w:color w:val="0000EE"/>
                <w:w w:val="95"/>
              </w:rPr>
            </w:pPr>
            <w:hyperlink w:anchor="page36">
              <w:r>
                <w:rPr>
                  <w:rFonts w:ascii="Arial" w:cs="Arial" w:eastAsia="Arial" w:hAnsi="Arial"/>
                  <w:sz w:val="14"/>
                  <w:szCs w:val="14"/>
                  <w:color w:val="0000EE"/>
                  <w:w w:val="95"/>
                </w:rPr>
                <w:t>Item 1A.</w:t>
              </w:r>
            </w:hyperlink>
          </w:p>
        </w:tc>
        <w:tc>
          <w:tcPr>
            <w:tcW w:w="420" w:type="dxa"/>
            <w:vAlign w:val="bottom"/>
          </w:tcPr>
          <w:p>
            <w:pPr>
              <w:spacing w:after="0"/>
              <w:rPr>
                <w:sz w:val="24"/>
                <w:szCs w:val="24"/>
                <w:color w:val="auto"/>
              </w:rPr>
            </w:pPr>
          </w:p>
        </w:tc>
        <w:tc>
          <w:tcPr>
            <w:tcW w:w="720" w:type="dxa"/>
            <w:vAlign w:val="bottom"/>
            <w:gridSpan w:val="2"/>
          </w:tcPr>
          <w:p>
            <w:pPr>
              <w:spacing w:after="0"/>
              <w:rPr>
                <w:rFonts w:ascii="Arial" w:cs="Arial" w:eastAsia="Arial" w:hAnsi="Arial"/>
                <w:sz w:val="14"/>
                <w:szCs w:val="14"/>
                <w:color w:val="0000EE"/>
                <w:w w:val="89"/>
              </w:rPr>
            </w:pPr>
            <w:hyperlink w:anchor="page36">
              <w:r>
                <w:rPr>
                  <w:rFonts w:ascii="Arial" w:cs="Arial" w:eastAsia="Arial" w:hAnsi="Arial"/>
                  <w:sz w:val="14"/>
                  <w:szCs w:val="14"/>
                  <w:color w:val="0000EE"/>
                  <w:w w:val="89"/>
                </w:rPr>
                <w:t>Risk Factors</w:t>
              </w:r>
            </w:hyperlink>
          </w:p>
        </w:tc>
        <w:tc>
          <w:tcPr>
            <w:tcW w:w="9220" w:type="dxa"/>
            <w:vAlign w:val="bottom"/>
            <w:gridSpan w:val="15"/>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c>
          <w:tcPr>
            <w:tcW w:w="20" w:type="dxa"/>
            <w:vAlign w:val="bottom"/>
          </w:tcPr>
          <w:p>
            <w:pPr>
              <w:spacing w:after="0"/>
              <w:rPr>
                <w:sz w:val="24"/>
                <w:szCs w:val="24"/>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6">
              <w:r>
                <w:rPr>
                  <w:rFonts w:ascii="Arial" w:cs="Arial" w:eastAsia="Arial" w:hAnsi="Arial"/>
                  <w:sz w:val="14"/>
                  <w:szCs w:val="14"/>
                  <w:color w:val="0000EE"/>
                  <w:w w:val="93"/>
                </w:rPr>
                <w:t>Item 2.</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40" w:type="dxa"/>
            <w:vAlign w:val="bottom"/>
            <w:gridSpan w:val="17"/>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Unregistered Sales of Equity Securities and Use of Proceeds</w:t>
              </w:r>
            </w:hyperlink>
          </w:p>
        </w:tc>
        <w:tc>
          <w:tcPr>
            <w:tcW w:w="540" w:type="dxa"/>
            <w:vAlign w:val="bottom"/>
            <w:gridSpan w:val="3"/>
          </w:tcPr>
          <w:p>
            <w:pPr>
              <w:jc w:val="right"/>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3"/>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6">
              <w:r>
                <w:rPr>
                  <w:rFonts w:ascii="Arial" w:cs="Arial" w:eastAsia="Arial" w:hAnsi="Arial"/>
                  <w:sz w:val="14"/>
                  <w:szCs w:val="14"/>
                  <w:color w:val="0000EE"/>
                  <w:w w:val="93"/>
                </w:rPr>
                <w:t>Item 3.</w:t>
              </w:r>
            </w:hyperlink>
          </w:p>
        </w:tc>
        <w:tc>
          <w:tcPr>
            <w:tcW w:w="520" w:type="dxa"/>
            <w:vAlign w:val="bottom"/>
            <w:gridSpan w:val="2"/>
          </w:tcPr>
          <w:p>
            <w:pPr>
              <w:spacing w:after="0"/>
              <w:rPr>
                <w:sz w:val="24"/>
                <w:szCs w:val="24"/>
                <w:color w:val="auto"/>
              </w:rPr>
            </w:pPr>
          </w:p>
        </w:tc>
        <w:tc>
          <w:tcPr>
            <w:tcW w:w="3460" w:type="dxa"/>
            <w:vAlign w:val="bottom"/>
            <w:gridSpan w:val="7"/>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Defaults Upon Senior Securities</w:t>
              </w:r>
            </w:hyperlink>
          </w:p>
        </w:tc>
        <w:tc>
          <w:tcPr>
            <w:tcW w:w="6480" w:type="dxa"/>
            <w:vAlign w:val="bottom"/>
            <w:gridSpan w:val="10"/>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3"/>
            <w:shd w:val="clear" w:color="auto" w:fill="0000EE"/>
          </w:tcPr>
          <w:p>
            <w:pPr>
              <w:spacing w:after="0" w:line="20" w:lineRule="exact"/>
              <w:rPr>
                <w:sz w:val="1"/>
                <w:szCs w:val="1"/>
                <w:color w:val="auto"/>
              </w:rPr>
            </w:pPr>
          </w:p>
        </w:tc>
        <w:tc>
          <w:tcPr>
            <w:tcW w:w="810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6">
              <w:r>
                <w:rPr>
                  <w:rFonts w:ascii="Arial" w:cs="Arial" w:eastAsia="Arial" w:hAnsi="Arial"/>
                  <w:sz w:val="14"/>
                  <w:szCs w:val="14"/>
                  <w:color w:val="0000EE"/>
                  <w:w w:val="93"/>
                </w:rPr>
                <w:t>Item 4.</w:t>
              </w:r>
            </w:hyperlink>
          </w:p>
        </w:tc>
        <w:tc>
          <w:tcPr>
            <w:tcW w:w="520" w:type="dxa"/>
            <w:vAlign w:val="bottom"/>
            <w:gridSpan w:val="2"/>
          </w:tcPr>
          <w:p>
            <w:pPr>
              <w:spacing w:after="0"/>
              <w:rPr>
                <w:sz w:val="24"/>
                <w:szCs w:val="24"/>
                <w:color w:val="auto"/>
              </w:rPr>
            </w:pPr>
          </w:p>
        </w:tc>
        <w:tc>
          <w:tcPr>
            <w:tcW w:w="1840" w:type="dxa"/>
            <w:vAlign w:val="bottom"/>
            <w:gridSpan w:val="6"/>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Mine Safety Disclosures</w:t>
              </w:r>
            </w:hyperlink>
          </w:p>
        </w:tc>
        <w:tc>
          <w:tcPr>
            <w:tcW w:w="8100" w:type="dxa"/>
            <w:vAlign w:val="bottom"/>
            <w:gridSpan w:val="11"/>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6">
              <w:r>
                <w:rPr>
                  <w:rFonts w:ascii="Arial" w:cs="Arial" w:eastAsia="Arial" w:hAnsi="Arial"/>
                  <w:sz w:val="14"/>
                  <w:szCs w:val="14"/>
                  <w:color w:val="0000EE"/>
                  <w:w w:val="93"/>
                </w:rPr>
                <w:t>Item 5.</w:t>
              </w:r>
            </w:hyperlink>
          </w:p>
        </w:tc>
        <w:tc>
          <w:tcPr>
            <w:tcW w:w="520" w:type="dxa"/>
            <w:vAlign w:val="bottom"/>
            <w:gridSpan w:val="2"/>
          </w:tcPr>
          <w:p>
            <w:pPr>
              <w:spacing w:after="0"/>
              <w:rPr>
                <w:sz w:val="24"/>
                <w:szCs w:val="24"/>
                <w:color w:val="auto"/>
              </w:rPr>
            </w:pPr>
          </w:p>
        </w:tc>
        <w:tc>
          <w:tcPr>
            <w:tcW w:w="1400" w:type="dxa"/>
            <w:vAlign w:val="bottom"/>
            <w:gridSpan w:val="5"/>
          </w:tcPr>
          <w:p>
            <w:pPr>
              <w:spacing w:after="0"/>
              <w:rPr>
                <w:rFonts w:ascii="Arial" w:cs="Arial" w:eastAsia="Arial" w:hAnsi="Arial"/>
                <w:sz w:val="14"/>
                <w:szCs w:val="14"/>
                <w:color w:val="0000EE"/>
              </w:rPr>
            </w:pPr>
            <w:hyperlink w:anchor="page36">
              <w:r>
                <w:rPr>
                  <w:rFonts w:ascii="Arial" w:cs="Arial" w:eastAsia="Arial" w:hAnsi="Arial"/>
                  <w:sz w:val="14"/>
                  <w:szCs w:val="14"/>
                  <w:color w:val="0000EE"/>
                </w:rPr>
                <w:t>Other Information</w:t>
              </w:r>
            </w:hyperlink>
          </w:p>
        </w:tc>
        <w:tc>
          <w:tcPr>
            <w:tcW w:w="8540" w:type="dxa"/>
            <w:vAlign w:val="bottom"/>
            <w:gridSpan w:val="12"/>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6">
              <w:r>
                <w:rPr>
                  <w:rFonts w:ascii="Arial" w:cs="Arial" w:eastAsia="Arial" w:hAnsi="Arial"/>
                  <w:sz w:val="14"/>
                  <w:szCs w:val="14"/>
                  <w:color w:val="0000EE"/>
                </w:rPr>
                <w:t>36</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90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420" w:type="dxa"/>
            <w:vAlign w:val="bottom"/>
          </w:tcPr>
          <w:p>
            <w:pPr>
              <w:spacing w:after="0"/>
              <w:rPr>
                <w:rFonts w:ascii="Arial" w:cs="Arial" w:eastAsia="Arial" w:hAnsi="Arial"/>
                <w:sz w:val="14"/>
                <w:szCs w:val="14"/>
                <w:color w:val="0000EE"/>
                <w:w w:val="93"/>
              </w:rPr>
            </w:pPr>
            <w:hyperlink w:anchor="page37">
              <w:r>
                <w:rPr>
                  <w:rFonts w:ascii="Arial" w:cs="Arial" w:eastAsia="Arial" w:hAnsi="Arial"/>
                  <w:sz w:val="14"/>
                  <w:szCs w:val="14"/>
                  <w:color w:val="0000EE"/>
                  <w:w w:val="93"/>
                </w:rPr>
                <w:t>Item 6.</w:t>
              </w:r>
            </w:hyperlink>
          </w:p>
        </w:tc>
        <w:tc>
          <w:tcPr>
            <w:tcW w:w="520" w:type="dxa"/>
            <w:vAlign w:val="bottom"/>
            <w:gridSpan w:val="2"/>
          </w:tcPr>
          <w:p>
            <w:pPr>
              <w:spacing w:after="0"/>
              <w:rPr>
                <w:sz w:val="24"/>
                <w:szCs w:val="24"/>
                <w:color w:val="auto"/>
              </w:rPr>
            </w:pPr>
          </w:p>
        </w:tc>
        <w:tc>
          <w:tcPr>
            <w:tcW w:w="480" w:type="dxa"/>
            <w:vAlign w:val="bottom"/>
          </w:tcPr>
          <w:p>
            <w:pPr>
              <w:spacing w:after="0"/>
              <w:rPr>
                <w:rFonts w:ascii="Arial" w:cs="Arial" w:eastAsia="Arial" w:hAnsi="Arial"/>
                <w:sz w:val="14"/>
                <w:szCs w:val="14"/>
                <w:color w:val="0000EE"/>
                <w:w w:val="93"/>
              </w:rPr>
            </w:pPr>
            <w:hyperlink w:anchor="page37">
              <w:r>
                <w:rPr>
                  <w:rFonts w:ascii="Arial" w:cs="Arial" w:eastAsia="Arial" w:hAnsi="Arial"/>
                  <w:sz w:val="14"/>
                  <w:szCs w:val="14"/>
                  <w:color w:val="0000EE"/>
                  <w:w w:val="93"/>
                </w:rPr>
                <w:t>Exhibits</w:t>
              </w:r>
            </w:hyperlink>
          </w:p>
        </w:tc>
        <w:tc>
          <w:tcPr>
            <w:tcW w:w="560" w:type="dxa"/>
            <w:vAlign w:val="bottom"/>
            <w:gridSpan w:val="2"/>
          </w:tcPr>
          <w:p>
            <w:pPr>
              <w:spacing w:after="0"/>
              <w:rPr>
                <w:sz w:val="24"/>
                <w:szCs w:val="24"/>
                <w:color w:val="auto"/>
              </w:rPr>
            </w:pPr>
          </w:p>
        </w:tc>
        <w:tc>
          <w:tcPr>
            <w:tcW w:w="8900" w:type="dxa"/>
            <w:vAlign w:val="bottom"/>
            <w:gridSpan w:val="14"/>
          </w:tcPr>
          <w:p>
            <w:pPr>
              <w:spacing w:after="0"/>
              <w:rPr>
                <w:sz w:val="24"/>
                <w:szCs w:val="24"/>
                <w:color w:val="auto"/>
              </w:rPr>
            </w:pPr>
          </w:p>
        </w:tc>
        <w:tc>
          <w:tcPr>
            <w:tcW w:w="540" w:type="dxa"/>
            <w:vAlign w:val="bottom"/>
            <w:gridSpan w:val="3"/>
          </w:tcPr>
          <w:p>
            <w:pPr>
              <w:jc w:val="right"/>
              <w:spacing w:after="0"/>
              <w:rPr>
                <w:rFonts w:ascii="Arial" w:cs="Arial" w:eastAsia="Arial" w:hAnsi="Arial"/>
                <w:sz w:val="14"/>
                <w:szCs w:val="14"/>
                <w:color w:val="0000EE"/>
              </w:rPr>
            </w:pPr>
            <w:hyperlink w:anchor="page37">
              <w:r>
                <w:rPr>
                  <w:rFonts w:ascii="Arial" w:cs="Arial" w:eastAsia="Arial" w:hAnsi="Arial"/>
                  <w:sz w:val="14"/>
                  <w:szCs w:val="14"/>
                  <w:color w:val="0000EE"/>
                </w:rPr>
                <w:t>37</w:t>
              </w:r>
            </w:hyperlink>
          </w:p>
        </w:tc>
        <w:tc>
          <w:tcPr>
            <w:tcW w:w="20" w:type="dxa"/>
            <w:vAlign w:val="bottom"/>
          </w:tcPr>
          <w:p>
            <w:pPr>
              <w:spacing w:after="0"/>
              <w:rPr>
                <w:sz w:val="24"/>
                <w:szCs w:val="24"/>
                <w:color w:val="auto"/>
              </w:rPr>
            </w:pPr>
          </w:p>
        </w:tc>
      </w:tr>
      <w:tr>
        <w:trPr>
          <w:trHeight w:val="399"/>
        </w:trPr>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660" w:type="dxa"/>
            <w:vAlign w:val="bottom"/>
            <w:gridSpan w:val="9"/>
          </w:tcPr>
          <w:p>
            <w:pPr>
              <w:jc w:val="right"/>
              <w:ind w:right="24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25"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KRATOS DEFENSE &amp; SECURITY SOLUTIONS, INC.</w:t>
      </w:r>
    </w:p>
    <w:p>
      <w:pPr>
        <w:spacing w:after="0" w:line="6"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20" w:type="dxa"/>
            <w:vAlign w:val="bottom"/>
          </w:tcPr>
          <w:p>
            <w:pPr>
              <w:ind w:left="4320"/>
              <w:spacing w:after="0"/>
              <w:rPr>
                <w:sz w:val="20"/>
                <w:szCs w:val="20"/>
                <w:color w:val="auto"/>
              </w:rPr>
            </w:pPr>
            <w:r>
              <w:rPr>
                <w:rFonts w:ascii="Arial" w:cs="Arial" w:eastAsia="Arial" w:hAnsi="Arial"/>
                <w:sz w:val="13"/>
                <w:szCs w:val="13"/>
                <w:b w:val="1"/>
                <w:bCs w:val="1"/>
                <w:color w:val="auto"/>
                <w:w w:val="89"/>
              </w:rPr>
              <w:t>(in millions, except par value and number of shares)</w:t>
            </w: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7220" w:type="dxa"/>
            <w:vAlign w:val="bottom"/>
          </w:tcPr>
          <w:p>
            <w:pPr>
              <w:spacing w:after="0"/>
              <w:rPr>
                <w:sz w:val="24"/>
                <w:szCs w:val="24"/>
                <w:color w:val="auto"/>
              </w:rPr>
            </w:pPr>
          </w:p>
        </w:tc>
        <w:tc>
          <w:tcPr>
            <w:tcW w:w="1500" w:type="dxa"/>
            <w:vAlign w:val="bottom"/>
          </w:tcPr>
          <w:p>
            <w:pPr>
              <w:jc w:val="right"/>
              <w:ind w:right="15"/>
              <w:spacing w:after="0"/>
              <w:rPr>
                <w:sz w:val="20"/>
                <w:szCs w:val="20"/>
                <w:color w:val="auto"/>
              </w:rPr>
            </w:pPr>
            <w:r>
              <w:rPr>
                <w:rFonts w:ascii="Arial" w:cs="Arial" w:eastAsia="Arial" w:hAnsi="Arial"/>
                <w:sz w:val="13"/>
                <w:szCs w:val="13"/>
                <w:b w:val="1"/>
                <w:bCs w:val="1"/>
                <w:color w:val="auto"/>
              </w:rPr>
              <w:t>June 30, 2019</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b w:val="1"/>
                <w:bCs w:val="1"/>
                <w:color w:val="auto"/>
              </w:rPr>
              <w:t>(Unaudited)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ind w:right="435"/>
              <w:spacing w:after="0"/>
              <w:rPr>
                <w:sz w:val="20"/>
                <w:szCs w:val="20"/>
                <w:color w:val="auto"/>
              </w:rPr>
            </w:pPr>
            <w:r>
              <w:rPr>
                <w:rFonts w:ascii="Arial" w:cs="Arial" w:eastAsia="Arial" w:hAnsi="Arial"/>
                <w:sz w:val="13"/>
                <w:szCs w:val="13"/>
                <w:b w:val="1"/>
                <w:bCs w:val="1"/>
                <w:color w:val="auto"/>
              </w:rPr>
              <w:t>December 30, 2018</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5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22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500" w:type="dxa"/>
            <w:vAlign w:val="bottom"/>
            <w:tcBorders>
              <w:bottom w:val="single" w:sz="8" w:color="CCEEFF"/>
            </w:tcBorders>
            <w:shd w:val="clear" w:color="auto" w:fill="CCEEFF"/>
          </w:tcPr>
          <w:p>
            <w:pPr>
              <w:jc w:val="right"/>
              <w:ind w:right="1335"/>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176.2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Restricted cash</w:t>
            </w:r>
          </w:p>
        </w:tc>
        <w:tc>
          <w:tcPr>
            <w:tcW w:w="150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Accounts receivable, net</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67.8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Unbilled receivables, net</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169.1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172.8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Inventoried costs</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75.4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Prepaid expenses</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11.9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Current assets of discontinued operations</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current assets</w:t>
            </w:r>
          </w:p>
        </w:tc>
        <w:tc>
          <w:tcPr>
            <w:tcW w:w="15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516.0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494.7</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115.5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43.8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Goodwill</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459.4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425.7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32.4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Other assets</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assets</w:t>
            </w:r>
          </w:p>
        </w:tc>
        <w:tc>
          <w:tcPr>
            <w:tcW w:w="1500" w:type="dxa"/>
            <w:vAlign w:val="bottom"/>
            <w:tcBorders>
              <w:bottom w:val="single" w:sz="8" w:color="auto"/>
            </w:tcBorders>
            <w:shd w:val="clear" w:color="auto" w:fill="CCEEFF"/>
          </w:tcPr>
          <w:p>
            <w:pPr>
              <w:jc w:val="right"/>
              <w:ind w:right="1335"/>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1,173.6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1,010.1</w:t>
            </w:r>
          </w:p>
        </w:tc>
        <w:tc>
          <w:tcPr>
            <w:tcW w:w="0" w:type="dxa"/>
            <w:vAlign w:val="bottom"/>
          </w:tcPr>
          <w:p>
            <w:pPr>
              <w:spacing w:after="0"/>
              <w:rPr>
                <w:sz w:val="1"/>
                <w:szCs w:val="1"/>
                <w:color w:val="auto"/>
              </w:rPr>
            </w:pPr>
          </w:p>
        </w:tc>
      </w:tr>
      <w:tr>
        <w:trPr>
          <w:trHeight w:val="20"/>
        </w:trPr>
        <w:tc>
          <w:tcPr>
            <w:tcW w:w="7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Liabilities and Stockholders</w:t>
            </w:r>
            <w:r>
              <w:rPr>
                <w:rFonts w:ascii="Arial" w:cs="Arial" w:eastAsia="Arial" w:hAnsi="Arial"/>
                <w:sz w:val="14"/>
                <w:szCs w:val="14"/>
                <w:color w:val="auto"/>
              </w:rPr>
              <w:t>’</w:t>
            </w:r>
            <w:r>
              <w:rPr>
                <w:rFonts w:ascii="Arial" w:cs="Arial" w:eastAsia="Arial" w:hAnsi="Arial"/>
                <w:sz w:val="13"/>
                <w:szCs w:val="13"/>
                <w:b w:val="1"/>
                <w:bCs w:val="1"/>
                <w:color w:val="auto"/>
              </w:rPr>
              <w:t xml:space="preserve"> Equity</w:t>
            </w: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2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500" w:type="dxa"/>
            <w:vAlign w:val="bottom"/>
          </w:tcPr>
          <w:p>
            <w:pPr>
              <w:jc w:val="right"/>
              <w:ind w:right="1335"/>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52.7</w:t>
            </w:r>
          </w:p>
        </w:tc>
        <w:tc>
          <w:tcPr>
            <w:tcW w:w="120" w:type="dxa"/>
            <w:vAlign w:val="bottom"/>
          </w:tcPr>
          <w:p>
            <w:pPr>
              <w:spacing w:after="0"/>
              <w:rPr>
                <w:sz w:val="16"/>
                <w:szCs w:val="16"/>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Accrued expenses</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39.2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Accrued compensation</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32.1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Accrued interest</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Billings in excess of costs and earnings on uncompleted contracts</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38.8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Current portion of operating lease liabilities</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12.1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Other current liabilities</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Current liabilities of discontinued operations</w:t>
            </w:r>
          </w:p>
        </w:tc>
        <w:tc>
          <w:tcPr>
            <w:tcW w:w="1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9"/>
        </w:trPr>
        <w:tc>
          <w:tcPr>
            <w:tcW w:w="7220" w:type="dxa"/>
            <w:vAlign w:val="bottom"/>
          </w:tcPr>
          <w:p>
            <w:pPr>
              <w:ind w:left="300"/>
              <w:spacing w:after="0"/>
              <w:rPr>
                <w:sz w:val="20"/>
                <w:szCs w:val="20"/>
                <w:color w:val="auto"/>
              </w:rPr>
            </w:pPr>
            <w:r>
              <w:rPr>
                <w:rFonts w:ascii="Arial" w:cs="Arial" w:eastAsia="Arial" w:hAnsi="Arial"/>
                <w:sz w:val="13"/>
                <w:szCs w:val="13"/>
                <w:color w:val="auto"/>
              </w:rPr>
              <w:t>Total current liabilities</w:t>
            </w:r>
          </w:p>
        </w:tc>
        <w:tc>
          <w:tcPr>
            <w:tcW w:w="15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188.9</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164.7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Long-term debt principal, net of current portion</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294.6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294.2</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Operating lease liabilities, net of current portion</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74.6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Long-term liabilities of discontinued operations</w:t>
            </w:r>
          </w:p>
        </w:tc>
        <w:tc>
          <w:tcPr>
            <w:tcW w:w="150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liabilities</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598.7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490.8</w:t>
            </w:r>
          </w:p>
        </w:tc>
        <w:tc>
          <w:tcPr>
            <w:tcW w:w="0" w:type="dxa"/>
            <w:vAlign w:val="bottom"/>
          </w:tcPr>
          <w:p>
            <w:pPr>
              <w:spacing w:after="0"/>
              <w:rPr>
                <w:sz w:val="1"/>
                <w:szCs w:val="1"/>
                <w:color w:val="auto"/>
              </w:rPr>
            </w:pP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color w:val="auto"/>
              </w:rPr>
              <w:t>Commitments and contingencies</w:t>
            </w:r>
          </w:p>
        </w:tc>
        <w:tc>
          <w:tcPr>
            <w:tcW w:w="15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Redeemable noncontrolling interest (Note 12)</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15.4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220" w:type="dxa"/>
            <w:vAlign w:val="bottom"/>
          </w:tcPr>
          <w:p>
            <w:pPr>
              <w:ind w:left="20"/>
              <w:spacing w:after="0"/>
              <w:rPr>
                <w:sz w:val="20"/>
                <w:szCs w:val="20"/>
                <w:color w:val="auto"/>
              </w:rPr>
            </w:pPr>
            <w:r>
              <w:rPr>
                <w:rFonts w:ascii="Arial" w:cs="Arial" w:eastAsia="Arial" w:hAnsi="Arial"/>
                <w:sz w:val="13"/>
                <w:szCs w:val="13"/>
                <w:color w:val="auto"/>
              </w:rPr>
              <w:t>Stockholders</w:t>
            </w:r>
            <w:r>
              <w:rPr>
                <w:rFonts w:ascii="Arial" w:cs="Arial" w:eastAsia="Arial" w:hAnsi="Arial"/>
                <w:sz w:val="14"/>
                <w:szCs w:val="14"/>
                <w:color w:val="auto"/>
              </w:rPr>
              <w:t>’</w:t>
            </w:r>
            <w:r>
              <w:rPr>
                <w:rFonts w:ascii="Arial" w:cs="Arial" w:eastAsia="Arial" w:hAnsi="Arial"/>
                <w:sz w:val="13"/>
                <w:szCs w:val="13"/>
                <w:color w:val="auto"/>
              </w:rPr>
              <w:t xml:space="preserve"> equity:</w:t>
            </w: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w w:val="95"/>
              </w:rPr>
              <w:t>Preferred stock, $0.001 par value, 5,000,000 shares authorized, 0 shares outstanding at June 30, 2019 and December 30, 2018</w:t>
            </w:r>
          </w:p>
        </w:tc>
        <w:tc>
          <w:tcPr>
            <w:tcW w:w="15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7220" w:type="dxa"/>
            <w:vAlign w:val="bottom"/>
          </w:tcPr>
          <w:p>
            <w:pPr>
              <w:ind w:left="140"/>
              <w:spacing w:after="0"/>
              <w:rPr>
                <w:sz w:val="20"/>
                <w:szCs w:val="20"/>
                <w:color w:val="auto"/>
              </w:rPr>
            </w:pPr>
            <w:r>
              <w:rPr>
                <w:rFonts w:ascii="Arial" w:cs="Arial" w:eastAsia="Arial" w:hAnsi="Arial"/>
                <w:sz w:val="13"/>
                <w:szCs w:val="13"/>
                <w:color w:val="auto"/>
                <w:w w:val="90"/>
              </w:rPr>
              <w:t>Common stock, $0.001 par value, 195,000,000 shares authorized; 105,914,292 and 103,766,899 shares issued and outstanding at June</w:t>
            </w:r>
          </w:p>
        </w:tc>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220" w:type="dxa"/>
            <w:vAlign w:val="bottom"/>
          </w:tcPr>
          <w:p>
            <w:pPr>
              <w:ind w:left="140"/>
              <w:spacing w:after="0"/>
              <w:rPr>
                <w:sz w:val="20"/>
                <w:szCs w:val="20"/>
                <w:color w:val="auto"/>
              </w:rPr>
            </w:pPr>
            <w:r>
              <w:rPr>
                <w:rFonts w:ascii="Arial" w:cs="Arial" w:eastAsia="Arial" w:hAnsi="Arial"/>
                <w:sz w:val="13"/>
                <w:szCs w:val="13"/>
                <w:color w:val="auto"/>
              </w:rPr>
              <w:t>30, 2019 and December 30, 2018, respectively</w:t>
            </w:r>
          </w:p>
        </w:tc>
        <w:tc>
          <w:tcPr>
            <w:tcW w:w="15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7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5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1,277.8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1,244.5</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Accumulated other comprehensive loss</w:t>
            </w:r>
          </w:p>
        </w:tc>
        <w:tc>
          <w:tcPr>
            <w:tcW w:w="15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1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(717.5)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(724.5)</w:t>
            </w:r>
          </w:p>
        </w:tc>
        <w:tc>
          <w:tcPr>
            <w:tcW w:w="0" w:type="dxa"/>
            <w:vAlign w:val="bottom"/>
          </w:tcPr>
          <w:p>
            <w:pPr>
              <w:spacing w:after="0"/>
              <w:rPr>
                <w:sz w:val="1"/>
                <w:szCs w:val="1"/>
                <w:color w:val="auto"/>
              </w:rPr>
            </w:pPr>
          </w:p>
        </w:tc>
      </w:tr>
      <w:tr>
        <w:trPr>
          <w:trHeight w:val="173"/>
        </w:trPr>
        <w:tc>
          <w:tcPr>
            <w:tcW w:w="7220" w:type="dxa"/>
            <w:vAlign w:val="bottom"/>
          </w:tcPr>
          <w:p>
            <w:pPr>
              <w:ind w:left="300"/>
              <w:spacing w:after="0"/>
              <w:rPr>
                <w:sz w:val="20"/>
                <w:szCs w:val="20"/>
                <w:color w:val="auto"/>
              </w:rPr>
            </w:pPr>
            <w:r>
              <w:rPr>
                <w:rFonts w:ascii="Arial" w:cs="Arial" w:eastAsia="Arial" w:hAnsi="Arial"/>
                <w:sz w:val="13"/>
                <w:szCs w:val="13"/>
                <w:color w:val="auto"/>
              </w:rPr>
              <w:t>Total stockholders</w:t>
            </w:r>
            <w:r>
              <w:rPr>
                <w:rFonts w:ascii="Arial" w:cs="Arial" w:eastAsia="Arial" w:hAnsi="Arial"/>
                <w:sz w:val="14"/>
                <w:szCs w:val="14"/>
                <w:color w:val="auto"/>
              </w:rPr>
              <w:t>’</w:t>
            </w:r>
            <w:r>
              <w:rPr>
                <w:rFonts w:ascii="Arial" w:cs="Arial" w:eastAsia="Arial" w:hAnsi="Arial"/>
                <w:sz w:val="13"/>
                <w:szCs w:val="13"/>
                <w:color w:val="auto"/>
              </w:rPr>
              <w:t xml:space="preserve"> equity</w:t>
            </w:r>
          </w:p>
        </w:tc>
        <w:tc>
          <w:tcPr>
            <w:tcW w:w="15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559.5</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519.3</w:t>
            </w:r>
          </w:p>
        </w:tc>
        <w:tc>
          <w:tcPr>
            <w:tcW w:w="0" w:type="dxa"/>
            <w:vAlign w:val="bottom"/>
          </w:tcPr>
          <w:p>
            <w:pPr>
              <w:spacing w:after="0"/>
              <w:rPr>
                <w:sz w:val="1"/>
                <w:szCs w:val="1"/>
                <w:color w:val="auto"/>
              </w:rPr>
            </w:pPr>
          </w:p>
        </w:tc>
      </w:tr>
      <w:tr>
        <w:trPr>
          <w:trHeight w:val="23"/>
        </w:trPr>
        <w:tc>
          <w:tcPr>
            <w:tcW w:w="72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liabilities and stockholders</w:t>
            </w:r>
            <w:r>
              <w:rPr>
                <w:rFonts w:ascii="Arial" w:cs="Arial" w:eastAsia="Arial" w:hAnsi="Arial"/>
                <w:sz w:val="14"/>
                <w:szCs w:val="14"/>
                <w:color w:val="auto"/>
              </w:rPr>
              <w:t>’</w:t>
            </w:r>
            <w:r>
              <w:rPr>
                <w:rFonts w:ascii="Arial" w:cs="Arial" w:eastAsia="Arial" w:hAnsi="Arial"/>
                <w:sz w:val="13"/>
                <w:szCs w:val="13"/>
                <w:color w:val="auto"/>
              </w:rPr>
              <w:t xml:space="preserve"> equity</w:t>
            </w:r>
          </w:p>
        </w:tc>
        <w:tc>
          <w:tcPr>
            <w:tcW w:w="1500" w:type="dxa"/>
            <w:vAlign w:val="bottom"/>
            <w:tcBorders>
              <w:bottom w:val="single" w:sz="8" w:color="auto"/>
            </w:tcBorders>
            <w:shd w:val="clear" w:color="auto" w:fill="CCEEFF"/>
          </w:tcPr>
          <w:p>
            <w:pPr>
              <w:jc w:val="right"/>
              <w:ind w:right="1335"/>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1,173.6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1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1,010.1</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129" w:right="2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KRATOS DEFENSE &amp; SECURITY SOLUTIONS,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OPERATIONS AND COMPREHENSIVE INCOME (LOSS)</w:t>
      </w:r>
    </w:p>
    <w:p>
      <w:pPr>
        <w:jc w:val="center"/>
        <w:spacing w:after="0" w:line="230" w:lineRule="auto"/>
        <w:rPr>
          <w:sz w:val="20"/>
          <w:szCs w:val="20"/>
          <w:color w:val="auto"/>
        </w:rPr>
      </w:pPr>
      <w:r>
        <w:rPr>
          <w:rFonts w:ascii="Arial" w:cs="Arial" w:eastAsia="Arial" w:hAnsi="Arial"/>
          <w:sz w:val="13"/>
          <w:szCs w:val="13"/>
          <w:b w:val="1"/>
          <w:bCs w:val="1"/>
          <w:color w:val="auto"/>
        </w:rPr>
        <w:t>(in millions, except per share amounts)</w:t>
      </w:r>
    </w:p>
    <w:p>
      <w:pPr>
        <w:jc w:val="center"/>
        <w:ind w:right="-39"/>
        <w:spacing w:after="0"/>
        <w:rPr>
          <w:sz w:val="20"/>
          <w:szCs w:val="20"/>
          <w:color w:val="auto"/>
        </w:rPr>
      </w:pPr>
      <w:r>
        <w:rPr>
          <w:rFonts w:ascii="Arial" w:cs="Arial" w:eastAsia="Arial" w:hAnsi="Arial"/>
          <w:sz w:val="11"/>
          <w:szCs w:val="11"/>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1"/>
                <w:szCs w:val="11"/>
                <w:b w:val="1"/>
                <w:bCs w:val="1"/>
                <w:color w:val="auto"/>
              </w:rPr>
              <w:t>Six Months Ended</w:t>
            </w:r>
          </w:p>
        </w:tc>
      </w:tr>
      <w:tr>
        <w:trPr>
          <w:trHeight w:val="206"/>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 2019</w:t>
            </w:r>
          </w:p>
        </w:tc>
        <w:tc>
          <w:tcPr>
            <w:tcW w:w="20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1"/>
                <w:szCs w:val="11"/>
                <w:b w:val="1"/>
                <w:bCs w:val="1"/>
                <w:color w:val="auto"/>
              </w:rPr>
              <w:t>July 1, 2018</w:t>
            </w:r>
          </w:p>
        </w:tc>
        <w:tc>
          <w:tcPr>
            <w:tcW w:w="20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 2019</w:t>
            </w:r>
          </w:p>
        </w:tc>
        <w:tc>
          <w:tcPr>
            <w:tcW w:w="200" w:type="dxa"/>
            <w:vAlign w:val="bottom"/>
          </w:tcPr>
          <w:p>
            <w:pPr>
              <w:spacing w:after="0"/>
              <w:rPr>
                <w:sz w:val="17"/>
                <w:szCs w:val="17"/>
                <w:color w:val="auto"/>
              </w:rPr>
            </w:pPr>
          </w:p>
        </w:tc>
        <w:tc>
          <w:tcPr>
            <w:tcW w:w="1040" w:type="dxa"/>
            <w:vAlign w:val="bottom"/>
          </w:tcPr>
          <w:p>
            <w:pPr>
              <w:jc w:val="right"/>
              <w:ind w:right="255"/>
              <w:spacing w:after="0"/>
              <w:rPr>
                <w:sz w:val="20"/>
                <w:szCs w:val="20"/>
                <w:color w:val="auto"/>
              </w:rPr>
            </w:pPr>
            <w:r>
              <w:rPr>
                <w:rFonts w:ascii="Arial" w:cs="Arial" w:eastAsia="Arial" w:hAnsi="Arial"/>
                <w:sz w:val="11"/>
                <w:szCs w:val="11"/>
                <w:b w:val="1"/>
                <w:bCs w:val="1"/>
                <w:color w:val="auto"/>
              </w:rPr>
              <w:t>July 1, 2018</w:t>
            </w:r>
          </w:p>
        </w:tc>
      </w:tr>
      <w:tr>
        <w:trPr>
          <w:trHeight w:val="180"/>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Service revenues</w:t>
            </w:r>
          </w:p>
        </w:tc>
        <w:tc>
          <w:tcPr>
            <w:tcW w:w="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73.7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47.0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93.0</w:t>
            </w:r>
          </w:p>
        </w:tc>
      </w:tr>
      <w:tr>
        <w:trPr>
          <w:trHeight w:val="189"/>
        </w:trPr>
        <w:tc>
          <w:tcPr>
            <w:tcW w:w="6080" w:type="dxa"/>
            <w:vAlign w:val="bottom"/>
          </w:tcPr>
          <w:p>
            <w:pPr>
              <w:ind w:left="20"/>
              <w:spacing w:after="0"/>
              <w:rPr>
                <w:sz w:val="20"/>
                <w:szCs w:val="20"/>
                <w:color w:val="auto"/>
              </w:rPr>
            </w:pPr>
            <w:r>
              <w:rPr>
                <w:rFonts w:ascii="Arial" w:cs="Arial" w:eastAsia="Arial" w:hAnsi="Arial"/>
                <w:sz w:val="13"/>
                <w:szCs w:val="13"/>
                <w:color w:val="auto"/>
              </w:rPr>
              <w:t>Product sales</w:t>
            </w:r>
          </w:p>
        </w:tc>
        <w:tc>
          <w:tcPr>
            <w:tcW w:w="2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114.2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104.2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212.0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201.2</w:t>
            </w:r>
          </w:p>
        </w:tc>
      </w:tr>
      <w:tr>
        <w:trPr>
          <w:trHeight w:val="27"/>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revenues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187.9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151.2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348.3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294.2</w:t>
            </w:r>
          </w:p>
        </w:tc>
      </w:tr>
      <w:tr>
        <w:trPr>
          <w:trHeight w:val="169"/>
        </w:trPr>
        <w:tc>
          <w:tcPr>
            <w:tcW w:w="6080" w:type="dxa"/>
            <w:vAlign w:val="bottom"/>
          </w:tcPr>
          <w:p>
            <w:pPr>
              <w:ind w:left="20"/>
              <w:spacing w:after="0"/>
              <w:rPr>
                <w:sz w:val="20"/>
                <w:szCs w:val="20"/>
                <w:color w:val="auto"/>
              </w:rPr>
            </w:pPr>
            <w:r>
              <w:rPr>
                <w:rFonts w:ascii="Arial" w:cs="Arial" w:eastAsia="Arial" w:hAnsi="Arial"/>
                <w:sz w:val="13"/>
                <w:szCs w:val="13"/>
                <w:color w:val="auto"/>
              </w:rPr>
              <w:t>Cost of service revenues</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50.6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92.6</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66.1</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Cost of product sales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89.2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78.7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162.7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148.0</w:t>
            </w:r>
          </w:p>
        </w:tc>
      </w:tr>
      <w:tr>
        <w:trPr>
          <w:trHeight w:val="169"/>
        </w:trPr>
        <w:tc>
          <w:tcPr>
            <w:tcW w:w="6080" w:type="dxa"/>
            <w:vAlign w:val="bottom"/>
          </w:tcPr>
          <w:p>
            <w:pPr>
              <w:ind w:left="220"/>
              <w:spacing w:after="0"/>
              <w:rPr>
                <w:sz w:val="20"/>
                <w:szCs w:val="20"/>
                <w:color w:val="auto"/>
              </w:rPr>
            </w:pPr>
            <w:r>
              <w:rPr>
                <w:rFonts w:ascii="Arial" w:cs="Arial" w:eastAsia="Arial" w:hAnsi="Arial"/>
                <w:sz w:val="13"/>
                <w:szCs w:val="13"/>
                <w:color w:val="auto"/>
              </w:rPr>
              <w:t>Total costs</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111.9</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255.3</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214.1</w:t>
            </w:r>
          </w:p>
        </w:tc>
      </w:tr>
      <w:tr>
        <w:trPr>
          <w:trHeight w:val="27"/>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6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Gross profit</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48.1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39.3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93.0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80.1</w:t>
            </w:r>
          </w:p>
        </w:tc>
      </w:tr>
      <w:tr>
        <w:trPr>
          <w:trHeight w:val="189"/>
        </w:trPr>
        <w:tc>
          <w:tcPr>
            <w:tcW w:w="6080" w:type="dxa"/>
            <w:vAlign w:val="bottom"/>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33.7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30.1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65.2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59.9</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Merger and acquisition expenses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89"/>
        </w:trPr>
        <w:tc>
          <w:tcPr>
            <w:tcW w:w="6080" w:type="dxa"/>
            <w:vAlign w:val="bottom"/>
          </w:tcPr>
          <w:p>
            <w:pPr>
              <w:ind w:left="20"/>
              <w:spacing w:after="0"/>
              <w:rPr>
                <w:sz w:val="20"/>
                <w:szCs w:val="20"/>
                <w:color w:val="auto"/>
              </w:rPr>
            </w:pPr>
            <w:r>
              <w:rPr>
                <w:rFonts w:ascii="Arial" w:cs="Arial" w:eastAsia="Arial" w:hAnsi="Arial"/>
                <w:sz w:val="13"/>
                <w:szCs w:val="13"/>
                <w:color w:val="auto"/>
              </w:rPr>
              <w:t>Research and development expenses</w:t>
            </w:r>
          </w:p>
        </w:tc>
        <w:tc>
          <w:tcPr>
            <w:tcW w:w="2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7.2</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Restructuring expenses and other</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3.4</w:t>
            </w:r>
          </w:p>
        </w:tc>
      </w:tr>
      <w:tr>
        <w:trPr>
          <w:trHeight w:val="169"/>
        </w:trPr>
        <w:tc>
          <w:tcPr>
            <w:tcW w:w="6080" w:type="dxa"/>
            <w:vAlign w:val="bottom"/>
          </w:tcPr>
          <w:p>
            <w:pPr>
              <w:ind w:left="220"/>
              <w:spacing w:after="0"/>
              <w:rPr>
                <w:sz w:val="20"/>
                <w:szCs w:val="20"/>
                <w:color w:val="auto"/>
              </w:rPr>
            </w:pPr>
            <w:r>
              <w:rPr>
                <w:rFonts w:ascii="Arial" w:cs="Arial" w:eastAsia="Arial" w:hAnsi="Arial"/>
                <w:sz w:val="13"/>
                <w:szCs w:val="13"/>
                <w:color w:val="auto"/>
              </w:rPr>
              <w:t>Operating income from continuing operations</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9.6</w:t>
            </w:r>
          </w:p>
        </w:tc>
      </w:tr>
      <w:tr>
        <w:trPr>
          <w:trHeight w:val="27"/>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income (expense):</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9"/>
        </w:trPr>
        <w:tc>
          <w:tcPr>
            <w:tcW w:w="6080" w:type="dxa"/>
            <w:vAlign w:val="bottom"/>
          </w:tcPr>
          <w:p>
            <w:pPr>
              <w:ind w:left="220"/>
              <w:spacing w:after="0"/>
              <w:rPr>
                <w:sz w:val="20"/>
                <w:szCs w:val="20"/>
                <w:color w:val="auto"/>
              </w:rPr>
            </w:pPr>
            <w:r>
              <w:rPr>
                <w:rFonts w:ascii="Arial" w:cs="Arial" w:eastAsia="Arial" w:hAnsi="Arial"/>
                <w:sz w:val="13"/>
                <w:szCs w:val="13"/>
                <w:color w:val="auto"/>
              </w:rPr>
              <w:t>Interest expense, net</w:t>
            </w:r>
          </w:p>
        </w:tc>
        <w:tc>
          <w:tcPr>
            <w:tcW w:w="200" w:type="dxa"/>
            <w:vAlign w:val="bottom"/>
          </w:tcPr>
          <w:p>
            <w:pPr>
              <w:spacing w:after="0"/>
              <w:rPr>
                <w:sz w:val="16"/>
                <w:szCs w:val="16"/>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(10.8)</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Other income (expense), net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69"/>
        </w:trPr>
        <w:tc>
          <w:tcPr>
            <w:tcW w:w="6080" w:type="dxa"/>
            <w:vAlign w:val="bottom"/>
          </w:tcPr>
          <w:p>
            <w:pPr>
              <w:ind w:left="480"/>
              <w:spacing w:after="0"/>
              <w:rPr>
                <w:sz w:val="20"/>
                <w:szCs w:val="20"/>
                <w:color w:val="auto"/>
              </w:rPr>
            </w:pPr>
            <w:r>
              <w:rPr>
                <w:rFonts w:ascii="Arial" w:cs="Arial" w:eastAsia="Arial" w:hAnsi="Arial"/>
                <w:sz w:val="13"/>
                <w:szCs w:val="13"/>
                <w:color w:val="auto"/>
              </w:rPr>
              <w:t>Total other expense, net</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w:t>
            </w:r>
          </w:p>
        </w:tc>
      </w:tr>
      <w:tr>
        <w:trPr>
          <w:trHeight w:val="27"/>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from continuing operations before income taxes</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89"/>
        </w:trPr>
        <w:tc>
          <w:tcPr>
            <w:tcW w:w="6080" w:type="dxa"/>
            <w:vAlign w:val="bottom"/>
          </w:tcPr>
          <w:p>
            <w:pPr>
              <w:ind w:left="20"/>
              <w:spacing w:after="0"/>
              <w:rPr>
                <w:sz w:val="20"/>
                <w:szCs w:val="20"/>
                <w:color w:val="auto"/>
              </w:rPr>
            </w:pPr>
            <w:r>
              <w:rPr>
                <w:rFonts w:ascii="Arial" w:cs="Arial" w:eastAsia="Arial" w:hAnsi="Arial"/>
                <w:sz w:val="13"/>
                <w:szCs w:val="13"/>
                <w:color w:val="auto"/>
              </w:rPr>
              <w:t>Provision for income taxes from continuing operations</w:t>
            </w:r>
          </w:p>
        </w:tc>
        <w:tc>
          <w:tcPr>
            <w:tcW w:w="2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w:t>
            </w:r>
          </w:p>
        </w:tc>
      </w:tr>
      <w:tr>
        <w:trPr>
          <w:trHeight w:val="27"/>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Income (loss) from continuing operations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80"/>
        </w:trPr>
        <w:tc>
          <w:tcPr>
            <w:tcW w:w="6080" w:type="dxa"/>
            <w:vAlign w:val="bottom"/>
          </w:tcPr>
          <w:p>
            <w:pPr>
              <w:ind w:left="20"/>
              <w:spacing w:after="0"/>
              <w:rPr>
                <w:sz w:val="20"/>
                <w:szCs w:val="20"/>
                <w:color w:val="auto"/>
              </w:rPr>
            </w:pPr>
            <w:r>
              <w:rPr>
                <w:rFonts w:ascii="Arial" w:cs="Arial" w:eastAsia="Arial" w:hAnsi="Arial"/>
                <w:sz w:val="13"/>
                <w:szCs w:val="13"/>
                <w:color w:val="auto"/>
              </w:rPr>
              <w:t>Discontinued operations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Income (loss) from operations of discontinued component</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89"/>
        </w:trPr>
        <w:tc>
          <w:tcPr>
            <w:tcW w:w="6080" w:type="dxa"/>
            <w:vAlign w:val="bottom"/>
          </w:tcPr>
          <w:p>
            <w:pPr>
              <w:ind w:left="220"/>
              <w:spacing w:after="0"/>
              <w:rPr>
                <w:sz w:val="20"/>
                <w:szCs w:val="20"/>
                <w:color w:val="auto"/>
              </w:rPr>
            </w:pPr>
            <w:r>
              <w:rPr>
                <w:rFonts w:ascii="Arial" w:cs="Arial" w:eastAsia="Arial" w:hAnsi="Arial"/>
                <w:sz w:val="13"/>
                <w:szCs w:val="13"/>
                <w:color w:val="auto"/>
              </w:rPr>
              <w:t>Income tax benefit</w:t>
            </w:r>
          </w:p>
        </w:tc>
        <w:tc>
          <w:tcPr>
            <w:tcW w:w="2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2.2</w:t>
            </w:r>
          </w:p>
        </w:tc>
      </w:tr>
      <w:tr>
        <w:trPr>
          <w:trHeight w:val="27"/>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from discontinued operations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69"/>
        </w:trPr>
        <w:tc>
          <w:tcPr>
            <w:tcW w:w="6080" w:type="dxa"/>
            <w:vAlign w:val="bottom"/>
          </w:tcPr>
          <w:p>
            <w:pPr>
              <w:ind w:left="220"/>
              <w:spacing w:after="0"/>
              <w:rPr>
                <w:sz w:val="20"/>
                <w:szCs w:val="20"/>
                <w:color w:val="auto"/>
              </w:rPr>
            </w:pPr>
            <w:r>
              <w:rPr>
                <w:rFonts w:ascii="Arial" w:cs="Arial" w:eastAsia="Arial" w:hAnsi="Arial"/>
                <w:sz w:val="13"/>
                <w:szCs w:val="13"/>
                <w:color w:val="auto"/>
              </w:rPr>
              <w:t>Net income (loss)</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Less: Net income attributable to noncontrolling interest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28"/>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Net income (loss) attributable to Kratos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3.9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7.0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w:t>
            </w:r>
          </w:p>
        </w:tc>
      </w:tr>
      <w:tr>
        <w:trPr>
          <w:trHeight w:val="16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Basic income (loss) per common share attributable to Kratos:</w:t>
            </w:r>
          </w:p>
        </w:tc>
        <w:tc>
          <w:tcPr>
            <w:tcW w:w="2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9"/>
        </w:trPr>
        <w:tc>
          <w:tcPr>
            <w:tcW w:w="6080" w:type="dxa"/>
            <w:vAlign w:val="bottom"/>
          </w:tcPr>
          <w:p>
            <w:pPr>
              <w:ind w:left="220"/>
              <w:spacing w:after="0"/>
              <w:rPr>
                <w:sz w:val="20"/>
                <w:szCs w:val="20"/>
                <w:color w:val="auto"/>
              </w:rPr>
            </w:pPr>
            <w:r>
              <w:rPr>
                <w:rFonts w:ascii="Arial" w:cs="Arial" w:eastAsia="Arial" w:hAnsi="Arial"/>
                <w:sz w:val="13"/>
                <w:szCs w:val="13"/>
                <w:color w:val="auto"/>
              </w:rPr>
              <w:t>Income (loss) from continuing operations</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(0.04)</w:t>
            </w:r>
          </w:p>
        </w:tc>
        <w:tc>
          <w:tcPr>
            <w:tcW w:w="120" w:type="dxa"/>
            <w:vAlign w:val="bottom"/>
          </w:tcPr>
          <w:p>
            <w:pPr>
              <w:spacing w:after="0"/>
              <w:rPr>
                <w:sz w:val="16"/>
                <w:szCs w:val="16"/>
                <w:color w:val="auto"/>
              </w:rPr>
            </w:pP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(0.02)</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Income (loss) from discontinued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(0.08)</w:t>
            </w:r>
          </w:p>
        </w:tc>
      </w:tr>
      <w:tr>
        <w:trPr>
          <w:trHeight w:val="228"/>
        </w:trPr>
        <w:tc>
          <w:tcPr>
            <w:tcW w:w="608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Net income (loss) per common share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0.04</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(0.07)</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0.06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(0.10)</w:t>
            </w:r>
          </w:p>
        </w:tc>
      </w:tr>
      <w:tr>
        <w:trPr>
          <w:trHeight w:val="17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income (loss) per common share attributable to Kratos:</w:t>
            </w:r>
          </w:p>
        </w:tc>
        <w:tc>
          <w:tcPr>
            <w:tcW w:w="2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9"/>
        </w:trPr>
        <w:tc>
          <w:tcPr>
            <w:tcW w:w="6080" w:type="dxa"/>
            <w:vAlign w:val="bottom"/>
          </w:tcPr>
          <w:p>
            <w:pPr>
              <w:ind w:left="220"/>
              <w:spacing w:after="0"/>
              <w:rPr>
                <w:sz w:val="20"/>
                <w:szCs w:val="20"/>
                <w:color w:val="auto"/>
              </w:rPr>
            </w:pPr>
            <w:r>
              <w:rPr>
                <w:rFonts w:ascii="Arial" w:cs="Arial" w:eastAsia="Arial" w:hAnsi="Arial"/>
                <w:sz w:val="13"/>
                <w:szCs w:val="13"/>
                <w:color w:val="auto"/>
              </w:rPr>
              <w:t>Income (loss) from continuing operations</w:t>
            </w: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(0.04)</w:t>
            </w:r>
          </w:p>
        </w:tc>
        <w:tc>
          <w:tcPr>
            <w:tcW w:w="120" w:type="dxa"/>
            <w:vAlign w:val="bottom"/>
          </w:tcPr>
          <w:p>
            <w:pPr>
              <w:spacing w:after="0"/>
              <w:rPr>
                <w:sz w:val="16"/>
                <w:szCs w:val="16"/>
                <w:color w:val="auto"/>
              </w:rPr>
            </w:pP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6"/>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6"/>
                <w:szCs w:val="16"/>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(0.02)</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Income (loss) from discontinued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(0.08)</w:t>
            </w:r>
          </w:p>
        </w:tc>
      </w:tr>
      <w:tr>
        <w:trPr>
          <w:trHeight w:val="228"/>
        </w:trPr>
        <w:tc>
          <w:tcPr>
            <w:tcW w:w="608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Net income (loss) per common share</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0.04</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(0.07)</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0.06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(0.10)</w:t>
            </w:r>
          </w:p>
        </w:tc>
      </w:tr>
      <w:tr>
        <w:trPr>
          <w:trHeight w:val="120"/>
        </w:trPr>
        <w:tc>
          <w:tcPr>
            <w:tcW w:w="6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bl>
    <w:p>
      <w:pPr>
        <w:spacing w:after="0" w:line="26" w:lineRule="exact"/>
        <w:rPr>
          <w:sz w:val="20"/>
          <w:szCs w:val="20"/>
          <w:color w:val="auto"/>
        </w:rPr>
      </w:pPr>
    </w:p>
    <w:p>
      <w:pPr>
        <w:sectPr>
          <w:pgSz w:w="11900" w:h="16838" w:orient="portrait"/>
          <w:cols w:equalWidth="0" w:num="1">
            <w:col w:w="11460"/>
          </w:cols>
          <w:pgMar w:left="220" w:top="129" w:right="219" w:bottom="1440" w:gutter="0" w:footer="0" w:header="0"/>
        </w:sectPr>
      </w:pPr>
    </w:p>
    <w:p>
      <w:pPr>
        <w:ind w:left="20"/>
        <w:spacing w:after="0"/>
        <w:rPr>
          <w:sz w:val="20"/>
          <w:szCs w:val="20"/>
          <w:color w:val="auto"/>
        </w:rPr>
      </w:pPr>
      <w:r>
        <w:rPr>
          <w:rFonts w:ascii="Arial" w:cs="Arial" w:eastAsia="Arial" w:hAnsi="Arial"/>
          <w:sz w:val="11"/>
          <w:szCs w:val="11"/>
          <w:color w:val="auto"/>
        </w:rPr>
        <w:t>Weighted average common shares outstanding:</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Basic</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Diluted</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Comprehensive Income (Loss)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(loss) (from above)</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Change in cumulative translation adjustment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106.1</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103.7</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105.5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103.7</w:t>
            </w:r>
          </w:p>
        </w:tc>
      </w:tr>
      <w:tr>
        <w:trPr>
          <w:trHeight w:val="158"/>
        </w:trPr>
        <w:tc>
          <w:tcPr>
            <w:tcW w:w="480" w:type="dxa"/>
            <w:vAlign w:val="bottom"/>
          </w:tcPr>
          <w:p>
            <w:pPr>
              <w:spacing w:after="0"/>
              <w:rPr>
                <w:sz w:val="13"/>
                <w:szCs w:val="13"/>
                <w:color w:val="auto"/>
              </w:rPr>
            </w:pP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109.4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103.7</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103.7</w:t>
            </w:r>
          </w:p>
        </w:tc>
      </w:tr>
      <w:tr>
        <w:trPr>
          <w:trHeight w:val="27"/>
        </w:trPr>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77"/>
        </w:trPr>
        <w:tc>
          <w:tcPr>
            <w:tcW w:w="480" w:type="dxa"/>
            <w:vAlign w:val="bottom"/>
          </w:tcPr>
          <w:p>
            <w:pPr>
              <w:jc w:val="right"/>
              <w:ind w:right="31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24"/>
                <w:szCs w:val="24"/>
                <w:color w:val="auto"/>
              </w:rPr>
            </w:pPr>
          </w:p>
        </w:tc>
        <w:tc>
          <w:tcPr>
            <w:tcW w:w="460" w:type="dxa"/>
            <w:vAlign w:val="bottom"/>
          </w:tcPr>
          <w:p>
            <w:pPr>
              <w:jc w:val="right"/>
              <w:ind w:right="315"/>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24"/>
                <w:szCs w:val="24"/>
                <w:color w:val="auto"/>
              </w:rPr>
            </w:pPr>
          </w:p>
        </w:tc>
        <w:tc>
          <w:tcPr>
            <w:tcW w:w="480" w:type="dxa"/>
            <w:vAlign w:val="bottom"/>
          </w:tcPr>
          <w:p>
            <w:pPr>
              <w:jc w:val="right"/>
              <w:ind w:right="315"/>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4"/>
                <w:szCs w:val="24"/>
                <w:color w:val="auto"/>
              </w:rPr>
            </w:pPr>
          </w:p>
        </w:tc>
        <w:tc>
          <w:tcPr>
            <w:tcW w:w="460" w:type="dxa"/>
            <w:vAlign w:val="bottom"/>
          </w:tcPr>
          <w:p>
            <w:pPr>
              <w:jc w:val="right"/>
              <w:ind w:right="315"/>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216"/>
        </w:trPr>
        <w:tc>
          <w:tcPr>
            <w:tcW w:w="4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ind w:right="55"/>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-694055</wp:posOffset>
            </wp:positionV>
            <wp:extent cx="72745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-406400</wp:posOffset>
            </wp:positionV>
            <wp:extent cx="7274560" cy="150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150495"/>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-119380</wp:posOffset>
            </wp:positionV>
            <wp:extent cx="7274560" cy="143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14351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5360" w:space="720"/>
            <w:col w:w="5380"/>
          </w:cols>
          <w:pgMar w:left="220" w:top="129" w:right="21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6080" w:type="dxa"/>
            <w:vAlign w:val="bottom"/>
          </w:tcPr>
          <w:p>
            <w:pPr>
              <w:ind w:left="20"/>
              <w:spacing w:after="0"/>
              <w:rPr>
                <w:sz w:val="20"/>
                <w:szCs w:val="20"/>
                <w:color w:val="auto"/>
              </w:rPr>
            </w:pPr>
            <w:r>
              <w:rPr>
                <w:rFonts w:ascii="Arial" w:cs="Arial" w:eastAsia="Arial" w:hAnsi="Arial"/>
                <w:sz w:val="13"/>
                <w:szCs w:val="13"/>
                <w:color w:val="auto"/>
              </w:rPr>
              <w:t>Comprehensive income (loss)</w:t>
            </w:r>
          </w:p>
        </w:tc>
        <w:tc>
          <w:tcPr>
            <w:tcW w:w="540" w:type="dxa"/>
            <w:vAlign w:val="bottom"/>
          </w:tcPr>
          <w:p>
            <w:pPr>
              <w:spacing w:after="0"/>
              <w:rPr>
                <w:sz w:val="14"/>
                <w:szCs w:val="14"/>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27"/>
        </w:trPr>
        <w:tc>
          <w:tcPr>
            <w:tcW w:w="60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Less: Comprehensive income attributable to noncontrolling interest</w:t>
            </w:r>
          </w:p>
        </w:tc>
        <w:tc>
          <w:tcPr>
            <w:tcW w:w="5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69"/>
        </w:trPr>
        <w:tc>
          <w:tcPr>
            <w:tcW w:w="6080" w:type="dxa"/>
            <w:vAlign w:val="bottom"/>
          </w:tcPr>
          <w:p>
            <w:pPr>
              <w:ind w:left="20"/>
              <w:spacing w:after="0"/>
              <w:rPr>
                <w:sz w:val="20"/>
                <w:szCs w:val="20"/>
                <w:color w:val="auto"/>
              </w:rPr>
            </w:pPr>
            <w:r>
              <w:rPr>
                <w:rFonts w:ascii="Arial" w:cs="Arial" w:eastAsia="Arial" w:hAnsi="Arial"/>
                <w:sz w:val="13"/>
                <w:szCs w:val="13"/>
                <w:color w:val="auto"/>
              </w:rPr>
              <w:t>Comprehensive income (loss) attributable to Kratos</w:t>
            </w:r>
          </w:p>
        </w:tc>
        <w:tc>
          <w:tcPr>
            <w:tcW w:w="540" w:type="dxa"/>
            <w:vAlign w:val="bottom"/>
            <w:tcBorders>
              <w:top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4"/>
                <w:szCs w:val="14"/>
                <w:color w:val="auto"/>
              </w:rPr>
            </w:pPr>
          </w:p>
        </w:tc>
        <w:tc>
          <w:tcPr>
            <w:tcW w:w="520" w:type="dxa"/>
            <w:vAlign w:val="bottom"/>
            <w:tcBorders>
              <w:top w:val="single" w:sz="8" w:color="auto"/>
            </w:tcBorders>
          </w:tcPr>
          <w:p>
            <w:pPr>
              <w:jc w:val="right"/>
              <w:ind w:right="37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4"/>
                <w:szCs w:val="14"/>
                <w:color w:val="auto"/>
              </w:rPr>
            </w:pPr>
          </w:p>
        </w:tc>
        <w:tc>
          <w:tcPr>
            <w:tcW w:w="540" w:type="dxa"/>
            <w:vAlign w:val="bottom"/>
            <w:tcBorders>
              <w:top w:val="single" w:sz="8" w:color="auto"/>
            </w:tcBorders>
          </w:tcPr>
          <w:p>
            <w:pPr>
              <w:jc w:val="right"/>
              <w:ind w:right="375"/>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500" w:type="dxa"/>
            <w:vAlign w:val="bottom"/>
            <w:tcBorders>
              <w:top w:val="single" w:sz="8" w:color="auto"/>
            </w:tcBorders>
          </w:tcPr>
          <w:p>
            <w:pPr>
              <w:jc w:val="right"/>
              <w:ind w:right="355"/>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w:t>
            </w:r>
          </w:p>
        </w:tc>
      </w:tr>
      <w:tr>
        <w:trPr>
          <w:trHeight w:val="27"/>
        </w:trPr>
        <w:tc>
          <w:tcPr>
            <w:tcW w:w="60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29" w:right="2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KRATOS DEFENSE &amp; SECURITY SOLUTIONS,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STOCKHOLDERS’ EQUITY</w:t>
      </w:r>
    </w:p>
    <w:p>
      <w:pPr>
        <w:ind w:left="5440"/>
        <w:spacing w:after="0"/>
        <w:rPr>
          <w:sz w:val="20"/>
          <w:szCs w:val="20"/>
          <w:color w:val="auto"/>
        </w:rPr>
      </w:pPr>
      <w:r>
        <w:rPr>
          <w:rFonts w:ascii="Arial" w:cs="Arial" w:eastAsia="Arial" w:hAnsi="Arial"/>
          <w:sz w:val="11"/>
          <w:szCs w:val="11"/>
          <w:b w:val="1"/>
          <w:bCs w:val="1"/>
          <w:color w:val="auto"/>
        </w:rPr>
        <w:t>(in millions)</w:t>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1"/>
          <w:szCs w:val="11"/>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restart"/>
          </w:tcPr>
          <w:p>
            <w:pPr>
              <w:jc w:val="center"/>
              <w:ind w:right="60"/>
              <w:spacing w:after="0"/>
              <w:rPr>
                <w:sz w:val="20"/>
                <w:szCs w:val="20"/>
                <w:color w:val="auto"/>
              </w:rPr>
            </w:pPr>
            <w:r>
              <w:rPr>
                <w:rFonts w:ascii="Arial" w:cs="Arial" w:eastAsia="Arial" w:hAnsi="Arial"/>
                <w:sz w:val="11"/>
                <w:szCs w:val="11"/>
                <w:b w:val="1"/>
                <w:bCs w:val="1"/>
                <w:color w:val="auto"/>
                <w:w w:val="92"/>
              </w:rPr>
              <w:t>Redeemable</w:t>
            </w:r>
          </w:p>
        </w:tc>
        <w:tc>
          <w:tcPr>
            <w:tcW w:w="4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4"/>
              </w:rPr>
              <w:t>Common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Additional Paid-In</w:t>
            </w:r>
          </w:p>
        </w:tc>
        <w:tc>
          <w:tcPr>
            <w:tcW w:w="140" w:type="dxa"/>
            <w:vAlign w:val="bottom"/>
          </w:tcPr>
          <w:p>
            <w:pPr>
              <w:spacing w:after="0"/>
              <w:rPr>
                <w:sz w:val="17"/>
                <w:szCs w:val="17"/>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6"/>
              </w:rPr>
              <w:t>Accumulated Other</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w w:val="93"/>
              </w:rPr>
              <w:t>Total Stockholders’</w:t>
            </w:r>
          </w:p>
        </w:tc>
        <w:tc>
          <w:tcPr>
            <w:tcW w:w="0" w:type="dxa"/>
            <w:vAlign w:val="bottom"/>
          </w:tcPr>
          <w:p>
            <w:pPr>
              <w:spacing w:after="0"/>
              <w:rPr>
                <w:sz w:val="1"/>
                <w:szCs w:val="1"/>
                <w:color w:val="auto"/>
              </w:rPr>
            </w:pPr>
          </w:p>
        </w:tc>
      </w:tr>
      <w:tr>
        <w:trPr>
          <w:trHeight w:val="58"/>
        </w:trPr>
        <w:tc>
          <w:tcPr>
            <w:tcW w:w="3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Borders>
              <w:left w:val="single" w:sz="8" w:color="auto"/>
            </w:tcBorders>
            <w:gridSpan w:val="2"/>
          </w:tcPr>
          <w:p>
            <w:pPr>
              <w:spacing w:after="0"/>
              <w:rPr>
                <w:sz w:val="5"/>
                <w:szCs w:val="5"/>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Shares</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Amounts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8"/>
              </w:rPr>
              <w:t>Accumulated Deficit</w:t>
            </w:r>
          </w:p>
        </w:tc>
        <w:tc>
          <w:tcPr>
            <w:tcW w:w="12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0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40"/>
              <w:spacing w:after="0"/>
              <w:rPr>
                <w:sz w:val="20"/>
                <w:szCs w:val="20"/>
                <w:color w:val="auto"/>
              </w:rPr>
            </w:pPr>
            <w:r>
              <w:rPr>
                <w:rFonts w:ascii="Arial" w:cs="Arial" w:eastAsia="Arial" w:hAnsi="Arial"/>
                <w:sz w:val="11"/>
                <w:szCs w:val="11"/>
                <w:b w:val="1"/>
                <w:bCs w:val="1"/>
                <w:color w:val="auto"/>
                <w:w w:val="94"/>
              </w:rPr>
              <w:t>Noncontrolling Interest</w:t>
            </w:r>
          </w:p>
        </w:tc>
        <w:tc>
          <w:tcPr>
            <w:tcW w:w="120" w:type="dxa"/>
            <w:vAlign w:val="bottom"/>
            <w:tcBorders>
              <w:left w:val="single" w:sz="8" w:color="auto"/>
              <w:bottom w:val="single" w:sz="8" w:color="CCEEFF"/>
            </w:tcBorders>
            <w:gridSpan w:val="2"/>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b w:val="1"/>
                <w:bCs w:val="1"/>
                <w:color w:val="auto"/>
                <w:w w:val="91"/>
              </w:rPr>
              <w:t>Comprehensive Loss</w:t>
            </w: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shd w:val="clear" w:color="auto" w:fill="CCEEFF"/>
          </w:tcPr>
          <w:p>
            <w:pPr>
              <w:spacing w:after="0"/>
              <w:rPr>
                <w:sz w:val="17"/>
                <w:szCs w:val="17"/>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103.3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1,233.7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511.5</w:t>
            </w:r>
          </w:p>
        </w:tc>
        <w:tc>
          <w:tcPr>
            <w:tcW w:w="0" w:type="dxa"/>
            <w:vAlign w:val="bottom"/>
          </w:tcPr>
          <w:p>
            <w:pPr>
              <w:spacing w:after="0"/>
              <w:rPr>
                <w:sz w:val="1"/>
                <w:szCs w:val="1"/>
                <w:color w:val="auto"/>
              </w:rPr>
            </w:pPr>
          </w:p>
        </w:tc>
      </w:tr>
      <w:tr>
        <w:trPr>
          <w:trHeight w:val="211"/>
        </w:trPr>
        <w:tc>
          <w:tcPr>
            <w:tcW w:w="3000" w:type="dxa"/>
            <w:vAlign w:val="bottom"/>
          </w:tcPr>
          <w:p>
            <w:pPr>
              <w:ind w:left="140"/>
              <w:spacing w:after="0"/>
              <w:rPr>
                <w:sz w:val="20"/>
                <w:szCs w:val="20"/>
                <w:color w:val="auto"/>
              </w:rPr>
            </w:pPr>
            <w:r>
              <w:rPr>
                <w:rFonts w:ascii="Arial" w:cs="Arial" w:eastAsia="Arial" w:hAnsi="Arial"/>
                <w:sz w:val="11"/>
                <w:szCs w:val="11"/>
                <w:color w:val="auto"/>
              </w:rPr>
              <w:t>Impact from the adoption of ASC 606</w:t>
            </w:r>
          </w:p>
        </w:tc>
        <w:tc>
          <w:tcPr>
            <w:tcW w:w="10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auto"/>
            </w:tcBorders>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Stock-based compensation</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25"/>
        </w:trPr>
        <w:tc>
          <w:tcPr>
            <w:tcW w:w="3000" w:type="dxa"/>
            <w:vAlign w:val="bottom"/>
          </w:tcPr>
          <w:p>
            <w:pPr>
              <w:ind w:left="140"/>
              <w:spacing w:after="0" w:line="125" w:lineRule="exact"/>
              <w:rPr>
                <w:sz w:val="20"/>
                <w:szCs w:val="20"/>
                <w:color w:val="auto"/>
              </w:rPr>
            </w:pPr>
            <w:r>
              <w:rPr>
                <w:rFonts w:ascii="Arial" w:cs="Arial" w:eastAsia="Arial" w:hAnsi="Arial"/>
                <w:sz w:val="11"/>
                <w:szCs w:val="11"/>
                <w:color w:val="auto"/>
              </w:rPr>
              <w:t>Issuance of common stock for employee stock purchase</w:t>
            </w: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000" w:type="dxa"/>
            <w:vAlign w:val="bottom"/>
          </w:tcPr>
          <w:p>
            <w:pPr>
              <w:ind w:left="260"/>
              <w:spacing w:after="0"/>
              <w:rPr>
                <w:sz w:val="20"/>
                <w:szCs w:val="20"/>
                <w:color w:val="auto"/>
              </w:rPr>
            </w:pPr>
            <w:r>
              <w:rPr>
                <w:rFonts w:ascii="Arial" w:cs="Arial" w:eastAsia="Arial" w:hAnsi="Arial"/>
                <w:sz w:val="11"/>
                <w:szCs w:val="11"/>
                <w:color w:val="auto"/>
              </w:rPr>
              <w:t>plan, options and warrants</w:t>
            </w:r>
          </w:p>
        </w:tc>
        <w:tc>
          <w:tcPr>
            <w:tcW w:w="100" w:type="dxa"/>
            <w:vAlign w:val="bottom"/>
          </w:tcPr>
          <w:p>
            <w:pPr>
              <w:spacing w:after="0"/>
              <w:rPr>
                <w:sz w:val="13"/>
                <w:szCs w:val="13"/>
                <w:color w:val="auto"/>
              </w:rPr>
            </w:pPr>
          </w:p>
        </w:tc>
        <w:tc>
          <w:tcPr>
            <w:tcW w:w="1280" w:type="dxa"/>
            <w:vAlign w:val="bottom"/>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tcPr>
          <w:p>
            <w:pPr>
              <w:spacing w:after="0"/>
              <w:rPr>
                <w:sz w:val="13"/>
                <w:szCs w:val="13"/>
                <w:color w:val="auto"/>
              </w:rPr>
            </w:pPr>
          </w:p>
        </w:tc>
        <w:tc>
          <w:tcPr>
            <w:tcW w:w="700" w:type="dxa"/>
            <w:vAlign w:val="bottom"/>
          </w:tcPr>
          <w:p>
            <w:pPr>
              <w:jc w:val="right"/>
              <w:ind w:right="59"/>
              <w:spacing w:after="0"/>
              <w:rPr>
                <w:sz w:val="20"/>
                <w:szCs w:val="20"/>
                <w:color w:val="auto"/>
              </w:rPr>
            </w:pPr>
            <w:r>
              <w:rPr>
                <w:rFonts w:ascii="Arial" w:cs="Arial" w:eastAsia="Arial" w:hAnsi="Arial"/>
                <w:sz w:val="11"/>
                <w:szCs w:val="11"/>
                <w:color w:val="auto"/>
              </w:rPr>
              <w:t>0.2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59"/>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loss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auto"/>
            </w:tcBorders>
            <w:gridSpan w:val="2"/>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comprehensive income (loss), net of tax</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auto"/>
              <w:bottom w:val="single" w:sz="8" w:color="CCEEFF"/>
            </w:tcBorders>
            <w:gridSpan w:val="2"/>
          </w:tcPr>
          <w:p>
            <w:pPr>
              <w:spacing w:after="0"/>
              <w:rPr>
                <w:sz w:val="18"/>
                <w:szCs w:val="18"/>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April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shd w:val="clear" w:color="auto" w:fill="CCEEFF"/>
          </w:tcPr>
          <w:p>
            <w:pPr>
              <w:spacing w:after="0"/>
              <w:rPr>
                <w:sz w:val="17"/>
                <w:szCs w:val="17"/>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103.5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1,237.2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512.5</w:t>
            </w:r>
          </w:p>
        </w:tc>
        <w:tc>
          <w:tcPr>
            <w:tcW w:w="0" w:type="dxa"/>
            <w:vAlign w:val="bottom"/>
          </w:tcPr>
          <w:p>
            <w:pPr>
              <w:spacing w:after="0"/>
              <w:rPr>
                <w:sz w:val="1"/>
                <w:szCs w:val="1"/>
                <w:color w:val="auto"/>
              </w:rPr>
            </w:pPr>
          </w:p>
        </w:tc>
      </w:tr>
      <w:tr>
        <w:trPr>
          <w:trHeight w:val="211"/>
        </w:trPr>
        <w:tc>
          <w:tcPr>
            <w:tcW w:w="3000" w:type="dxa"/>
            <w:vAlign w:val="bottom"/>
          </w:tcPr>
          <w:p>
            <w:pPr>
              <w:ind w:left="140"/>
              <w:spacing w:after="0"/>
              <w:rPr>
                <w:sz w:val="20"/>
                <w:szCs w:val="20"/>
                <w:color w:val="auto"/>
              </w:rPr>
            </w:pPr>
            <w:r>
              <w:rPr>
                <w:rFonts w:ascii="Arial" w:cs="Arial" w:eastAsia="Arial" w:hAnsi="Arial"/>
                <w:sz w:val="11"/>
                <w:szCs w:val="11"/>
                <w:color w:val="auto"/>
              </w:rPr>
              <w:t>Stock-based compensation</w:t>
            </w:r>
          </w:p>
        </w:tc>
        <w:tc>
          <w:tcPr>
            <w:tcW w:w="10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auto"/>
            </w:tcBorders>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Restricted stock issued and related taxes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211"/>
        </w:trPr>
        <w:tc>
          <w:tcPr>
            <w:tcW w:w="3000" w:type="dxa"/>
            <w:vAlign w:val="bottom"/>
          </w:tcPr>
          <w:p>
            <w:pPr>
              <w:ind w:left="140"/>
              <w:spacing w:after="0"/>
              <w:rPr>
                <w:sz w:val="20"/>
                <w:szCs w:val="20"/>
                <w:color w:val="auto"/>
              </w:rPr>
            </w:pPr>
            <w:r>
              <w:rPr>
                <w:rFonts w:ascii="Arial" w:cs="Arial" w:eastAsia="Arial" w:hAnsi="Arial"/>
                <w:sz w:val="11"/>
                <w:szCs w:val="11"/>
                <w:color w:val="auto"/>
              </w:rPr>
              <w:t>Net loss</w:t>
            </w:r>
          </w:p>
        </w:tc>
        <w:tc>
          <w:tcPr>
            <w:tcW w:w="10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comprehensive income (loss), net of tax</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auto"/>
            </w:tcBorders>
            <w:gridSpan w:val="2"/>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1"/>
                <w:szCs w:val="11"/>
                <w:color w:val="auto"/>
              </w:rPr>
              <w:t>0.1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89"/>
        </w:trPr>
        <w:tc>
          <w:tcPr>
            <w:tcW w:w="3000" w:type="dxa"/>
            <w:vAlign w:val="bottom"/>
          </w:tcPr>
          <w:p>
            <w:pPr>
              <w:ind w:left="20"/>
              <w:spacing w:after="0"/>
              <w:rPr>
                <w:sz w:val="20"/>
                <w:szCs w:val="20"/>
                <w:color w:val="auto"/>
              </w:rPr>
            </w:pPr>
            <w:r>
              <w:rPr>
                <w:rFonts w:ascii="Arial" w:cs="Arial" w:eastAsia="Arial" w:hAnsi="Arial"/>
                <w:sz w:val="11"/>
                <w:szCs w:val="11"/>
                <w:b w:val="1"/>
                <w:bCs w:val="1"/>
                <w:color w:val="auto"/>
              </w:rPr>
              <w:t>Balance, July 1,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tcPr>
          <w:p>
            <w:pPr>
              <w:spacing w:after="0"/>
              <w:rPr>
                <w:sz w:val="16"/>
                <w:szCs w:val="16"/>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103.5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1,238.8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(730.9)</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506.5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vMerge w:val="restart"/>
          </w:tcPr>
          <w:p>
            <w:pPr>
              <w:jc w:val="center"/>
              <w:ind w:right="60"/>
              <w:spacing w:after="0"/>
              <w:rPr>
                <w:sz w:val="20"/>
                <w:szCs w:val="20"/>
                <w:color w:val="auto"/>
              </w:rPr>
            </w:pPr>
            <w:r>
              <w:rPr>
                <w:rFonts w:ascii="Arial" w:cs="Arial" w:eastAsia="Arial" w:hAnsi="Arial"/>
                <w:sz w:val="11"/>
                <w:szCs w:val="11"/>
                <w:b w:val="1"/>
                <w:bCs w:val="1"/>
                <w:color w:val="auto"/>
                <w:w w:val="92"/>
              </w:rPr>
              <w:t>Redeemable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4"/>
              </w:rPr>
              <w:t>Common Stock</w:t>
            </w:r>
          </w:p>
        </w:tc>
        <w:tc>
          <w:tcPr>
            <w:tcW w:w="1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Additional Paid-In</w:t>
            </w:r>
          </w:p>
        </w:tc>
        <w:tc>
          <w:tcPr>
            <w:tcW w:w="140" w:type="dxa"/>
            <w:vAlign w:val="bottom"/>
          </w:tcPr>
          <w:p>
            <w:pPr>
              <w:spacing w:after="0"/>
              <w:rPr>
                <w:sz w:val="24"/>
                <w:szCs w:val="2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6"/>
              </w:rPr>
              <w:t>Accumulated Other</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w w:val="93"/>
              </w:rPr>
              <w:t>Total Stockholders’</w:t>
            </w:r>
          </w:p>
        </w:tc>
        <w:tc>
          <w:tcPr>
            <w:tcW w:w="0" w:type="dxa"/>
            <w:vAlign w:val="bottom"/>
          </w:tcPr>
          <w:p>
            <w:pPr>
              <w:spacing w:after="0"/>
              <w:rPr>
                <w:sz w:val="1"/>
                <w:szCs w:val="1"/>
                <w:color w:val="auto"/>
              </w:rPr>
            </w:pPr>
          </w:p>
        </w:tc>
      </w:tr>
      <w:tr>
        <w:trPr>
          <w:trHeight w:val="211"/>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Borders>
              <w:left w:val="single" w:sz="8" w:color="auto"/>
            </w:tcBorders>
            <w:gridSpan w:val="2"/>
          </w:tcPr>
          <w:p>
            <w:pPr>
              <w:spacing w:after="0"/>
              <w:rPr>
                <w:sz w:val="5"/>
                <w:szCs w:val="5"/>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Shares</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Amounts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8"/>
              </w:rPr>
              <w:t>Accumulated Deficit</w:t>
            </w:r>
          </w:p>
        </w:tc>
        <w:tc>
          <w:tcPr>
            <w:tcW w:w="12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0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40"/>
              <w:spacing w:after="0"/>
              <w:rPr>
                <w:sz w:val="20"/>
                <w:szCs w:val="20"/>
                <w:color w:val="auto"/>
              </w:rPr>
            </w:pPr>
            <w:r>
              <w:rPr>
                <w:rFonts w:ascii="Arial" w:cs="Arial" w:eastAsia="Arial" w:hAnsi="Arial"/>
                <w:sz w:val="11"/>
                <w:szCs w:val="11"/>
                <w:b w:val="1"/>
                <w:bCs w:val="1"/>
                <w:color w:val="auto"/>
                <w:w w:val="94"/>
              </w:rPr>
              <w:t>Noncontrolling Interest</w:t>
            </w:r>
          </w:p>
        </w:tc>
        <w:tc>
          <w:tcPr>
            <w:tcW w:w="120" w:type="dxa"/>
            <w:vAlign w:val="bottom"/>
            <w:tcBorders>
              <w:left w:val="single" w:sz="8" w:color="auto"/>
              <w:bottom w:val="single" w:sz="8" w:color="CCEEFF"/>
            </w:tcBorders>
            <w:gridSpan w:val="2"/>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b w:val="1"/>
                <w:bCs w:val="1"/>
                <w:color w:val="auto"/>
                <w:w w:val="91"/>
              </w:rPr>
              <w:t>Comprehensive Loss</w:t>
            </w: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30, 2018</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shd w:val="clear" w:color="auto" w:fill="CCEEFF"/>
          </w:tcPr>
          <w:p>
            <w:pPr>
              <w:spacing w:after="0"/>
              <w:rPr>
                <w:sz w:val="17"/>
                <w:szCs w:val="17"/>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103.8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1,244.5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519.3</w:t>
            </w:r>
          </w:p>
        </w:tc>
        <w:tc>
          <w:tcPr>
            <w:tcW w:w="0" w:type="dxa"/>
            <w:vAlign w:val="bottom"/>
          </w:tcPr>
          <w:p>
            <w:pPr>
              <w:spacing w:after="0"/>
              <w:rPr>
                <w:sz w:val="1"/>
                <w:szCs w:val="1"/>
                <w:color w:val="auto"/>
              </w:rPr>
            </w:pPr>
          </w:p>
        </w:tc>
      </w:tr>
      <w:tr>
        <w:trPr>
          <w:trHeight w:val="211"/>
        </w:trPr>
        <w:tc>
          <w:tcPr>
            <w:tcW w:w="3000" w:type="dxa"/>
            <w:vAlign w:val="bottom"/>
          </w:tcPr>
          <w:p>
            <w:pPr>
              <w:ind w:left="140"/>
              <w:spacing w:after="0"/>
              <w:rPr>
                <w:sz w:val="20"/>
                <w:szCs w:val="20"/>
                <w:color w:val="auto"/>
              </w:rPr>
            </w:pPr>
            <w:r>
              <w:rPr>
                <w:rFonts w:ascii="Arial" w:cs="Arial" w:eastAsia="Arial" w:hAnsi="Arial"/>
                <w:sz w:val="11"/>
                <w:szCs w:val="11"/>
                <w:color w:val="auto"/>
              </w:rPr>
              <w:t>Stock-based compensation</w:t>
            </w:r>
          </w:p>
        </w:tc>
        <w:tc>
          <w:tcPr>
            <w:tcW w:w="10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29"/>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Issuance of common stock for employee stock purchase</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plan, options and warrants</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shd w:val="clear" w:color="auto" w:fill="CCEEFF"/>
          </w:tcPr>
          <w:p>
            <w:pPr>
              <w:spacing w:after="0"/>
              <w:rPr>
                <w:sz w:val="13"/>
                <w:szCs w:val="13"/>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0.2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11"/>
        </w:trPr>
        <w:tc>
          <w:tcPr>
            <w:tcW w:w="3000" w:type="dxa"/>
            <w:vAlign w:val="bottom"/>
          </w:tcPr>
          <w:p>
            <w:pPr>
              <w:ind w:left="140"/>
              <w:spacing w:after="0"/>
              <w:rPr>
                <w:sz w:val="20"/>
                <w:szCs w:val="20"/>
                <w:color w:val="auto"/>
              </w:rPr>
            </w:pPr>
            <w:r>
              <w:rPr>
                <w:rFonts w:ascii="Arial" w:cs="Arial" w:eastAsia="Arial" w:hAnsi="Arial"/>
                <w:sz w:val="11"/>
                <w:szCs w:val="11"/>
                <w:color w:val="auto"/>
              </w:rPr>
              <w:t>Restricted stock issued and related taxes</w:t>
            </w:r>
          </w:p>
        </w:tc>
        <w:tc>
          <w:tcPr>
            <w:tcW w:w="10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1"/>
                <w:szCs w:val="11"/>
                <w:color w:val="auto"/>
              </w:rPr>
              <w:t>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Issuance of common stock for acquisitions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shd w:val="clear" w:color="auto" w:fill="CCEEFF"/>
          </w:tcPr>
          <w:p>
            <w:pPr>
              <w:spacing w:after="0"/>
              <w:rPr>
                <w:sz w:val="19"/>
                <w:szCs w:val="19"/>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27.0</w:t>
            </w:r>
          </w:p>
        </w:tc>
        <w:tc>
          <w:tcPr>
            <w:tcW w:w="0" w:type="dxa"/>
            <w:vAlign w:val="bottom"/>
          </w:tcPr>
          <w:p>
            <w:pPr>
              <w:spacing w:after="0"/>
              <w:rPr>
                <w:sz w:val="1"/>
                <w:szCs w:val="1"/>
                <w:color w:val="auto"/>
              </w:rPr>
            </w:pPr>
          </w:p>
        </w:tc>
      </w:tr>
      <w:tr>
        <w:trPr>
          <w:trHeight w:val="211"/>
        </w:trPr>
        <w:tc>
          <w:tcPr>
            <w:tcW w:w="3000" w:type="dxa"/>
            <w:vAlign w:val="bottom"/>
          </w:tcPr>
          <w:p>
            <w:pPr>
              <w:ind w:left="140"/>
              <w:spacing w:after="0"/>
              <w:rPr>
                <w:sz w:val="20"/>
                <w:szCs w:val="20"/>
                <w:color w:val="auto"/>
              </w:rPr>
            </w:pPr>
            <w:r>
              <w:rPr>
                <w:rFonts w:ascii="Arial" w:cs="Arial" w:eastAsia="Arial" w:hAnsi="Arial"/>
                <w:sz w:val="11"/>
                <w:szCs w:val="11"/>
                <w:color w:val="auto"/>
              </w:rPr>
              <w:t>Net income</w:t>
            </w:r>
          </w:p>
        </w:tc>
        <w:tc>
          <w:tcPr>
            <w:tcW w:w="10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720" w:type="dxa"/>
            <w:vAlign w:val="bottom"/>
          </w:tcPr>
          <w:p>
            <w:pPr>
              <w:jc w:val="right"/>
              <w:ind w:right="38"/>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comprehensive income (loss), net of tax</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auto"/>
            </w:tcBorders>
            <w:gridSpan w:val="2"/>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Changes in noncontrolling interest</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15.0</w:t>
            </w:r>
          </w:p>
        </w:tc>
        <w:tc>
          <w:tcPr>
            <w:tcW w:w="40" w:type="dxa"/>
            <w:vAlign w:val="bottom"/>
            <w:tcBorders>
              <w:left w:val="single" w:sz="8" w:color="auto"/>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0"/>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March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15.0</w:t>
            </w: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105.9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1,275.0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552.9</w:t>
            </w:r>
          </w:p>
        </w:tc>
        <w:tc>
          <w:tcPr>
            <w:tcW w:w="0" w:type="dxa"/>
            <w:vAlign w:val="bottom"/>
          </w:tcPr>
          <w:p>
            <w:pPr>
              <w:spacing w:after="0"/>
              <w:rPr>
                <w:sz w:val="1"/>
                <w:szCs w:val="1"/>
                <w:color w:val="auto"/>
              </w:rPr>
            </w:pPr>
          </w:p>
        </w:tc>
      </w:tr>
      <w:tr>
        <w:trPr>
          <w:trHeight w:val="211"/>
        </w:trPr>
        <w:tc>
          <w:tcPr>
            <w:tcW w:w="3000" w:type="dxa"/>
            <w:vAlign w:val="bottom"/>
          </w:tcPr>
          <w:p>
            <w:pPr>
              <w:ind w:left="140"/>
              <w:spacing w:after="0"/>
              <w:rPr>
                <w:sz w:val="20"/>
                <w:szCs w:val="20"/>
                <w:color w:val="auto"/>
              </w:rPr>
            </w:pPr>
            <w:r>
              <w:rPr>
                <w:rFonts w:ascii="Arial" w:cs="Arial" w:eastAsia="Arial" w:hAnsi="Arial"/>
                <w:sz w:val="11"/>
                <w:szCs w:val="11"/>
                <w:color w:val="auto"/>
              </w:rPr>
              <w:t>Stock-based compensation</w:t>
            </w:r>
          </w:p>
        </w:tc>
        <w:tc>
          <w:tcPr>
            <w:tcW w:w="10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tcBorders>
            <w:gridSpan w:val="2"/>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0.4</w:t>
            </w:r>
          </w:p>
        </w:tc>
        <w:tc>
          <w:tcPr>
            <w:tcW w:w="40" w:type="dxa"/>
            <w:vAlign w:val="bottom"/>
            <w:tcBorders>
              <w:lef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8"/>
              <w:spacing w:after="0"/>
              <w:rPr>
                <w:sz w:val="20"/>
                <w:szCs w:val="20"/>
                <w:color w:val="auto"/>
              </w:rPr>
            </w:pPr>
            <w:r>
              <w:rPr>
                <w:rFonts w:ascii="Arial" w:cs="Arial" w:eastAsia="Arial" w:hAnsi="Arial"/>
                <w:sz w:val="11"/>
                <w:szCs w:val="11"/>
                <w:color w:val="auto"/>
              </w:rPr>
              <w:t>3.9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comprehensive income (loss), net of tax</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auto"/>
              <w:bottom w:val="single" w:sz="8" w:color="CCEEFF"/>
            </w:tcBorders>
            <w:gridSpan w:val="2"/>
          </w:tcPr>
          <w:p>
            <w:pPr>
              <w:spacing w:after="0"/>
              <w:rPr>
                <w:sz w:val="18"/>
                <w:szCs w:val="18"/>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June 30, 2019</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1"/>
                <w:szCs w:val="11"/>
                <w:color w:val="auto"/>
              </w:rPr>
              <w:t>15.4</w:t>
            </w:r>
          </w:p>
        </w:tc>
        <w:tc>
          <w:tcPr>
            <w:tcW w:w="4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105.9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1"/>
                <w:szCs w:val="11"/>
                <w:color w:val="auto"/>
              </w:rPr>
              <w:t>1,277.8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559.5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29" w:right="21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KRATOS DEFENSE &amp; SECURITY SOLUTIONS,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w:t>
      </w:r>
    </w:p>
    <w:p>
      <w:pPr>
        <w:jc w:val="center"/>
        <w:spacing w:after="0" w:line="230" w:lineRule="auto"/>
        <w:rPr>
          <w:sz w:val="20"/>
          <w:szCs w:val="20"/>
          <w:color w:val="auto"/>
        </w:rPr>
      </w:pPr>
      <w:r>
        <w:rPr>
          <w:rFonts w:ascii="Arial" w:cs="Arial" w:eastAsia="Arial" w:hAnsi="Arial"/>
          <w:sz w:val="13"/>
          <w:szCs w:val="13"/>
          <w:b w:val="1"/>
          <w:bCs w:val="1"/>
          <w:color w:val="auto"/>
        </w:rPr>
        <w:t>(in millions)</w:t>
      </w:r>
    </w:p>
    <w:p>
      <w:pPr>
        <w:jc w:val="center"/>
        <w:spacing w:after="0"/>
        <w:rPr>
          <w:sz w:val="20"/>
          <w:szCs w:val="20"/>
          <w:color w:val="auto"/>
        </w:rPr>
      </w:pPr>
      <w:r>
        <w:rPr>
          <w:rFonts w:ascii="Arial" w:cs="Arial" w:eastAsia="Arial" w:hAnsi="Arial"/>
          <w:sz w:val="11"/>
          <w:szCs w:val="11"/>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2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1"/>
                <w:szCs w:val="11"/>
                <w:b w:val="1"/>
                <w:bCs w:val="1"/>
                <w:color w:val="auto"/>
              </w:rPr>
              <w:t>Six Months Ended</w:t>
            </w:r>
          </w:p>
        </w:tc>
        <w:tc>
          <w:tcPr>
            <w:tcW w:w="1480" w:type="dxa"/>
            <w:vAlign w:val="bottom"/>
            <w:tcBorders>
              <w:bottom w:val="single" w:sz="8" w:color="auto"/>
            </w:tcBorders>
          </w:tcPr>
          <w:p>
            <w:pPr>
              <w:spacing w:after="0"/>
              <w:rPr>
                <w:sz w:val="13"/>
                <w:szCs w:val="13"/>
                <w:color w:val="auto"/>
              </w:rPr>
            </w:pPr>
          </w:p>
        </w:tc>
      </w:tr>
      <w:tr>
        <w:trPr>
          <w:trHeight w:val="206"/>
        </w:trPr>
        <w:tc>
          <w:tcPr>
            <w:tcW w:w="72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June 30, 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1"/>
                <w:szCs w:val="11"/>
                <w:b w:val="1"/>
                <w:bCs w:val="1"/>
                <w:color w:val="auto"/>
              </w:rPr>
              <w:t>July 1, 2018</w:t>
            </w:r>
          </w:p>
        </w:tc>
      </w:tr>
      <w:tr>
        <w:trPr>
          <w:trHeight w:val="191"/>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activities:</w:t>
            </w:r>
          </w:p>
        </w:tc>
        <w:tc>
          <w:tcPr>
            <w:tcW w:w="15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520" w:type="dxa"/>
            <w:vAlign w:val="bottom"/>
          </w:tcPr>
          <w:p>
            <w:pPr>
              <w:jc w:val="right"/>
              <w:ind w:right="1358"/>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6"/>
                <w:szCs w:val="16"/>
                <w:color w:val="auto"/>
              </w:rPr>
            </w:pPr>
          </w:p>
        </w:tc>
        <w:tc>
          <w:tcPr>
            <w:tcW w:w="560" w:type="dxa"/>
            <w:vAlign w:val="bottom"/>
          </w:tcPr>
          <w:p>
            <w:pPr>
              <w:jc w:val="right"/>
              <w:ind w:right="415"/>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Income (loss) from discontinued operations</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69"/>
        </w:trPr>
        <w:tc>
          <w:tcPr>
            <w:tcW w:w="7220" w:type="dxa"/>
            <w:vAlign w:val="bottom"/>
          </w:tcPr>
          <w:p>
            <w:pPr>
              <w:ind w:left="140"/>
              <w:spacing w:after="0"/>
              <w:rPr>
                <w:sz w:val="20"/>
                <w:szCs w:val="20"/>
                <w:color w:val="auto"/>
              </w:rPr>
            </w:pPr>
            <w:r>
              <w:rPr>
                <w:rFonts w:ascii="Arial" w:cs="Arial" w:eastAsia="Arial" w:hAnsi="Arial"/>
                <w:sz w:val="13"/>
                <w:szCs w:val="13"/>
                <w:color w:val="auto"/>
              </w:rPr>
              <w:t>Income (loss) from continuing operations</w:t>
            </w:r>
          </w:p>
        </w:tc>
        <w:tc>
          <w:tcPr>
            <w:tcW w:w="1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7"/>
        </w:trPr>
        <w:tc>
          <w:tcPr>
            <w:tcW w:w="72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7"/>
              </w:rPr>
              <w:t>Adjustments to reconcile income (loss) from continuing operations to net cash provided by operating activities from continuing</w:t>
            </w: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70"/>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operations:</w:t>
            </w:r>
          </w:p>
        </w:tc>
        <w:tc>
          <w:tcPr>
            <w:tcW w:w="15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89"/>
        </w:trPr>
        <w:tc>
          <w:tcPr>
            <w:tcW w:w="722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9.2</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Amortization of lease right-of-use assets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5.4</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189"/>
        </w:trPr>
        <w:tc>
          <w:tcPr>
            <w:tcW w:w="7220" w:type="dxa"/>
            <w:vAlign w:val="bottom"/>
          </w:tcPr>
          <w:p>
            <w:pPr>
              <w:ind w:left="300"/>
              <w:spacing w:after="0"/>
              <w:rPr>
                <w:sz w:val="20"/>
                <w:szCs w:val="20"/>
                <w:color w:val="auto"/>
              </w:rPr>
            </w:pPr>
            <w:r>
              <w:rPr>
                <w:rFonts w:ascii="Arial" w:cs="Arial" w:eastAsia="Arial" w:hAnsi="Arial"/>
                <w:sz w:val="13"/>
                <w:szCs w:val="13"/>
                <w:color w:val="auto"/>
              </w:rPr>
              <w:t>Stock-based compensation</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3.4</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Deferred income taxes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89"/>
        </w:trPr>
        <w:tc>
          <w:tcPr>
            <w:tcW w:w="7220" w:type="dxa"/>
            <w:vAlign w:val="bottom"/>
          </w:tcPr>
          <w:p>
            <w:pPr>
              <w:ind w:left="300"/>
              <w:spacing w:after="0"/>
              <w:rPr>
                <w:sz w:val="20"/>
                <w:szCs w:val="20"/>
                <w:color w:val="auto"/>
              </w:rPr>
            </w:pPr>
            <w:r>
              <w:rPr>
                <w:rFonts w:ascii="Arial" w:cs="Arial" w:eastAsia="Arial" w:hAnsi="Arial"/>
                <w:sz w:val="13"/>
                <w:szCs w:val="13"/>
                <w:color w:val="auto"/>
              </w:rPr>
              <w:t>Amortization of deferred financing costs</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0.5</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Changes in assets and liabilities, net of acquisitions: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Accounts receivable</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8.1</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Unbilled receivables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8.6</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(23.7)</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Inventoried costs</w:t>
            </w:r>
          </w:p>
        </w:tc>
        <w:tc>
          <w:tcPr>
            <w:tcW w:w="15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0.5</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Prepaid expenses and other assets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3.2</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Operating lease liabilities</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Accounts payable</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3.6</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6.0</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Accrued expenses</w:t>
            </w:r>
          </w:p>
        </w:tc>
        <w:tc>
          <w:tcPr>
            <w:tcW w:w="15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Accrued compensation</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3.9</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Advance payments received on contracts</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Billings in excess of costs and earnings on uncompleted contracts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189"/>
        </w:trPr>
        <w:tc>
          <w:tcPr>
            <w:tcW w:w="7220" w:type="dxa"/>
            <w:vAlign w:val="bottom"/>
          </w:tcPr>
          <w:p>
            <w:pPr>
              <w:ind w:left="480"/>
              <w:spacing w:after="0"/>
              <w:rPr>
                <w:sz w:val="20"/>
                <w:szCs w:val="20"/>
                <w:color w:val="auto"/>
              </w:rPr>
            </w:pPr>
            <w:r>
              <w:rPr>
                <w:rFonts w:ascii="Arial" w:cs="Arial" w:eastAsia="Arial" w:hAnsi="Arial"/>
                <w:sz w:val="13"/>
                <w:szCs w:val="13"/>
                <w:color w:val="auto"/>
              </w:rPr>
              <w:t>Income tax receivable and payable</w:t>
            </w:r>
          </w:p>
        </w:tc>
        <w:tc>
          <w:tcPr>
            <w:tcW w:w="1520" w:type="dxa"/>
            <w:vAlign w:val="bottom"/>
          </w:tcPr>
          <w:p>
            <w:pPr>
              <w:spacing w:after="0"/>
              <w:rPr>
                <w:sz w:val="16"/>
                <w:szCs w:val="16"/>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Other liabilities</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5.4</w:t>
            </w:r>
          </w:p>
        </w:tc>
      </w:tr>
      <w:tr>
        <w:trPr>
          <w:trHeight w:val="169"/>
        </w:trPr>
        <w:tc>
          <w:tcPr>
            <w:tcW w:w="7220" w:type="dxa"/>
            <w:vAlign w:val="bottom"/>
          </w:tcPr>
          <w:p>
            <w:pPr>
              <w:ind w:left="560"/>
              <w:spacing w:after="0"/>
              <w:rPr>
                <w:sz w:val="20"/>
                <w:szCs w:val="20"/>
                <w:color w:val="auto"/>
              </w:rPr>
            </w:pPr>
            <w:r>
              <w:rPr>
                <w:rFonts w:ascii="Arial" w:cs="Arial" w:eastAsia="Arial" w:hAnsi="Arial"/>
                <w:sz w:val="13"/>
                <w:szCs w:val="13"/>
                <w:color w:val="auto"/>
              </w:rPr>
              <w:t>Net cash provided by operating activities from continuing operations</w:t>
            </w:r>
          </w:p>
        </w:tc>
        <w:tc>
          <w:tcPr>
            <w:tcW w:w="1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1.4</w:t>
            </w:r>
          </w:p>
        </w:tc>
      </w:tr>
      <w:tr>
        <w:trPr>
          <w:trHeight w:val="27"/>
        </w:trPr>
        <w:tc>
          <w:tcPr>
            <w:tcW w:w="7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Investing activities:</w:t>
            </w:r>
          </w:p>
        </w:tc>
        <w:tc>
          <w:tcPr>
            <w:tcW w:w="15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Cash paid for acquisitions, net of cash acquired</w:t>
            </w:r>
          </w:p>
        </w:tc>
        <w:tc>
          <w:tcPr>
            <w:tcW w:w="15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Proceeds from sale of assets</w:t>
            </w:r>
          </w:p>
        </w:tc>
        <w:tc>
          <w:tcPr>
            <w:tcW w:w="15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3"/>
                <w:szCs w:val="13"/>
                <w:color w:val="auto"/>
              </w:rPr>
              <w:t>67.9</w:t>
            </w:r>
          </w:p>
        </w:tc>
      </w:tr>
      <w:tr>
        <w:trPr>
          <w:trHeight w:val="27"/>
        </w:trPr>
        <w:tc>
          <w:tcPr>
            <w:tcW w:w="7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Net cash provided by (used in) investing activities from continuing operations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56.9</w:t>
            </w:r>
          </w:p>
        </w:tc>
      </w:tr>
      <w:tr>
        <w:trPr>
          <w:trHeight w:val="180"/>
        </w:trPr>
        <w:tc>
          <w:tcPr>
            <w:tcW w:w="7220" w:type="dxa"/>
            <w:vAlign w:val="bottom"/>
          </w:tcPr>
          <w:p>
            <w:pPr>
              <w:ind w:left="20"/>
              <w:spacing w:after="0"/>
              <w:rPr>
                <w:sz w:val="20"/>
                <w:szCs w:val="20"/>
                <w:color w:val="auto"/>
              </w:rPr>
            </w:pPr>
            <w:r>
              <w:rPr>
                <w:rFonts w:ascii="Arial" w:cs="Arial" w:eastAsia="Arial" w:hAnsi="Arial"/>
                <w:sz w:val="13"/>
                <w:szCs w:val="13"/>
                <w:color w:val="auto"/>
              </w:rPr>
              <w:t>Financing activities:</w:t>
            </w:r>
          </w:p>
        </w:tc>
        <w:tc>
          <w:tcPr>
            <w:tcW w:w="15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Debt issuance costs</w:t>
            </w:r>
          </w:p>
        </w:tc>
        <w:tc>
          <w:tcPr>
            <w:tcW w:w="15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89"/>
        </w:trPr>
        <w:tc>
          <w:tcPr>
            <w:tcW w:w="7220" w:type="dxa"/>
            <w:vAlign w:val="bottom"/>
          </w:tcPr>
          <w:p>
            <w:pPr>
              <w:ind w:left="140"/>
              <w:spacing w:after="0"/>
              <w:rPr>
                <w:sz w:val="20"/>
                <w:szCs w:val="20"/>
                <w:color w:val="auto"/>
              </w:rPr>
            </w:pPr>
            <w:r>
              <w:rPr>
                <w:rFonts w:ascii="Arial" w:cs="Arial" w:eastAsia="Arial" w:hAnsi="Arial"/>
                <w:sz w:val="13"/>
                <w:szCs w:val="13"/>
                <w:color w:val="auto"/>
              </w:rPr>
              <w:t>Expenses from the issuance of common stock</w:t>
            </w:r>
          </w:p>
        </w:tc>
        <w:tc>
          <w:tcPr>
            <w:tcW w:w="15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Repayment of debt</w:t>
            </w:r>
          </w:p>
        </w:tc>
        <w:tc>
          <w:tcPr>
            <w:tcW w:w="15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93"/>
        </w:trPr>
        <w:tc>
          <w:tcPr>
            <w:tcW w:w="7220" w:type="dxa"/>
            <w:vAlign w:val="bottom"/>
          </w:tcPr>
          <w:p>
            <w:pPr>
              <w:ind w:left="140"/>
              <w:spacing w:after="0"/>
              <w:rPr>
                <w:sz w:val="20"/>
                <w:szCs w:val="20"/>
                <w:color w:val="auto"/>
              </w:rPr>
            </w:pPr>
            <w:r>
              <w:rPr>
                <w:rFonts w:ascii="Arial" w:cs="Arial" w:eastAsia="Arial" w:hAnsi="Arial"/>
                <w:sz w:val="13"/>
                <w:szCs w:val="13"/>
                <w:color w:val="auto"/>
              </w:rPr>
              <w:t>Payments under finance leases</w:t>
            </w:r>
          </w:p>
        </w:tc>
        <w:tc>
          <w:tcPr>
            <w:tcW w:w="15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4"/>
                <w:szCs w:val="14"/>
                <w:color w:val="auto"/>
              </w:rPr>
              <w:t>—</w:t>
            </w:r>
          </w:p>
        </w:tc>
      </w:tr>
      <w:tr>
        <w:trPr>
          <w:trHeight w:val="23"/>
        </w:trPr>
        <w:tc>
          <w:tcPr>
            <w:tcW w:w="7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Proceeds from exercise of restricted stock units, employee stock options, and employee stock purchase plan</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0.9</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1.8</w:t>
            </w:r>
          </w:p>
        </w:tc>
      </w:tr>
      <w:tr>
        <w:trPr>
          <w:trHeight w:val="169"/>
        </w:trPr>
        <w:tc>
          <w:tcPr>
            <w:tcW w:w="7220" w:type="dxa"/>
            <w:vAlign w:val="bottom"/>
          </w:tcPr>
          <w:p>
            <w:pPr>
              <w:ind w:left="560"/>
              <w:spacing w:after="0"/>
              <w:rPr>
                <w:sz w:val="20"/>
                <w:szCs w:val="20"/>
                <w:color w:val="auto"/>
              </w:rPr>
            </w:pPr>
            <w:r>
              <w:rPr>
                <w:rFonts w:ascii="Arial" w:cs="Arial" w:eastAsia="Arial" w:hAnsi="Arial"/>
                <w:sz w:val="13"/>
                <w:szCs w:val="13"/>
                <w:color w:val="auto"/>
              </w:rPr>
              <w:t>Net cash provided by financing activities from continuing operations</w:t>
            </w:r>
          </w:p>
        </w:tc>
        <w:tc>
          <w:tcPr>
            <w:tcW w:w="1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0.1</w:t>
            </w:r>
          </w:p>
        </w:tc>
      </w:tr>
      <w:tr>
        <w:trPr>
          <w:trHeight w:val="27"/>
        </w:trPr>
        <w:tc>
          <w:tcPr>
            <w:tcW w:w="7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flows of continuing operations</w:t>
            </w:r>
          </w:p>
        </w:tc>
        <w:tc>
          <w:tcPr>
            <w:tcW w:w="15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58.4</w:t>
            </w:r>
          </w:p>
        </w:tc>
      </w:tr>
      <w:tr>
        <w:trPr>
          <w:trHeight w:val="189"/>
        </w:trPr>
        <w:tc>
          <w:tcPr>
            <w:tcW w:w="7220" w:type="dxa"/>
            <w:vAlign w:val="bottom"/>
          </w:tcPr>
          <w:p>
            <w:pPr>
              <w:ind w:left="20"/>
              <w:spacing w:after="0"/>
              <w:rPr>
                <w:sz w:val="20"/>
                <w:szCs w:val="20"/>
                <w:color w:val="auto"/>
              </w:rPr>
            </w:pPr>
            <w:r>
              <w:rPr>
                <w:rFonts w:ascii="Arial" w:cs="Arial" w:eastAsia="Arial" w:hAnsi="Arial"/>
                <w:sz w:val="13"/>
                <w:szCs w:val="13"/>
                <w:color w:val="auto"/>
              </w:rPr>
              <w:t>Net operating cash flows of discontinued operations</w:t>
            </w:r>
          </w:p>
        </w:tc>
        <w:tc>
          <w:tcPr>
            <w:tcW w:w="15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69"/>
        </w:trPr>
        <w:tc>
          <w:tcPr>
            <w:tcW w:w="7220" w:type="dxa"/>
            <w:vAlign w:val="bottom"/>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1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52.2</w:t>
            </w:r>
          </w:p>
        </w:tc>
      </w:tr>
      <w:tr>
        <w:trPr>
          <w:trHeight w:val="27"/>
        </w:trPr>
        <w:tc>
          <w:tcPr>
            <w:tcW w:w="7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183.0</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130.9</w:t>
            </w:r>
          </w:p>
        </w:tc>
      </w:tr>
      <w:tr>
        <w:trPr>
          <w:trHeight w:val="188"/>
        </w:trPr>
        <w:tc>
          <w:tcPr>
            <w:tcW w:w="722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end of period</w:t>
            </w:r>
          </w:p>
        </w:tc>
        <w:tc>
          <w:tcPr>
            <w:tcW w:w="1520" w:type="dxa"/>
            <w:vAlign w:val="bottom"/>
            <w:tcBorders>
              <w:top w:val="single" w:sz="8" w:color="auto"/>
              <w:bottom w:val="single" w:sz="8" w:color="auto"/>
            </w:tcBorders>
          </w:tcPr>
          <w:p>
            <w:pPr>
              <w:jc w:val="right"/>
              <w:ind w:right="1358"/>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176.2</w:t>
            </w:r>
          </w:p>
        </w:tc>
        <w:tc>
          <w:tcPr>
            <w:tcW w:w="12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183.1</w:t>
            </w:r>
          </w:p>
        </w:tc>
      </w:tr>
      <w:tr>
        <w:trPr>
          <w:trHeight w:val="20"/>
        </w:trPr>
        <w:tc>
          <w:tcPr>
            <w:tcW w:w="7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29"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KRATOS DEFENSE &amp; SECURITY SOLUTIONS,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Summary of Significant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All references to the “Company” and “Kratos” refer to Kratos Defense &amp; Security Solutions, Inc., a Delaware corporation, and its subsidiaries.</w:t>
      </w:r>
    </w:p>
    <w:p>
      <w:pPr>
        <w:spacing w:after="0" w:line="180" w:lineRule="exact"/>
        <w:rPr>
          <w:sz w:val="20"/>
          <w:szCs w:val="20"/>
          <w:color w:val="auto"/>
        </w:rPr>
      </w:pPr>
    </w:p>
    <w:p>
      <w:pPr>
        <w:ind w:left="520" w:hanging="514"/>
        <w:spacing w:after="0"/>
        <w:tabs>
          <w:tab w:leader="none" w:pos="52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w:t>
      </w:r>
    </w:p>
    <w:p>
      <w:pPr>
        <w:spacing w:after="0" w:line="188" w:lineRule="exact"/>
        <w:rPr>
          <w:sz w:val="20"/>
          <w:szCs w:val="20"/>
          <w:color w:val="auto"/>
        </w:rPr>
      </w:pPr>
    </w:p>
    <w:p>
      <w:pPr>
        <w:ind w:firstLine="551"/>
        <w:spacing w:after="0" w:line="261" w:lineRule="auto"/>
        <w:rPr>
          <w:sz w:val="20"/>
          <w:szCs w:val="20"/>
          <w:color w:val="auto"/>
        </w:rPr>
      </w:pPr>
      <w:r>
        <w:rPr>
          <w:rFonts w:ascii="Arial" w:cs="Arial" w:eastAsia="Arial" w:hAnsi="Arial"/>
          <w:sz w:val="14"/>
          <w:szCs w:val="14"/>
          <w:color w:val="auto"/>
        </w:rPr>
        <w:t>The information as of June 30, 2019 and for the three and six months ended June 30, 2019 and July 1, 2018 is unaudited. The condensed consolidated balance sheet as of December 30, 2018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30, 2018, included in the Company’s Annual Report on Form 10-K filed with the U.S. Securities and Exchange Commission (the “SEC”) on February 28, 2019 (the “Form 10-K”). Interim operating results are not necessarily indicative of operating results expected in subsequent periods or for the year as a whole.</w:t>
      </w:r>
    </w:p>
    <w:p>
      <w:pPr>
        <w:spacing w:after="0" w:line="151" w:lineRule="exact"/>
        <w:rPr>
          <w:sz w:val="20"/>
          <w:szCs w:val="20"/>
          <w:color w:val="auto"/>
        </w:rPr>
      </w:pPr>
    </w:p>
    <w:p>
      <w:pPr>
        <w:ind w:right="80" w:firstLine="517"/>
        <w:spacing w:after="0" w:line="294" w:lineRule="auto"/>
        <w:rPr>
          <w:sz w:val="20"/>
          <w:szCs w:val="20"/>
          <w:color w:val="auto"/>
        </w:rPr>
      </w:pPr>
      <w:r>
        <w:rPr>
          <w:rFonts w:ascii="Arial" w:cs="Arial" w:eastAsia="Arial" w:hAnsi="Arial"/>
          <w:sz w:val="13"/>
          <w:szCs w:val="13"/>
          <w:color w:val="auto"/>
        </w:rPr>
        <w:t>As discussed in “Acquisition” in Note 2, on February 27, 2019, the Company acquired 80.1% of the issued and outstanding shares of capital stock of Florida Turbine Technologies, Inc. (“FTT Inc.”), and 80.1% of the membership interests in FTT CORE, LLC (“FTT Core” and, together with FTT Inc.,“FTT”), for an aggregate purchase price of approximately $60 million. FTT is now the Kratos Turbine Technologies Division (the “KTT Division”), which is focused on the development and production of small, affordable, high-performance, jet engines for the next generation of tactical weapon systems and tactical jet unmanned aerial systems (“UAS”). The KTT Division is included in the Kratos Government Solutions (“KGS”) Segment.</w:t>
      </w:r>
    </w:p>
    <w:p>
      <w:pPr>
        <w:spacing w:after="0" w:line="126" w:lineRule="exact"/>
        <w:rPr>
          <w:sz w:val="20"/>
          <w:szCs w:val="20"/>
          <w:color w:val="auto"/>
        </w:rPr>
      </w:pPr>
    </w:p>
    <w:p>
      <w:pPr>
        <w:ind w:left="520" w:hanging="514"/>
        <w:spacing w:after="0"/>
        <w:tabs>
          <w:tab w:leader="none" w:pos="52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Principles of Consolidation</w:t>
      </w:r>
    </w:p>
    <w:p>
      <w:pPr>
        <w:spacing w:after="0" w:line="188" w:lineRule="exact"/>
        <w:rPr>
          <w:sz w:val="20"/>
          <w:szCs w:val="20"/>
          <w:color w:val="auto"/>
        </w:rPr>
      </w:pPr>
    </w:p>
    <w:p>
      <w:pPr>
        <w:ind w:right="20" w:firstLine="517"/>
        <w:spacing w:after="0" w:line="272" w:lineRule="auto"/>
        <w:rPr>
          <w:sz w:val="20"/>
          <w:szCs w:val="20"/>
          <w:color w:val="auto"/>
        </w:rPr>
      </w:pPr>
      <w:r>
        <w:rPr>
          <w:rFonts w:ascii="Arial" w:cs="Arial" w:eastAsia="Arial" w:hAnsi="Arial"/>
          <w:sz w:val="14"/>
          <w:szCs w:val="14"/>
          <w:color w:val="auto"/>
        </w:rPr>
        <w:t>The condensed consolidated financial statements include the accounts of the Company, its 100% owned subsidiaries and its majority owned subsidiaries, FTT Inc. and FTT Core, each of which is 80.1% owned. All inter-company transactions have been eliminated in consolidation. Noncontrolling interest consists of the remaining 19.9% interest in FTT Inc. and FTT Core. See Note 12 for further information related to the redeemable noncontrolling interest.</w:t>
      </w:r>
    </w:p>
    <w:p>
      <w:pPr>
        <w:spacing w:after="0" w:line="138" w:lineRule="exact"/>
        <w:rPr>
          <w:sz w:val="20"/>
          <w:szCs w:val="20"/>
          <w:color w:val="auto"/>
        </w:rPr>
      </w:pPr>
    </w:p>
    <w:p>
      <w:pPr>
        <w:ind w:left="520" w:hanging="514"/>
        <w:spacing w:after="0"/>
        <w:tabs>
          <w:tab w:leader="none" w:pos="52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Fiscal Year</w:t>
      </w:r>
    </w:p>
    <w:p>
      <w:pPr>
        <w:spacing w:after="0" w:line="188" w:lineRule="exact"/>
        <w:rPr>
          <w:sz w:val="20"/>
          <w:szCs w:val="20"/>
          <w:color w:val="auto"/>
        </w:rPr>
      </w:pPr>
    </w:p>
    <w:p>
      <w:pPr>
        <w:ind w:right="400" w:firstLine="517"/>
        <w:spacing w:after="0" w:line="288" w:lineRule="auto"/>
        <w:rPr>
          <w:sz w:val="20"/>
          <w:szCs w:val="20"/>
          <w:color w:val="auto"/>
        </w:rPr>
      </w:pPr>
      <w:r>
        <w:rPr>
          <w:rFonts w:ascii="Arial" w:cs="Arial" w:eastAsia="Arial" w:hAnsi="Arial"/>
          <w:sz w:val="14"/>
          <w:szCs w:val="14"/>
          <w:color w:val="auto"/>
        </w:rPr>
        <w:t>The Company has a 52/53 week fiscal year ending on the last Sunday of the calendar year. The three and six month periods ended June 30, 2019 and July 1, 2018 consisted of 13-week periods. There are 52 calendar weeks in the fiscal years ending on December 29, 2019 and December 30, 2018.</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(d)</w:t>
      </w:r>
      <w:r>
        <w:rPr>
          <w:sz w:val="20"/>
          <w:szCs w:val="20"/>
          <w:color w:val="auto"/>
        </w:rPr>
        <w:tab/>
      </w:r>
      <w:r>
        <w:rPr>
          <w:rFonts w:ascii="Arial" w:cs="Arial" w:eastAsia="Arial" w:hAnsi="Arial"/>
          <w:sz w:val="12"/>
          <w:szCs w:val="12"/>
          <w:b w:val="1"/>
          <w:bCs w:val="1"/>
          <w:color w:val="auto"/>
        </w:rPr>
        <w:t>Accounting Estimates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There have been no significant changes in the Company’s accounting estimates for the six months ended June 30, 2019 as compared to the accounting estimates described in the Form 10-K.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29" w:right="21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(e)</w:t>
      </w:r>
      <w:r>
        <w:rPr>
          <w:sz w:val="20"/>
          <w:szCs w:val="20"/>
          <w:color w:val="auto"/>
        </w:rPr>
        <w:tab/>
      </w:r>
      <w:r>
        <w:rPr>
          <w:rFonts w:ascii="Arial" w:cs="Arial" w:eastAsia="Arial" w:hAnsi="Arial"/>
          <w:sz w:val="12"/>
          <w:szCs w:val="12"/>
          <w:b w:val="1"/>
          <w:bCs w:val="1"/>
          <w:color w:val="auto"/>
        </w:rPr>
        <w:t>Accounting Standards Updates</w:t>
      </w:r>
    </w:p>
    <w:p>
      <w:pPr>
        <w:spacing w:after="0" w:line="188" w:lineRule="exact"/>
        <w:rPr>
          <w:sz w:val="20"/>
          <w:szCs w:val="20"/>
          <w:color w:val="auto"/>
        </w:rPr>
      </w:pPr>
    </w:p>
    <w:p>
      <w:pPr>
        <w:ind w:right="140" w:firstLine="517"/>
        <w:spacing w:after="0" w:line="289" w:lineRule="auto"/>
        <w:rPr>
          <w:sz w:val="20"/>
          <w:szCs w:val="20"/>
          <w:color w:val="auto"/>
        </w:rPr>
      </w:pPr>
      <w:r>
        <w:rPr>
          <w:rFonts w:ascii="Arial" w:cs="Arial" w:eastAsia="Arial" w:hAnsi="Arial"/>
          <w:sz w:val="13"/>
          <w:szCs w:val="13"/>
          <w:color w:val="auto"/>
        </w:rPr>
        <w:t xml:space="preserve">In February 2016, the FASB issued ASU 2016-02 (“ASU 2016-02”), </w:t>
      </w:r>
      <w:r>
        <w:rPr>
          <w:rFonts w:ascii="Arial" w:cs="Arial" w:eastAsia="Arial" w:hAnsi="Arial"/>
          <w:sz w:val="13"/>
          <w:szCs w:val="13"/>
          <w:i w:val="1"/>
          <w:iCs w:val="1"/>
          <w:color w:val="auto"/>
        </w:rPr>
        <w:t>Leases</w:t>
      </w:r>
      <w:r>
        <w:rPr>
          <w:rFonts w:ascii="Arial" w:cs="Arial" w:eastAsia="Arial" w:hAnsi="Arial"/>
          <w:sz w:val="13"/>
          <w:szCs w:val="13"/>
          <w:color w:val="auto"/>
        </w:rPr>
        <w:t>, also referred to as “ASC 842”</w:t>
      </w:r>
      <w:r>
        <w:rPr>
          <w:rFonts w:ascii="Arial" w:cs="Arial" w:eastAsia="Arial" w:hAnsi="Arial"/>
          <w:sz w:val="13"/>
          <w:szCs w:val="13"/>
          <w:i w:val="1"/>
          <w:iCs w:val="1"/>
          <w:color w:val="auto"/>
        </w:rPr>
        <w:t>.</w:t>
      </w:r>
      <w:r>
        <w:rPr>
          <w:rFonts w:ascii="Arial" w:cs="Arial" w:eastAsia="Arial" w:hAnsi="Arial"/>
          <w:sz w:val="13"/>
          <w:szCs w:val="13"/>
          <w:color w:val="auto"/>
        </w:rPr>
        <w:t xml:space="preserve"> ASU 2016-02 requires that lessees recognize assets and liabilities for the rights and obligations underlying leases with a lease term of more than one year. The amendments in this ASU are effective for annual periods beginning after December 15, 2018. In July 2018, the FASB issued ASU 2018-11, </w:t>
      </w:r>
      <w:r>
        <w:rPr>
          <w:rFonts w:ascii="Arial" w:cs="Arial" w:eastAsia="Arial" w:hAnsi="Arial"/>
          <w:sz w:val="13"/>
          <w:szCs w:val="13"/>
          <w:i w:val="1"/>
          <w:iCs w:val="1"/>
          <w:color w:val="auto"/>
        </w:rPr>
        <w:t>Leases; Targeted Improvements</w:t>
      </w:r>
      <w:r>
        <w:rPr>
          <w:rFonts w:ascii="Arial" w:cs="Arial" w:eastAsia="Arial" w:hAnsi="Arial"/>
          <w:sz w:val="13"/>
          <w:szCs w:val="13"/>
          <w:color w:val="auto"/>
        </w:rPr>
        <w:t xml:space="preserve">, which, among other things, allows a company to elect an optional transition method that applies the new lease requirements through a cumulative-effect adjustment in the period of adoption. The Company adopted this standard on December 31, 2018 using the optional transition method, and, as a result, did not recast prior period unaudited condensed comparative financial statements. All prior period amounts and disclosures are presented under Accounting Standards Codification Topic 840,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(“ASC 840”).</w:t>
      </w:r>
    </w:p>
    <w:p>
      <w:pPr>
        <w:spacing w:after="0" w:line="134" w:lineRule="exact"/>
        <w:rPr>
          <w:sz w:val="20"/>
          <w:szCs w:val="20"/>
          <w:color w:val="auto"/>
        </w:rPr>
      </w:pPr>
    </w:p>
    <w:p>
      <w:pPr>
        <w:ind w:right="140" w:firstLine="517"/>
        <w:spacing w:after="0" w:line="315" w:lineRule="auto"/>
        <w:rPr>
          <w:sz w:val="20"/>
          <w:szCs w:val="20"/>
          <w:color w:val="auto"/>
        </w:rPr>
      </w:pPr>
      <w:r>
        <w:rPr>
          <w:rFonts w:ascii="Arial" w:cs="Arial" w:eastAsia="Arial" w:hAnsi="Arial"/>
          <w:sz w:val="12"/>
          <w:szCs w:val="12"/>
          <w:color w:val="auto"/>
        </w:rPr>
        <w:t>The Company has revised its controls and processes to address the new lease standard and has completed the implementation and data input for our lease accounting software tool. The Company has elected the package of practical expedients, which, among other things, allows carry-forward of prior lease classifications under the prior standard. However, the Company has not elected to adopt the hindsight practical expedient and is therefore maintaining the lease terms previously determined under the prior lease standard. For all new and modified leases after adoption of the ASU, the Company has taken the component election allowing the Company to account for lease components together with non-lease components in the calculation of the lease asset and corresponding liability. Adoption of the new standard resulted in the recording of additional lease assets and lease liabilities on the unaudited condensed consolidated balance sheet. No cumulative-effect adjustment was recognized as the amount was not material, and the impact on the Company’s results of operations and cash flows was also not material. See Note 8 for additional disclosures.</w:t>
      </w:r>
    </w:p>
    <w:p>
      <w:pPr>
        <w:spacing w:after="0" w:line="120" w:lineRule="exact"/>
        <w:rPr>
          <w:sz w:val="20"/>
          <w:szCs w:val="20"/>
          <w:color w:val="auto"/>
        </w:rPr>
      </w:pPr>
    </w:p>
    <w:p>
      <w:pPr>
        <w:ind w:right="60" w:firstLine="517"/>
        <w:spacing w:after="0" w:line="267" w:lineRule="auto"/>
        <w:rPr>
          <w:sz w:val="20"/>
          <w:szCs w:val="20"/>
          <w:color w:val="auto"/>
        </w:rPr>
      </w:pPr>
      <w:r>
        <w:rPr>
          <w:rFonts w:ascii="Arial" w:cs="Arial" w:eastAsia="Arial" w:hAnsi="Arial"/>
          <w:sz w:val="14"/>
          <w:szCs w:val="14"/>
          <w:color w:val="auto"/>
        </w:rPr>
        <w:t xml:space="preserve">In February 2018, the FASB issued ASU 2018-02 (“ASU 2018-02”), </w:t>
      </w:r>
      <w:r>
        <w:rPr>
          <w:rFonts w:ascii="Arial" w:cs="Arial" w:eastAsia="Arial" w:hAnsi="Arial"/>
          <w:sz w:val="14"/>
          <w:szCs w:val="14"/>
          <w:i w:val="1"/>
          <w:iCs w:val="1"/>
          <w:color w:val="auto"/>
        </w:rPr>
        <w:t>Reclassification of Certain Tax Effects from Accumulated Other Comprehensive Income</w:t>
      </w:r>
      <w:r>
        <w:rPr>
          <w:rFonts w:ascii="Arial" w:cs="Arial" w:eastAsia="Arial" w:hAnsi="Arial"/>
          <w:sz w:val="14"/>
          <w:szCs w:val="14"/>
          <w:color w:val="auto"/>
        </w:rPr>
        <w:t xml:space="preserve"> (“AOCI”). ASU 2018-02 provides entities the option to reclassify tax effects to retained earnings from AOCI which are impacted by the Tax Cuts and Jobs Act (“TCJA”). This ASU is effective for fiscal years beginning after December 15, 2018 but early adoption is permitted. The Company adopted this standard on December 31, 2018. The Company has a full valuation allowance for all tax benefits related to AOCI, and therefore, there are no tax effects to be reclassified to retained earnings.</w:t>
      </w:r>
    </w:p>
    <w:p>
      <w:pPr>
        <w:spacing w:after="0" w:line="314" w:lineRule="exact"/>
        <w:rPr>
          <w:sz w:val="20"/>
          <w:szCs w:val="20"/>
          <w:color w:val="auto"/>
        </w:rPr>
      </w:pPr>
    </w:p>
    <w:p>
      <w:pPr>
        <w:ind w:left="520" w:hanging="514"/>
        <w:spacing w:after="0"/>
        <w:tabs>
          <w:tab w:leader="none" w:pos="52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of Financial Instruments</w:t>
      </w:r>
    </w:p>
    <w:p>
      <w:pPr>
        <w:spacing w:after="0" w:line="188" w:lineRule="exact"/>
        <w:rPr>
          <w:sz w:val="20"/>
          <w:szCs w:val="20"/>
          <w:color w:val="auto"/>
        </w:rPr>
      </w:pPr>
    </w:p>
    <w:p>
      <w:pPr>
        <w:ind w:right="160" w:firstLine="517"/>
        <w:spacing w:after="0" w:line="267" w:lineRule="auto"/>
        <w:rPr>
          <w:sz w:val="20"/>
          <w:szCs w:val="20"/>
          <w:color w:val="auto"/>
        </w:rPr>
      </w:pPr>
      <w:r>
        <w:rPr>
          <w:rFonts w:ascii="Arial" w:cs="Arial" w:eastAsia="Arial" w:hAnsi="Arial"/>
          <w:sz w:val="14"/>
          <w:szCs w:val="14"/>
          <w:color w:val="auto"/>
        </w:rPr>
        <w:t>The carrying amounts and the related estimated fair values of the Company’s long-term debt financial instruments not measured at fair value on a recurring basis at June 30, 2019 and December 30, 2018 are presented in Note 10.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June 30, 2019 and December 30, 2018 due to the short-term nature of these instruments.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Acquisition</w:t>
      </w:r>
    </w:p>
    <w:p>
      <w:pPr>
        <w:spacing w:after="0" w:line="188" w:lineRule="exact"/>
        <w:rPr>
          <w:sz w:val="20"/>
          <w:szCs w:val="20"/>
          <w:color w:val="auto"/>
        </w:rPr>
      </w:pPr>
    </w:p>
    <w:p>
      <w:pPr>
        <w:ind w:firstLine="517"/>
        <w:spacing w:after="0" w:line="267" w:lineRule="auto"/>
        <w:rPr>
          <w:sz w:val="20"/>
          <w:szCs w:val="20"/>
          <w:color w:val="auto"/>
        </w:rPr>
      </w:pPr>
      <w:r>
        <w:rPr>
          <w:rFonts w:ascii="Arial" w:cs="Arial" w:eastAsia="Arial" w:hAnsi="Arial"/>
          <w:sz w:val="14"/>
          <w:szCs w:val="14"/>
          <w:color w:val="auto"/>
        </w:rPr>
        <w:t>On February 27, 2019, the Company acquired 80.1% of the issued and outstanding shares of capital stock of FTT Inc., and 80.1% of the membership interests in FTT Core for an aggregate purchase price of approximately $60 million. The purchase price was $33 million in cash, with approximately $17.7 million paid at close and approximately $15.3 million to be paid over a three-year period, subject to adjustments for transaction expenses, indebtedness, cash on hand, certain amounts payable or potentially payable to employees of FTT and post-closing working capital adjustments, and 1,825,406 shares of common stock (with a value of approximately $27 million).</w:t>
      </w:r>
    </w:p>
    <w:p>
      <w:pPr>
        <w:spacing w:after="0" w:line="146" w:lineRule="exact"/>
        <w:rPr>
          <w:sz w:val="20"/>
          <w:szCs w:val="20"/>
          <w:color w:val="auto"/>
        </w:rPr>
      </w:pPr>
    </w:p>
    <w:p>
      <w:pPr>
        <w:ind w:right="100" w:firstLine="517"/>
        <w:spacing w:after="0" w:line="272" w:lineRule="auto"/>
        <w:rPr>
          <w:sz w:val="20"/>
          <w:szCs w:val="20"/>
          <w:color w:val="auto"/>
        </w:rPr>
      </w:pPr>
      <w:r>
        <w:rPr>
          <w:rFonts w:ascii="Arial" w:cs="Arial" w:eastAsia="Arial" w:hAnsi="Arial"/>
          <w:sz w:val="14"/>
          <w:szCs w:val="14"/>
          <w:color w:val="auto"/>
        </w:rPr>
        <w:t>FTT is a leading turbomachinery design and manufacturing company specializing in engineering, development, and testing of gas turbines, propulsion components, and systems for military and commercial applications. FTT is now the KTT Division, which is focused on the development and production of small, affordable, high-performance, jet engines for the next generation of tactical weapon systems and tactical jet UAS. The KTT Division is included in the KGS Segment.</w:t>
      </w:r>
    </w:p>
    <w:p>
      <w:pPr>
        <w:spacing w:after="0" w:line="142" w:lineRule="exact"/>
        <w:rPr>
          <w:sz w:val="20"/>
          <w:szCs w:val="20"/>
          <w:color w:val="auto"/>
        </w:rPr>
      </w:pPr>
    </w:p>
    <w:p>
      <w:pPr>
        <w:jc w:val="both"/>
        <w:ind w:right="480" w:firstLine="517"/>
        <w:spacing w:after="0" w:line="272" w:lineRule="auto"/>
        <w:rPr>
          <w:sz w:val="20"/>
          <w:szCs w:val="20"/>
          <w:color w:val="auto"/>
        </w:rPr>
      </w:pPr>
      <w:r>
        <w:rPr>
          <w:rFonts w:ascii="Arial" w:cs="Arial" w:eastAsia="Arial" w:hAnsi="Arial"/>
          <w:sz w:val="14"/>
          <w:szCs w:val="14"/>
          <w:color w:val="auto"/>
        </w:rPr>
        <w:t>The excess of the purchase price over the fair value of the tangible and identifiable intangible assets acquired and liabilities assumed in the acquisition was allocated to goodwill. The goodwill represents the value the Company expects to be created by enabling it to accelerate FTT’s small engine development programs, and facilitate integration of these leading-edge engine solutions with evolving Kratos tactical systems.</w:t>
      </w:r>
    </w:p>
    <w:p>
      <w:pPr>
        <w:spacing w:after="0" w:line="142" w:lineRule="exact"/>
        <w:rPr>
          <w:sz w:val="20"/>
          <w:szCs w:val="20"/>
          <w:color w:val="auto"/>
        </w:rPr>
      </w:pPr>
    </w:p>
    <w:p>
      <w:pPr>
        <w:ind w:firstLine="647"/>
        <w:spacing w:after="0" w:line="288" w:lineRule="auto"/>
        <w:rPr>
          <w:sz w:val="20"/>
          <w:szCs w:val="20"/>
          <w:color w:val="auto"/>
        </w:rPr>
      </w:pPr>
      <w:r>
        <w:rPr>
          <w:rFonts w:ascii="Arial" w:cs="Arial" w:eastAsia="Arial" w:hAnsi="Arial"/>
          <w:sz w:val="14"/>
          <w:szCs w:val="14"/>
          <w:color w:val="auto"/>
        </w:rPr>
        <w:t>Simultaneously with the execution of the Purchase Agreement among the Company and the Sellers (as defined in such agreement) (the “Purchase Agreement”) and completion of the acquisition, the Company, FTT Inc., FTT Core and the Sellers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29" w:right="2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entered into an exchange agreement (the “Exchange Agreement”) pursuant to which, among other things, (i) FTT Core was converted into a Delaware corporation, (ii) beginning in January 2024, the Holders (as defined in the Exchange Agreement) will have an annual right (the “Put Right”) to sell all of the minority interests in FTT Inc. and FTT Core (the “Minority Interests”) to the Company at a purchase price based on an assumed enterprise value of 12 times the trailing 12 months EBITDA of FTT Inc., FTT Core and each of their respective subsidiaries (the “Acquired Companies”), subject to adjustment as set forth in the Exchange Agreement (the “Minority Interest Purchase Price”) (provided, however, that following certain events, including a change of control, the Put Right will be accelerated and the Minority Interest Purchase Price will be increased to 14 times the trailing 12 months EBITDA of the Acquired Companies), and (iii) beginning in January 2025, the Company will have an annual right to purchase all of the Minority Interests from the Holders at the Minority Interest Purchase Price.</w:t>
      </w:r>
    </w:p>
    <w:p>
      <w:pPr>
        <w:spacing w:after="0" w:line="134" w:lineRule="exact"/>
        <w:rPr>
          <w:sz w:val="20"/>
          <w:szCs w:val="20"/>
          <w:color w:val="auto"/>
        </w:rPr>
      </w:pPr>
    </w:p>
    <w:p>
      <w:pPr>
        <w:ind w:right="160" w:firstLine="517"/>
        <w:spacing w:after="0" w:line="267" w:lineRule="auto"/>
        <w:rPr>
          <w:sz w:val="20"/>
          <w:szCs w:val="20"/>
          <w:color w:val="auto"/>
        </w:rPr>
      </w:pPr>
      <w:r>
        <w:rPr>
          <w:rFonts w:ascii="Arial" w:cs="Arial" w:eastAsia="Arial" w:hAnsi="Arial"/>
          <w:sz w:val="14"/>
          <w:szCs w:val="14"/>
          <w:color w:val="auto"/>
        </w:rPr>
        <w:t>The transaction has been accounted for using the acquisition method of accounting, which requires, among other things, that the assets acquired, the liabilities assumed, and the noncontrolling interest be recognized at their fair values as of the acquisition date. The fair value measurements are based primarily on significant inputs not observable in the marketplace and thus represent Level 3 measurements. The following table summarizes the provisional allocation of the purchase price over the estimated fair values of the major assets acquired, liabilities assumed, and noncontrolling interest (in millions):</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r>
      <w:tr>
        <w:trPr>
          <w:trHeight w:val="193"/>
        </w:trPr>
        <w:tc>
          <w:tcPr>
            <w:tcW w:w="9500" w:type="dxa"/>
            <w:vAlign w:val="bottom"/>
          </w:tcPr>
          <w:p>
            <w:pPr>
              <w:ind w:left="20"/>
              <w:spacing w:after="0"/>
              <w:rPr>
                <w:sz w:val="20"/>
                <w:szCs w:val="20"/>
                <w:color w:val="auto"/>
              </w:rPr>
            </w:pPr>
            <w:r>
              <w:rPr>
                <w:rFonts w:ascii="Arial" w:cs="Arial" w:eastAsia="Arial" w:hAnsi="Arial"/>
                <w:sz w:val="14"/>
                <w:szCs w:val="14"/>
                <w:color w:val="auto"/>
              </w:rPr>
              <w:t>Unbilled receivables</w:t>
            </w:r>
          </w:p>
        </w:tc>
        <w:tc>
          <w:tcPr>
            <w:tcW w:w="8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w:t>
            </w:r>
          </w:p>
        </w:tc>
      </w:tr>
      <w:tr>
        <w:trPr>
          <w:trHeight w:val="23"/>
        </w:trPr>
        <w:tc>
          <w:tcPr>
            <w:tcW w:w="9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Inventoried costs</w:t>
            </w:r>
          </w:p>
        </w:tc>
        <w:tc>
          <w:tcPr>
            <w:tcW w:w="8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r>
      <w:tr>
        <w:trPr>
          <w:trHeight w:val="193"/>
        </w:trPr>
        <w:tc>
          <w:tcPr>
            <w:tcW w:w="950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8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w:t>
            </w:r>
          </w:p>
        </w:tc>
      </w:tr>
      <w:tr>
        <w:trPr>
          <w:trHeight w:val="23"/>
        </w:trPr>
        <w:tc>
          <w:tcPr>
            <w:tcW w:w="9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8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r>
      <w:tr>
        <w:trPr>
          <w:trHeight w:val="193"/>
        </w:trPr>
        <w:tc>
          <w:tcPr>
            <w:tcW w:w="950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8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19.8</w:t>
            </w:r>
          </w:p>
        </w:tc>
      </w:tr>
      <w:tr>
        <w:trPr>
          <w:trHeight w:val="23"/>
        </w:trPr>
        <w:tc>
          <w:tcPr>
            <w:tcW w:w="9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8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r>
      <w:tr>
        <w:trPr>
          <w:trHeight w:val="184"/>
        </w:trPr>
        <w:tc>
          <w:tcPr>
            <w:tcW w:w="9500" w:type="dxa"/>
            <w:vAlign w:val="bottom"/>
          </w:tcPr>
          <w:p>
            <w:pPr>
              <w:ind w:left="80"/>
              <w:spacing w:after="0"/>
              <w:rPr>
                <w:sz w:val="20"/>
                <w:szCs w:val="20"/>
                <w:color w:val="auto"/>
              </w:rPr>
            </w:pPr>
            <w:r>
              <w:rPr>
                <w:rFonts w:ascii="Arial" w:cs="Arial" w:eastAsia="Arial" w:hAnsi="Arial"/>
                <w:sz w:val="14"/>
                <w:szCs w:val="14"/>
                <w:color w:val="auto"/>
              </w:rPr>
              <w:t>Total identifiable net assets acquired</w:t>
            </w:r>
          </w:p>
        </w:tc>
        <w:tc>
          <w:tcPr>
            <w:tcW w:w="8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84.0</w:t>
            </w:r>
          </w:p>
        </w:tc>
      </w:tr>
      <w:tr>
        <w:trPr>
          <w:trHeight w:val="23"/>
        </w:trPr>
        <w:tc>
          <w:tcPr>
            <w:tcW w:w="9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identifiable net liabilities assumed</w:t>
            </w:r>
          </w:p>
        </w:tc>
        <w:tc>
          <w:tcPr>
            <w:tcW w:w="8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84"/>
        </w:trPr>
        <w:tc>
          <w:tcPr>
            <w:tcW w:w="9500" w:type="dxa"/>
            <w:vAlign w:val="bottom"/>
          </w:tcPr>
          <w:p>
            <w:pPr>
              <w:ind w:left="100"/>
              <w:spacing w:after="0"/>
              <w:rPr>
                <w:sz w:val="20"/>
                <w:szCs w:val="20"/>
                <w:color w:val="auto"/>
              </w:rPr>
            </w:pPr>
            <w:r>
              <w:rPr>
                <w:rFonts w:ascii="Arial" w:cs="Arial" w:eastAsia="Arial" w:hAnsi="Arial"/>
                <w:sz w:val="14"/>
                <w:szCs w:val="14"/>
                <w:color w:val="auto"/>
              </w:rPr>
              <w:t>Net assets before noncontrolling interest</w:t>
            </w:r>
          </w:p>
        </w:tc>
        <w:tc>
          <w:tcPr>
            <w:tcW w:w="8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75.0</w:t>
            </w:r>
          </w:p>
        </w:tc>
      </w:tr>
      <w:tr>
        <w:trPr>
          <w:trHeight w:val="23"/>
        </w:trPr>
        <w:tc>
          <w:tcPr>
            <w:tcW w:w="9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8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200"/>
        </w:trPr>
        <w:tc>
          <w:tcPr>
            <w:tcW w:w="9500" w:type="dxa"/>
            <w:vAlign w:val="bottom"/>
          </w:tcPr>
          <w:p>
            <w:pPr>
              <w:ind w:left="100"/>
              <w:spacing w:after="0"/>
              <w:rPr>
                <w:sz w:val="20"/>
                <w:szCs w:val="20"/>
                <w:color w:val="auto"/>
              </w:rPr>
            </w:pPr>
            <w:r>
              <w:rPr>
                <w:rFonts w:ascii="Arial" w:cs="Arial" w:eastAsia="Arial" w:hAnsi="Arial"/>
                <w:sz w:val="14"/>
                <w:szCs w:val="14"/>
                <w:color w:val="auto"/>
              </w:rPr>
              <w:t>Net assets acquired, excluding cash</w:t>
            </w:r>
          </w:p>
        </w:tc>
        <w:tc>
          <w:tcPr>
            <w:tcW w:w="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60.0</w:t>
            </w:r>
          </w:p>
        </w:tc>
      </w:tr>
      <w:tr>
        <w:trPr>
          <w:trHeight w:val="20"/>
        </w:trPr>
        <w:tc>
          <w:tcPr>
            <w:tcW w:w="9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firstLine="517"/>
        <w:spacing w:after="0" w:line="283" w:lineRule="auto"/>
        <w:rPr>
          <w:sz w:val="20"/>
          <w:szCs w:val="20"/>
          <w:color w:val="auto"/>
        </w:rPr>
      </w:pPr>
      <w:r>
        <w:rPr>
          <w:rFonts w:ascii="Arial" w:cs="Arial" w:eastAsia="Arial" w:hAnsi="Arial"/>
          <w:sz w:val="13"/>
          <w:szCs w:val="13"/>
          <w:color w:val="auto"/>
        </w:rPr>
        <w:t>As of February 27, 2019, net liabilities include $7.7 million of current liabilities and $1.3 million of long-term liabilities. There was no contingent purchase consideration associated with the acquisition of an 80.1% majority interest in FTT. The amounts above represent the provisional fair value estimates as of March 31, 2019 and are subject to subsequent adjustment as the Company obtains additional information during the measurement period and finalizes its fair value estimates. If an adjustment to the provisional amounts recognized is subsequently identified during the measurement period, the Company will recognize the adjustment in the reporting period in which the adjustment amount is determined, including recording cumulative catch-up changes to depreciation, amortization, or other income statement effects recognized in completing the initial accounting. The provisional identifiable intangible asset estimates include customer relationships of $11.2 million with a useful life of 10 years, in-process research and development of $6.0 million that will commence amortization at the completion of the development project, backlog of $2.2 million with a useful life of 2 years, and trade name of $0.4 million with a useful life of 1 year. Any subsequent adjustments to these fair value estimates occurring during the measurement period will result in an adjustment to goodwill. The Company also established a deferred tax liability of $4.4 million for the increase in the financial statement basis of the acquired assets of FTT and a corresponding increase in goodwill. The goodwill recorded in this transaction is not expected to be tax-deductible.</w:t>
      </w:r>
    </w:p>
    <w:p>
      <w:pPr>
        <w:spacing w:after="0" w:line="138" w:lineRule="exact"/>
        <w:rPr>
          <w:sz w:val="20"/>
          <w:szCs w:val="20"/>
          <w:color w:val="auto"/>
        </w:rPr>
      </w:pPr>
    </w:p>
    <w:p>
      <w:pPr>
        <w:ind w:right="40" w:firstLine="517"/>
        <w:spacing w:after="0" w:line="267" w:lineRule="auto"/>
        <w:rPr>
          <w:sz w:val="20"/>
          <w:szCs w:val="20"/>
          <w:color w:val="auto"/>
        </w:rPr>
      </w:pPr>
      <w:r>
        <w:rPr>
          <w:rFonts w:ascii="Arial" w:cs="Arial" w:eastAsia="Arial" w:hAnsi="Arial"/>
          <w:sz w:val="14"/>
          <w:szCs w:val="14"/>
          <w:color w:val="auto"/>
        </w:rPr>
        <w:t>The amounts of revenue and operating income of FTT included in the Company's condensed consolidated statement of operations for the three months ended June 30, 2019 are $17.2 million and $1.6 million, respectively. The amounts of revenue and operating income of FTT included in the Company's condensed consolidated statement of operations for the six months ended June 30, 2019 are $21.4 million and $1.7 million, respectively. Included in the merger and acquisition expenses, for the three and six months ended June 30, 2019 are transaction expenses of $0.1 million and $1.3 million, respectively, related to the acquisition of FTT.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29"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99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8"/>
        </w:trPr>
        <w:tc>
          <w:tcPr>
            <w:tcW w:w="9960" w:type="dxa"/>
            <w:vAlign w:val="bottom"/>
            <w:gridSpan w:val="2"/>
          </w:tcPr>
          <w:p>
            <w:pPr>
              <w:ind w:left="520"/>
              <w:spacing w:after="0"/>
              <w:rPr>
                <w:sz w:val="20"/>
                <w:szCs w:val="20"/>
                <w:color w:val="auto"/>
              </w:rPr>
            </w:pPr>
            <w:r>
              <w:rPr>
                <w:rFonts w:ascii="Arial" w:cs="Arial" w:eastAsia="Arial" w:hAnsi="Arial"/>
                <w:sz w:val="14"/>
                <w:szCs w:val="14"/>
                <w:color w:val="auto"/>
              </w:rPr>
              <w:t>A summary of the consideration paid for the acquired ownership in FTT is as follow:</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9"/>
        </w:trPr>
        <w:tc>
          <w:tcPr>
            <w:tcW w:w="1020" w:type="dxa"/>
            <w:vAlign w:val="bottom"/>
          </w:tcPr>
          <w:p>
            <w:pPr>
              <w:spacing w:after="0"/>
              <w:rPr>
                <w:sz w:val="9"/>
                <w:szCs w:val="9"/>
                <w:color w:val="auto"/>
              </w:rPr>
            </w:pPr>
          </w:p>
        </w:tc>
        <w:tc>
          <w:tcPr>
            <w:tcW w:w="8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96"/>
        </w:trPr>
        <w:tc>
          <w:tcPr>
            <w:tcW w:w="9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paid</w:t>
            </w: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r>
      <w:tr>
        <w:trPr>
          <w:trHeight w:val="193"/>
        </w:trPr>
        <w:tc>
          <w:tcPr>
            <w:tcW w:w="9960" w:type="dxa"/>
            <w:vAlign w:val="bottom"/>
            <w:gridSpan w:val="2"/>
          </w:tcPr>
          <w:p>
            <w:pPr>
              <w:ind w:left="20"/>
              <w:spacing w:after="0"/>
              <w:rPr>
                <w:sz w:val="20"/>
                <w:szCs w:val="20"/>
                <w:color w:val="auto"/>
              </w:rPr>
            </w:pPr>
            <w:r>
              <w:rPr>
                <w:rFonts w:ascii="Arial" w:cs="Arial" w:eastAsia="Arial" w:hAnsi="Arial"/>
                <w:sz w:val="14"/>
                <w:szCs w:val="14"/>
                <w:color w:val="auto"/>
              </w:rPr>
              <w:t>Deferred purchase consideration</w:t>
            </w:r>
          </w:p>
        </w:tc>
        <w:tc>
          <w:tcPr>
            <w:tcW w:w="6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15.3</w:t>
            </w:r>
          </w:p>
        </w:tc>
      </w:tr>
      <w:tr>
        <w:trPr>
          <w:trHeight w:val="23"/>
        </w:trPr>
        <w:tc>
          <w:tcPr>
            <w:tcW w:w="10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9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Common stock issued</w:t>
            </w: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r>
      <w:tr>
        <w:trPr>
          <w:trHeight w:val="184"/>
        </w:trPr>
        <w:tc>
          <w:tcPr>
            <w:tcW w:w="102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63.0</w:t>
            </w:r>
          </w:p>
        </w:tc>
      </w:tr>
      <w:tr>
        <w:trPr>
          <w:trHeight w:val="23"/>
        </w:trPr>
        <w:tc>
          <w:tcPr>
            <w:tcW w:w="10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9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Less: Cash acquired</w:t>
            </w: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0"/>
        </w:trPr>
        <w:tc>
          <w:tcPr>
            <w:tcW w:w="9960" w:type="dxa"/>
            <w:vAlign w:val="bottom"/>
            <w:gridSpan w:val="2"/>
          </w:tcPr>
          <w:p>
            <w:pPr>
              <w:ind w:left="20"/>
              <w:spacing w:after="0"/>
              <w:rPr>
                <w:sz w:val="20"/>
                <w:szCs w:val="20"/>
                <w:color w:val="auto"/>
              </w:rPr>
            </w:pPr>
            <w:r>
              <w:rPr>
                <w:rFonts w:ascii="Arial" w:cs="Arial" w:eastAsia="Arial" w:hAnsi="Arial"/>
                <w:sz w:val="14"/>
                <w:szCs w:val="14"/>
                <w:color w:val="auto"/>
              </w:rPr>
              <w:t>Total consideration</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60.0</w:t>
            </w:r>
          </w:p>
        </w:tc>
      </w:tr>
      <w:tr>
        <w:trPr>
          <w:trHeight w:val="20"/>
        </w:trPr>
        <w:tc>
          <w:tcPr>
            <w:tcW w:w="10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Pro Forma Financial Information</w:t>
      </w:r>
    </w:p>
    <w:p>
      <w:pPr>
        <w:spacing w:after="0" w:line="188" w:lineRule="exact"/>
        <w:rPr>
          <w:sz w:val="20"/>
          <w:szCs w:val="20"/>
          <w:color w:val="auto"/>
        </w:rPr>
      </w:pPr>
    </w:p>
    <w:p>
      <w:pPr>
        <w:ind w:firstLine="517"/>
        <w:spacing w:after="0" w:line="264" w:lineRule="auto"/>
        <w:rPr>
          <w:sz w:val="20"/>
          <w:szCs w:val="20"/>
          <w:color w:val="auto"/>
        </w:rPr>
      </w:pPr>
      <w:r>
        <w:rPr>
          <w:rFonts w:ascii="Arial" w:cs="Arial" w:eastAsia="Arial" w:hAnsi="Arial"/>
          <w:sz w:val="14"/>
          <w:szCs w:val="14"/>
          <w:color w:val="auto"/>
        </w:rPr>
        <w:t>The following tables summarize the supplemental condensed consolidated statements of operations information on an unaudited pro forma basis as if the acquisition of FTT occurred on December 31, 2018 and include adjustments that were directly attributable to the foregoing transactions. There are no material, nonrecurring pro forma adjustments directly attributable to the business combination included in the reported pro forma revenue and earnings.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 (all amounts, except per share amounts are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ind w:left="520"/>
              <w:spacing w:after="0"/>
              <w:rPr>
                <w:sz w:val="20"/>
                <w:szCs w:val="20"/>
                <w:color w:val="auto"/>
              </w:rPr>
            </w:pPr>
            <w:r>
              <w:rPr>
                <w:rFonts w:ascii="Arial" w:cs="Arial" w:eastAsia="Arial" w:hAnsi="Arial"/>
                <w:sz w:val="14"/>
                <w:szCs w:val="14"/>
                <w:color w:val="auto"/>
              </w:rPr>
              <w:t>For the six months ended June 30, 2019 (in millions):</w:t>
            </w:r>
          </w:p>
        </w:tc>
        <w:tc>
          <w:tcPr>
            <w:tcW w:w="37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09"/>
        </w:trPr>
        <w:tc>
          <w:tcPr>
            <w:tcW w:w="68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9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 forma revenues</w:t>
            </w:r>
          </w:p>
        </w:tc>
        <w:tc>
          <w:tcPr>
            <w:tcW w:w="374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356.4</w:t>
            </w:r>
          </w:p>
        </w:tc>
      </w:tr>
      <w:tr>
        <w:trPr>
          <w:trHeight w:val="193"/>
        </w:trPr>
        <w:tc>
          <w:tcPr>
            <w:tcW w:w="6860" w:type="dxa"/>
            <w:vAlign w:val="bottom"/>
          </w:tcPr>
          <w:p>
            <w:pPr>
              <w:ind w:left="20"/>
              <w:spacing w:after="0"/>
              <w:rPr>
                <w:sz w:val="20"/>
                <w:szCs w:val="20"/>
                <w:color w:val="auto"/>
              </w:rPr>
            </w:pPr>
            <w:r>
              <w:rPr>
                <w:rFonts w:ascii="Arial" w:cs="Arial" w:eastAsia="Arial" w:hAnsi="Arial"/>
                <w:sz w:val="14"/>
                <w:szCs w:val="14"/>
                <w:color w:val="auto"/>
              </w:rPr>
              <w:t>Pro forma net income before tax</w:t>
            </w:r>
          </w:p>
        </w:tc>
        <w:tc>
          <w:tcPr>
            <w:tcW w:w="37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w:t>
            </w:r>
          </w:p>
        </w:tc>
      </w:tr>
      <w:tr>
        <w:trPr>
          <w:trHeight w:val="23"/>
        </w:trPr>
        <w:tc>
          <w:tcPr>
            <w:tcW w:w="6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 forma net income</w:t>
            </w:r>
          </w:p>
        </w:tc>
        <w:tc>
          <w:tcPr>
            <w:tcW w:w="374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r>
      <w:tr>
        <w:trPr>
          <w:trHeight w:val="193"/>
        </w:trPr>
        <w:tc>
          <w:tcPr>
            <w:tcW w:w="6860" w:type="dxa"/>
            <w:vAlign w:val="bottom"/>
          </w:tcPr>
          <w:p>
            <w:pPr>
              <w:ind w:left="20"/>
              <w:spacing w:after="0"/>
              <w:rPr>
                <w:sz w:val="20"/>
                <w:szCs w:val="20"/>
                <w:color w:val="auto"/>
              </w:rPr>
            </w:pPr>
            <w:r>
              <w:rPr>
                <w:rFonts w:ascii="Arial" w:cs="Arial" w:eastAsia="Arial" w:hAnsi="Arial"/>
                <w:sz w:val="14"/>
                <w:szCs w:val="14"/>
                <w:color w:val="auto"/>
              </w:rPr>
              <w:t>Pro forma net income attributable to Kratos</w:t>
            </w:r>
          </w:p>
        </w:tc>
        <w:tc>
          <w:tcPr>
            <w:tcW w:w="37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3"/>
        </w:trPr>
        <w:tc>
          <w:tcPr>
            <w:tcW w:w="6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9"/>
        </w:trPr>
        <w:tc>
          <w:tcPr>
            <w:tcW w:w="6860" w:type="dxa"/>
            <w:vAlign w:val="bottom"/>
            <w:shd w:val="clear" w:color="auto" w:fill="CCEEFF"/>
          </w:tcPr>
          <w:p>
            <w:pPr>
              <w:spacing w:after="0"/>
              <w:rPr>
                <w:sz w:val="22"/>
                <w:szCs w:val="22"/>
                <w:color w:val="auto"/>
              </w:rPr>
            </w:pPr>
          </w:p>
        </w:tc>
        <w:tc>
          <w:tcPr>
            <w:tcW w:w="3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193"/>
        </w:trPr>
        <w:tc>
          <w:tcPr>
            <w:tcW w:w="6860" w:type="dxa"/>
            <w:vAlign w:val="bottom"/>
          </w:tcPr>
          <w:p>
            <w:pPr>
              <w:ind w:left="20"/>
              <w:spacing w:after="0"/>
              <w:rPr>
                <w:sz w:val="20"/>
                <w:szCs w:val="20"/>
                <w:color w:val="auto"/>
              </w:rPr>
            </w:pPr>
            <w:r>
              <w:rPr>
                <w:rFonts w:ascii="Arial" w:cs="Arial" w:eastAsia="Arial" w:hAnsi="Arial"/>
                <w:sz w:val="14"/>
                <w:szCs w:val="14"/>
                <w:color w:val="auto"/>
              </w:rPr>
              <w:t>Basic pro forma income per share attributable to Kratos</w:t>
            </w:r>
          </w:p>
        </w:tc>
        <w:tc>
          <w:tcPr>
            <w:tcW w:w="37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0.06</w:t>
            </w:r>
          </w:p>
        </w:tc>
      </w:tr>
      <w:tr>
        <w:trPr>
          <w:trHeight w:val="23"/>
        </w:trPr>
        <w:tc>
          <w:tcPr>
            <w:tcW w:w="6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pro forma income per share attributable to Kratos</w:t>
            </w:r>
          </w:p>
        </w:tc>
        <w:tc>
          <w:tcPr>
            <w:tcW w:w="374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r>
      <w:tr>
        <w:trPr>
          <w:trHeight w:val="23"/>
        </w:trPr>
        <w:tc>
          <w:tcPr>
            <w:tcW w:w="686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180" w:firstLine="517"/>
        <w:spacing w:after="0" w:line="302" w:lineRule="auto"/>
        <w:rPr>
          <w:sz w:val="20"/>
          <w:szCs w:val="20"/>
          <w:color w:val="auto"/>
        </w:rPr>
      </w:pPr>
      <w:r>
        <w:rPr>
          <w:rFonts w:ascii="Arial" w:cs="Arial" w:eastAsia="Arial" w:hAnsi="Arial"/>
          <w:sz w:val="13"/>
          <w:szCs w:val="13"/>
          <w:color w:val="auto"/>
        </w:rPr>
        <w:t>The pro forma financial information reflects pro forma adjustments for the additional amortization of $0.5 million associated with finite-lived intangible assets acquired. The weighted average common shares used to calculate income per share also reflect the issuance of 1,825,406 shares of our common stock in conjunction with the acquisition. Comparable amounts for the three months ended June 30, 2019 are not presented as the results for FTT for the quarter were fully included in the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Revenue Recognition</w:t>
      </w:r>
    </w:p>
    <w:p>
      <w:pPr>
        <w:spacing w:after="0" w:line="188" w:lineRule="exact"/>
        <w:rPr>
          <w:sz w:val="20"/>
          <w:szCs w:val="20"/>
          <w:color w:val="auto"/>
        </w:rPr>
      </w:pPr>
    </w:p>
    <w:p>
      <w:pPr>
        <w:jc w:val="both"/>
        <w:ind w:right="80" w:firstLine="517"/>
        <w:spacing w:after="0" w:line="272" w:lineRule="auto"/>
        <w:rPr>
          <w:sz w:val="20"/>
          <w:szCs w:val="20"/>
          <w:color w:val="auto"/>
        </w:rPr>
      </w:pPr>
      <w:r>
        <w:rPr>
          <w:rFonts w:ascii="Arial" w:cs="Arial" w:eastAsia="Arial" w:hAnsi="Arial"/>
          <w:sz w:val="14"/>
          <w:szCs w:val="14"/>
          <w:color w:val="auto"/>
        </w:rPr>
        <w:t xml:space="preserve">The Company recognizes revenue in accordance with Accounting Standards Codification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(“ASC 606”). Under ASC 606 revenue is recognized when a customer obtains control of promised goods or services. The amount of revenue recognized reflects the consideration that the Company expects to be entitled to receive in exchange for these goods or services.</w:t>
      </w:r>
    </w:p>
    <w:p>
      <w:pPr>
        <w:spacing w:after="0" w:line="142" w:lineRule="exact"/>
        <w:rPr>
          <w:sz w:val="20"/>
          <w:szCs w:val="20"/>
          <w:color w:val="auto"/>
        </w:rPr>
      </w:pPr>
    </w:p>
    <w:p>
      <w:pPr>
        <w:ind w:firstLine="517"/>
        <w:spacing w:after="0" w:line="287" w:lineRule="auto"/>
        <w:rPr>
          <w:sz w:val="20"/>
          <w:szCs w:val="20"/>
          <w:color w:val="auto"/>
        </w:rPr>
      </w:pPr>
      <w:r>
        <w:rPr>
          <w:rFonts w:ascii="Arial" w:cs="Arial" w:eastAsia="Arial" w:hAnsi="Arial"/>
          <w:sz w:val="13"/>
          <w:szCs w:val="13"/>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34" w:lineRule="exact"/>
        <w:rPr>
          <w:sz w:val="20"/>
          <w:szCs w:val="20"/>
          <w:color w:val="auto"/>
        </w:rPr>
      </w:pPr>
    </w:p>
    <w:p>
      <w:pPr>
        <w:ind w:right="20" w:firstLine="517"/>
        <w:spacing w:after="0" w:line="288" w:lineRule="auto"/>
        <w:rPr>
          <w:sz w:val="20"/>
          <w:szCs w:val="20"/>
          <w:color w:val="auto"/>
        </w:rPr>
      </w:pPr>
      <w:r>
        <w:rPr>
          <w:rFonts w:ascii="Arial" w:cs="Arial" w:eastAsia="Arial" w:hAnsi="Arial"/>
          <w:sz w:val="14"/>
          <w:szCs w:val="14"/>
          <w:color w:val="auto"/>
        </w:rPr>
        <w:t>A performance obligation is a promise in a contract to transfer a distinct good or service to the customer and is the unit of account in ASC 606. The majority of the Company’s contracts have a single performance obligation as the promise 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119" w:right="21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estimated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Remaining Performance Obligations</w:t>
      </w:r>
    </w:p>
    <w:p>
      <w:pPr>
        <w:spacing w:after="0" w:line="184" w:lineRule="exact"/>
        <w:rPr>
          <w:sz w:val="20"/>
          <w:szCs w:val="20"/>
          <w:color w:val="auto"/>
        </w:rPr>
      </w:pPr>
    </w:p>
    <w:p>
      <w:pPr>
        <w:ind w:right="220" w:firstLine="517"/>
        <w:spacing w:after="0" w:line="272" w:lineRule="auto"/>
        <w:rPr>
          <w:sz w:val="20"/>
          <w:szCs w:val="20"/>
          <w:color w:val="auto"/>
        </w:rPr>
      </w:pPr>
      <w:r>
        <w:rPr>
          <w:rFonts w:ascii="Arial" w:cs="Arial" w:eastAsia="Arial" w:hAnsi="Arial"/>
          <w:sz w:val="14"/>
          <w:szCs w:val="14"/>
          <w:color w:val="auto"/>
        </w:rPr>
        <w:t>The Company calculates revenues from remaining performance obligations as the dollar value of the remaining performance obligations on executed contracts. On June 30, 2019, the Company had approximately $620.3 million of remaining performance obligations. The Company expects to recognize approximately 41% of the remaining performance obligations as revenue in 2019, an additional 34% by 2020, and the balance thereafter.</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Contract Estimates</w:t>
      </w:r>
    </w:p>
    <w:p>
      <w:pPr>
        <w:spacing w:after="0" w:line="184" w:lineRule="exact"/>
        <w:rPr>
          <w:sz w:val="20"/>
          <w:szCs w:val="20"/>
          <w:color w:val="auto"/>
        </w:rPr>
      </w:pPr>
    </w:p>
    <w:p>
      <w:pPr>
        <w:ind w:right="40" w:firstLine="517"/>
        <w:spacing w:after="0" w:line="262" w:lineRule="auto"/>
        <w:rPr>
          <w:sz w:val="20"/>
          <w:szCs w:val="20"/>
          <w:color w:val="auto"/>
        </w:rPr>
      </w:pPr>
      <w:r>
        <w:rPr>
          <w:rFonts w:ascii="Arial" w:cs="Arial" w:eastAsia="Arial" w:hAnsi="Arial"/>
          <w:sz w:val="14"/>
          <w:szCs w:val="14"/>
          <w:color w:val="auto"/>
        </w:rPr>
        <w:t>Due to the nature of the work required to be performed on many performance obligations, the estimation of total revenue and cost at completion is complex, subject to many variables and requires significant judgment. It is common for the Company’s long-term contracts to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49" w:lineRule="exact"/>
        <w:rPr>
          <w:sz w:val="20"/>
          <w:szCs w:val="20"/>
          <w:color w:val="auto"/>
        </w:rPr>
      </w:pPr>
    </w:p>
    <w:p>
      <w:pPr>
        <w:ind w:right="180" w:firstLine="517"/>
        <w:spacing w:after="0" w:line="325" w:lineRule="auto"/>
        <w:rPr>
          <w:sz w:val="20"/>
          <w:szCs w:val="20"/>
          <w:color w:val="auto"/>
        </w:rPr>
      </w:pPr>
      <w:r>
        <w:rPr>
          <w:rFonts w:ascii="Arial" w:cs="Arial" w:eastAsia="Arial" w:hAnsi="Arial"/>
          <w:sz w:val="12"/>
          <w:szCs w:val="12"/>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15" w:lineRule="exact"/>
        <w:rPr>
          <w:sz w:val="20"/>
          <w:szCs w:val="20"/>
          <w:color w:val="auto"/>
        </w:rPr>
      </w:pPr>
    </w:p>
    <w:p>
      <w:pPr>
        <w:ind w:right="80" w:firstLine="517"/>
        <w:spacing w:after="0" w:line="262" w:lineRule="auto"/>
        <w:rPr>
          <w:sz w:val="20"/>
          <w:szCs w:val="20"/>
          <w:color w:val="auto"/>
        </w:rPr>
      </w:pPr>
      <w:r>
        <w:rPr>
          <w:rFonts w:ascii="Arial" w:cs="Arial" w:eastAsia="Arial" w:hAnsi="Arial"/>
          <w:sz w:val="14"/>
          <w:szCs w:val="14"/>
          <w:color w:val="auto"/>
        </w:rPr>
        <w:t>There is a Company-wide standard and disciplined quarterly Estimate at Completion (EAC) process in which management reviews the progress and execution of outstanding performance obligations.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49" w:lineRule="exact"/>
        <w:rPr>
          <w:sz w:val="20"/>
          <w:szCs w:val="20"/>
          <w:color w:val="auto"/>
        </w:rPr>
      </w:pPr>
    </w:p>
    <w:p>
      <w:pPr>
        <w:ind w:firstLine="517"/>
        <w:spacing w:after="0" w:line="284" w:lineRule="auto"/>
        <w:rPr>
          <w:sz w:val="20"/>
          <w:szCs w:val="20"/>
          <w:color w:val="auto"/>
        </w:rPr>
      </w:pPr>
      <w:r>
        <w:rPr>
          <w:rFonts w:ascii="Arial" w:cs="Arial" w:eastAsia="Arial" w:hAnsi="Arial"/>
          <w:sz w:val="13"/>
          <w:szCs w:val="13"/>
          <w:color w:val="auto"/>
        </w:rPr>
        <w:t>Based on this analysis, any quarterly adjustments to net sales,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the Company’s performance obligations. When estimates of total costs to be incurred on a performance obligation exceed total estimates of revenue to be earned, a provision for the entire loss on the performance obligation is recognized in the period the loss is determined. No adjustment on any one contract was material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29" w:right="21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Company’s unaudited condensed consolidated financial statements for the six-month periods ended June 30, 2019, and July 1, 2018.</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Contract Assets and Liabilities</w:t>
      </w:r>
    </w:p>
    <w:p>
      <w:pPr>
        <w:spacing w:after="0" w:line="184" w:lineRule="exact"/>
        <w:rPr>
          <w:sz w:val="20"/>
          <w:szCs w:val="20"/>
          <w:color w:val="auto"/>
        </w:rPr>
      </w:pPr>
    </w:p>
    <w:p>
      <w:pPr>
        <w:ind w:right="100" w:firstLine="517"/>
        <w:spacing w:after="0" w:line="267" w:lineRule="auto"/>
        <w:rPr>
          <w:sz w:val="20"/>
          <w:szCs w:val="20"/>
          <w:color w:val="auto"/>
        </w:rPr>
      </w:pPr>
      <w:r>
        <w:rPr>
          <w:rFonts w:ascii="Arial" w:cs="Arial" w:eastAsia="Arial" w:hAnsi="Arial"/>
          <w:sz w:val="14"/>
          <w:szCs w:val="14"/>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146" w:lineRule="exact"/>
        <w:rPr>
          <w:sz w:val="20"/>
          <w:szCs w:val="20"/>
          <w:color w:val="auto"/>
        </w:rPr>
      </w:pPr>
    </w:p>
    <w:p>
      <w:pPr>
        <w:ind w:right="140" w:firstLine="517"/>
        <w:spacing w:after="0" w:line="263" w:lineRule="auto"/>
        <w:rPr>
          <w:sz w:val="20"/>
          <w:szCs w:val="20"/>
          <w:color w:val="auto"/>
        </w:rPr>
      </w:pPr>
      <w:r>
        <w:rPr>
          <w:rFonts w:ascii="Arial" w:cs="Arial" w:eastAsia="Arial" w:hAnsi="Arial"/>
          <w:sz w:val="14"/>
          <w:szCs w:val="14"/>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148" w:lineRule="exact"/>
        <w:rPr>
          <w:sz w:val="20"/>
          <w:szCs w:val="20"/>
          <w:color w:val="auto"/>
        </w:rPr>
      </w:pPr>
    </w:p>
    <w:p>
      <w:pPr>
        <w:ind w:firstLine="517"/>
        <w:spacing w:after="0" w:line="267" w:lineRule="auto"/>
        <w:rPr>
          <w:sz w:val="20"/>
          <w:szCs w:val="20"/>
          <w:color w:val="auto"/>
        </w:rPr>
      </w:pPr>
      <w:r>
        <w:rPr>
          <w:rFonts w:ascii="Arial" w:cs="Arial" w:eastAsia="Arial" w:hAnsi="Arial"/>
          <w:sz w:val="14"/>
          <w:szCs w:val="14"/>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Net contract assets and liabilities are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 2019</w:t>
            </w: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30, 2018</w:t>
            </w:r>
          </w:p>
        </w:tc>
        <w:tc>
          <w:tcPr>
            <w:tcW w:w="2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Arial" w:cs="Arial" w:eastAsia="Arial" w:hAnsi="Arial"/>
                <w:sz w:val="13"/>
                <w:szCs w:val="13"/>
                <w:b w:val="1"/>
                <w:bCs w:val="1"/>
                <w:color w:val="auto"/>
                <w:w w:val="99"/>
              </w:rPr>
              <w:t>Net Change</w:t>
            </w:r>
          </w:p>
        </w:tc>
      </w:tr>
      <w:tr>
        <w:trPr>
          <w:trHeight w:val="27"/>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169.1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172.8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4"/>
        </w:trPr>
        <w:tc>
          <w:tcPr>
            <w:tcW w:w="6420" w:type="dxa"/>
            <w:vAlign w:val="bottom"/>
          </w:tcPr>
          <w:p>
            <w:pPr>
              <w:ind w:left="20"/>
              <w:spacing w:after="0"/>
              <w:rPr>
                <w:sz w:val="20"/>
                <w:szCs w:val="20"/>
                <w:color w:val="auto"/>
              </w:rPr>
            </w:pPr>
            <w:r>
              <w:rPr>
                <w:rFonts w:ascii="Arial" w:cs="Arial" w:eastAsia="Arial" w:hAnsi="Arial"/>
                <w:sz w:val="14"/>
                <w:szCs w:val="14"/>
                <w:color w:val="auto"/>
              </w:rPr>
              <w:t>Contract liabilities</w:t>
            </w: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5"/>
                <w:szCs w:val="15"/>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r>
      <w:tr>
        <w:trPr>
          <w:trHeight w:val="23"/>
        </w:trPr>
        <w:tc>
          <w:tcPr>
            <w:tcW w:w="6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contract assets</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128.5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40" w:firstLine="517"/>
        <w:spacing w:after="0" w:line="267" w:lineRule="auto"/>
        <w:rPr>
          <w:sz w:val="20"/>
          <w:szCs w:val="20"/>
          <w:color w:val="auto"/>
        </w:rPr>
      </w:pPr>
      <w:r>
        <w:rPr>
          <w:rFonts w:ascii="Arial" w:cs="Arial" w:eastAsia="Arial" w:hAnsi="Arial"/>
          <w:sz w:val="14"/>
          <w:szCs w:val="14"/>
          <w:color w:val="auto"/>
        </w:rPr>
        <w:t>The change in the balances of the Company’s contract assets and liabilities primarily results from the advance payments from customers exceeding reductions from recognition of revenue as performance obligations were satisfied and related billings. There were no significant impairment losses related to any receivables or contract assets arising from the Company’s contracts with customers during the six months ended June 30, 2019. For the three and six months ended June 30, 2019, the Company recognized revenue of $16.6 million and $21.3 million, respectively, that was previously included in the beginning balance of contract liabilities.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29" w:right="21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184" w:lineRule="exact"/>
        <w:rPr>
          <w:sz w:val="20"/>
          <w:szCs w:val="20"/>
          <w:color w:val="auto"/>
        </w:rPr>
      </w:pPr>
    </w:p>
    <w:p>
      <w:pPr>
        <w:ind w:right="580"/>
        <w:spacing w:after="0" w:line="288" w:lineRule="auto"/>
        <w:rPr>
          <w:sz w:val="20"/>
          <w:szCs w:val="20"/>
          <w:color w:val="auto"/>
        </w:rPr>
      </w:pPr>
      <w:r>
        <w:rPr>
          <w:rFonts w:ascii="Arial" w:cs="Arial" w:eastAsia="Arial" w:hAnsi="Arial"/>
          <w:sz w:val="14"/>
          <w:szCs w:val="14"/>
          <w:color w:val="auto"/>
        </w:rPr>
        <w:t>The following series of tables presents the Company’s revenue disaggregated by several categories. For the majority of contracts, the customer obtains control or receives benefits as work is performed on the contract. Revenue by contract type was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gridSpan w:val="4"/>
          </w:tcPr>
          <w:p>
            <w:pPr>
              <w:jc w:val="right"/>
              <w:ind w:right="690"/>
              <w:spacing w:after="0"/>
              <w:rPr>
                <w:sz w:val="20"/>
                <w:szCs w:val="20"/>
                <w:color w:val="auto"/>
              </w:rPr>
            </w:pPr>
            <w:r>
              <w:rPr>
                <w:rFonts w:ascii="Arial" w:cs="Arial" w:eastAsia="Arial" w:hAnsi="Arial"/>
                <w:sz w:val="11"/>
                <w:szCs w:val="11"/>
                <w:b w:val="1"/>
                <w:bCs w:val="1"/>
                <w:color w:val="auto"/>
              </w:rPr>
              <w:t>Three Months Ended</w:t>
            </w:r>
          </w:p>
        </w:tc>
        <w:tc>
          <w:tcPr>
            <w:tcW w:w="240" w:type="dxa"/>
            <w:vAlign w:val="bottom"/>
          </w:tcPr>
          <w:p>
            <w:pPr>
              <w:spacing w:after="0"/>
              <w:rPr>
                <w:sz w:val="12"/>
                <w:szCs w:val="12"/>
                <w:color w:val="auto"/>
              </w:rPr>
            </w:pPr>
          </w:p>
        </w:tc>
        <w:tc>
          <w:tcPr>
            <w:tcW w:w="2400" w:type="dxa"/>
            <w:vAlign w:val="bottom"/>
            <w:gridSpan w:val="3"/>
          </w:tcPr>
          <w:p>
            <w:pPr>
              <w:jc w:val="right"/>
              <w:ind w:right="770"/>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220"/>
        </w:trPr>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 2019</w:t>
            </w:r>
          </w:p>
        </w:tc>
        <w:tc>
          <w:tcPr>
            <w:tcW w:w="22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1"/>
                <w:szCs w:val="11"/>
                <w:b w:val="1"/>
                <w:bCs w:val="1"/>
                <w:color w:val="auto"/>
              </w:rPr>
              <w:t>July 1, 2018</w:t>
            </w:r>
          </w:p>
        </w:tc>
        <w:tc>
          <w:tcPr>
            <w:tcW w:w="240" w:type="dxa"/>
            <w:vAlign w:val="bottom"/>
          </w:tcPr>
          <w:p>
            <w:pPr>
              <w:spacing w:after="0"/>
              <w:rPr>
                <w:sz w:val="19"/>
                <w:szCs w:val="19"/>
                <w:color w:val="auto"/>
              </w:rPr>
            </w:pPr>
          </w:p>
        </w:tc>
        <w:tc>
          <w:tcPr>
            <w:tcW w:w="1060" w:type="dxa"/>
            <w:vAlign w:val="bottom"/>
          </w:tcPr>
          <w:p>
            <w:pPr>
              <w:jc w:val="right"/>
              <w:ind w:right="231"/>
              <w:spacing w:after="0"/>
              <w:rPr>
                <w:sz w:val="20"/>
                <w:szCs w:val="20"/>
                <w:color w:val="auto"/>
              </w:rPr>
            </w:pPr>
            <w:r>
              <w:rPr>
                <w:rFonts w:ascii="Arial" w:cs="Arial" w:eastAsia="Arial" w:hAnsi="Arial"/>
                <w:sz w:val="11"/>
                <w:szCs w:val="11"/>
                <w:b w:val="1"/>
                <w:bCs w:val="1"/>
                <w:color w:val="auto"/>
              </w:rPr>
              <w:t>June 30, 2019</w:t>
            </w:r>
          </w:p>
        </w:tc>
        <w:tc>
          <w:tcPr>
            <w:tcW w:w="3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1"/>
                <w:szCs w:val="11"/>
                <w:b w:val="1"/>
                <w:bCs w:val="1"/>
                <w:color w:val="auto"/>
              </w:rPr>
              <w:t>July 1, 2018</w:t>
            </w:r>
          </w:p>
        </w:tc>
        <w:tc>
          <w:tcPr>
            <w:tcW w:w="0" w:type="dxa"/>
            <w:vAlign w:val="bottom"/>
          </w:tcPr>
          <w:p>
            <w:pPr>
              <w:spacing w:after="0"/>
              <w:rPr>
                <w:sz w:val="1"/>
                <w:szCs w:val="1"/>
                <w:color w:val="auto"/>
              </w:rPr>
            </w:pPr>
          </w:p>
        </w:tc>
      </w:tr>
      <w:tr>
        <w:trPr>
          <w:trHeight w:val="191"/>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00" w:type="dxa"/>
            <w:vAlign w:val="bottom"/>
          </w:tcPr>
          <w:p>
            <w:pPr>
              <w:ind w:left="100"/>
              <w:spacing w:after="0"/>
              <w:rPr>
                <w:sz w:val="20"/>
                <w:szCs w:val="20"/>
                <w:color w:val="auto"/>
              </w:rPr>
            </w:pPr>
            <w:r>
              <w:rPr>
                <w:rFonts w:ascii="Arial" w:cs="Arial" w:eastAsia="Arial" w:hAnsi="Arial"/>
                <w:sz w:val="14"/>
                <w:szCs w:val="14"/>
                <w:color w:val="auto"/>
              </w:rPr>
              <w:t>Kratos Government Solutions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Fixed price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122.5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101.5</w:t>
            </w:r>
          </w:p>
        </w:tc>
        <w:tc>
          <w:tcPr>
            <w:tcW w:w="2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231.6</w:t>
            </w:r>
          </w:p>
        </w:tc>
        <w:tc>
          <w:tcPr>
            <w:tcW w:w="3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93"/>
        </w:trPr>
        <w:tc>
          <w:tcPr>
            <w:tcW w:w="6200" w:type="dxa"/>
            <w:vAlign w:val="bottom"/>
          </w:tcPr>
          <w:p>
            <w:pPr>
              <w:ind w:left="160"/>
              <w:spacing w:after="0"/>
              <w:rPr>
                <w:sz w:val="20"/>
                <w:szCs w:val="20"/>
                <w:color w:val="auto"/>
              </w:rPr>
            </w:pPr>
            <w:r>
              <w:rPr>
                <w:rFonts w:ascii="Arial" w:cs="Arial" w:eastAsia="Arial" w:hAnsi="Arial"/>
                <w:sz w:val="14"/>
                <w:szCs w:val="14"/>
                <w:color w:val="auto"/>
              </w:rPr>
              <w:t>Cost plus fee</w:t>
            </w:r>
          </w:p>
        </w:tc>
        <w:tc>
          <w:tcPr>
            <w:tcW w:w="200" w:type="dxa"/>
            <w:vAlign w:val="bottom"/>
          </w:tcPr>
          <w:p>
            <w:pPr>
              <w:spacing w:after="0"/>
              <w:rPr>
                <w:sz w:val="16"/>
                <w:szCs w:val="16"/>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23.5</w:t>
            </w:r>
          </w:p>
        </w:tc>
        <w:tc>
          <w:tcPr>
            <w:tcW w:w="320" w:type="dxa"/>
            <w:vAlign w:val="bottom"/>
          </w:tcPr>
          <w:p>
            <w:pPr>
              <w:spacing w:after="0"/>
              <w:rPr>
                <w:sz w:val="16"/>
                <w:szCs w:val="16"/>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3"/>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Time and materials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6.9</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15.8</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4"/>
        </w:trPr>
        <w:tc>
          <w:tcPr>
            <w:tcW w:w="6200" w:type="dxa"/>
            <w:vAlign w:val="bottom"/>
          </w:tcPr>
          <w:p>
            <w:pPr>
              <w:ind w:left="220"/>
              <w:spacing w:after="0"/>
              <w:rPr>
                <w:sz w:val="20"/>
                <w:szCs w:val="20"/>
                <w:color w:val="auto"/>
              </w:rPr>
            </w:pPr>
            <w:r>
              <w:rPr>
                <w:rFonts w:ascii="Arial" w:cs="Arial" w:eastAsia="Arial" w:hAnsi="Arial"/>
                <w:sz w:val="14"/>
                <w:szCs w:val="14"/>
                <w:color w:val="auto"/>
              </w:rPr>
              <w:t>Total Kratos Government Solutions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145.4</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115.6</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270.9</w:t>
            </w: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23"/>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Unmanned Systems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00" w:type="dxa"/>
            <w:vAlign w:val="bottom"/>
          </w:tcPr>
          <w:p>
            <w:pPr>
              <w:ind w:left="160"/>
              <w:spacing w:after="0"/>
              <w:rPr>
                <w:sz w:val="20"/>
                <w:szCs w:val="20"/>
                <w:color w:val="auto"/>
              </w:rPr>
            </w:pPr>
            <w:r>
              <w:rPr>
                <w:rFonts w:ascii="Arial" w:cs="Arial" w:eastAsia="Arial" w:hAnsi="Arial"/>
                <w:sz w:val="14"/>
                <w:szCs w:val="14"/>
                <w:color w:val="auto"/>
              </w:rPr>
              <w:t>Fixed price</w:t>
            </w:r>
          </w:p>
        </w:tc>
        <w:tc>
          <w:tcPr>
            <w:tcW w:w="200" w:type="dxa"/>
            <w:vAlign w:val="bottom"/>
          </w:tcPr>
          <w:p>
            <w:pPr>
              <w:spacing w:after="0"/>
              <w:rPr>
                <w:sz w:val="16"/>
                <w:szCs w:val="16"/>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29.1</w:t>
            </w:r>
          </w:p>
        </w:tc>
        <w:tc>
          <w:tcPr>
            <w:tcW w:w="240" w:type="dxa"/>
            <w:vAlign w:val="bottom"/>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61.2</w:t>
            </w:r>
          </w:p>
        </w:tc>
        <w:tc>
          <w:tcPr>
            <w:tcW w:w="320" w:type="dxa"/>
            <w:vAlign w:val="bottom"/>
          </w:tcPr>
          <w:p>
            <w:pPr>
              <w:spacing w:after="0"/>
              <w:rPr>
                <w:sz w:val="16"/>
                <w:szCs w:val="16"/>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3"/>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Cost plus fee</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5.9</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15.5</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3"/>
        </w:trPr>
        <w:tc>
          <w:tcPr>
            <w:tcW w:w="6200" w:type="dxa"/>
            <w:vAlign w:val="bottom"/>
          </w:tcPr>
          <w:p>
            <w:pPr>
              <w:ind w:left="160"/>
              <w:spacing w:after="0"/>
              <w:rPr>
                <w:sz w:val="20"/>
                <w:szCs w:val="20"/>
                <w:color w:val="auto"/>
              </w:rPr>
            </w:pPr>
            <w:r>
              <w:rPr>
                <w:rFonts w:ascii="Arial" w:cs="Arial" w:eastAsia="Arial" w:hAnsi="Arial"/>
                <w:sz w:val="14"/>
                <w:szCs w:val="14"/>
                <w:color w:val="auto"/>
              </w:rPr>
              <w:t>Time and materials</w:t>
            </w:r>
          </w:p>
        </w:tc>
        <w:tc>
          <w:tcPr>
            <w:tcW w:w="200" w:type="dxa"/>
            <w:vAlign w:val="bottom"/>
          </w:tcPr>
          <w:p>
            <w:pPr>
              <w:spacing w:after="0"/>
              <w:rPr>
                <w:sz w:val="16"/>
                <w:szCs w:val="16"/>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0.7</w:t>
            </w:r>
          </w:p>
        </w:tc>
        <w:tc>
          <w:tcPr>
            <w:tcW w:w="320" w:type="dxa"/>
            <w:vAlign w:val="bottom"/>
          </w:tcPr>
          <w:p>
            <w:pPr>
              <w:spacing w:after="0"/>
              <w:rPr>
                <w:sz w:val="16"/>
                <w:szCs w:val="16"/>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Unmanned Systems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42.5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35.6</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77.4</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97"/>
        </w:trPr>
        <w:tc>
          <w:tcPr>
            <w:tcW w:w="6200" w:type="dxa"/>
            <w:vAlign w:val="bottom"/>
          </w:tcPr>
          <w:p>
            <w:pPr>
              <w:ind w:left="28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187.9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151.2</w:t>
            </w:r>
          </w:p>
        </w:tc>
        <w:tc>
          <w:tcPr>
            <w:tcW w:w="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348.3</w:t>
            </w:r>
          </w:p>
        </w:tc>
        <w:tc>
          <w:tcPr>
            <w:tcW w:w="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294.2</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520"/>
              <w:spacing w:after="0"/>
              <w:rPr>
                <w:sz w:val="20"/>
                <w:szCs w:val="20"/>
                <w:color w:val="auto"/>
              </w:rPr>
            </w:pPr>
            <w:r>
              <w:rPr>
                <w:rFonts w:ascii="Arial" w:cs="Arial" w:eastAsia="Arial" w:hAnsi="Arial"/>
                <w:sz w:val="14"/>
                <w:szCs w:val="14"/>
                <w:color w:val="auto"/>
              </w:rPr>
              <w:t>Revenue by customer was as follows (in millions):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right"/>
              <w:ind w:right="690"/>
              <w:spacing w:after="0"/>
              <w:rPr>
                <w:sz w:val="20"/>
                <w:szCs w:val="20"/>
                <w:color w:val="auto"/>
              </w:rPr>
            </w:pPr>
            <w:r>
              <w:rPr>
                <w:rFonts w:ascii="Arial" w:cs="Arial" w:eastAsia="Arial" w:hAnsi="Arial"/>
                <w:sz w:val="11"/>
                <w:szCs w:val="11"/>
                <w:b w:val="1"/>
                <w:bCs w:val="1"/>
                <w:color w:val="auto"/>
              </w:rPr>
              <w:t>Three Months Ended</w:t>
            </w:r>
          </w:p>
        </w:tc>
        <w:tc>
          <w:tcPr>
            <w:tcW w:w="240" w:type="dxa"/>
            <w:vAlign w:val="bottom"/>
          </w:tcPr>
          <w:p>
            <w:pPr>
              <w:spacing w:after="0"/>
              <w:rPr>
                <w:sz w:val="24"/>
                <w:szCs w:val="24"/>
                <w:color w:val="auto"/>
              </w:rPr>
            </w:pPr>
          </w:p>
        </w:tc>
        <w:tc>
          <w:tcPr>
            <w:tcW w:w="2400" w:type="dxa"/>
            <w:vAlign w:val="bottom"/>
            <w:gridSpan w:val="3"/>
          </w:tcPr>
          <w:p>
            <w:pPr>
              <w:jc w:val="right"/>
              <w:ind w:right="770"/>
              <w:spacing w:after="0"/>
              <w:rPr>
                <w:sz w:val="20"/>
                <w:szCs w:val="20"/>
                <w:color w:val="auto"/>
              </w:rPr>
            </w:pPr>
            <w:r>
              <w:rPr>
                <w:rFonts w:ascii="Arial" w:cs="Arial" w:eastAsia="Arial" w:hAnsi="Arial"/>
                <w:sz w:val="11"/>
                <w:szCs w:val="11"/>
                <w:b w:val="1"/>
                <w:bCs w:val="1"/>
                <w:color w:val="auto"/>
              </w:rPr>
              <w:t>Six Months Ended</w:t>
            </w:r>
          </w:p>
        </w:tc>
        <w:tc>
          <w:tcPr>
            <w:tcW w:w="0" w:type="dxa"/>
            <w:vAlign w:val="bottom"/>
          </w:tcPr>
          <w:p>
            <w:pPr>
              <w:spacing w:after="0"/>
              <w:rPr>
                <w:sz w:val="1"/>
                <w:szCs w:val="1"/>
                <w:color w:val="auto"/>
              </w:rPr>
            </w:pPr>
          </w:p>
        </w:tc>
      </w:tr>
      <w:tr>
        <w:trPr>
          <w:trHeight w:val="220"/>
        </w:trPr>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1"/>
                <w:szCs w:val="11"/>
                <w:b w:val="1"/>
                <w:bCs w:val="1"/>
                <w:color w:val="auto"/>
              </w:rPr>
              <w:t>June 30, 2019</w:t>
            </w:r>
          </w:p>
        </w:tc>
        <w:tc>
          <w:tcPr>
            <w:tcW w:w="22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1"/>
                <w:szCs w:val="11"/>
                <w:b w:val="1"/>
                <w:bCs w:val="1"/>
                <w:color w:val="auto"/>
              </w:rPr>
              <w:t>July 1, 2018</w:t>
            </w:r>
          </w:p>
        </w:tc>
        <w:tc>
          <w:tcPr>
            <w:tcW w:w="240" w:type="dxa"/>
            <w:vAlign w:val="bottom"/>
          </w:tcPr>
          <w:p>
            <w:pPr>
              <w:spacing w:after="0"/>
              <w:rPr>
                <w:sz w:val="19"/>
                <w:szCs w:val="19"/>
                <w:color w:val="auto"/>
              </w:rPr>
            </w:pPr>
          </w:p>
        </w:tc>
        <w:tc>
          <w:tcPr>
            <w:tcW w:w="1060" w:type="dxa"/>
            <w:vAlign w:val="bottom"/>
          </w:tcPr>
          <w:p>
            <w:pPr>
              <w:jc w:val="right"/>
              <w:ind w:right="231"/>
              <w:spacing w:after="0"/>
              <w:rPr>
                <w:sz w:val="20"/>
                <w:szCs w:val="20"/>
                <w:color w:val="auto"/>
              </w:rPr>
            </w:pPr>
            <w:r>
              <w:rPr>
                <w:rFonts w:ascii="Arial" w:cs="Arial" w:eastAsia="Arial" w:hAnsi="Arial"/>
                <w:sz w:val="11"/>
                <w:szCs w:val="11"/>
                <w:b w:val="1"/>
                <w:bCs w:val="1"/>
                <w:color w:val="auto"/>
              </w:rPr>
              <w:t>June 30, 2019</w:t>
            </w:r>
          </w:p>
        </w:tc>
        <w:tc>
          <w:tcPr>
            <w:tcW w:w="3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1"/>
                <w:szCs w:val="11"/>
                <w:b w:val="1"/>
                <w:bCs w:val="1"/>
                <w:color w:val="auto"/>
              </w:rPr>
              <w:t>July 1, 2018</w:t>
            </w:r>
          </w:p>
        </w:tc>
        <w:tc>
          <w:tcPr>
            <w:tcW w:w="0" w:type="dxa"/>
            <w:vAlign w:val="bottom"/>
          </w:tcPr>
          <w:p>
            <w:pPr>
              <w:spacing w:after="0"/>
              <w:rPr>
                <w:sz w:val="1"/>
                <w:szCs w:val="1"/>
                <w:color w:val="auto"/>
              </w:rPr>
            </w:pPr>
          </w:p>
        </w:tc>
      </w:tr>
      <w:tr>
        <w:trPr>
          <w:trHeight w:val="191"/>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Kratos Government Solutions</w:t>
            </w: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line="215" w:lineRule="exact"/>
              <w:rPr>
                <w:sz w:val="20"/>
                <w:szCs w:val="20"/>
                <w:color w:val="auto"/>
              </w:rPr>
            </w:pPr>
            <w:r>
              <w:rPr>
                <w:rFonts w:ascii="Arial" w:cs="Arial" w:eastAsia="Arial" w:hAnsi="Arial"/>
                <w:sz w:val="14"/>
                <w:szCs w:val="14"/>
                <w:color w:val="auto"/>
              </w:rPr>
              <w:t xml:space="preserve">U.S. Government </w:t>
            </w:r>
            <w:r>
              <w:rPr>
                <w:rFonts w:ascii="Arial" w:cs="Arial" w:eastAsia="Arial" w:hAnsi="Arial"/>
                <w:sz w:val="20"/>
                <w:szCs w:val="20"/>
                <w:color w:val="auto"/>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96.3</w:t>
            </w:r>
          </w:p>
        </w:tc>
        <w:tc>
          <w:tcPr>
            <w:tcW w:w="12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77.7</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183.1</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line="215" w:lineRule="exact"/>
              <w:rPr>
                <w:sz w:val="20"/>
                <w:szCs w:val="20"/>
                <w:color w:val="auto"/>
              </w:rPr>
            </w:pPr>
            <w:r>
              <w:rPr>
                <w:rFonts w:ascii="Arial" w:cs="Arial" w:eastAsia="Arial" w:hAnsi="Arial"/>
                <w:sz w:val="14"/>
                <w:szCs w:val="14"/>
                <w:color w:val="auto"/>
              </w:rPr>
              <w:t xml:space="preserve">International </w:t>
            </w:r>
            <w:r>
              <w:rPr>
                <w:rFonts w:ascii="Arial" w:cs="Arial" w:eastAsia="Arial" w:hAnsi="Arial"/>
                <w:sz w:val="20"/>
                <w:szCs w:val="20"/>
                <w:color w:val="auto"/>
                <w:vertAlign w:val="superscript"/>
              </w:rPr>
              <w:t>(2)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53.3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93"/>
        </w:trPr>
        <w:tc>
          <w:tcPr>
            <w:tcW w:w="6200" w:type="dxa"/>
            <w:vAlign w:val="bottom"/>
          </w:tcPr>
          <w:p>
            <w:pPr>
              <w:ind w:left="20"/>
              <w:spacing w:after="0"/>
              <w:rPr>
                <w:sz w:val="20"/>
                <w:szCs w:val="20"/>
                <w:color w:val="auto"/>
              </w:rPr>
            </w:pPr>
            <w:r>
              <w:rPr>
                <w:rFonts w:ascii="Arial" w:cs="Arial" w:eastAsia="Arial" w:hAnsi="Arial"/>
                <w:sz w:val="14"/>
                <w:szCs w:val="14"/>
                <w:color w:val="auto"/>
              </w:rPr>
              <w:t>U.S. Commercial and other customers</w:t>
            </w:r>
          </w:p>
        </w:tc>
        <w:tc>
          <w:tcPr>
            <w:tcW w:w="200" w:type="dxa"/>
            <w:vAlign w:val="bottom"/>
          </w:tcPr>
          <w:p>
            <w:pPr>
              <w:spacing w:after="0"/>
              <w:rPr>
                <w:sz w:val="16"/>
                <w:szCs w:val="16"/>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14.5</w:t>
            </w:r>
          </w:p>
        </w:tc>
        <w:tc>
          <w:tcPr>
            <w:tcW w:w="240" w:type="dxa"/>
            <w:vAlign w:val="bottom"/>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34.5</w:t>
            </w:r>
          </w:p>
        </w:tc>
        <w:tc>
          <w:tcPr>
            <w:tcW w:w="320" w:type="dxa"/>
            <w:vAlign w:val="bottom"/>
          </w:tcPr>
          <w:p>
            <w:pPr>
              <w:spacing w:after="0"/>
              <w:rPr>
                <w:sz w:val="16"/>
                <w:szCs w:val="16"/>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6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Kratos Government Solutions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145.4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115.6</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270.9</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184"/>
        </w:trPr>
        <w:tc>
          <w:tcPr>
            <w:tcW w:w="6200" w:type="dxa"/>
            <w:vAlign w:val="bottom"/>
          </w:tcPr>
          <w:p>
            <w:pPr>
              <w:ind w:left="20"/>
              <w:spacing w:after="0"/>
              <w:rPr>
                <w:sz w:val="20"/>
                <w:szCs w:val="20"/>
                <w:color w:val="auto"/>
              </w:rPr>
            </w:pPr>
            <w:r>
              <w:rPr>
                <w:rFonts w:ascii="Arial" w:cs="Arial" w:eastAsia="Arial" w:hAnsi="Arial"/>
                <w:sz w:val="14"/>
                <w:szCs w:val="14"/>
                <w:color w:val="auto"/>
              </w:rPr>
              <w:t>Unmanned Systems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20"/>
              <w:spacing w:after="0" w:line="215" w:lineRule="exact"/>
              <w:rPr>
                <w:sz w:val="20"/>
                <w:szCs w:val="20"/>
                <w:color w:val="auto"/>
              </w:rPr>
            </w:pPr>
            <w:r>
              <w:rPr>
                <w:rFonts w:ascii="Arial" w:cs="Arial" w:eastAsia="Arial" w:hAnsi="Arial"/>
                <w:sz w:val="14"/>
                <w:szCs w:val="14"/>
                <w:color w:val="auto"/>
              </w:rPr>
              <w:t xml:space="preserve">U.S. Government </w:t>
            </w:r>
            <w:r>
              <w:rPr>
                <w:rFonts w:ascii="Arial" w:cs="Arial" w:eastAsia="Arial" w:hAnsi="Arial"/>
                <w:sz w:val="20"/>
                <w:szCs w:val="20"/>
                <w:color w:val="auto"/>
                <w:vertAlign w:val="superscript"/>
              </w:rPr>
              <w:t>(1)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28.9</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67.7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line="215" w:lineRule="exact"/>
              <w:rPr>
                <w:sz w:val="20"/>
                <w:szCs w:val="20"/>
                <w:color w:val="auto"/>
              </w:rPr>
            </w:pPr>
            <w:r>
              <w:rPr>
                <w:rFonts w:ascii="Arial" w:cs="Arial" w:eastAsia="Arial" w:hAnsi="Arial"/>
                <w:sz w:val="14"/>
                <w:szCs w:val="14"/>
                <w:color w:val="auto"/>
              </w:rPr>
              <w:t xml:space="preserve">International </w:t>
            </w:r>
            <w:r>
              <w:rPr>
                <w:rFonts w:ascii="Arial" w:cs="Arial" w:eastAsia="Arial" w:hAnsi="Arial"/>
                <w:sz w:val="20"/>
                <w:szCs w:val="20"/>
                <w:color w:val="auto"/>
                <w:vertAlign w:val="superscript"/>
              </w:rPr>
              <w:t>(2)</w:t>
            </w:r>
          </w:p>
        </w:tc>
        <w:tc>
          <w:tcPr>
            <w:tcW w:w="20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6.6</w:t>
            </w:r>
          </w:p>
        </w:tc>
        <w:tc>
          <w:tcPr>
            <w:tcW w:w="24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9.0</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Commercial and other customers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4"/>
        </w:trPr>
        <w:tc>
          <w:tcPr>
            <w:tcW w:w="6200" w:type="dxa"/>
            <w:vAlign w:val="bottom"/>
          </w:tcPr>
          <w:p>
            <w:pPr>
              <w:ind w:left="160"/>
              <w:spacing w:after="0"/>
              <w:rPr>
                <w:sz w:val="20"/>
                <w:szCs w:val="20"/>
                <w:color w:val="auto"/>
              </w:rPr>
            </w:pPr>
            <w:r>
              <w:rPr>
                <w:rFonts w:ascii="Arial" w:cs="Arial" w:eastAsia="Arial" w:hAnsi="Arial"/>
                <w:sz w:val="14"/>
                <w:szCs w:val="14"/>
                <w:color w:val="auto"/>
              </w:rPr>
              <w:t>Total Unmanned Systems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35.6</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77.4</w:t>
            </w: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187.9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151.2</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348.3</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294.2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right="4160" w:firstLine="6"/>
        <w:spacing w:after="0" w:line="303" w:lineRule="auto"/>
        <w:tabs>
          <w:tab w:leader="none" w:pos="122" w:val="left"/>
        </w:tabs>
        <w:numPr>
          <w:ilvl w:val="0"/>
          <w:numId w:val="7"/>
        </w:numPr>
        <w:rPr>
          <w:rFonts w:ascii="Arial" w:cs="Arial" w:eastAsia="Arial" w:hAnsi="Arial"/>
          <w:sz w:val="8"/>
          <w:szCs w:val="8"/>
          <w:color w:val="auto"/>
        </w:rPr>
      </w:pPr>
      <w:r>
        <w:rPr>
          <w:rFonts w:ascii="Arial" w:cs="Arial" w:eastAsia="Arial" w:hAnsi="Arial"/>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02" w:lineRule="exact"/>
        <w:rPr>
          <w:rFonts w:ascii="Arial" w:cs="Arial" w:eastAsia="Arial" w:hAnsi="Arial"/>
          <w:sz w:val="8"/>
          <w:szCs w:val="8"/>
          <w:color w:val="auto"/>
        </w:rPr>
      </w:pPr>
    </w:p>
    <w:p>
      <w:pPr>
        <w:ind w:right="4120" w:firstLine="6"/>
        <w:spacing w:after="0" w:line="270" w:lineRule="auto"/>
        <w:tabs>
          <w:tab w:leader="none" w:pos="122" w:val="left"/>
        </w:tabs>
        <w:numPr>
          <w:ilvl w:val="0"/>
          <w:numId w:val="7"/>
        </w:numPr>
        <w:rPr>
          <w:rFonts w:ascii="Arial" w:cs="Arial" w:eastAsia="Arial" w:hAnsi="Arial"/>
          <w:sz w:val="9"/>
          <w:szCs w:val="9"/>
          <w:color w:val="auto"/>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Discontinued Operations</w:t>
      </w:r>
    </w:p>
    <w:p>
      <w:pPr>
        <w:spacing w:after="0" w:line="188" w:lineRule="exact"/>
        <w:rPr>
          <w:sz w:val="20"/>
          <w:szCs w:val="20"/>
          <w:color w:val="auto"/>
        </w:rPr>
      </w:pPr>
    </w:p>
    <w:p>
      <w:pPr>
        <w:ind w:right="180" w:firstLine="517"/>
        <w:spacing w:after="0" w:line="267" w:lineRule="auto"/>
        <w:rPr>
          <w:sz w:val="20"/>
          <w:szCs w:val="20"/>
          <w:color w:val="auto"/>
        </w:rPr>
      </w:pPr>
      <w:r>
        <w:rPr>
          <w:rFonts w:ascii="Arial" w:cs="Arial" w:eastAsia="Arial" w:hAnsi="Arial"/>
          <w:sz w:val="14"/>
          <w:szCs w:val="14"/>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The Company and the Buyer are currently in a dispute regarding the closing net working capital adjustment. The amount in dispute is approximately $8 million.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29" w:right="21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8" w:lineRule="exact"/>
        <w:rPr>
          <w:sz w:val="20"/>
          <w:szCs w:val="20"/>
          <w:color w:val="auto"/>
        </w:rPr>
      </w:pPr>
    </w:p>
    <w:p>
      <w:pPr>
        <w:ind w:right="20" w:firstLine="517"/>
        <w:spacing w:after="0" w:line="261" w:lineRule="auto"/>
        <w:rPr>
          <w:sz w:val="20"/>
          <w:szCs w:val="20"/>
          <w:color w:val="auto"/>
        </w:rPr>
      </w:pPr>
      <w:r>
        <w:rPr>
          <w:rFonts w:ascii="Arial" w:cs="Arial" w:eastAsia="Arial" w:hAnsi="Arial"/>
          <w:sz w:val="14"/>
          <w:szCs w:val="14"/>
          <w:color w:val="auto"/>
        </w:rPr>
        <w:t>The Company currently expects to receive approximately $70 million of aggregate net cash proceeds from the Transaction, after taking into account amounts to be paid by the Company pursuant to a negotiated transaction services agreement between the Company and Buyer, receipt by the Company of approximately $7.0 million in net working capital retained by the Company, and associated transaction fees and expenses, excluding the impact of the final settlement and determination of the closing working capital adjustment. The Company currently expects that the net working capital retained by the Company will be settled in 2019 once certain legacy projects are completed and the project close-out process has been completed. Through June 30, 2019, approximately $1.5 million has been collected related to these legacy projects. The Company incurred approximately $2.7 million of transaction related costs, which was reflected in the loss from discontinued operations in the periods incurred. The Company currently expects to recognize a net break-even on the sale of the PSS business once the aggregate net proceeds described above have been collected, excluding the impact of the final settlement and determination of the closing net working capital adjustment. Any changes or adjustments to the expected net proceeds will be reflected in future periods.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results of discontinued operations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1"/>
                <w:szCs w:val="11"/>
                <w:b w:val="1"/>
                <w:bCs w:val="1"/>
                <w:color w:val="auto"/>
              </w:rPr>
              <w:t>Six Months Ended</w:t>
            </w:r>
          </w:p>
        </w:tc>
      </w:tr>
      <w:tr>
        <w:trPr>
          <w:trHeight w:val="206"/>
        </w:trPr>
        <w:tc>
          <w:tcPr>
            <w:tcW w:w="6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1"/>
                <w:szCs w:val="11"/>
                <w:b w:val="1"/>
                <w:bCs w:val="1"/>
                <w:color w:val="auto"/>
              </w:rPr>
              <w:t>June 30, 2019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July 1, 2018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1"/>
                <w:szCs w:val="11"/>
                <w:b w:val="1"/>
                <w:bCs w:val="1"/>
                <w:color w:val="auto"/>
              </w:rPr>
              <w:t>June 30,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July 1, 2018</w:t>
            </w:r>
          </w:p>
        </w:tc>
      </w:tr>
      <w:tr>
        <w:trPr>
          <w:trHeight w:val="188"/>
        </w:trPr>
        <w:tc>
          <w:tcPr>
            <w:tcW w:w="6540" w:type="dxa"/>
            <w:vAlign w:val="bottom"/>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43.1</w:t>
            </w:r>
          </w:p>
        </w:tc>
      </w:tr>
      <w:tr>
        <w:trPr>
          <w:trHeight w:val="23"/>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33.4</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16.6</w:t>
            </w:r>
          </w:p>
        </w:tc>
      </w:tr>
      <w:tr>
        <w:trPr>
          <w:trHeight w:val="23"/>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2.7</w:t>
            </w:r>
          </w:p>
        </w:tc>
      </w:tr>
      <w:tr>
        <w:trPr>
          <w:trHeight w:val="184"/>
        </w:trPr>
        <w:tc>
          <w:tcPr>
            <w:tcW w:w="6540" w:type="dxa"/>
            <w:vAlign w:val="bottom"/>
          </w:tcPr>
          <w:p>
            <w:pPr>
              <w:ind w:left="20"/>
              <w:spacing w:after="0"/>
              <w:rPr>
                <w:sz w:val="20"/>
                <w:szCs w:val="20"/>
                <w:color w:val="auto"/>
              </w:rPr>
            </w:pPr>
            <w:r>
              <w:rPr>
                <w:rFonts w:ascii="Arial" w:cs="Arial" w:eastAsia="Arial" w:hAnsi="Arial"/>
                <w:sz w:val="14"/>
                <w:szCs w:val="14"/>
                <w:color w:val="auto"/>
              </w:rPr>
              <w:t>Income (loss) from discontinued operations before income taxes</w:t>
            </w: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23"/>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w:t>
            </w:r>
          </w:p>
        </w:tc>
      </w:tr>
      <w:tr>
        <w:trPr>
          <w:trHeight w:val="200"/>
        </w:trPr>
        <w:tc>
          <w:tcPr>
            <w:tcW w:w="6540" w:type="dxa"/>
            <w:vAlign w:val="bottom"/>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120" w:firstLine="517"/>
        <w:spacing w:after="0" w:line="261" w:lineRule="auto"/>
        <w:rPr>
          <w:sz w:val="20"/>
          <w:szCs w:val="20"/>
          <w:color w:val="auto"/>
        </w:rPr>
      </w:pPr>
      <w:r>
        <w:rPr>
          <w:rFonts w:ascii="Arial" w:cs="Arial" w:eastAsia="Arial" w:hAnsi="Arial"/>
          <w:sz w:val="14"/>
          <w:szCs w:val="14"/>
          <w:color w:val="auto"/>
        </w:rPr>
        <w:t xml:space="preserve">Revenue and operating results for the three and six months ended June 30, 2019 reflected the work performed in relation to tasks on the legacy projects retained by the Company. Operating results for 2018 are through the date of divestiture of June 11, 2018. Revenue and operating results for the six months ended July 1, 2018 were impacted by approximately $1.8 million and $2.0 million, respectively, of cost adjustments on certain security system deployment projects for a mass transit authority. Transaction expenses of $1.9 million and $2.7 million primarily comprised of investment advisory fees, legal fees, and other direct transaction expenses related to the Transaction were included in </w:t>
      </w:r>
      <w:r>
        <w:rPr>
          <w:rFonts w:ascii="Arial" w:cs="Arial" w:eastAsia="Arial" w:hAnsi="Arial"/>
          <w:sz w:val="14"/>
          <w:szCs w:val="14"/>
          <w:i w:val="1"/>
          <w:iCs w:val="1"/>
          <w:color w:val="auto"/>
        </w:rPr>
        <w:t>Other (income) expense, net</w:t>
      </w:r>
      <w:r>
        <w:rPr>
          <w:rFonts w:ascii="Arial" w:cs="Arial" w:eastAsia="Arial" w:hAnsi="Arial"/>
          <w:sz w:val="14"/>
          <w:szCs w:val="14"/>
          <w:color w:val="auto"/>
        </w:rPr>
        <w:t xml:space="preserve"> for the three and six months ended July 1, 2018, respectively. </w:t>
      </w:r>
      <w:r>
        <w:rPr>
          <w:rFonts w:ascii="Arial" w:cs="Arial" w:eastAsia="Arial" w:hAnsi="Arial"/>
          <w:sz w:val="14"/>
          <w:szCs w:val="14"/>
          <w:i w:val="1"/>
          <w:iCs w:val="1"/>
          <w:color w:val="auto"/>
        </w:rPr>
        <w:t>Other (income) expense</w:t>
      </w:r>
      <w:r>
        <w:rPr>
          <w:rFonts w:ascii="Arial" w:cs="Arial" w:eastAsia="Arial" w:hAnsi="Arial"/>
          <w:sz w:val="14"/>
          <w:szCs w:val="14"/>
          <w:color w:val="auto"/>
        </w:rPr>
        <w:t xml:space="preserve"> for the three and six months ended June 30, 2019 includes a $3.6 million gain as a result of the release of an indemnification liability following the lapse of the statute of limitations associated with a potential tax liability that was recorded in 2015 as part of the sale of the Company’s Electronics Products Division. Depreciation expense included in </w:t>
      </w:r>
      <w:r>
        <w:rPr>
          <w:rFonts w:ascii="Arial" w:cs="Arial" w:eastAsia="Arial" w:hAnsi="Arial"/>
          <w:sz w:val="14"/>
          <w:szCs w:val="14"/>
          <w:i w:val="1"/>
          <w:iCs w:val="1"/>
          <w:color w:val="auto"/>
        </w:rPr>
        <w:t>Selling,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general and administrative expenses </w:t>
      </w:r>
      <w:r>
        <w:rPr>
          <w:rFonts w:ascii="Arial" w:cs="Arial" w:eastAsia="Arial" w:hAnsi="Arial"/>
          <w:sz w:val="14"/>
          <w:szCs w:val="14"/>
          <w:color w:val="auto"/>
        </w:rPr>
        <w:t>was $0.0 million and $0.1 million for the three months ended June 30, 2019 and July 1, 2018, respectively, and $0.0 million and $0.1 million for the six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June 30, 2019 and July 1, 2018, respectively.</w:t>
      </w:r>
    </w:p>
    <w:p>
      <w:pPr>
        <w:spacing w:after="0" w:line="151" w:lineRule="exact"/>
        <w:rPr>
          <w:sz w:val="20"/>
          <w:szCs w:val="20"/>
          <w:color w:val="auto"/>
        </w:rPr>
      </w:pPr>
    </w:p>
    <w:p>
      <w:pPr>
        <w:ind w:right="160" w:firstLine="517"/>
        <w:spacing w:after="0" w:line="288" w:lineRule="auto"/>
        <w:rPr>
          <w:sz w:val="20"/>
          <w:szCs w:val="20"/>
          <w:color w:val="auto"/>
        </w:rPr>
      </w:pPr>
      <w:r>
        <w:rPr>
          <w:rFonts w:ascii="Arial" w:cs="Arial" w:eastAsia="Arial" w:hAnsi="Arial"/>
          <w:sz w:val="14"/>
          <w:szCs w:val="14"/>
          <w:color w:val="auto"/>
        </w:rPr>
        <w:t>The following is a summary of the assets and liabilities of discontinued operations in the accompanying condensed consolidated balance sheets as of June 30, 2019 and December 30, 2018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00" w:type="dxa"/>
            <w:vAlign w:val="bottom"/>
            <w:tcBorders>
              <w:bottom w:val="single" w:sz="8" w:color="CCEEFF"/>
            </w:tcBorders>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June 30, 2019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w w:val="90"/>
              </w:rPr>
              <w:t>December 30, 2018</w:t>
            </w:r>
          </w:p>
        </w:tc>
        <w:tc>
          <w:tcPr>
            <w:tcW w:w="0" w:type="dxa"/>
            <w:vAlign w:val="bottom"/>
          </w:tcPr>
          <w:p>
            <w:pPr>
              <w:spacing w:after="0"/>
              <w:rPr>
                <w:sz w:val="1"/>
                <w:szCs w:val="1"/>
                <w:color w:val="auto"/>
              </w:rPr>
            </w:pPr>
          </w:p>
        </w:tc>
      </w:tr>
      <w:tr>
        <w:trPr>
          <w:trHeight w:val="191"/>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 and unbilled receivables, net</w:t>
            </w:r>
          </w:p>
        </w:tc>
        <w:tc>
          <w:tcPr>
            <w:tcW w:w="47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3"/>
        </w:trPr>
        <w:tc>
          <w:tcPr>
            <w:tcW w:w="440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 of discontinued operations</w:t>
            </w:r>
          </w:p>
        </w:tc>
        <w:tc>
          <w:tcPr>
            <w:tcW w:w="4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47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3"/>
        </w:trPr>
        <w:tc>
          <w:tcPr>
            <w:tcW w:w="440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3"/>
        </w:trPr>
        <w:tc>
          <w:tcPr>
            <w:tcW w:w="44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4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rPr>
                <w:sz w:val="20"/>
                <w:szCs w:val="20"/>
                <w:color w:val="auto"/>
              </w:rPr>
            </w:pPr>
            <w:r>
              <w:rPr>
                <w:rFonts w:ascii="Arial" w:cs="Arial" w:eastAsia="Arial" w:hAnsi="Arial"/>
                <w:sz w:val="14"/>
                <w:szCs w:val="14"/>
                <w:color w:val="auto"/>
              </w:rPr>
              <w:t>Current liabilities of discontinued operations</w:t>
            </w:r>
          </w:p>
        </w:tc>
        <w:tc>
          <w:tcPr>
            <w:tcW w:w="46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 of discontinued operations</w:t>
            </w:r>
          </w:p>
        </w:tc>
        <w:tc>
          <w:tcPr>
            <w:tcW w:w="4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jc w:val="right"/>
              <w:ind w:right="3128"/>
              <w:spacing w:after="0"/>
              <w:rPr>
                <w:sz w:val="20"/>
                <w:szCs w:val="20"/>
                <w:color w:val="auto"/>
              </w:rPr>
            </w:pPr>
            <w:r>
              <w:rPr>
                <w:rFonts w:ascii="Arial" w:cs="Arial" w:eastAsia="Arial" w:hAnsi="Arial"/>
                <w:sz w:val="14"/>
                <w:szCs w:val="14"/>
                <w:color w:val="auto"/>
              </w:rPr>
              <w:t>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4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Goodwill and Intangible Assets</w:t>
      </w:r>
    </w:p>
    <w:p>
      <w:pPr>
        <w:spacing w:after="0" w:line="184" w:lineRule="exact"/>
        <w:rPr>
          <w:sz w:val="20"/>
          <w:szCs w:val="20"/>
          <w:color w:val="auto"/>
        </w:rPr>
      </w:pPr>
    </w:p>
    <w:p>
      <w:pPr>
        <w:ind w:left="520" w:hanging="514"/>
        <w:spacing w:after="0"/>
        <w:tabs>
          <w:tab w:leader="none" w:pos="52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Goodwill</w:t>
      </w:r>
    </w:p>
    <w:p>
      <w:pPr>
        <w:spacing w:after="0" w:line="187" w:lineRule="exact"/>
        <w:rPr>
          <w:rFonts w:ascii="Arial" w:cs="Arial" w:eastAsia="Arial" w:hAnsi="Arial"/>
          <w:sz w:val="14"/>
          <w:szCs w:val="14"/>
          <w:b w:val="1"/>
          <w:bCs w:val="1"/>
          <w:color w:val="auto"/>
        </w:rPr>
      </w:pPr>
    </w:p>
    <w:p>
      <w:pPr>
        <w:ind w:left="520"/>
        <w:spacing w:after="0"/>
        <w:rPr>
          <w:rFonts w:ascii="Arial" w:cs="Arial" w:eastAsia="Arial" w:hAnsi="Arial"/>
          <w:sz w:val="14"/>
          <w:szCs w:val="14"/>
          <w:b w:val="1"/>
          <w:bCs w:val="1"/>
          <w:color w:val="auto"/>
        </w:rPr>
      </w:pPr>
      <w:r>
        <w:rPr>
          <w:rFonts w:ascii="Arial" w:cs="Arial" w:eastAsia="Arial" w:hAnsi="Arial"/>
          <w:sz w:val="14"/>
          <w:szCs w:val="14"/>
          <w:color w:val="auto"/>
        </w:rPr>
        <w:t>The carrying amounts of goodwill as of June 30, 2019 and December 30, 2018 by reportable segment are as follows (in millions):</w:t>
      </w:r>
    </w:p>
    <w:p>
      <w:pPr>
        <w:spacing w:after="0" w:line="152" w:lineRule="exact"/>
        <w:rPr>
          <w:sz w:val="20"/>
          <w:szCs w:val="20"/>
          <w:color w:val="auto"/>
        </w:rPr>
      </w:pPr>
    </w:p>
    <w:p>
      <w:pPr>
        <w:ind w:left="9220"/>
        <w:spacing w:after="0"/>
        <w:rPr>
          <w:sz w:val="20"/>
          <w:szCs w:val="20"/>
          <w:color w:val="auto"/>
        </w:rPr>
      </w:pPr>
      <w:r>
        <w:rPr>
          <w:rFonts w:ascii="Arial" w:cs="Arial" w:eastAsia="Arial" w:hAnsi="Arial"/>
          <w:sz w:val="13"/>
          <w:szCs w:val="13"/>
          <w:b w:val="1"/>
          <w:bCs w:val="1"/>
          <w:color w:val="auto"/>
        </w:rPr>
        <w:t>As of June 30, 2019</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40" w:type="dxa"/>
            <w:vAlign w:val="bottom"/>
          </w:tcPr>
          <w:p>
            <w:pPr>
              <w:spacing w:after="0"/>
              <w:rPr>
                <w:sz w:val="11"/>
                <w:szCs w:val="11"/>
                <w:color w:val="auto"/>
              </w:rPr>
            </w:pPr>
          </w:p>
        </w:tc>
        <w:tc>
          <w:tcPr>
            <w:tcW w:w="12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w w:val="95"/>
              </w:rPr>
              <w:t>Kratos Government</w:t>
            </w:r>
          </w:p>
        </w:tc>
        <w:tc>
          <w:tcPr>
            <w:tcW w:w="11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1"/>
                <w:szCs w:val="11"/>
                <w:b w:val="1"/>
                <w:bCs w:val="1"/>
                <w:color w:val="auto"/>
              </w:rPr>
              <w:t>Unmanned Systems</w:t>
            </w: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3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7"/>
              </w:rPr>
              <w:t>Solutions</w:t>
            </w:r>
          </w:p>
        </w:tc>
        <w:tc>
          <w:tcPr>
            <w:tcW w:w="11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value</w:t>
            </w:r>
          </w:p>
        </w:tc>
        <w:tc>
          <w:tcPr>
            <w:tcW w:w="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601.6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712.7</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4"/>
                <w:szCs w:val="14"/>
                <w:color w:val="auto"/>
              </w:rPr>
              <w:t>Less accumulated impairment</w:t>
            </w:r>
          </w:p>
        </w:tc>
        <w:tc>
          <w:tcPr>
            <w:tcW w:w="22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23"/>
        </w:trPr>
        <w:tc>
          <w:tcPr>
            <w:tcW w:w="8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362.1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459.4</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9140"/>
        <w:spacing w:after="0"/>
        <w:rPr>
          <w:sz w:val="20"/>
          <w:szCs w:val="20"/>
          <w:color w:val="auto"/>
        </w:rPr>
      </w:pPr>
      <w:r>
        <w:rPr>
          <w:rFonts w:ascii="Arial" w:cs="Arial" w:eastAsia="Arial" w:hAnsi="Arial"/>
          <w:sz w:val="13"/>
          <w:szCs w:val="13"/>
          <w:b w:val="1"/>
          <w:bCs w:val="1"/>
          <w:color w:val="auto"/>
        </w:rPr>
        <w:t>As of December 30, 2018</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140" w:type="dxa"/>
            <w:vAlign w:val="bottom"/>
          </w:tcPr>
          <w:p>
            <w:pPr>
              <w:spacing w:after="0"/>
              <w:rPr>
                <w:sz w:val="11"/>
                <w:szCs w:val="11"/>
                <w:color w:val="auto"/>
              </w:rPr>
            </w:pPr>
          </w:p>
        </w:tc>
        <w:tc>
          <w:tcPr>
            <w:tcW w:w="128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5"/>
              </w:rPr>
              <w:t>Kratos Government</w:t>
            </w:r>
          </w:p>
        </w:tc>
        <w:tc>
          <w:tcPr>
            <w:tcW w:w="11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1"/>
                <w:szCs w:val="11"/>
                <w:b w:val="1"/>
                <w:bCs w:val="1"/>
                <w:color w:val="auto"/>
              </w:rPr>
              <w:t>Unmanned Systems</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8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1"/>
              </w:rPr>
              <w:t>Solutions</w:t>
            </w:r>
          </w:p>
        </w:tc>
        <w:tc>
          <w:tcPr>
            <w:tcW w:w="11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value</w:t>
            </w: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567.9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193"/>
        </w:trPr>
        <w:tc>
          <w:tcPr>
            <w:tcW w:w="8140" w:type="dxa"/>
            <w:vAlign w:val="bottom"/>
          </w:tcPr>
          <w:p>
            <w:pPr>
              <w:ind w:left="20"/>
              <w:spacing w:after="0"/>
              <w:rPr>
                <w:sz w:val="20"/>
                <w:szCs w:val="20"/>
                <w:color w:val="auto"/>
              </w:rPr>
            </w:pPr>
            <w:r>
              <w:rPr>
                <w:rFonts w:ascii="Arial" w:cs="Arial" w:eastAsia="Arial" w:hAnsi="Arial"/>
                <w:sz w:val="14"/>
                <w:szCs w:val="14"/>
                <w:color w:val="auto"/>
              </w:rPr>
              <w:t>Less accumulated impairment</w:t>
            </w:r>
          </w:p>
        </w:tc>
        <w:tc>
          <w:tcPr>
            <w:tcW w:w="22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23"/>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328.4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425.7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Purchased Intangible Assets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information for finite-lived and indefinite-lived intangible assets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2"/>
              </w:rPr>
              <w:t>As of June 30, 2019</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As of December 30, 2018</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18"/>
        </w:trPr>
        <w:tc>
          <w:tcPr>
            <w:tcW w:w="334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Gross</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92"/>
              </w:rPr>
              <w:t>Accumulated</w:t>
            </w:r>
          </w:p>
        </w:tc>
        <w:tc>
          <w:tcPr>
            <w:tcW w:w="300" w:type="dxa"/>
            <w:vAlign w:val="bottom"/>
          </w:tcPr>
          <w:p>
            <w:pPr>
              <w:spacing w:after="0"/>
              <w:rPr>
                <w:sz w:val="10"/>
                <w:szCs w:val="10"/>
                <w:color w:val="auto"/>
              </w:rPr>
            </w:pPr>
          </w:p>
        </w:tc>
        <w:tc>
          <w:tcPr>
            <w:tcW w:w="1080" w:type="dxa"/>
            <w:vAlign w:val="bottom"/>
            <w:gridSpan w:val="2"/>
          </w:tcPr>
          <w:p>
            <w:pPr>
              <w:jc w:val="center"/>
              <w:ind w:right="420"/>
              <w:spacing w:after="0" w:line="119" w:lineRule="exact"/>
              <w:rPr>
                <w:sz w:val="20"/>
                <w:szCs w:val="20"/>
                <w:color w:val="auto"/>
              </w:rPr>
            </w:pPr>
            <w:r>
              <w:rPr>
                <w:rFonts w:ascii="Arial" w:cs="Arial" w:eastAsia="Arial" w:hAnsi="Arial"/>
                <w:sz w:val="11"/>
                <w:szCs w:val="11"/>
                <w:b w:val="1"/>
                <w:bCs w:val="1"/>
                <w:color w:val="auto"/>
              </w:rPr>
              <w:t>Net</w:t>
            </w:r>
          </w:p>
        </w:tc>
        <w:tc>
          <w:tcPr>
            <w:tcW w:w="300" w:type="dxa"/>
            <w:vAlign w:val="bottom"/>
          </w:tcPr>
          <w:p>
            <w:pPr>
              <w:spacing w:after="0"/>
              <w:rPr>
                <w:sz w:val="10"/>
                <w:szCs w:val="10"/>
                <w:color w:val="auto"/>
              </w:rPr>
            </w:pPr>
          </w:p>
        </w:tc>
        <w:tc>
          <w:tcPr>
            <w:tcW w:w="1080" w:type="dxa"/>
            <w:vAlign w:val="bottom"/>
            <w:gridSpan w:val="2"/>
          </w:tcPr>
          <w:p>
            <w:pPr>
              <w:ind w:left="200"/>
              <w:spacing w:after="0" w:line="119" w:lineRule="exact"/>
              <w:rPr>
                <w:sz w:val="20"/>
                <w:szCs w:val="20"/>
                <w:color w:val="auto"/>
              </w:rPr>
            </w:pPr>
            <w:r>
              <w:rPr>
                <w:rFonts w:ascii="Arial" w:cs="Arial" w:eastAsia="Arial" w:hAnsi="Arial"/>
                <w:sz w:val="11"/>
                <w:szCs w:val="11"/>
                <w:b w:val="1"/>
                <w:bCs w:val="1"/>
                <w:color w:val="auto"/>
              </w:rPr>
              <w:t>Gross</w:t>
            </w:r>
          </w:p>
        </w:tc>
        <w:tc>
          <w:tcPr>
            <w:tcW w:w="180" w:type="dxa"/>
            <w:vAlign w:val="bottom"/>
          </w:tcPr>
          <w:p>
            <w:pPr>
              <w:spacing w:after="0"/>
              <w:rPr>
                <w:sz w:val="10"/>
                <w:szCs w:val="10"/>
                <w:color w:val="auto"/>
              </w:rPr>
            </w:pPr>
          </w:p>
        </w:tc>
        <w:tc>
          <w:tcPr>
            <w:tcW w:w="116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Accumulated</w:t>
            </w:r>
          </w:p>
        </w:tc>
        <w:tc>
          <w:tcPr>
            <w:tcW w:w="280" w:type="dxa"/>
            <w:vAlign w:val="bottom"/>
          </w:tcPr>
          <w:p>
            <w:pPr>
              <w:spacing w:after="0"/>
              <w:rPr>
                <w:sz w:val="10"/>
                <w:szCs w:val="10"/>
                <w:color w:val="auto"/>
              </w:rPr>
            </w:pPr>
          </w:p>
        </w:tc>
        <w:tc>
          <w:tcPr>
            <w:tcW w:w="960" w:type="dxa"/>
            <w:vAlign w:val="bottom"/>
          </w:tcPr>
          <w:p>
            <w:pPr>
              <w:jc w:val="right"/>
              <w:ind w:right="471"/>
              <w:spacing w:after="0" w:line="119" w:lineRule="exact"/>
              <w:rPr>
                <w:sz w:val="20"/>
                <w:szCs w:val="20"/>
                <w:color w:val="auto"/>
              </w:rPr>
            </w:pPr>
            <w:r>
              <w:rPr>
                <w:rFonts w:ascii="Arial" w:cs="Arial" w:eastAsia="Arial" w:hAnsi="Arial"/>
                <w:sz w:val="11"/>
                <w:szCs w:val="11"/>
                <w:b w:val="1"/>
                <w:bCs w:val="1"/>
                <w:color w:val="auto"/>
              </w:rPr>
              <w:t>Net</w:t>
            </w:r>
          </w:p>
        </w:tc>
      </w:tr>
      <w:tr>
        <w:trPr>
          <w:trHeight w:val="153"/>
        </w:trPr>
        <w:tc>
          <w:tcPr>
            <w:tcW w:w="3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Value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Amortization</w:t>
            </w:r>
          </w:p>
        </w:tc>
        <w:tc>
          <w:tcPr>
            <w:tcW w:w="30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5"/>
              </w:rPr>
              <w:t>Value</w:t>
            </w:r>
          </w:p>
        </w:tc>
        <w:tc>
          <w:tcPr>
            <w:tcW w:w="300" w:type="dxa"/>
            <w:vAlign w:val="bottom"/>
          </w:tcPr>
          <w:p>
            <w:pPr>
              <w:spacing w:after="0"/>
              <w:rPr>
                <w:sz w:val="13"/>
                <w:szCs w:val="13"/>
                <w:color w:val="auto"/>
              </w:rPr>
            </w:pPr>
          </w:p>
        </w:tc>
        <w:tc>
          <w:tcPr>
            <w:tcW w:w="1080" w:type="dxa"/>
            <w:vAlign w:val="bottom"/>
            <w:gridSpan w:val="2"/>
          </w:tcPr>
          <w:p>
            <w:pPr>
              <w:ind w:left="200"/>
              <w:spacing w:after="0"/>
              <w:rPr>
                <w:sz w:val="20"/>
                <w:szCs w:val="20"/>
                <w:color w:val="auto"/>
              </w:rPr>
            </w:pPr>
            <w:r>
              <w:rPr>
                <w:rFonts w:ascii="Arial" w:cs="Arial" w:eastAsia="Arial" w:hAnsi="Arial"/>
                <w:sz w:val="11"/>
                <w:szCs w:val="11"/>
                <w:b w:val="1"/>
                <w:bCs w:val="1"/>
                <w:color w:val="auto"/>
              </w:rPr>
              <w:t>Value</w:t>
            </w:r>
          </w:p>
        </w:tc>
        <w:tc>
          <w:tcPr>
            <w:tcW w:w="18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Amortization</w:t>
            </w:r>
          </w:p>
        </w:tc>
        <w:tc>
          <w:tcPr>
            <w:tcW w:w="280" w:type="dxa"/>
            <w:vAlign w:val="bottom"/>
          </w:tcPr>
          <w:p>
            <w:pPr>
              <w:spacing w:after="0"/>
              <w:rPr>
                <w:sz w:val="13"/>
                <w:szCs w:val="13"/>
                <w:color w:val="auto"/>
              </w:rPr>
            </w:pPr>
          </w:p>
        </w:tc>
        <w:tc>
          <w:tcPr>
            <w:tcW w:w="960" w:type="dxa"/>
            <w:vAlign w:val="bottom"/>
          </w:tcPr>
          <w:p>
            <w:pPr>
              <w:jc w:val="right"/>
              <w:ind w:right="411"/>
              <w:spacing w:after="0"/>
              <w:rPr>
                <w:sz w:val="20"/>
                <w:szCs w:val="20"/>
                <w:color w:val="auto"/>
              </w:rPr>
            </w:pPr>
            <w:r>
              <w:rPr>
                <w:rFonts w:ascii="Arial" w:cs="Arial" w:eastAsia="Arial" w:hAnsi="Arial"/>
                <w:sz w:val="11"/>
                <w:szCs w:val="11"/>
                <w:b w:val="1"/>
                <w:bCs w:val="1"/>
                <w:color w:val="auto"/>
              </w:rPr>
              <w:t>Value</w:t>
            </w:r>
          </w:p>
        </w:tc>
      </w:tr>
      <w:tr>
        <w:trPr>
          <w:trHeight w:val="191"/>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Acquired finite-lived intangible assets:</w:t>
            </w: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3"/>
        </w:trPr>
        <w:tc>
          <w:tcPr>
            <w:tcW w:w="3340" w:type="dxa"/>
            <w:vAlign w:val="bottom"/>
          </w:tcPr>
          <w:p>
            <w:pPr>
              <w:ind w:left="140"/>
              <w:spacing w:after="0"/>
              <w:rPr>
                <w:sz w:val="20"/>
                <w:szCs w:val="20"/>
                <w:color w:val="auto"/>
              </w:rPr>
            </w:pPr>
            <w:r>
              <w:rPr>
                <w:rFonts w:ascii="Arial" w:cs="Arial" w:eastAsia="Arial" w:hAnsi="Arial"/>
                <w:sz w:val="14"/>
                <w:szCs w:val="14"/>
                <w:color w:val="auto"/>
              </w:rPr>
              <w:t>Customer relationships</w:t>
            </w:r>
          </w:p>
        </w:tc>
        <w:tc>
          <w:tcPr>
            <w:tcW w:w="800" w:type="dxa"/>
            <w:vAlign w:val="bottom"/>
          </w:tcPr>
          <w:p>
            <w:pPr>
              <w:jc w:val="right"/>
              <w:ind w:right="655"/>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2.0</w:t>
            </w:r>
          </w:p>
        </w:tc>
      </w:tr>
      <w:tr>
        <w:trPr>
          <w:trHeight w:val="23"/>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Contracts and backlog</w:t>
            </w:r>
          </w:p>
        </w:tc>
        <w:tc>
          <w:tcPr>
            <w:tcW w:w="8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29.9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3.5</w:t>
            </w:r>
          </w:p>
        </w:tc>
      </w:tr>
      <w:tr>
        <w:trPr>
          <w:trHeight w:val="193"/>
        </w:trPr>
        <w:tc>
          <w:tcPr>
            <w:tcW w:w="3340" w:type="dxa"/>
            <w:vAlign w:val="bottom"/>
          </w:tcPr>
          <w:p>
            <w:pPr>
              <w:ind w:left="140"/>
              <w:spacing w:after="0"/>
              <w:rPr>
                <w:sz w:val="20"/>
                <w:szCs w:val="20"/>
                <w:color w:val="auto"/>
              </w:rPr>
            </w:pPr>
            <w:r>
              <w:rPr>
                <w:rFonts w:ascii="Arial" w:cs="Arial" w:eastAsia="Arial" w:hAnsi="Arial"/>
                <w:sz w:val="14"/>
                <w:szCs w:val="14"/>
                <w:color w:val="auto"/>
              </w:rPr>
              <w:t>Developed technology and technical know-how</w:t>
            </w:r>
          </w:p>
        </w:tc>
        <w:tc>
          <w:tcPr>
            <w:tcW w:w="80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3.7</w:t>
            </w:r>
          </w:p>
        </w:tc>
      </w:tr>
      <w:tr>
        <w:trPr>
          <w:trHeight w:val="23"/>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Trade names</w:t>
            </w:r>
          </w:p>
        </w:tc>
        <w:tc>
          <w:tcPr>
            <w:tcW w:w="8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193"/>
        </w:trPr>
        <w:tc>
          <w:tcPr>
            <w:tcW w:w="3340" w:type="dxa"/>
            <w:vAlign w:val="bottom"/>
          </w:tcPr>
          <w:p>
            <w:pPr>
              <w:ind w:left="140"/>
              <w:spacing w:after="0"/>
              <w:rPr>
                <w:sz w:val="20"/>
                <w:szCs w:val="20"/>
                <w:color w:val="auto"/>
              </w:rPr>
            </w:pPr>
            <w:r>
              <w:rPr>
                <w:rFonts w:ascii="Arial" w:cs="Arial" w:eastAsia="Arial" w:hAnsi="Arial"/>
                <w:sz w:val="14"/>
                <w:szCs w:val="14"/>
                <w:color w:val="auto"/>
              </w:rPr>
              <w:t>In-process research and development</w:t>
            </w:r>
          </w:p>
        </w:tc>
        <w:tc>
          <w:tcPr>
            <w:tcW w:w="80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3"/>
        </w:trPr>
        <w:tc>
          <w:tcPr>
            <w:tcW w:w="3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finite-lived intangible assets</w:t>
            </w:r>
          </w:p>
        </w:tc>
        <w:tc>
          <w:tcPr>
            <w:tcW w:w="8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128.7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(103.2)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25.5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108.9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9.2</w:t>
            </w:r>
          </w:p>
        </w:tc>
      </w:tr>
      <w:tr>
        <w:trPr>
          <w:trHeight w:val="193"/>
        </w:trPr>
        <w:tc>
          <w:tcPr>
            <w:tcW w:w="3340" w:type="dxa"/>
            <w:vAlign w:val="bottom"/>
          </w:tcPr>
          <w:p>
            <w:pPr>
              <w:ind w:left="20"/>
              <w:spacing w:after="0"/>
              <w:rPr>
                <w:sz w:val="20"/>
                <w:szCs w:val="20"/>
                <w:color w:val="auto"/>
              </w:rPr>
            </w:pPr>
            <w:r>
              <w:rPr>
                <w:rFonts w:ascii="Arial" w:cs="Arial" w:eastAsia="Arial" w:hAnsi="Arial"/>
                <w:sz w:val="14"/>
                <w:szCs w:val="14"/>
                <w:color w:val="auto"/>
              </w:rPr>
              <w:t>Indefinite-lived trade names</w:t>
            </w:r>
          </w:p>
        </w:tc>
        <w:tc>
          <w:tcPr>
            <w:tcW w:w="80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6.9</w:t>
            </w:r>
          </w:p>
        </w:tc>
      </w:tr>
      <w:tr>
        <w:trPr>
          <w:trHeight w:val="23"/>
        </w:trPr>
        <w:tc>
          <w:tcPr>
            <w:tcW w:w="3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w:t>
            </w:r>
          </w:p>
        </w:tc>
        <w:tc>
          <w:tcPr>
            <w:tcW w:w="80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135.6</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(103.2)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32.4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115.8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16.1</w:t>
            </w: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right="600" w:firstLine="517"/>
        <w:spacing w:after="0" w:line="288" w:lineRule="auto"/>
        <w:rPr>
          <w:sz w:val="20"/>
          <w:szCs w:val="20"/>
          <w:color w:val="auto"/>
        </w:rPr>
      </w:pPr>
      <w:r>
        <w:rPr>
          <w:rFonts w:ascii="Arial" w:cs="Arial" w:eastAsia="Arial" w:hAnsi="Arial"/>
          <w:sz w:val="14"/>
          <w:szCs w:val="14"/>
          <w:color w:val="auto"/>
        </w:rPr>
        <w:t>Consolidated amortization expense related to intangible assets subject to amortization was $2.0 million and $1.5 million for the three months ended June 30, 2019 and July 1, 2018, respectively, and $3.5 million and $3.2 million for the six months ended June 30, 2019 and July 1, 2018, respectively.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29" w:right="21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Inventoried Costs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Inventoried costs, net of progress payments, consisted of the following components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20" w:type="dxa"/>
            <w:vAlign w:val="bottom"/>
          </w:tcPr>
          <w:p>
            <w:pPr>
              <w:spacing w:after="0"/>
              <w:rPr>
                <w:sz w:val="14"/>
                <w:szCs w:val="14"/>
                <w:color w:val="auto"/>
              </w:rPr>
            </w:pPr>
          </w:p>
        </w:tc>
        <w:tc>
          <w:tcPr>
            <w:tcW w:w="1560" w:type="dxa"/>
            <w:vAlign w:val="bottom"/>
          </w:tcPr>
          <w:p>
            <w:pPr>
              <w:jc w:val="right"/>
              <w:ind w:right="71"/>
              <w:spacing w:after="0"/>
              <w:rPr>
                <w:sz w:val="20"/>
                <w:szCs w:val="20"/>
                <w:color w:val="auto"/>
              </w:rPr>
            </w:pPr>
            <w:r>
              <w:rPr>
                <w:rFonts w:ascii="Arial" w:cs="Arial" w:eastAsia="Arial" w:hAnsi="Arial"/>
                <w:sz w:val="13"/>
                <w:szCs w:val="13"/>
                <w:b w:val="1"/>
                <w:bCs w:val="1"/>
                <w:color w:val="auto"/>
              </w:rPr>
              <w:t>June 30, 2019</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429"/>
              <w:spacing w:after="0"/>
              <w:rPr>
                <w:sz w:val="20"/>
                <w:szCs w:val="20"/>
                <w:color w:val="auto"/>
              </w:rPr>
            </w:pPr>
            <w:r>
              <w:rPr>
                <w:rFonts w:ascii="Arial" w:cs="Arial" w:eastAsia="Arial" w:hAnsi="Arial"/>
                <w:sz w:val="13"/>
                <w:szCs w:val="13"/>
                <w:b w:val="1"/>
                <w:bCs w:val="1"/>
                <w:color w:val="auto"/>
              </w:rPr>
              <w:t>December 30, 2018</w:t>
            </w:r>
          </w:p>
        </w:tc>
      </w:tr>
      <w:tr>
        <w:trPr>
          <w:trHeight w:val="27"/>
        </w:trPr>
        <w:tc>
          <w:tcPr>
            <w:tcW w:w="72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1560" w:type="dxa"/>
            <w:vAlign w:val="bottom"/>
            <w:tcBorders>
              <w:bottom w:val="single" w:sz="8" w:color="CCEEFF"/>
            </w:tcBorders>
            <w:shd w:val="clear" w:color="auto" w:fill="CCEEFF"/>
          </w:tcPr>
          <w:p>
            <w:pPr>
              <w:jc w:val="right"/>
              <w:ind w:right="139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34.7</w:t>
            </w: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156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right"/>
              <w:ind w:right="29"/>
              <w:spacing w:after="0"/>
              <w:rPr>
                <w:sz w:val="20"/>
                <w:szCs w:val="20"/>
                <w:color w:val="auto"/>
              </w:rPr>
            </w:pPr>
            <w:r>
              <w:rPr>
                <w:rFonts w:ascii="Arial" w:cs="Arial" w:eastAsia="Arial" w:hAnsi="Arial"/>
                <w:sz w:val="14"/>
                <w:szCs w:val="14"/>
                <w:color w:val="auto"/>
              </w:rPr>
              <w:t>10.3</w:t>
            </w:r>
          </w:p>
        </w:tc>
      </w:tr>
      <w:tr>
        <w:trPr>
          <w:trHeight w:val="23"/>
        </w:trPr>
        <w:tc>
          <w:tcPr>
            <w:tcW w:w="7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5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w:t>
            </w:r>
          </w:p>
        </w:tc>
      </w:tr>
      <w:tr>
        <w:trPr>
          <w:trHeight w:val="184"/>
        </w:trPr>
        <w:tc>
          <w:tcPr>
            <w:tcW w:w="7220" w:type="dxa"/>
            <w:vAlign w:val="bottom"/>
          </w:tcPr>
          <w:p>
            <w:pPr>
              <w:ind w:left="140"/>
              <w:spacing w:after="0"/>
              <w:rPr>
                <w:sz w:val="20"/>
                <w:szCs w:val="20"/>
                <w:color w:val="auto"/>
              </w:rPr>
            </w:pPr>
            <w:r>
              <w:rPr>
                <w:rFonts w:ascii="Arial" w:cs="Arial" w:eastAsia="Arial" w:hAnsi="Arial"/>
                <w:sz w:val="14"/>
                <w:szCs w:val="14"/>
                <w:color w:val="auto"/>
              </w:rPr>
              <w:t>Subtotal inventoried costs</w:t>
            </w:r>
          </w:p>
        </w:tc>
        <w:tc>
          <w:tcPr>
            <w:tcW w:w="15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46.8</w:t>
            </w:r>
          </w:p>
        </w:tc>
      </w:tr>
      <w:tr>
        <w:trPr>
          <w:trHeight w:val="23"/>
        </w:trPr>
        <w:tc>
          <w:tcPr>
            <w:tcW w:w="7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6"/>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Customer advances and progress payments</w:t>
            </w:r>
          </w:p>
        </w:tc>
        <w:tc>
          <w:tcPr>
            <w:tcW w:w="15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00"/>
        </w:trPr>
        <w:tc>
          <w:tcPr>
            <w:tcW w:w="7220" w:type="dxa"/>
            <w:vAlign w:val="bottom"/>
          </w:tcPr>
          <w:p>
            <w:pPr>
              <w:ind w:left="220"/>
              <w:spacing w:after="0"/>
              <w:rPr>
                <w:sz w:val="20"/>
                <w:szCs w:val="20"/>
                <w:color w:val="auto"/>
              </w:rPr>
            </w:pPr>
            <w:r>
              <w:rPr>
                <w:rFonts w:ascii="Arial" w:cs="Arial" w:eastAsia="Arial" w:hAnsi="Arial"/>
                <w:sz w:val="14"/>
                <w:szCs w:val="14"/>
                <w:color w:val="auto"/>
              </w:rPr>
              <w:t>Total inventoried costs</w:t>
            </w:r>
          </w:p>
        </w:tc>
        <w:tc>
          <w:tcPr>
            <w:tcW w:w="1560" w:type="dxa"/>
            <w:vAlign w:val="bottom"/>
            <w:tcBorders>
              <w:top w:val="single" w:sz="8" w:color="auto"/>
              <w:bottom w:val="single" w:sz="8" w:color="auto"/>
            </w:tcBorders>
          </w:tcPr>
          <w:p>
            <w:pPr>
              <w:jc w:val="right"/>
              <w:ind w:right="1391"/>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46.8</w:t>
            </w:r>
          </w:p>
        </w:tc>
      </w:tr>
      <w:tr>
        <w:trPr>
          <w:trHeight w:val="20"/>
        </w:trPr>
        <w:tc>
          <w:tcPr>
            <w:tcW w:w="7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Net Income (Loss) per Common Share</w:t>
      </w:r>
    </w:p>
    <w:p>
      <w:pPr>
        <w:spacing w:after="0" w:line="188" w:lineRule="exact"/>
        <w:rPr>
          <w:sz w:val="20"/>
          <w:szCs w:val="20"/>
          <w:color w:val="auto"/>
        </w:rPr>
      </w:pPr>
    </w:p>
    <w:p>
      <w:pPr>
        <w:ind w:right="40" w:firstLine="517"/>
        <w:spacing w:after="0" w:line="267" w:lineRule="auto"/>
        <w:rPr>
          <w:sz w:val="20"/>
          <w:szCs w:val="20"/>
          <w:color w:val="auto"/>
        </w:rPr>
      </w:pPr>
      <w:r>
        <w:rPr>
          <w:rFonts w:ascii="Arial" w:cs="Arial" w:eastAsia="Arial" w:hAnsi="Arial"/>
          <w:sz w:val="14"/>
          <w:szCs w:val="14"/>
          <w:color w:val="auto"/>
        </w:rPr>
        <w:t xml:space="preserve">The Company calculates net income (loss) per share in accordance with FASB Accounting Standards Codification Topic 260, </w:t>
      </w:r>
      <w:r>
        <w:rPr>
          <w:rFonts w:ascii="Arial" w:cs="Arial" w:eastAsia="Arial" w:hAnsi="Arial"/>
          <w:sz w:val="14"/>
          <w:szCs w:val="14"/>
          <w:i w:val="1"/>
          <w:iCs w:val="1"/>
          <w:color w:val="auto"/>
        </w:rPr>
        <w:t>Earnings per Share (Topic 260).</w:t>
      </w:r>
      <w:r>
        <w:rPr>
          <w:rFonts w:ascii="Arial" w:cs="Arial" w:eastAsia="Arial" w:hAnsi="Arial"/>
          <w:sz w:val="14"/>
          <w:szCs w:val="14"/>
          <w:color w:val="auto"/>
        </w:rPr>
        <w:t xml:space="preserve"> Under Topic 260, basic net income (loss) per common share attributable to the Kratos shareholders is calculated by dividing net income (loss) attributable to Kratos by the weighted-average number of common shares outstanding during the reporting period. Diluted net income (loss) per common share attributable to the Kratos shareholders reflects the effects of potentially dilutive securities. The dilutive impact of potentially dilutive common shares is determined by applying the treasury stock method.</w:t>
      </w:r>
    </w:p>
    <w:p>
      <w:pPr>
        <w:spacing w:after="0" w:line="146" w:lineRule="exact"/>
        <w:rPr>
          <w:sz w:val="20"/>
          <w:szCs w:val="20"/>
          <w:color w:val="auto"/>
        </w:rPr>
      </w:pPr>
    </w:p>
    <w:p>
      <w:pPr>
        <w:ind w:right="280" w:firstLine="453"/>
        <w:spacing w:after="0" w:line="288" w:lineRule="auto"/>
        <w:rPr>
          <w:sz w:val="20"/>
          <w:szCs w:val="20"/>
          <w:color w:val="auto"/>
        </w:rPr>
      </w:pPr>
      <w:r>
        <w:rPr>
          <w:rFonts w:ascii="Arial" w:cs="Arial" w:eastAsia="Arial" w:hAnsi="Arial"/>
          <w:sz w:val="14"/>
          <w:szCs w:val="14"/>
          <w:color w:val="auto"/>
        </w:rPr>
        <w:t>Shares from stock options and awards, excluded from the calculation of diluted net income (loss) per share because their inclusion would have been anti-dilutive, were 0.0 million and 0.0 million for the three and six months ended June 30, 2019, respectively, and 0.4 million and 0.4 million for the three and six months ended July 1, 2018.</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Leases</w:t>
      </w:r>
    </w:p>
    <w:p>
      <w:pPr>
        <w:spacing w:after="0" w:line="188" w:lineRule="exact"/>
        <w:rPr>
          <w:sz w:val="20"/>
          <w:szCs w:val="20"/>
          <w:color w:val="auto"/>
        </w:rPr>
      </w:pPr>
    </w:p>
    <w:p>
      <w:pPr>
        <w:ind w:right="20" w:firstLine="517"/>
        <w:spacing w:after="0" w:line="315" w:lineRule="auto"/>
        <w:rPr>
          <w:sz w:val="20"/>
          <w:szCs w:val="20"/>
          <w:color w:val="auto"/>
        </w:rPr>
      </w:pPr>
      <w:r>
        <w:rPr>
          <w:rFonts w:ascii="Arial" w:cs="Arial" w:eastAsia="Arial" w:hAnsi="Arial"/>
          <w:sz w:val="12"/>
          <w:szCs w:val="12"/>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120" w:lineRule="exact"/>
        <w:rPr>
          <w:sz w:val="20"/>
          <w:szCs w:val="20"/>
          <w:color w:val="auto"/>
        </w:rPr>
      </w:pPr>
    </w:p>
    <w:p>
      <w:pPr>
        <w:jc w:val="both"/>
        <w:ind w:right="120" w:firstLine="517"/>
        <w:spacing w:after="0" w:line="272" w:lineRule="auto"/>
        <w:rPr>
          <w:sz w:val="20"/>
          <w:szCs w:val="20"/>
          <w:color w:val="auto"/>
        </w:rPr>
      </w:pPr>
      <w:r>
        <w:rPr>
          <w:rFonts w:ascii="Arial" w:cs="Arial" w:eastAsia="Arial" w:hAnsi="Arial"/>
          <w:sz w:val="14"/>
          <w:szCs w:val="14"/>
          <w:color w:val="auto"/>
        </w:rPr>
        <w:t>Variable lease payments are generally expensed as incurred and include certain index-based changes in rent, certain non-lease components, such as maintenance and other services provided by the lessor, and other charges included in the lease. Leases with an initial term of 12 months or less are not recorded on the balance sheet, and the expense for these short-term leases is recognized on a straight-line basis over the lease term.</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depreciable life of lease assets and leasehold improvements is limited by the expected lease term, unless there is a transfer of title or purchase option reasonably certain of exercise.</w:t>
      </w:r>
    </w:p>
    <w:p>
      <w:pPr>
        <w:spacing w:after="0" w:line="195" w:lineRule="exact"/>
        <w:rPr>
          <w:sz w:val="20"/>
          <w:szCs w:val="20"/>
          <w:color w:val="auto"/>
        </w:rPr>
      </w:pPr>
    </w:p>
    <w:p>
      <w:pPr>
        <w:ind w:right="140" w:firstLine="517"/>
        <w:spacing w:after="0" w:line="288" w:lineRule="auto"/>
        <w:rPr>
          <w:sz w:val="20"/>
          <w:szCs w:val="20"/>
          <w:color w:val="auto"/>
        </w:rPr>
      </w:pPr>
      <w:r>
        <w:rPr>
          <w:rFonts w:ascii="Arial" w:cs="Arial" w:eastAsia="Arial" w:hAnsi="Arial"/>
          <w:sz w:val="14"/>
          <w:szCs w:val="14"/>
          <w:color w:val="auto"/>
        </w:rPr>
        <w:t>As a result of a lease modification for our expanded facilities in Colorado, in the first quarter of 2019, the Company was required to reassess the classification of the lease which previously had been accounted for as an operating lease. This reassessment resulted in the reclassification of the operating lease to a $39.3 million finance lease.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129" w:right="2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lease expense were as follows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680" w:type="dxa"/>
            <w:vAlign w:val="bottom"/>
          </w:tcPr>
          <w:p>
            <w:pPr>
              <w:spacing w:after="0"/>
              <w:rPr>
                <w:sz w:val="12"/>
                <w:szCs w:val="12"/>
                <w:color w:val="auto"/>
              </w:rPr>
            </w:pPr>
          </w:p>
        </w:tc>
        <w:tc>
          <w:tcPr>
            <w:tcW w:w="1480" w:type="dxa"/>
            <w:vAlign w:val="bottom"/>
          </w:tcPr>
          <w:p>
            <w:pPr>
              <w:jc w:val="center"/>
              <w:ind w:left="313"/>
              <w:spacing w:after="0"/>
              <w:rPr>
                <w:sz w:val="20"/>
                <w:szCs w:val="20"/>
                <w:color w:val="auto"/>
              </w:rPr>
            </w:pPr>
            <w:r>
              <w:rPr>
                <w:rFonts w:ascii="Arial" w:cs="Arial" w:eastAsia="Arial" w:hAnsi="Arial"/>
                <w:sz w:val="11"/>
                <w:szCs w:val="11"/>
                <w:b w:val="1"/>
                <w:bCs w:val="1"/>
                <w:color w:val="auto"/>
                <w:w w:val="97"/>
              </w:rPr>
              <w:t>Three Months 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center"/>
              <w:ind w:right="211"/>
              <w:spacing w:after="0"/>
              <w:rPr>
                <w:sz w:val="20"/>
                <w:szCs w:val="20"/>
                <w:color w:val="auto"/>
              </w:rPr>
            </w:pPr>
            <w:r>
              <w:rPr>
                <w:rFonts w:ascii="Arial" w:cs="Arial" w:eastAsia="Arial" w:hAnsi="Arial"/>
                <w:sz w:val="11"/>
                <w:szCs w:val="11"/>
                <w:b w:val="1"/>
                <w:bCs w:val="1"/>
                <w:color w:val="auto"/>
                <w:w w:val="94"/>
              </w:rPr>
              <w:t>Six Months Ended</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ind w:left="313"/>
              <w:spacing w:after="0"/>
              <w:rPr>
                <w:sz w:val="20"/>
                <w:szCs w:val="20"/>
                <w:color w:val="auto"/>
              </w:rPr>
            </w:pPr>
            <w:r>
              <w:rPr>
                <w:rFonts w:ascii="Arial" w:cs="Arial" w:eastAsia="Arial" w:hAnsi="Arial"/>
                <w:sz w:val="11"/>
                <w:szCs w:val="11"/>
                <w:b w:val="1"/>
                <w:bCs w:val="1"/>
                <w:color w:val="auto"/>
                <w:w w:val="92"/>
              </w:rPr>
              <w:t>June 30, 2019</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91"/>
              <w:spacing w:after="0"/>
              <w:rPr>
                <w:sz w:val="20"/>
                <w:szCs w:val="20"/>
                <w:color w:val="auto"/>
              </w:rPr>
            </w:pPr>
            <w:r>
              <w:rPr>
                <w:rFonts w:ascii="Arial" w:cs="Arial" w:eastAsia="Arial" w:hAnsi="Arial"/>
                <w:sz w:val="11"/>
                <w:szCs w:val="11"/>
                <w:b w:val="1"/>
                <w:bCs w:val="1"/>
                <w:color w:val="auto"/>
                <w:w w:val="94"/>
              </w:rPr>
              <w:t>June 30, 2019</w:t>
            </w:r>
          </w:p>
        </w:tc>
        <w:tc>
          <w:tcPr>
            <w:tcW w:w="0" w:type="dxa"/>
            <w:vAlign w:val="bottom"/>
          </w:tcPr>
          <w:p>
            <w:pPr>
              <w:spacing w:after="0"/>
              <w:rPr>
                <w:sz w:val="1"/>
                <w:szCs w:val="1"/>
                <w:color w:val="auto"/>
              </w:rPr>
            </w:pPr>
          </w:p>
        </w:tc>
      </w:tr>
      <w:tr>
        <w:trPr>
          <w:trHeight w:val="19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right of use assets - finance leases</w:t>
            </w:r>
          </w:p>
        </w:tc>
        <w:tc>
          <w:tcPr>
            <w:tcW w:w="1480" w:type="dxa"/>
            <w:vAlign w:val="bottom"/>
            <w:tcBorders>
              <w:bottom w:val="single" w:sz="8" w:color="CCEEFF"/>
            </w:tcBorders>
            <w:shd w:val="clear" w:color="auto" w:fill="CCEEFF"/>
          </w:tcPr>
          <w:p>
            <w:pPr>
              <w:jc w:val="right"/>
              <w:ind w:right="131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Interest on lease liabilities - finance leases</w:t>
            </w:r>
          </w:p>
        </w:tc>
        <w:tc>
          <w:tcPr>
            <w:tcW w:w="1480" w:type="dxa"/>
            <w:vAlign w:val="bottom"/>
          </w:tcPr>
          <w:p>
            <w:pPr>
              <w:spacing w:after="0"/>
              <w:rPr>
                <w:sz w:val="16"/>
                <w:szCs w:val="16"/>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 (cost resulting from lease payments)</w:t>
            </w:r>
          </w:p>
        </w:tc>
        <w:tc>
          <w:tcPr>
            <w:tcW w:w="1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Short-term lease cost</w:t>
            </w:r>
          </w:p>
        </w:tc>
        <w:tc>
          <w:tcPr>
            <w:tcW w:w="1480" w:type="dxa"/>
            <w:vAlign w:val="bottom"/>
          </w:tcPr>
          <w:p>
            <w:pPr>
              <w:spacing w:after="0"/>
              <w:rPr>
                <w:sz w:val="16"/>
                <w:szCs w:val="16"/>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Variable lease cost (cost excluded from lease payments)</w:t>
            </w:r>
          </w:p>
        </w:tc>
        <w:tc>
          <w:tcPr>
            <w:tcW w:w="1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Sublease income</w:t>
            </w:r>
          </w:p>
        </w:tc>
        <w:tc>
          <w:tcPr>
            <w:tcW w:w="148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w w:val="97"/>
              </w:rPr>
              <w:t>(0.8)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6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Total lease cost</w:t>
            </w:r>
          </w:p>
        </w:tc>
        <w:tc>
          <w:tcPr>
            <w:tcW w:w="1480" w:type="dxa"/>
            <w:vAlign w:val="bottom"/>
            <w:shd w:val="clear" w:color="auto" w:fill="CCEEFF"/>
          </w:tcPr>
          <w:p>
            <w:pPr>
              <w:jc w:val="right"/>
              <w:ind w:right="1313"/>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4"/>
                <w:szCs w:val="14"/>
                <w:color w:val="auto"/>
              </w:rPr>
              <w:t>The components of leases on the balance sheet were as follows (in millions):</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76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6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211"/>
              <w:spacing w:after="0"/>
              <w:rPr>
                <w:sz w:val="20"/>
                <w:szCs w:val="20"/>
                <w:color w:val="auto"/>
              </w:rPr>
            </w:pPr>
            <w:r>
              <w:rPr>
                <w:rFonts w:ascii="Arial" w:cs="Arial" w:eastAsia="Arial" w:hAnsi="Arial"/>
                <w:sz w:val="11"/>
                <w:szCs w:val="11"/>
                <w:b w:val="1"/>
                <w:bCs w:val="1"/>
                <w:color w:val="auto"/>
                <w:w w:val="92"/>
              </w:rPr>
              <w:t>June 30, 2019</w:t>
            </w:r>
          </w:p>
        </w:tc>
        <w:tc>
          <w:tcPr>
            <w:tcW w:w="0" w:type="dxa"/>
            <w:vAlign w:val="bottom"/>
          </w:tcPr>
          <w:p>
            <w:pPr>
              <w:spacing w:after="0"/>
              <w:rPr>
                <w:sz w:val="1"/>
                <w:szCs w:val="1"/>
                <w:color w:val="auto"/>
              </w:rPr>
            </w:pPr>
          </w:p>
        </w:tc>
      </w:tr>
      <w:tr>
        <w:trPr>
          <w:trHeight w:val="19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4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420"/>
              <w:spacing w:after="0"/>
              <w:rPr>
                <w:sz w:val="20"/>
                <w:szCs w:val="20"/>
                <w:color w:val="auto"/>
              </w:rPr>
            </w:pPr>
            <w:r>
              <w:rPr>
                <w:rFonts w:ascii="Arial" w:cs="Arial" w:eastAsia="Arial" w:hAnsi="Arial"/>
                <w:sz w:val="14"/>
                <w:szCs w:val="14"/>
                <w:color w:val="auto"/>
              </w:rPr>
              <w:t>Operating lease right-of-use assets</w:t>
            </w: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Current portion of operating lease liabilities</w:t>
            </w:r>
          </w:p>
        </w:tc>
        <w:tc>
          <w:tcPr>
            <w:tcW w:w="1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3"/>
        </w:trPr>
        <w:tc>
          <w:tcPr>
            <w:tcW w:w="7680" w:type="dxa"/>
            <w:vAlign w:val="bottom"/>
          </w:tcPr>
          <w:p>
            <w:pPr>
              <w:ind w:left="420"/>
              <w:spacing w:after="0"/>
              <w:rPr>
                <w:sz w:val="20"/>
                <w:szCs w:val="20"/>
                <w:color w:val="auto"/>
              </w:rPr>
            </w:pPr>
            <w:r>
              <w:rPr>
                <w:rFonts w:ascii="Arial" w:cs="Arial" w:eastAsia="Arial" w:hAnsi="Arial"/>
                <w:sz w:val="14"/>
                <w:szCs w:val="14"/>
                <w:color w:val="auto"/>
              </w:rPr>
              <w:t>Operating lease liabilities, net of current portion</w:t>
            </w: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1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420"/>
              <w:spacing w:after="0"/>
              <w:rPr>
                <w:sz w:val="20"/>
                <w:szCs w:val="20"/>
                <w:color w:val="auto"/>
              </w:rPr>
            </w:pPr>
            <w:r>
              <w:rPr>
                <w:rFonts w:ascii="Arial" w:cs="Arial" w:eastAsia="Arial" w:hAnsi="Arial"/>
                <w:sz w:val="14"/>
                <w:szCs w:val="14"/>
                <w:color w:val="auto"/>
              </w:rPr>
              <w:t>Property, plant and equipment, net</w:t>
            </w: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Other current liabilities</w:t>
            </w:r>
          </w:p>
        </w:tc>
        <w:tc>
          <w:tcPr>
            <w:tcW w:w="1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3"/>
        </w:trPr>
        <w:tc>
          <w:tcPr>
            <w:tcW w:w="7680" w:type="dxa"/>
            <w:vAlign w:val="bottom"/>
          </w:tcPr>
          <w:p>
            <w:pPr>
              <w:ind w:left="420"/>
              <w:spacing w:after="0"/>
              <w:rPr>
                <w:sz w:val="20"/>
                <w:szCs w:val="20"/>
                <w:color w:val="auto"/>
              </w:rPr>
            </w:pPr>
            <w:r>
              <w:rPr>
                <w:rFonts w:ascii="Arial" w:cs="Arial" w:eastAsia="Arial" w:hAnsi="Arial"/>
                <w:sz w:val="14"/>
                <w:szCs w:val="14"/>
                <w:color w:val="auto"/>
              </w:rPr>
              <w:t>Other long-term liabilities</w:t>
            </w: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539"/>
        </w:trPr>
        <w:tc>
          <w:tcPr>
            <w:tcW w:w="7680" w:type="dxa"/>
            <w:vAlign w:val="bottom"/>
          </w:tcPr>
          <w:p>
            <w:pPr>
              <w:ind w:left="520"/>
              <w:spacing w:after="0"/>
              <w:rPr>
                <w:sz w:val="20"/>
                <w:szCs w:val="20"/>
                <w:color w:val="auto"/>
              </w:rPr>
            </w:pPr>
            <w:r>
              <w:rPr>
                <w:rFonts w:ascii="Arial" w:cs="Arial" w:eastAsia="Arial" w:hAnsi="Arial"/>
                <w:sz w:val="14"/>
                <w:szCs w:val="14"/>
                <w:color w:val="auto"/>
              </w:rPr>
              <w:t>Cash paid for amounts included in the measurement of lease liabilities was as follows (in millions):</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680" w:type="dxa"/>
            <w:vAlign w:val="bottom"/>
          </w:tcPr>
          <w:p>
            <w:pPr>
              <w:spacing w:after="0"/>
              <w:rPr>
                <w:sz w:val="24"/>
                <w:szCs w:val="24"/>
                <w:color w:val="auto"/>
              </w:rPr>
            </w:pPr>
          </w:p>
        </w:tc>
        <w:tc>
          <w:tcPr>
            <w:tcW w:w="1480" w:type="dxa"/>
            <w:vAlign w:val="bottom"/>
          </w:tcPr>
          <w:p>
            <w:pPr>
              <w:jc w:val="center"/>
              <w:ind w:left="313"/>
              <w:spacing w:after="0"/>
              <w:rPr>
                <w:sz w:val="20"/>
                <w:szCs w:val="20"/>
                <w:color w:val="auto"/>
              </w:rPr>
            </w:pPr>
            <w:r>
              <w:rPr>
                <w:rFonts w:ascii="Arial" w:cs="Arial" w:eastAsia="Arial" w:hAnsi="Arial"/>
                <w:sz w:val="11"/>
                <w:szCs w:val="11"/>
                <w:b w:val="1"/>
                <w:bCs w:val="1"/>
                <w:color w:val="auto"/>
                <w:w w:val="97"/>
              </w:rPr>
              <w:t>Three Months Ended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center"/>
              <w:ind w:right="211"/>
              <w:spacing w:after="0"/>
              <w:rPr>
                <w:sz w:val="20"/>
                <w:szCs w:val="20"/>
                <w:color w:val="auto"/>
              </w:rPr>
            </w:pPr>
            <w:r>
              <w:rPr>
                <w:rFonts w:ascii="Arial" w:cs="Arial" w:eastAsia="Arial" w:hAnsi="Arial"/>
                <w:sz w:val="11"/>
                <w:szCs w:val="11"/>
                <w:b w:val="1"/>
                <w:bCs w:val="1"/>
                <w:color w:val="auto"/>
                <w:w w:val="94"/>
              </w:rPr>
              <w:t>Six Months Ended</w:t>
            </w:r>
          </w:p>
        </w:tc>
        <w:tc>
          <w:tcPr>
            <w:tcW w:w="0" w:type="dxa"/>
            <w:vAlign w:val="bottom"/>
          </w:tcPr>
          <w:p>
            <w:pPr>
              <w:spacing w:after="0"/>
              <w:rPr>
                <w:sz w:val="1"/>
                <w:szCs w:val="1"/>
                <w:color w:val="auto"/>
              </w:rPr>
            </w:pPr>
          </w:p>
        </w:tc>
      </w:tr>
      <w:tr>
        <w:trPr>
          <w:trHeight w:val="220"/>
        </w:trPr>
        <w:tc>
          <w:tcPr>
            <w:tcW w:w="7680" w:type="dxa"/>
            <w:vAlign w:val="bottom"/>
          </w:tcPr>
          <w:p>
            <w:pPr>
              <w:spacing w:after="0"/>
              <w:rPr>
                <w:sz w:val="19"/>
                <w:szCs w:val="19"/>
                <w:color w:val="auto"/>
              </w:rPr>
            </w:pPr>
          </w:p>
        </w:tc>
        <w:tc>
          <w:tcPr>
            <w:tcW w:w="1480" w:type="dxa"/>
            <w:vAlign w:val="bottom"/>
            <w:tcBorders>
              <w:bottom w:val="single" w:sz="8" w:color="auto"/>
            </w:tcBorders>
          </w:tcPr>
          <w:p>
            <w:pPr>
              <w:jc w:val="center"/>
              <w:ind w:left="313"/>
              <w:spacing w:after="0"/>
              <w:rPr>
                <w:sz w:val="20"/>
                <w:szCs w:val="20"/>
                <w:color w:val="auto"/>
              </w:rPr>
            </w:pPr>
            <w:r>
              <w:rPr>
                <w:rFonts w:ascii="Arial" w:cs="Arial" w:eastAsia="Arial" w:hAnsi="Arial"/>
                <w:sz w:val="11"/>
                <w:szCs w:val="11"/>
                <w:b w:val="1"/>
                <w:bCs w:val="1"/>
                <w:color w:val="auto"/>
                <w:w w:val="92"/>
              </w:rPr>
              <w:t>June 30, 2019</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91"/>
              <w:spacing w:after="0"/>
              <w:rPr>
                <w:sz w:val="20"/>
                <w:szCs w:val="20"/>
                <w:color w:val="auto"/>
              </w:rPr>
            </w:pPr>
            <w:r>
              <w:rPr>
                <w:rFonts w:ascii="Arial" w:cs="Arial" w:eastAsia="Arial" w:hAnsi="Arial"/>
                <w:sz w:val="11"/>
                <w:szCs w:val="11"/>
                <w:b w:val="1"/>
                <w:bCs w:val="1"/>
                <w:color w:val="auto"/>
                <w:w w:val="94"/>
              </w:rPr>
              <w:t>June 30, 2019</w:t>
            </w:r>
          </w:p>
        </w:tc>
        <w:tc>
          <w:tcPr>
            <w:tcW w:w="0" w:type="dxa"/>
            <w:vAlign w:val="bottom"/>
          </w:tcPr>
          <w:p>
            <w:pPr>
              <w:spacing w:after="0"/>
              <w:rPr>
                <w:sz w:val="1"/>
                <w:szCs w:val="1"/>
                <w:color w:val="auto"/>
              </w:rPr>
            </w:pPr>
          </w:p>
        </w:tc>
      </w:tr>
      <w:tr>
        <w:trPr>
          <w:trHeight w:val="188"/>
        </w:trPr>
        <w:tc>
          <w:tcPr>
            <w:tcW w:w="7680" w:type="dxa"/>
            <w:vAlign w:val="bottom"/>
          </w:tcPr>
          <w:p>
            <w:pPr>
              <w:ind w:left="20"/>
              <w:spacing w:after="0"/>
              <w:rPr>
                <w:sz w:val="20"/>
                <w:szCs w:val="20"/>
                <w:color w:val="auto"/>
              </w:rPr>
            </w:pPr>
            <w:r>
              <w:rPr>
                <w:rFonts w:ascii="Arial" w:cs="Arial" w:eastAsia="Arial" w:hAnsi="Arial"/>
                <w:sz w:val="14"/>
                <w:szCs w:val="14"/>
                <w:color w:val="auto"/>
              </w:rPr>
              <w:t>Finance lease - cash paid for interest</w:t>
            </w:r>
          </w:p>
        </w:tc>
        <w:tc>
          <w:tcPr>
            <w:tcW w:w="1480" w:type="dxa"/>
            <w:vAlign w:val="bottom"/>
          </w:tcPr>
          <w:p>
            <w:pPr>
              <w:jc w:val="right"/>
              <w:ind w:right="1313"/>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 - financing cash flows</w:t>
            </w:r>
          </w:p>
        </w:tc>
        <w:tc>
          <w:tcPr>
            <w:tcW w:w="1480" w:type="dxa"/>
            <w:vAlign w:val="bottom"/>
            <w:tcBorders>
              <w:bottom w:val="single" w:sz="8" w:color="CCEEFF"/>
            </w:tcBorders>
            <w:shd w:val="clear" w:color="auto" w:fill="CCEEFF"/>
          </w:tcPr>
          <w:p>
            <w:pPr>
              <w:jc w:val="right"/>
              <w:ind w:right="131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Operating lease - operating cash flows (fixed payments)</w:t>
            </w:r>
          </w:p>
        </w:tc>
        <w:tc>
          <w:tcPr>
            <w:tcW w:w="1480" w:type="dxa"/>
            <w:vAlign w:val="bottom"/>
          </w:tcPr>
          <w:p>
            <w:pPr>
              <w:jc w:val="right"/>
              <w:ind w:right="1313"/>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366"/>
        </w:trPr>
        <w:tc>
          <w:tcPr>
            <w:tcW w:w="7680" w:type="dxa"/>
            <w:vAlign w:val="bottom"/>
          </w:tcPr>
          <w:p>
            <w:pPr>
              <w:ind w:left="520"/>
              <w:spacing w:after="0"/>
              <w:rPr>
                <w:sz w:val="20"/>
                <w:szCs w:val="20"/>
                <w:color w:val="auto"/>
              </w:rPr>
            </w:pPr>
            <w:r>
              <w:rPr>
                <w:rFonts w:ascii="Arial" w:cs="Arial" w:eastAsia="Arial" w:hAnsi="Arial"/>
                <w:sz w:val="14"/>
                <w:szCs w:val="14"/>
                <w:color w:val="auto"/>
              </w:rPr>
              <w:t>Other supplemental noncash information (in millions):</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gridSpan w:val="3"/>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arising from obtaining right-of-use assets, including impact of ASC 842 adoption</w:t>
            </w:r>
          </w:p>
        </w:tc>
        <w:tc>
          <w:tcPr>
            <w:tcW w:w="1480" w:type="dxa"/>
            <w:vAlign w:val="bottom"/>
            <w:tcBorders>
              <w:bottom w:val="single" w:sz="8" w:color="CCEEFF"/>
            </w:tcBorders>
            <w:shd w:val="clear" w:color="auto" w:fill="CCEEFF"/>
          </w:tcPr>
          <w:p>
            <w:pPr>
              <w:jc w:val="right"/>
              <w:ind w:right="1313"/>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Finance lease liabilities arising from obtaining right-of-use assets, including impact of ASC 842 adoption</w:t>
            </w:r>
          </w:p>
        </w:tc>
        <w:tc>
          <w:tcPr>
            <w:tcW w:w="1480" w:type="dxa"/>
            <w:vAlign w:val="bottom"/>
          </w:tcPr>
          <w:p>
            <w:pPr>
              <w:jc w:val="right"/>
              <w:ind w:right="1313"/>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71"/>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Weighted-average remaining lease term (in years):</w:t>
            </w: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Operating leases</w:t>
            </w:r>
          </w:p>
        </w:tc>
        <w:tc>
          <w:tcPr>
            <w:tcW w:w="1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3"/>
        </w:trPr>
        <w:tc>
          <w:tcPr>
            <w:tcW w:w="7680" w:type="dxa"/>
            <w:vAlign w:val="bottom"/>
          </w:tcPr>
          <w:p>
            <w:pPr>
              <w:ind w:left="540"/>
              <w:spacing w:after="0"/>
              <w:rPr>
                <w:sz w:val="20"/>
                <w:szCs w:val="20"/>
                <w:color w:val="auto"/>
              </w:rPr>
            </w:pPr>
            <w:r>
              <w:rPr>
                <w:rFonts w:ascii="Arial" w:cs="Arial" w:eastAsia="Arial" w:hAnsi="Arial"/>
                <w:sz w:val="14"/>
                <w:szCs w:val="14"/>
                <w:color w:val="auto"/>
              </w:rPr>
              <w:t>Finance leases</w:t>
            </w: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ind w:right="71"/>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Operating leases</w:t>
            </w:r>
          </w:p>
        </w:tc>
        <w:tc>
          <w:tcPr>
            <w:tcW w:w="1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93"/>
        </w:trPr>
        <w:tc>
          <w:tcPr>
            <w:tcW w:w="7680" w:type="dxa"/>
            <w:vAlign w:val="bottom"/>
          </w:tcPr>
          <w:p>
            <w:pPr>
              <w:ind w:left="540"/>
              <w:spacing w:after="0"/>
              <w:rPr>
                <w:sz w:val="20"/>
                <w:szCs w:val="20"/>
                <w:color w:val="auto"/>
              </w:rPr>
            </w:pPr>
            <w:r>
              <w:rPr>
                <w:rFonts w:ascii="Arial" w:cs="Arial" w:eastAsia="Arial" w:hAnsi="Arial"/>
                <w:sz w:val="14"/>
                <w:szCs w:val="14"/>
                <w:color w:val="auto"/>
              </w:rPr>
              <w:t>Finance leases</w:t>
            </w: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733"/>
        </w:trPr>
        <w:tc>
          <w:tcPr>
            <w:tcW w:w="7680" w:type="dxa"/>
            <w:vAlign w:val="bottom"/>
          </w:tcPr>
          <w:p>
            <w:pPr>
              <w:ind w:left="5660"/>
              <w:spacing w:after="0"/>
              <w:rPr>
                <w:sz w:val="20"/>
                <w:szCs w:val="20"/>
                <w:color w:val="auto"/>
              </w:rPr>
            </w:pPr>
            <w:r>
              <w:rPr>
                <w:rFonts w:ascii="Arial" w:cs="Arial" w:eastAsia="Arial" w:hAnsi="Arial"/>
                <w:sz w:val="14"/>
                <w:szCs w:val="14"/>
                <w:color w:val="auto"/>
              </w:rPr>
              <w:t>17</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maturity of lease liabilities is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w w:val="90"/>
              </w:rPr>
              <w:t>Operating Leases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gridSpan w:val="2"/>
          </w:tcPr>
          <w:p>
            <w:pPr>
              <w:jc w:val="right"/>
              <w:ind w:right="588"/>
              <w:spacing w:after="0"/>
              <w:rPr>
                <w:sz w:val="20"/>
                <w:szCs w:val="20"/>
                <w:color w:val="auto"/>
              </w:rPr>
            </w:pPr>
            <w:r>
              <w:rPr>
                <w:rFonts w:ascii="Arial" w:cs="Arial" w:eastAsia="Arial" w:hAnsi="Arial"/>
                <w:sz w:val="11"/>
                <w:szCs w:val="11"/>
                <w:b w:val="1"/>
                <w:bCs w:val="1"/>
                <w:color w:val="auto"/>
                <w:w w:val="87"/>
              </w:rPr>
              <w:t>Finance Leases</w:t>
            </w:r>
          </w:p>
        </w:tc>
      </w:tr>
      <w:tr>
        <w:trPr>
          <w:trHeight w:val="222"/>
        </w:trPr>
        <w:tc>
          <w:tcPr>
            <w:tcW w:w="7340" w:type="dxa"/>
            <w:vAlign w:val="bottom"/>
            <w:shd w:val="clear" w:color="auto" w:fill="CCEEFF"/>
          </w:tcPr>
          <w:p>
            <w:pPr>
              <w:ind w:left="20"/>
              <w:spacing w:after="0" w:line="222" w:lineRule="exact"/>
              <w:rPr>
                <w:sz w:val="20"/>
                <w:szCs w:val="20"/>
                <w:color w:val="auto"/>
              </w:rPr>
            </w:pPr>
            <w:r>
              <w:rPr>
                <w:rFonts w:ascii="Arial" w:cs="Arial" w:eastAsia="Arial" w:hAnsi="Arial"/>
                <w:sz w:val="14"/>
                <w:szCs w:val="14"/>
                <w:color w:val="auto"/>
              </w:rPr>
              <w:t xml:space="preserve">2019 </w:t>
            </w:r>
            <w:r>
              <w:rPr>
                <w:rFonts w:ascii="Arial" w:cs="Arial" w:eastAsia="Arial" w:hAnsi="Arial"/>
                <w:sz w:val="20"/>
                <w:szCs w:val="20"/>
                <w:color w:val="auto"/>
                <w:vertAlign w:val="superscript"/>
              </w:rPr>
              <w:t>(1)</w:t>
            </w: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spacing w:after="0"/>
              <w:rPr>
                <w:sz w:val="19"/>
                <w:szCs w:val="19"/>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193"/>
        </w:trPr>
        <w:tc>
          <w:tcPr>
            <w:tcW w:w="7340" w:type="dxa"/>
            <w:vAlign w:val="bottom"/>
          </w:tcPr>
          <w:p>
            <w:pPr>
              <w:ind w:left="20"/>
              <w:spacing w:after="0"/>
              <w:rPr>
                <w:sz w:val="20"/>
                <w:szCs w:val="20"/>
                <w:color w:val="auto"/>
              </w:rPr>
            </w:pPr>
            <w:r>
              <w:rPr>
                <w:rFonts w:ascii="Arial" w:cs="Arial" w:eastAsia="Arial" w:hAnsi="Arial"/>
                <w:sz w:val="14"/>
                <w:szCs w:val="14"/>
                <w:color w:val="auto"/>
              </w:rPr>
              <w:t>2020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3.2</w:t>
            </w:r>
          </w:p>
        </w:tc>
      </w:tr>
      <w:tr>
        <w:trPr>
          <w:trHeight w:val="23"/>
        </w:trPr>
        <w:tc>
          <w:tcPr>
            <w:tcW w:w="7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193"/>
        </w:trPr>
        <w:tc>
          <w:tcPr>
            <w:tcW w:w="7340" w:type="dxa"/>
            <w:vAlign w:val="bottom"/>
          </w:tcPr>
          <w:p>
            <w:pPr>
              <w:ind w:left="20"/>
              <w:spacing w:after="0"/>
              <w:rPr>
                <w:sz w:val="20"/>
                <w:szCs w:val="20"/>
                <w:color w:val="auto"/>
              </w:rPr>
            </w:pPr>
            <w:r>
              <w:rPr>
                <w:rFonts w:ascii="Arial" w:cs="Arial" w:eastAsia="Arial" w:hAnsi="Arial"/>
                <w:sz w:val="14"/>
                <w:szCs w:val="14"/>
                <w:color w:val="auto"/>
              </w:rPr>
              <w:t>2022</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3.3</w:t>
            </w:r>
          </w:p>
        </w:tc>
      </w:tr>
      <w:tr>
        <w:trPr>
          <w:trHeight w:val="23"/>
        </w:trPr>
        <w:tc>
          <w:tcPr>
            <w:tcW w:w="7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193"/>
        </w:trPr>
        <w:tc>
          <w:tcPr>
            <w:tcW w:w="734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57.3</w:t>
            </w: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6"/>
        </w:trPr>
        <w:tc>
          <w:tcPr>
            <w:tcW w:w="7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rPr>
              <w:t>Total lease payments</w:t>
            </w: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71.8</w:t>
            </w:r>
          </w:p>
        </w:tc>
      </w:tr>
      <w:tr>
        <w:trPr>
          <w:trHeight w:val="193"/>
        </w:trPr>
        <w:tc>
          <w:tcPr>
            <w:tcW w:w="7340" w:type="dxa"/>
            <w:vAlign w:val="bottom"/>
          </w:tcPr>
          <w:p>
            <w:pPr>
              <w:ind w:left="20"/>
              <w:spacing w:after="0"/>
              <w:rPr>
                <w:sz w:val="20"/>
                <w:szCs w:val="20"/>
                <w:color w:val="auto"/>
              </w:rPr>
            </w:pPr>
            <w:r>
              <w:rPr>
                <w:rFonts w:ascii="Arial" w:cs="Arial" w:eastAsia="Arial" w:hAnsi="Arial"/>
                <w:sz w:val="14"/>
                <w:szCs w:val="14"/>
                <w:color w:val="auto"/>
              </w:rPr>
              <w:t>Less: imputed interest</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(32.5)</w:t>
            </w: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7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rPr>
              <w:t>Total present value of lease liabilities</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49.9</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r>
      <w:tr>
        <w:trPr>
          <w:trHeight w:val="20"/>
        </w:trPr>
        <w:tc>
          <w:tcPr>
            <w:tcW w:w="7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160" w:hanging="132"/>
        <w:spacing w:after="0"/>
        <w:tabs>
          <w:tab w:leader="none" w:pos="16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Excludes the six months ended June 30, 2019.</w:t>
      </w:r>
    </w:p>
    <w:p>
      <w:pPr>
        <w:spacing w:after="0" w:line="361" w:lineRule="exact"/>
        <w:rPr>
          <w:sz w:val="20"/>
          <w:szCs w:val="20"/>
          <w:color w:val="auto"/>
        </w:rPr>
      </w:pPr>
    </w:p>
    <w:p>
      <w:pPr>
        <w:ind w:right="80" w:firstLine="517"/>
        <w:spacing w:after="0" w:line="267" w:lineRule="auto"/>
        <w:rPr>
          <w:sz w:val="20"/>
          <w:szCs w:val="20"/>
          <w:color w:val="auto"/>
        </w:rPr>
      </w:pPr>
      <w:r>
        <w:rPr>
          <w:rFonts w:ascii="Arial" w:cs="Arial" w:eastAsia="Arial" w:hAnsi="Arial"/>
          <w:sz w:val="14"/>
          <w:szCs w:val="14"/>
          <w:color w:val="auto"/>
        </w:rPr>
        <w:t>Rental expense for operating leases classified under ASC 840 for the three months ended July 1, 2018 was approximately $3.7 million net of sublease income of approximately $0.8 million. Rental expense for operating leases classified under ASC 840 for the six months ended July 1, 2018 was approximately $7.5 million net of sublease income of approximately $1.6 million. As of December 30, 2018, future minimum lease payments under operating leases, which does not include $4.3 million in sublease income on the Company’s operating leases as classified under ASC 840, were as follows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400" w:type="dxa"/>
            <w:vAlign w:val="bottom"/>
          </w:tcPr>
          <w:p>
            <w:pPr>
              <w:ind w:left="20"/>
              <w:spacing w:after="0"/>
              <w:rPr>
                <w:sz w:val="20"/>
                <w:szCs w:val="20"/>
                <w:color w:val="auto"/>
              </w:rPr>
            </w:pPr>
            <w:r>
              <w:rPr>
                <w:rFonts w:ascii="Arial" w:cs="Arial" w:eastAsia="Arial" w:hAnsi="Arial"/>
                <w:sz w:val="14"/>
                <w:szCs w:val="14"/>
                <w:color w:val="auto"/>
              </w:rPr>
              <w:t>Year ending December 30, 2018</w:t>
            </w:r>
          </w:p>
        </w:tc>
        <w:tc>
          <w:tcPr>
            <w:tcW w:w="600" w:type="dxa"/>
            <w:vAlign w:val="bottom"/>
          </w:tcPr>
          <w:p>
            <w:pPr>
              <w:spacing w:after="0"/>
              <w:rPr>
                <w:sz w:val="15"/>
                <w:szCs w:val="15"/>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1"/>
                <w:szCs w:val="11"/>
                <w:b w:val="1"/>
                <w:bCs w:val="1"/>
                <w:color w:val="auto"/>
                <w:w w:val="90"/>
              </w:rPr>
              <w:t>Operating Leases</w:t>
            </w:r>
          </w:p>
        </w:tc>
      </w:tr>
      <w:tr>
        <w:trPr>
          <w:trHeight w:val="202"/>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r>
      <w:tr>
        <w:trPr>
          <w:trHeight w:val="193"/>
        </w:trPr>
        <w:tc>
          <w:tcPr>
            <w:tcW w:w="9400" w:type="dxa"/>
            <w:vAlign w:val="bottom"/>
          </w:tcPr>
          <w:p>
            <w:pPr>
              <w:ind w:left="20"/>
              <w:spacing w:after="0"/>
              <w:rPr>
                <w:sz w:val="20"/>
                <w:szCs w:val="20"/>
                <w:color w:val="auto"/>
              </w:rPr>
            </w:pPr>
            <w:r>
              <w:rPr>
                <w:rFonts w:ascii="Arial" w:cs="Arial" w:eastAsia="Arial" w:hAnsi="Arial"/>
                <w:sz w:val="14"/>
                <w:szCs w:val="14"/>
                <w:color w:val="auto"/>
              </w:rPr>
              <w:t>2020</w:t>
            </w:r>
          </w:p>
        </w:tc>
        <w:tc>
          <w:tcPr>
            <w:tcW w:w="600" w:type="dxa"/>
            <w:vAlign w:val="bottom"/>
          </w:tcPr>
          <w:p>
            <w:pPr>
              <w:spacing w:after="0"/>
              <w:rPr>
                <w:sz w:val="16"/>
                <w:szCs w:val="16"/>
                <w:color w:val="auto"/>
              </w:rPr>
            </w:pPr>
          </w:p>
        </w:tc>
        <w:tc>
          <w:tcPr>
            <w:tcW w:w="1460" w:type="dxa"/>
            <w:vAlign w:val="bottom"/>
            <w:gridSpan w:val="2"/>
          </w:tcPr>
          <w:p>
            <w:pPr>
              <w:jc w:val="right"/>
              <w:ind w:right="28"/>
              <w:spacing w:after="0"/>
              <w:rPr>
                <w:sz w:val="20"/>
                <w:szCs w:val="20"/>
                <w:color w:val="auto"/>
              </w:rPr>
            </w:pPr>
            <w:r>
              <w:rPr>
                <w:rFonts w:ascii="Arial" w:cs="Arial" w:eastAsia="Arial" w:hAnsi="Arial"/>
                <w:sz w:val="14"/>
                <w:szCs w:val="14"/>
                <w:color w:val="auto"/>
              </w:rPr>
              <w:t>12.0</w:t>
            </w:r>
          </w:p>
        </w:tc>
      </w:tr>
      <w:tr>
        <w:trPr>
          <w:trHeight w:val="23"/>
        </w:trPr>
        <w:tc>
          <w:tcPr>
            <w:tcW w:w="9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r>
      <w:tr>
        <w:trPr>
          <w:trHeight w:val="193"/>
        </w:trPr>
        <w:tc>
          <w:tcPr>
            <w:tcW w:w="9400" w:type="dxa"/>
            <w:vAlign w:val="bottom"/>
          </w:tcPr>
          <w:p>
            <w:pPr>
              <w:ind w:left="20"/>
              <w:spacing w:after="0"/>
              <w:rPr>
                <w:sz w:val="20"/>
                <w:szCs w:val="20"/>
                <w:color w:val="auto"/>
              </w:rPr>
            </w:pPr>
            <w:r>
              <w:rPr>
                <w:rFonts w:ascii="Arial" w:cs="Arial" w:eastAsia="Arial" w:hAnsi="Arial"/>
                <w:sz w:val="14"/>
                <w:szCs w:val="14"/>
                <w:color w:val="auto"/>
              </w:rPr>
              <w:t>2022</w:t>
            </w:r>
          </w:p>
        </w:tc>
        <w:tc>
          <w:tcPr>
            <w:tcW w:w="600" w:type="dxa"/>
            <w:vAlign w:val="bottom"/>
          </w:tcPr>
          <w:p>
            <w:pPr>
              <w:spacing w:after="0"/>
              <w:rPr>
                <w:sz w:val="16"/>
                <w:szCs w:val="16"/>
                <w:color w:val="auto"/>
              </w:rPr>
            </w:pPr>
          </w:p>
        </w:tc>
        <w:tc>
          <w:tcPr>
            <w:tcW w:w="1460" w:type="dxa"/>
            <w:vAlign w:val="bottom"/>
            <w:gridSpan w:val="2"/>
          </w:tcPr>
          <w:p>
            <w:pPr>
              <w:jc w:val="right"/>
              <w:ind w:right="28"/>
              <w:spacing w:after="0"/>
              <w:rPr>
                <w:sz w:val="20"/>
                <w:szCs w:val="20"/>
                <w:color w:val="auto"/>
              </w:rPr>
            </w:pPr>
            <w:r>
              <w:rPr>
                <w:rFonts w:ascii="Arial" w:cs="Arial" w:eastAsia="Arial" w:hAnsi="Arial"/>
                <w:sz w:val="14"/>
                <w:szCs w:val="14"/>
                <w:color w:val="auto"/>
              </w:rPr>
              <w:t>8.1</w:t>
            </w:r>
          </w:p>
        </w:tc>
      </w:tr>
      <w:tr>
        <w:trPr>
          <w:trHeight w:val="23"/>
        </w:trPr>
        <w:tc>
          <w:tcPr>
            <w:tcW w:w="9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r>
      <w:tr>
        <w:trPr>
          <w:trHeight w:val="193"/>
        </w:trPr>
        <w:tc>
          <w:tcPr>
            <w:tcW w:w="94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600" w:type="dxa"/>
            <w:vAlign w:val="bottom"/>
          </w:tcPr>
          <w:p>
            <w:pPr>
              <w:spacing w:after="0"/>
              <w:rPr>
                <w:sz w:val="16"/>
                <w:szCs w:val="16"/>
                <w:color w:val="auto"/>
              </w:rPr>
            </w:pPr>
          </w:p>
        </w:tc>
        <w:tc>
          <w:tcPr>
            <w:tcW w:w="1460" w:type="dxa"/>
            <w:vAlign w:val="bottom"/>
            <w:gridSpan w:val="2"/>
          </w:tcPr>
          <w:p>
            <w:pPr>
              <w:jc w:val="right"/>
              <w:ind w:right="28"/>
              <w:spacing w:after="0"/>
              <w:rPr>
                <w:sz w:val="20"/>
                <w:szCs w:val="20"/>
                <w:color w:val="auto"/>
              </w:rPr>
            </w:pPr>
            <w:r>
              <w:rPr>
                <w:rFonts w:ascii="Arial" w:cs="Arial" w:eastAsia="Arial" w:hAnsi="Arial"/>
                <w:sz w:val="14"/>
                <w:szCs w:val="14"/>
                <w:color w:val="auto"/>
              </w:rPr>
              <w:t>63.1</w:t>
            </w:r>
          </w:p>
        </w:tc>
      </w:tr>
      <w:tr>
        <w:trPr>
          <w:trHeight w:val="23"/>
        </w:trPr>
        <w:tc>
          <w:tcPr>
            <w:tcW w:w="9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0"/>
        </w:trPr>
        <w:tc>
          <w:tcPr>
            <w:tcW w:w="9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rPr>
              <w:t>Total minimum lease payments</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117.2</w:t>
            </w:r>
          </w:p>
        </w:tc>
      </w:tr>
      <w:tr>
        <w:trPr>
          <w:trHeight w:val="20"/>
        </w:trPr>
        <w:tc>
          <w:tcPr>
            <w:tcW w:w="9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Income Taxes</w:t>
      </w:r>
    </w:p>
    <w:p>
      <w:pPr>
        <w:spacing w:after="0" w:line="188" w:lineRule="exact"/>
        <w:rPr>
          <w:sz w:val="20"/>
          <w:szCs w:val="20"/>
          <w:color w:val="auto"/>
        </w:rPr>
      </w:pPr>
    </w:p>
    <w:p>
      <w:pPr>
        <w:ind w:right="320" w:firstLine="453"/>
        <w:spacing w:after="0" w:line="288" w:lineRule="auto"/>
        <w:rPr>
          <w:sz w:val="20"/>
          <w:szCs w:val="20"/>
          <w:color w:val="auto"/>
        </w:rPr>
      </w:pPr>
      <w:r>
        <w:rPr>
          <w:rFonts w:ascii="Arial" w:cs="Arial" w:eastAsia="Arial" w:hAnsi="Arial"/>
          <w:sz w:val="14"/>
          <w:szCs w:val="14"/>
          <w:color w:val="auto"/>
        </w:rPr>
        <w:t>A reconciliation of the income tax expense (benefit) from continuing operations computed by applying the statutory federal income tax rate of 21% to income from continuing operations before income taxes to the income tax provision for the three and six months ended June 30, 2019 and July 1, 2018 was as follows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40" w:type="dxa"/>
            <w:vAlign w:val="bottom"/>
          </w:tcPr>
          <w:p>
            <w:pPr>
              <w:spacing w:after="0"/>
              <w:rPr>
                <w:sz w:val="13"/>
                <w:szCs w:val="13"/>
                <w:color w:val="auto"/>
              </w:rPr>
            </w:pPr>
          </w:p>
        </w:tc>
        <w:tc>
          <w:tcPr>
            <w:tcW w:w="206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1"/>
                <w:szCs w:val="11"/>
                <w:b w:val="1"/>
                <w:bCs w:val="1"/>
                <w:color w:val="auto"/>
              </w:rPr>
              <w:t>For the Three Months Ended</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1"/>
                <w:szCs w:val="11"/>
                <w:b w:val="1"/>
                <w:bCs w:val="1"/>
                <w:color w:val="auto"/>
              </w:rPr>
              <w:t>For the Six Months Ended</w:t>
            </w:r>
          </w:p>
        </w:tc>
        <w:tc>
          <w:tcPr>
            <w:tcW w:w="380" w:type="dxa"/>
            <w:vAlign w:val="bottom"/>
            <w:tcBorders>
              <w:bottom w:val="single" w:sz="8" w:color="auto"/>
            </w:tcBorders>
          </w:tcPr>
          <w:p>
            <w:pPr>
              <w:spacing w:after="0"/>
              <w:rPr>
                <w:sz w:val="13"/>
                <w:szCs w:val="13"/>
                <w:color w:val="auto"/>
              </w:rPr>
            </w:pPr>
          </w:p>
        </w:tc>
      </w:tr>
      <w:tr>
        <w:trPr>
          <w:trHeight w:val="118"/>
        </w:trPr>
        <w:tc>
          <w:tcPr>
            <w:tcW w:w="654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June 30,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July 1,</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June 30,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July 1,</w:t>
            </w:r>
          </w:p>
        </w:tc>
        <w:tc>
          <w:tcPr>
            <w:tcW w:w="380" w:type="dxa"/>
            <w:vAlign w:val="bottom"/>
          </w:tcPr>
          <w:p>
            <w:pPr>
              <w:spacing w:after="0"/>
              <w:rPr>
                <w:sz w:val="10"/>
                <w:szCs w:val="10"/>
                <w:color w:val="auto"/>
              </w:rPr>
            </w:pPr>
          </w:p>
        </w:tc>
      </w:tr>
      <w:tr>
        <w:trPr>
          <w:trHeight w:val="153"/>
        </w:trPr>
        <w:tc>
          <w:tcPr>
            <w:tcW w:w="65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2018</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380" w:type="dxa"/>
            <w:vAlign w:val="bottom"/>
            <w:tcBorders>
              <w:bottom w:val="single" w:sz="8" w:color="auto"/>
            </w:tcBorders>
          </w:tcPr>
          <w:p>
            <w:pPr>
              <w:spacing w:after="0"/>
              <w:rPr>
                <w:sz w:val="13"/>
                <w:szCs w:val="13"/>
                <w:color w:val="auto"/>
              </w:rPr>
            </w:pPr>
          </w:p>
        </w:tc>
      </w:tr>
      <w:tr>
        <w:trPr>
          <w:trHeight w:val="19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 at federal statutory rate</w:t>
            </w:r>
          </w:p>
        </w:tc>
        <w:tc>
          <w:tcPr>
            <w:tcW w:w="80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State and foreign taxes, net of federal tax benefit and valuation allowance</w:t>
            </w:r>
          </w:p>
        </w:tc>
        <w:tc>
          <w:tcPr>
            <w:tcW w:w="80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3"/>
        </w:trPr>
        <w:tc>
          <w:tcPr>
            <w:tcW w:w="6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Release of valuation allowance due to FTT acquisition</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(3.4)</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Global intangible low-taxed income</w:t>
            </w:r>
          </w:p>
        </w:tc>
        <w:tc>
          <w:tcPr>
            <w:tcW w:w="800" w:type="dxa"/>
            <w:vAlign w:val="bottom"/>
          </w:tcPr>
          <w:p>
            <w:pPr>
              <w:spacing w:after="0"/>
              <w:rPr>
                <w:sz w:val="16"/>
                <w:szCs w:val="16"/>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3"/>
        </w:trPr>
        <w:tc>
          <w:tcPr>
            <w:tcW w:w="6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Nondeductible expenses and other</w:t>
            </w:r>
          </w:p>
        </w:tc>
        <w:tc>
          <w:tcPr>
            <w:tcW w:w="8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Impact of deferred tax liabilities for indefinite-lived assets</w:t>
            </w:r>
          </w:p>
        </w:tc>
        <w:tc>
          <w:tcPr>
            <w:tcW w:w="80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3"/>
        </w:trPr>
        <w:tc>
          <w:tcPr>
            <w:tcW w:w="6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in reserves for uncertain tax positions</w:t>
            </w:r>
          </w:p>
        </w:tc>
        <w:tc>
          <w:tcPr>
            <w:tcW w:w="8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Increase (decrease) in federal valuation allowance</w:t>
            </w:r>
          </w:p>
        </w:tc>
        <w:tc>
          <w:tcPr>
            <w:tcW w:w="8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7"/>
              </w:rPr>
              <w:t>(1.1)</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7"/>
              </w:rPr>
              <w:t>(1.7)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3"/>
        </w:trPr>
        <w:tc>
          <w:tcPr>
            <w:tcW w:w="6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11"/>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income tax provision</w:t>
            </w:r>
          </w:p>
        </w:tc>
        <w:tc>
          <w:tcPr>
            <w:tcW w:w="80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300" w:firstLine="517"/>
        <w:spacing w:after="0" w:line="288" w:lineRule="auto"/>
        <w:rPr>
          <w:sz w:val="20"/>
          <w:szCs w:val="20"/>
          <w:color w:val="auto"/>
        </w:rPr>
      </w:pPr>
      <w:r>
        <w:rPr>
          <w:rFonts w:ascii="Arial" w:cs="Arial" w:eastAsia="Arial" w:hAnsi="Arial"/>
          <w:sz w:val="14"/>
          <w:szCs w:val="14"/>
          <w:color w:val="auto"/>
        </w:rPr>
        <w:t>In assessing the Company’s ability to realize deferred tax assets, management considers, on a periodic basis, whether it is more likely than not that some portion or all of the deferred tax assets will not be realized. As such, management has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129" w:right="21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260"/>
        <w:spacing w:after="0" w:line="288" w:lineRule="auto"/>
        <w:rPr>
          <w:sz w:val="20"/>
          <w:szCs w:val="20"/>
          <w:color w:val="auto"/>
        </w:rPr>
      </w:pPr>
      <w:r>
        <w:rPr>
          <w:rFonts w:ascii="Arial" w:cs="Arial" w:eastAsia="Arial" w:hAnsi="Arial"/>
          <w:sz w:val="14"/>
          <w:szCs w:val="14"/>
          <w:color w:val="auto"/>
        </w:rPr>
        <w:t>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31" w:lineRule="exact"/>
        <w:rPr>
          <w:sz w:val="20"/>
          <w:szCs w:val="20"/>
          <w:color w:val="auto"/>
        </w:rPr>
      </w:pPr>
    </w:p>
    <w:p>
      <w:pPr>
        <w:ind w:right="40" w:firstLine="517"/>
        <w:spacing w:after="0" w:line="263" w:lineRule="auto"/>
        <w:rPr>
          <w:sz w:val="20"/>
          <w:szCs w:val="20"/>
          <w:color w:val="auto"/>
        </w:rPr>
      </w:pPr>
      <w:r>
        <w:rPr>
          <w:rFonts w:ascii="Arial" w:cs="Arial" w:eastAsia="Arial" w:hAnsi="Arial"/>
          <w:sz w:val="14"/>
          <w:szCs w:val="14"/>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48" w:lineRule="exact"/>
        <w:rPr>
          <w:sz w:val="20"/>
          <w:szCs w:val="20"/>
          <w:color w:val="auto"/>
        </w:rPr>
      </w:pPr>
    </w:p>
    <w:p>
      <w:pPr>
        <w:ind w:right="20" w:firstLine="517"/>
        <w:spacing w:after="0" w:line="264" w:lineRule="auto"/>
        <w:rPr>
          <w:sz w:val="20"/>
          <w:szCs w:val="20"/>
          <w:color w:val="auto"/>
        </w:rPr>
      </w:pPr>
      <w:r>
        <w:rPr>
          <w:rFonts w:ascii="Arial" w:cs="Arial" w:eastAsia="Arial" w:hAnsi="Arial"/>
          <w:sz w:val="14"/>
          <w:szCs w:val="14"/>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49" w:lineRule="exact"/>
        <w:rPr>
          <w:sz w:val="20"/>
          <w:szCs w:val="20"/>
          <w:color w:val="auto"/>
        </w:rPr>
      </w:pPr>
    </w:p>
    <w:p>
      <w:pPr>
        <w:ind w:right="180" w:firstLine="517"/>
        <w:spacing w:after="0" w:line="272" w:lineRule="auto"/>
        <w:rPr>
          <w:sz w:val="20"/>
          <w:szCs w:val="20"/>
          <w:color w:val="auto"/>
        </w:rPr>
      </w:pPr>
      <w:r>
        <w:rPr>
          <w:rFonts w:ascii="Arial" w:cs="Arial" w:eastAsia="Arial" w:hAnsi="Arial"/>
          <w:sz w:val="14"/>
          <w:szCs w:val="14"/>
          <w:color w:val="auto"/>
        </w:rPr>
        <w:t>For the six months ended June 30, 2019,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42" w:lineRule="exact"/>
        <w:rPr>
          <w:sz w:val="20"/>
          <w:szCs w:val="20"/>
          <w:color w:val="auto"/>
        </w:rPr>
      </w:pPr>
    </w:p>
    <w:p>
      <w:pPr>
        <w:ind w:right="300" w:firstLine="517"/>
        <w:spacing w:after="0" w:line="288" w:lineRule="auto"/>
        <w:rPr>
          <w:sz w:val="20"/>
          <w:szCs w:val="20"/>
          <w:color w:val="auto"/>
        </w:rPr>
      </w:pPr>
      <w:r>
        <w:rPr>
          <w:rFonts w:ascii="Arial" w:cs="Arial" w:eastAsia="Arial" w:hAnsi="Arial"/>
          <w:sz w:val="14"/>
          <w:szCs w:val="14"/>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31" w:lineRule="exact"/>
        <w:rPr>
          <w:sz w:val="20"/>
          <w:szCs w:val="20"/>
          <w:color w:val="auto"/>
        </w:rPr>
      </w:pPr>
    </w:p>
    <w:p>
      <w:pPr>
        <w:ind w:right="20" w:firstLine="517"/>
        <w:spacing w:after="0" w:line="328" w:lineRule="auto"/>
        <w:rPr>
          <w:sz w:val="20"/>
          <w:szCs w:val="20"/>
          <w:color w:val="auto"/>
        </w:rPr>
      </w:pPr>
      <w:r>
        <w:rPr>
          <w:rFonts w:ascii="Arial" w:cs="Arial" w:eastAsia="Arial" w:hAnsi="Arial"/>
          <w:sz w:val="13"/>
          <w:szCs w:val="13"/>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During 2018 the Company was notified by the Internal Revenue Service that its federal income tax return for the calendar year ending December 27, 2015 had been selected for examination.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currently in the process of responding to the information requested.</w:t>
      </w:r>
    </w:p>
    <w:p>
      <w:pPr>
        <w:spacing w:after="0" w:line="174" w:lineRule="exact"/>
        <w:rPr>
          <w:sz w:val="20"/>
          <w:szCs w:val="20"/>
          <w:color w:val="auto"/>
        </w:rPr>
      </w:pPr>
    </w:p>
    <w:p>
      <w:pPr>
        <w:ind w:right="40" w:firstLine="517"/>
        <w:spacing w:after="0" w:line="376" w:lineRule="auto"/>
        <w:rPr>
          <w:sz w:val="20"/>
          <w:szCs w:val="20"/>
          <w:color w:val="auto"/>
        </w:rPr>
      </w:pPr>
      <w:r>
        <w:rPr>
          <w:rFonts w:ascii="Arial" w:cs="Arial" w:eastAsia="Arial" w:hAnsi="Arial"/>
          <w:sz w:val="12"/>
          <w:szCs w:val="12"/>
          <w:color w:val="auto"/>
        </w:rPr>
        <w:t>As of December 30, 2018, the Company had $17.7 million of unrecognized tax benefits that, if recognized, would impact the Company’s effective income tax rate, subject to possible offset by an increase in the deferred tax asset valuation allowance. During the six months ended June 30, 2019, unrecognized tax benefits increased by $1.9 million relating to various current year positions.</w:t>
      </w:r>
    </w:p>
    <w:p>
      <w:pPr>
        <w:spacing w:after="0" w:line="85" w:lineRule="exact"/>
        <w:rPr>
          <w:sz w:val="20"/>
          <w:szCs w:val="20"/>
          <w:color w:val="auto"/>
        </w:rPr>
      </w:pPr>
    </w:p>
    <w:p>
      <w:pPr>
        <w:ind w:firstLine="517"/>
        <w:spacing w:after="0" w:line="267" w:lineRule="auto"/>
        <w:rPr>
          <w:sz w:val="20"/>
          <w:szCs w:val="20"/>
          <w:color w:val="auto"/>
        </w:rPr>
      </w:pPr>
      <w:r>
        <w:rPr>
          <w:rFonts w:ascii="Arial" w:cs="Arial" w:eastAsia="Arial" w:hAnsi="Arial"/>
          <w:sz w:val="14"/>
          <w:szCs w:val="14"/>
          <w:color w:val="auto"/>
        </w:rPr>
        <w:t>The Company recognizes interest and penalties related to unrecognized tax benefits in its provision for income taxes. For the six months ended June 30, 2019 and July 1, 2018, the Company recorded an expense for interest and penalties of $1.1 million and $0.4 million, respectively. For the six months ended June 30, 2019 and July 1, 2018, there was no material benefit recorded related to the removal of interest and penalties. The Company believes that it is reasonably possible that as much as $0.4 million of the liabilities for uncertain tax positions will expire within twelve months of June 30, 2019 due to the expiration of various applicable statutes of limitations.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Debt</w:t>
      </w:r>
    </w:p>
    <w:p>
      <w:pPr>
        <w:spacing w:after="0" w:line="184"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Issuance of 6.5% Senior Secured Notes due 2025</w:t>
      </w:r>
    </w:p>
    <w:p>
      <w:pPr>
        <w:spacing w:after="0" w:line="188" w:lineRule="exact"/>
        <w:rPr>
          <w:sz w:val="20"/>
          <w:szCs w:val="20"/>
          <w:color w:val="auto"/>
        </w:rPr>
      </w:pPr>
    </w:p>
    <w:p>
      <w:pPr>
        <w:ind w:right="300" w:firstLine="517"/>
        <w:spacing w:after="0" w:line="328" w:lineRule="auto"/>
        <w:rPr>
          <w:sz w:val="20"/>
          <w:szCs w:val="20"/>
          <w:color w:val="auto"/>
        </w:rPr>
      </w:pPr>
      <w:r>
        <w:rPr>
          <w:rFonts w:ascii="Arial" w:cs="Arial" w:eastAsia="Arial" w:hAnsi="Arial"/>
          <w:sz w:val="13"/>
          <w:szCs w:val="13"/>
          <w:color w:val="auto"/>
        </w:rPr>
        <w:t>In November 2017, the Company issued and sold $300 million aggregate principal amount of 6.5% Senior Secured Notes due 2025 (the “6.5% Notes”) in a private placement conducted pursuant to Rule 144A and Regulation S under the Securities Act of 1933, as amended (the “Act”). The Company incurred debt issuance costs of $6.6 million associated with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129" w:right="21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new 6.5% Notes. The Company utilized the net proceeds from the sale of the 6.5% Notes, as well as cash from its recent equity offering to extinguish the outstanding 7% Notes (as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total reacquisition price of the 7% Notes was $385.2 million, including a $12.0 million call premium, and $0.3 million of accrued interest.</w:t>
      </w:r>
    </w:p>
    <w:p>
      <w:pPr>
        <w:spacing w:after="0" w:line="174"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3"/>
          <w:szCs w:val="13"/>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34" w:lineRule="exact"/>
        <w:rPr>
          <w:sz w:val="20"/>
          <w:szCs w:val="20"/>
          <w:color w:val="auto"/>
        </w:rPr>
      </w:pPr>
    </w:p>
    <w:p>
      <w:pPr>
        <w:jc w:val="both"/>
        <w:ind w:firstLine="517"/>
        <w:spacing w:after="0" w:line="328" w:lineRule="auto"/>
        <w:rPr>
          <w:sz w:val="20"/>
          <w:szCs w:val="20"/>
          <w:color w:val="auto"/>
        </w:rPr>
      </w:pPr>
      <w:r>
        <w:rPr>
          <w:rFonts w:ascii="Arial" w:cs="Arial" w:eastAsia="Arial" w:hAnsi="Arial"/>
          <w:sz w:val="13"/>
          <w:szCs w:val="13"/>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0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The 6.5% Notes and the guarantees (as set forth in the Indenture)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149"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3"/>
          <w:szCs w:val="13"/>
          <w:color w:val="auto"/>
        </w:rPr>
        <w:t>The 6.5% Notes will be redeemable, in whole or in part, at any time on or after November 30, 2020 at the respective redemption prices specified in the Indenture. In addition, the Company may redeem up to 40% of the 6.5% Notes 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134"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3"/>
          <w:szCs w:val="13"/>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 (j) enter into agreements restricting the Company’s ability and certain of its subsidiaries’ ability to pay dividends. These covenants are subject to a number of exceptions. As of June 30, 2019, the Company was in compliance with the covenants contained in the Indenture governing the 6.5% Notes.</w:t>
      </w:r>
    </w:p>
    <w:p>
      <w:pPr>
        <w:spacing w:after="0" w:line="134" w:lineRule="exact"/>
        <w:rPr>
          <w:sz w:val="20"/>
          <w:szCs w:val="20"/>
          <w:color w:val="auto"/>
        </w:rPr>
      </w:pPr>
    </w:p>
    <w:p>
      <w:pPr>
        <w:ind w:right="80" w:firstLine="517"/>
        <w:spacing w:after="0" w:line="267" w:lineRule="auto"/>
        <w:rPr>
          <w:sz w:val="20"/>
          <w:szCs w:val="20"/>
          <w:color w:val="auto"/>
        </w:rPr>
      </w:pPr>
      <w:r>
        <w:rPr>
          <w:rFonts w:ascii="Arial" w:cs="Arial" w:eastAsia="Arial" w:hAnsi="Arial"/>
          <w:sz w:val="14"/>
          <w:szCs w:val="14"/>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46"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June 30, 2019, there was $300.0 million of 6.5% Notes outstanding.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129" w:right="21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right"/>
        <w:ind w:left="520" w:right="9920" w:hanging="514"/>
        <w:spacing w:after="0" w:line="603" w:lineRule="auto"/>
        <w:tabs>
          <w:tab w:leader="none" w:pos="322"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Other Indebtedness </w:t>
      </w:r>
      <w:r>
        <w:rPr>
          <w:rFonts w:ascii="Arial" w:cs="Arial" w:eastAsia="Arial" w:hAnsi="Arial"/>
          <w:sz w:val="12"/>
          <w:szCs w:val="12"/>
          <w:i w:val="1"/>
          <w:iCs w:val="1"/>
          <w:color w:val="auto"/>
        </w:rPr>
        <w:t>Credit Agreement</w:t>
      </w:r>
    </w:p>
    <w:p>
      <w:pPr>
        <w:jc w:val="both"/>
        <w:ind w:firstLine="517"/>
        <w:spacing w:after="0" w:line="285" w:lineRule="auto"/>
        <w:rPr>
          <w:sz w:val="20"/>
          <w:szCs w:val="20"/>
          <w:color w:val="auto"/>
        </w:rPr>
      </w:pPr>
      <w:r>
        <w:rPr>
          <w:rFonts w:ascii="Arial" w:cs="Arial" w:eastAsia="Arial" w:hAnsi="Arial"/>
          <w:sz w:val="13"/>
          <w:szCs w:val="13"/>
          <w:color w:val="auto"/>
        </w:rPr>
        <w:t>On November 20, 2017, the Company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the Company’s accounts receivable, inventory, deposit accounts, securities accounts, cash, securities and general intangibles (other than intellectual property) and (ii) a second priority lien, junior to the lien securing the Company’s 6.5% Notes, on all of the Company’s other assets.</w:t>
      </w:r>
    </w:p>
    <w:p>
      <w:pPr>
        <w:spacing w:after="0" w:line="137" w:lineRule="exact"/>
        <w:rPr>
          <w:sz w:val="20"/>
          <w:szCs w:val="20"/>
          <w:color w:val="auto"/>
        </w:rPr>
      </w:pPr>
    </w:p>
    <w:p>
      <w:pPr>
        <w:ind w:right="20" w:firstLine="517"/>
        <w:spacing w:after="0" w:line="261" w:lineRule="auto"/>
        <w:rPr>
          <w:sz w:val="20"/>
          <w:szCs w:val="20"/>
          <w:color w:val="auto"/>
        </w:rPr>
      </w:pPr>
      <w:r>
        <w:rPr>
          <w:rFonts w:ascii="Arial" w:cs="Arial" w:eastAsia="Arial" w:hAnsi="Arial"/>
          <w:sz w:val="14"/>
          <w:szCs w:val="14"/>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151"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3"/>
          <w:szCs w:val="13"/>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June 30, 2019,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41" w:lineRule="exact"/>
        <w:rPr>
          <w:sz w:val="20"/>
          <w:szCs w:val="20"/>
          <w:color w:val="auto"/>
        </w:rPr>
      </w:pPr>
    </w:p>
    <w:p>
      <w:pPr>
        <w:ind w:right="200" w:firstLine="517"/>
        <w:spacing w:after="0" w:line="288" w:lineRule="auto"/>
        <w:rPr>
          <w:sz w:val="20"/>
          <w:szCs w:val="20"/>
          <w:color w:val="auto"/>
        </w:rPr>
      </w:pPr>
      <w:r>
        <w:rPr>
          <w:rFonts w:ascii="Arial" w:cs="Arial" w:eastAsia="Arial" w:hAnsi="Arial"/>
          <w:sz w:val="14"/>
          <w:szCs w:val="14"/>
          <w:color w:val="auto"/>
        </w:rPr>
        <w:t>The measurement of a minimum fixed charge coverage ratio under the Credit Agreement was modified in November 2017 to require measurement if Excess Availability (as defined in the Credit Agreement) is less than 50% of the lesser of the borrowing base or the total commitment amount.</w:t>
      </w:r>
    </w:p>
    <w:p>
      <w:pPr>
        <w:spacing w:after="0" w:line="131"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On June 11, 2018, the Company entered into a first amendment (the “First Amendment”) to the amended and restated Credit Agreement. Among other things, the First Amendment permitted the sale of the PSS business, provided that certain conditions, including application of the proceeds in accordance with the terms of documents governing the Company’s outstanding indebtedness, were satisfied.</w:t>
      </w:r>
    </w:p>
    <w:p>
      <w:pPr>
        <w:spacing w:after="0" w:line="142"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4"/>
          <w:szCs w:val="14"/>
          <w:color w:val="auto"/>
        </w:rPr>
        <w:t>As of June 30, 2019, there were no borrowings outstanding on the Credit Agreement and $5.7 million was outstanding on letters of credit, resulting in net borrowing base availability of $64.8 million. The Company was in compliance with the financial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29" w:right="21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covenants of the Credit Agreement and its amendments as of June 30, 2019.</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Fair Value of Long-term Debt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Carrying amounts and the related estimated fair values of the Company’s long-term debt financial instruments not measured at fair value on a recurring basis at June 30, 2019 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December 30, 2018 are presented in the following table: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As of June 30, 2019</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94"/>
              </w:rPr>
              <w:t>As of December 30, 2018</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5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 in millions</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235"/>
              <w:spacing w:after="0"/>
              <w:rPr>
                <w:sz w:val="20"/>
                <w:szCs w:val="20"/>
                <w:color w:val="auto"/>
              </w:rPr>
            </w:pPr>
            <w:r>
              <w:rPr>
                <w:rFonts w:ascii="Arial" w:cs="Arial" w:eastAsia="Arial" w:hAnsi="Arial"/>
                <w:sz w:val="11"/>
                <w:szCs w:val="11"/>
                <w:b w:val="1"/>
                <w:bCs w:val="1"/>
                <w:color w:val="auto"/>
              </w:rPr>
              <w:t>Principal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rPr>
              <w:t>Carrying</w:t>
            </w:r>
          </w:p>
        </w:tc>
        <w:tc>
          <w:tcPr>
            <w:tcW w:w="140" w:type="dxa"/>
            <w:vAlign w:val="bottom"/>
          </w:tcPr>
          <w:p>
            <w:pPr>
              <w:spacing w:after="0"/>
              <w:rPr>
                <w:sz w:val="10"/>
                <w:szCs w:val="10"/>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1"/>
                <w:szCs w:val="11"/>
                <w:b w:val="1"/>
                <w:bCs w:val="1"/>
                <w:color w:val="auto"/>
              </w:rPr>
              <w:t>Fair Value</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Principal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rPr>
              <w:t>Carrying</w:t>
            </w:r>
          </w:p>
        </w:tc>
        <w:tc>
          <w:tcPr>
            <w:tcW w:w="140" w:type="dxa"/>
            <w:vAlign w:val="bottom"/>
          </w:tcPr>
          <w:p>
            <w:pPr>
              <w:spacing w:after="0"/>
              <w:rPr>
                <w:sz w:val="10"/>
                <w:szCs w:val="10"/>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53"/>
        </w:trPr>
        <w:tc>
          <w:tcPr>
            <w:tcW w:w="51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long-term debt including current portion</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294.6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322.5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294.2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305.3</w:t>
            </w:r>
          </w:p>
        </w:tc>
        <w:tc>
          <w:tcPr>
            <w:tcW w:w="0" w:type="dxa"/>
            <w:vAlign w:val="bottom"/>
          </w:tcPr>
          <w:p>
            <w:pPr>
              <w:spacing w:after="0"/>
              <w:rPr>
                <w:sz w:val="1"/>
                <w:szCs w:val="1"/>
                <w:color w:val="auto"/>
              </w:rPr>
            </w:pPr>
          </w:p>
        </w:tc>
      </w:tr>
      <w:tr>
        <w:trPr>
          <w:trHeight w:val="23"/>
        </w:trPr>
        <w:tc>
          <w:tcPr>
            <w:tcW w:w="5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 of the Company’s long-term debt was based upon actual trading activity (Level 1, Observable inputs -quoted prices in active markets).</w:t>
      </w:r>
    </w:p>
    <w:p>
      <w:pPr>
        <w:spacing w:after="0" w:line="184" w:lineRule="exact"/>
        <w:rPr>
          <w:sz w:val="20"/>
          <w:szCs w:val="20"/>
          <w:color w:val="auto"/>
        </w:rPr>
      </w:pPr>
    </w:p>
    <w:p>
      <w:pPr>
        <w:jc w:val="both"/>
        <w:ind w:right="100" w:firstLine="545"/>
        <w:spacing w:after="0" w:line="302" w:lineRule="auto"/>
        <w:rPr>
          <w:sz w:val="20"/>
          <w:szCs w:val="20"/>
          <w:color w:val="auto"/>
        </w:rPr>
      </w:pPr>
      <w:r>
        <w:rPr>
          <w:rFonts w:ascii="Arial" w:cs="Arial" w:eastAsia="Arial" w:hAnsi="Arial"/>
          <w:sz w:val="13"/>
          <w:szCs w:val="13"/>
          <w:color w:val="auto"/>
        </w:rPr>
        <w:t>As of June 30, 2019, the difference between the carrying amount of $294.6 million and the principal amount of $300.0 million presented in the table above is the unamortized debt issuance costs of $5.4 million, which are being accreted to interest expense over the term of the related debt. As of December 30, 2018, the difference between the carrying amount of $294.2 million and the principal amount of $300.0 million presented in the table above is the unamortized debt issuance costs of $5.8 million, which are being accreted to interest expense over the term of the related debt.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Segment Information</w:t>
      </w:r>
    </w:p>
    <w:p>
      <w:pPr>
        <w:spacing w:after="0" w:line="188" w:lineRule="exact"/>
        <w:rPr>
          <w:sz w:val="20"/>
          <w:szCs w:val="20"/>
          <w:color w:val="auto"/>
        </w:rPr>
      </w:pPr>
    </w:p>
    <w:p>
      <w:pPr>
        <w:ind w:right="160" w:firstLine="517"/>
        <w:spacing w:after="0" w:line="264" w:lineRule="auto"/>
        <w:rPr>
          <w:sz w:val="20"/>
          <w:szCs w:val="20"/>
          <w:color w:val="auto"/>
        </w:rPr>
      </w:pPr>
      <w:r>
        <w:rPr>
          <w:rFonts w:ascii="Arial" w:cs="Arial" w:eastAsia="Arial" w:hAnsi="Arial"/>
          <w:sz w:val="14"/>
          <w:szCs w:val="14"/>
          <w:color w:val="auto"/>
        </w:rPr>
        <w:t>The Company operates in two reportable segments. The KGS reportable segment is comprised of an aggregation of KGS operating segments, including the microwave electronic products, satellite communications, modular systems, defense and rocket support services, and turbine technologies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149" w:lineRule="exact"/>
        <w:rPr>
          <w:sz w:val="20"/>
          <w:szCs w:val="20"/>
          <w:color w:val="auto"/>
        </w:rPr>
      </w:pPr>
    </w:p>
    <w:p>
      <w:pPr>
        <w:ind w:right="180" w:firstLine="517"/>
        <w:spacing w:after="0" w:line="263" w:lineRule="auto"/>
        <w:rPr>
          <w:sz w:val="20"/>
          <w:szCs w:val="20"/>
          <w:color w:val="auto"/>
        </w:rPr>
      </w:pPr>
      <w:r>
        <w:rPr>
          <w:rFonts w:ascii="Arial" w:cs="Arial" w:eastAsia="Arial" w:hAnsi="Arial"/>
          <w:sz w:val="14"/>
          <w:szCs w:val="14"/>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129" w:right="2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120" w:firstLine="553"/>
        <w:spacing w:after="0" w:line="288" w:lineRule="auto"/>
        <w:rPr>
          <w:sz w:val="20"/>
          <w:szCs w:val="20"/>
          <w:color w:val="auto"/>
        </w:rPr>
      </w:pPr>
      <w:r>
        <w:rPr>
          <w:rFonts w:ascii="Arial" w:cs="Arial" w:eastAsia="Arial" w:hAnsi="Arial"/>
          <w:sz w:val="14"/>
          <w:szCs w:val="14"/>
          <w:color w:val="auto"/>
        </w:rPr>
        <w:t>Revenues, depreciation and amortization, and operating income generated by the Company’s reportable segments for the three and six month periods ended June 30, 2019 and July 1, 2018 are as follows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right"/>
              <w:ind w:right="849"/>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869"/>
              <w:spacing w:after="0"/>
              <w:rPr>
                <w:sz w:val="20"/>
                <w:szCs w:val="20"/>
                <w:color w:val="auto"/>
              </w:rPr>
            </w:pPr>
            <w:r>
              <w:rPr>
                <w:rFonts w:ascii="Arial" w:cs="Arial" w:eastAsia="Arial" w:hAnsi="Arial"/>
                <w:sz w:val="11"/>
                <w:szCs w:val="11"/>
                <w:b w:val="1"/>
                <w:bCs w:val="1"/>
                <w:color w:val="auto"/>
              </w:rPr>
              <w:t>Six Months Ended</w:t>
            </w:r>
          </w:p>
        </w:tc>
      </w:tr>
      <w:tr>
        <w:trPr>
          <w:trHeight w:val="20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1"/>
                <w:szCs w:val="11"/>
                <w:b w:val="1"/>
                <w:bCs w:val="1"/>
                <w:color w:val="auto"/>
              </w:rPr>
              <w:t>June 30, 2019</w:t>
            </w: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1"/>
                <w:szCs w:val="11"/>
                <w:b w:val="1"/>
                <w:bCs w:val="1"/>
                <w:color w:val="auto"/>
              </w:rPr>
              <w:t>July 1, 2018</w:t>
            </w:r>
          </w:p>
        </w:tc>
        <w:tc>
          <w:tcPr>
            <w:tcW w:w="2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June 30, 2019</w:t>
            </w:r>
          </w:p>
        </w:tc>
        <w:tc>
          <w:tcPr>
            <w:tcW w:w="240" w:type="dxa"/>
            <w:vAlign w:val="bottom"/>
          </w:tcPr>
          <w:p>
            <w:pPr>
              <w:spacing w:after="0"/>
              <w:rPr>
                <w:sz w:val="17"/>
                <w:szCs w:val="17"/>
                <w:color w:val="auto"/>
              </w:rPr>
            </w:pPr>
          </w:p>
        </w:tc>
        <w:tc>
          <w:tcPr>
            <w:tcW w:w="1120" w:type="dxa"/>
            <w:vAlign w:val="bottom"/>
          </w:tcPr>
          <w:p>
            <w:pPr>
              <w:jc w:val="right"/>
              <w:ind w:right="309"/>
              <w:spacing w:after="0"/>
              <w:rPr>
                <w:sz w:val="20"/>
                <w:szCs w:val="20"/>
                <w:color w:val="auto"/>
              </w:rPr>
            </w:pPr>
            <w:r>
              <w:rPr>
                <w:rFonts w:ascii="Arial" w:cs="Arial" w:eastAsia="Arial" w:hAnsi="Arial"/>
                <w:sz w:val="11"/>
                <w:szCs w:val="11"/>
                <w:b w:val="1"/>
                <w:bCs w:val="1"/>
                <w:color w:val="auto"/>
              </w:rPr>
              <w:t>July 1, 2018</w:t>
            </w:r>
          </w:p>
        </w:tc>
      </w:tr>
      <w:tr>
        <w:trPr>
          <w:trHeight w:val="191"/>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3"/>
        </w:trPr>
        <w:tc>
          <w:tcPr>
            <w:tcW w:w="5620" w:type="dxa"/>
            <w:vAlign w:val="bottom"/>
          </w:tcPr>
          <w:p>
            <w:pPr>
              <w:ind w:left="140"/>
              <w:spacing w:after="0"/>
              <w:rPr>
                <w:sz w:val="20"/>
                <w:szCs w:val="20"/>
                <w:color w:val="auto"/>
              </w:rPr>
            </w:pPr>
            <w:r>
              <w:rPr>
                <w:rFonts w:ascii="Arial" w:cs="Arial" w:eastAsia="Arial" w:hAnsi="Arial"/>
                <w:sz w:val="14"/>
                <w:szCs w:val="14"/>
                <w:color w:val="auto"/>
              </w:rPr>
              <w:t>Kratos Government Solutions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Service revenues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47.0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136.3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93.0</w:t>
            </w:r>
          </w:p>
        </w:tc>
      </w:tr>
      <w:tr>
        <w:trPr>
          <w:trHeight w:val="193"/>
        </w:trPr>
        <w:tc>
          <w:tcPr>
            <w:tcW w:w="5620" w:type="dxa"/>
            <w:vAlign w:val="bottom"/>
          </w:tcPr>
          <w:p>
            <w:pPr>
              <w:ind w:left="220"/>
              <w:spacing w:after="0"/>
              <w:rPr>
                <w:sz w:val="20"/>
                <w:szCs w:val="20"/>
                <w:color w:val="auto"/>
              </w:rPr>
            </w:pPr>
            <w:r>
              <w:rPr>
                <w:rFonts w:ascii="Arial" w:cs="Arial" w:eastAsia="Arial" w:hAnsi="Arial"/>
                <w:sz w:val="14"/>
                <w:szCs w:val="14"/>
                <w:color w:val="auto"/>
              </w:rPr>
              <w:t>Product sales</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137.8</w:t>
            </w:r>
          </w:p>
        </w:tc>
      </w:tr>
      <w:tr>
        <w:trPr>
          <w:trHeight w:val="23"/>
        </w:trPr>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5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Kratos Government Solutions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145.4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115.6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270.9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230.8</w:t>
            </w:r>
          </w:p>
        </w:tc>
      </w:tr>
      <w:tr>
        <w:trPr>
          <w:trHeight w:val="184"/>
        </w:trPr>
        <w:tc>
          <w:tcPr>
            <w:tcW w:w="5620" w:type="dxa"/>
            <w:vAlign w:val="bottom"/>
          </w:tcPr>
          <w:p>
            <w:pPr>
              <w:ind w:left="140"/>
              <w:spacing w:after="0"/>
              <w:rPr>
                <w:sz w:val="20"/>
                <w:szCs w:val="20"/>
                <w:color w:val="auto"/>
              </w:rPr>
            </w:pPr>
            <w:r>
              <w:rPr>
                <w:rFonts w:ascii="Arial" w:cs="Arial" w:eastAsia="Arial" w:hAnsi="Arial"/>
                <w:sz w:val="14"/>
                <w:szCs w:val="14"/>
                <w:color w:val="auto"/>
              </w:rPr>
              <w:t>Unmanned Systems</w:t>
            </w: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3"/>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Service revenues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3"/>
        </w:trPr>
        <w:tc>
          <w:tcPr>
            <w:tcW w:w="5620" w:type="dxa"/>
            <w:vAlign w:val="bottom"/>
          </w:tcPr>
          <w:p>
            <w:pPr>
              <w:ind w:left="300"/>
              <w:spacing w:after="0"/>
              <w:rPr>
                <w:sz w:val="20"/>
                <w:szCs w:val="20"/>
                <w:color w:val="auto"/>
              </w:rPr>
            </w:pPr>
            <w:r>
              <w:rPr>
                <w:rFonts w:ascii="Arial" w:cs="Arial" w:eastAsia="Arial" w:hAnsi="Arial"/>
                <w:sz w:val="14"/>
                <w:szCs w:val="14"/>
                <w:color w:val="auto"/>
              </w:rPr>
              <w:t>Product sales</w:t>
            </w:r>
          </w:p>
        </w:tc>
        <w:tc>
          <w:tcPr>
            <w:tcW w:w="22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63.4</w:t>
            </w:r>
          </w:p>
        </w:tc>
      </w:tr>
      <w:tr>
        <w:trPr>
          <w:trHeight w:val="23"/>
        </w:trPr>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5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Total Unmanned Systems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77.4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63.4</w:t>
            </w:r>
          </w:p>
        </w:tc>
      </w:tr>
      <w:tr>
        <w:trPr>
          <w:trHeight w:val="240"/>
        </w:trPr>
        <w:tc>
          <w:tcPr>
            <w:tcW w:w="562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Total revenues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187.9</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151.2</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348.3</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294.2</w:t>
            </w:r>
          </w:p>
        </w:tc>
      </w:tr>
      <w:tr>
        <w:trPr>
          <w:trHeight w:val="17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&amp; amortization:</w:t>
            </w:r>
          </w:p>
        </w:tc>
        <w:tc>
          <w:tcPr>
            <w:tcW w:w="2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3"/>
        </w:trPr>
        <w:tc>
          <w:tcPr>
            <w:tcW w:w="5620" w:type="dxa"/>
            <w:vAlign w:val="bottom"/>
          </w:tcPr>
          <w:p>
            <w:pPr>
              <w:ind w:left="140"/>
              <w:spacing w:after="0"/>
              <w:rPr>
                <w:sz w:val="20"/>
                <w:szCs w:val="20"/>
                <w:color w:val="auto"/>
              </w:rPr>
            </w:pPr>
            <w:r>
              <w:rPr>
                <w:rFonts w:ascii="Arial" w:cs="Arial" w:eastAsia="Arial" w:hAnsi="Arial"/>
                <w:sz w:val="14"/>
                <w:szCs w:val="14"/>
                <w:color w:val="auto"/>
              </w:rPr>
              <w:t>Kratos Government Solutions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6.9</w:t>
            </w:r>
          </w:p>
        </w:tc>
      </w:tr>
      <w:tr>
        <w:trPr>
          <w:trHeight w:val="23"/>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Unmanned Systems</w:t>
            </w: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2.3</w:t>
            </w:r>
          </w:p>
        </w:tc>
      </w:tr>
      <w:tr>
        <w:trPr>
          <w:trHeight w:val="240"/>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depreciation and amortization</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9.2</w:t>
            </w:r>
          </w:p>
        </w:tc>
      </w:tr>
      <w:tr>
        <w:trPr>
          <w:trHeight w:val="152"/>
        </w:trPr>
        <w:tc>
          <w:tcPr>
            <w:tcW w:w="562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Operating income from continuing operations:</w:t>
            </w:r>
          </w:p>
        </w:tc>
        <w:tc>
          <w:tcPr>
            <w:tcW w:w="22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93"/>
        </w:trPr>
        <w:tc>
          <w:tcPr>
            <w:tcW w:w="5620" w:type="dxa"/>
            <w:vAlign w:val="bottom"/>
          </w:tcPr>
          <w:p>
            <w:pPr>
              <w:ind w:left="140"/>
              <w:spacing w:after="0"/>
              <w:rPr>
                <w:sz w:val="20"/>
                <w:szCs w:val="20"/>
                <w:color w:val="auto"/>
              </w:rPr>
            </w:pPr>
            <w:r>
              <w:rPr>
                <w:rFonts w:ascii="Arial" w:cs="Arial" w:eastAsia="Arial" w:hAnsi="Arial"/>
                <w:sz w:val="14"/>
                <w:szCs w:val="14"/>
                <w:color w:val="auto"/>
              </w:rPr>
              <w:t>Kratos Government Solutions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12.9</w:t>
            </w:r>
          </w:p>
        </w:tc>
      </w:tr>
      <w:tr>
        <w:trPr>
          <w:trHeight w:val="23"/>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Unmanned Systems</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r>
      <w:tr>
        <w:trPr>
          <w:trHeight w:val="193"/>
        </w:trPr>
        <w:tc>
          <w:tcPr>
            <w:tcW w:w="5620" w:type="dxa"/>
            <w:vAlign w:val="bottom"/>
          </w:tcPr>
          <w:p>
            <w:pPr>
              <w:ind w:left="140"/>
              <w:spacing w:after="0"/>
              <w:rPr>
                <w:sz w:val="20"/>
                <w:szCs w:val="20"/>
                <w:color w:val="auto"/>
              </w:rPr>
            </w:pPr>
            <w:r>
              <w:rPr>
                <w:rFonts w:ascii="Arial" w:cs="Arial" w:eastAsia="Arial" w:hAnsi="Arial"/>
                <w:sz w:val="14"/>
                <w:szCs w:val="14"/>
                <w:color w:val="auto"/>
              </w:rPr>
              <w:t>Corporate Activities</w:t>
            </w:r>
          </w:p>
        </w:tc>
        <w:tc>
          <w:tcPr>
            <w:tcW w:w="22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3"/>
        </w:trPr>
        <w:tc>
          <w:tcPr>
            <w:tcW w:w="5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0"/>
        </w:trPr>
        <w:tc>
          <w:tcPr>
            <w:tcW w:w="5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operating income from continuing operations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9.6</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Included in Corporate Activities for the three and six months ended June 30, 2019 is $0.1 million and $1.3 million of transaction expenses, respectively, related to the acquisition of FTT.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Note 12.</w:t>
      </w:r>
      <w:r>
        <w:rPr>
          <w:sz w:val="20"/>
          <w:szCs w:val="20"/>
          <w:color w:val="auto"/>
        </w:rPr>
        <w:tab/>
      </w:r>
      <w:r>
        <w:rPr>
          <w:rFonts w:ascii="Arial" w:cs="Arial" w:eastAsia="Arial" w:hAnsi="Arial"/>
          <w:sz w:val="12"/>
          <w:szCs w:val="12"/>
          <w:b w:val="1"/>
          <w:bCs w:val="1"/>
          <w:color w:val="auto"/>
        </w:rPr>
        <w:t>Redeemable Noncontrolling Interest</w:t>
      </w:r>
    </w:p>
    <w:p>
      <w:pPr>
        <w:spacing w:after="0" w:line="188" w:lineRule="exact"/>
        <w:rPr>
          <w:sz w:val="20"/>
          <w:szCs w:val="20"/>
          <w:color w:val="auto"/>
        </w:rPr>
      </w:pPr>
    </w:p>
    <w:p>
      <w:pPr>
        <w:ind w:right="20" w:firstLine="517"/>
        <w:spacing w:after="0" w:line="289" w:lineRule="auto"/>
        <w:rPr>
          <w:sz w:val="20"/>
          <w:szCs w:val="20"/>
          <w:color w:val="auto"/>
        </w:rPr>
      </w:pPr>
      <w:r>
        <w:rPr>
          <w:rFonts w:ascii="Arial" w:cs="Arial" w:eastAsia="Arial" w:hAnsi="Arial"/>
          <w:sz w:val="13"/>
          <w:szCs w:val="13"/>
          <w:color w:val="auto"/>
        </w:rPr>
        <w:t>As discussed in “Acquisition” in Note 2, in connection with the Company’s acquisition of FTT, the Holders have certain rights (“Put Rights”), (i) beginning in January 2024, the Holders will have an annual Put Right to sell all of the Minority Interests to the Company at a purchase price based on an assumed enterprise value of 12 times the trailing 12 months EBITDA of FTT Inc., FTT Core and each of their respective subsidiaries (the “Acquired Companies”), subject to adjustment as set forth in the Exchange Agreement (provided, however, that following certain events, including a change of control, the Put Right will be accelerated and the Minority Interest Purchase Price will be increased to 14 times the trailing 12 months EBITDA of the Acquired Companies); and (ii) beginning in January 2025, the Company will have an annual right to purchase all of the Minority Interests from the Holders at the Minority Interest Purchase Price.</w:t>
      </w:r>
    </w:p>
    <w:p>
      <w:pPr>
        <w:spacing w:after="0" w:line="134" w:lineRule="exact"/>
        <w:rPr>
          <w:sz w:val="20"/>
          <w:szCs w:val="20"/>
          <w:color w:val="auto"/>
        </w:rPr>
      </w:pPr>
    </w:p>
    <w:p>
      <w:pPr>
        <w:ind w:right="100" w:firstLine="517"/>
        <w:spacing w:after="0" w:line="302" w:lineRule="auto"/>
        <w:rPr>
          <w:sz w:val="20"/>
          <w:szCs w:val="20"/>
          <w:color w:val="auto"/>
        </w:rPr>
      </w:pPr>
      <w:r>
        <w:rPr>
          <w:rFonts w:ascii="Arial" w:cs="Arial" w:eastAsia="Arial" w:hAnsi="Arial"/>
          <w:sz w:val="13"/>
          <w:szCs w:val="13"/>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Rights. Adjustments to Redemption Amount will have a corresponding effect on net income per share attributable to Kratos shareholders.</w:t>
      </w:r>
    </w:p>
    <w:p>
      <w:pPr>
        <w:spacing w:after="0" w:line="125" w:lineRule="exact"/>
        <w:rPr>
          <w:sz w:val="20"/>
          <w:szCs w:val="20"/>
          <w:color w:val="auto"/>
        </w:rPr>
      </w:pPr>
    </w:p>
    <w:p>
      <w:pPr>
        <w:ind w:right="80" w:firstLine="517"/>
        <w:spacing w:after="0" w:line="288" w:lineRule="auto"/>
        <w:rPr>
          <w:sz w:val="20"/>
          <w:szCs w:val="20"/>
          <w:color w:val="auto"/>
        </w:rPr>
      </w:pPr>
      <w:r>
        <w:rPr>
          <w:rFonts w:ascii="Arial" w:cs="Arial" w:eastAsia="Arial" w:hAnsi="Arial"/>
          <w:sz w:val="14"/>
          <w:szCs w:val="14"/>
          <w:color w:val="auto"/>
        </w:rPr>
        <w:t>As of June 30, 2019, the management estimate of the Redemption Amount of these Put Rights that the Company could be required to pay was less than the carrying value and no adjustment of the carrying value of the redeemable noncontrolling interest was required.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Significant Customers</w:t>
      </w:r>
    </w:p>
    <w:p>
      <w:pPr>
        <w:spacing w:after="0" w:line="188" w:lineRule="exact"/>
        <w:rPr>
          <w:sz w:val="20"/>
          <w:szCs w:val="20"/>
          <w:color w:val="auto"/>
        </w:rPr>
      </w:pPr>
    </w:p>
    <w:p>
      <w:pPr>
        <w:ind w:right="300" w:firstLine="517"/>
        <w:spacing w:after="0" w:line="272" w:lineRule="auto"/>
        <w:rPr>
          <w:sz w:val="20"/>
          <w:szCs w:val="20"/>
          <w:color w:val="auto"/>
        </w:rPr>
      </w:pPr>
      <w:r>
        <w:rPr>
          <w:rFonts w:ascii="Arial" w:cs="Arial" w:eastAsia="Arial" w:hAnsi="Arial"/>
          <w:sz w:val="14"/>
          <w:szCs w:val="14"/>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$133.9 million and $106.6 million, or 71% and 70% of total Kratos revenue, for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129" w:right="21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three months ended June 30, 2019 and July 1, 2018, respectively, and $250.8 million and $207.5 million, or 72% and 71% of total Kratos revenue for the six months ended June 30, 2019 and July 1, 2018,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Commitments and Contingencies</w:t>
      </w:r>
    </w:p>
    <w:p>
      <w:pPr>
        <w:spacing w:after="0" w:line="188" w:lineRule="exact"/>
        <w:rPr>
          <w:sz w:val="20"/>
          <w:szCs w:val="20"/>
          <w:color w:val="auto"/>
        </w:rPr>
      </w:pPr>
    </w:p>
    <w:p>
      <w:pPr>
        <w:ind w:firstLine="517"/>
        <w:spacing w:after="0" w:line="281" w:lineRule="auto"/>
        <w:rPr>
          <w:sz w:val="20"/>
          <w:szCs w:val="20"/>
          <w:color w:val="auto"/>
        </w:rPr>
      </w:pPr>
      <w:r>
        <w:rPr>
          <w:rFonts w:ascii="Arial" w:cs="Arial" w:eastAsia="Arial" w:hAnsi="Arial"/>
          <w:sz w:val="13"/>
          <w:szCs w:val="13"/>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56"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Legal and Regulatory Matters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U.S. Government Cost Claims</w:t>
      </w:r>
    </w:p>
    <w:p>
      <w:pPr>
        <w:spacing w:after="0" w:line="184" w:lineRule="exact"/>
        <w:rPr>
          <w:sz w:val="20"/>
          <w:szCs w:val="20"/>
          <w:color w:val="auto"/>
        </w:rPr>
      </w:pPr>
    </w:p>
    <w:p>
      <w:pPr>
        <w:ind w:right="40" w:firstLine="517"/>
        <w:spacing w:after="0" w:line="262" w:lineRule="auto"/>
        <w:rPr>
          <w:sz w:val="20"/>
          <w:szCs w:val="20"/>
          <w:color w:val="auto"/>
        </w:rPr>
      </w:pPr>
      <w:r>
        <w:rPr>
          <w:rFonts w:ascii="Arial" w:cs="Arial" w:eastAsia="Arial" w:hAnsi="Arial"/>
          <w:sz w:val="14"/>
          <w:szCs w:val="14"/>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Other Litigation Matters</w:t>
      </w:r>
    </w:p>
    <w:p>
      <w:pPr>
        <w:spacing w:after="0" w:line="184" w:lineRule="exact"/>
        <w:rPr>
          <w:sz w:val="20"/>
          <w:szCs w:val="20"/>
          <w:color w:val="auto"/>
        </w:rPr>
      </w:pPr>
    </w:p>
    <w:p>
      <w:pPr>
        <w:ind w:right="180" w:firstLine="517"/>
        <w:spacing w:after="0" w:line="267" w:lineRule="auto"/>
        <w:rPr>
          <w:sz w:val="20"/>
          <w:szCs w:val="20"/>
          <w:color w:val="auto"/>
        </w:rPr>
      </w:pPr>
      <w:r>
        <w:rPr>
          <w:rFonts w:ascii="Arial" w:cs="Arial" w:eastAsia="Arial" w:hAnsi="Arial"/>
          <w:sz w:val="14"/>
          <w:szCs w:val="14"/>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40"/>
          </w:cols>
          <w:pgMar w:left="220" w:top="129"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88" w:lineRule="exact"/>
        <w:rPr>
          <w:sz w:val="20"/>
          <w:szCs w:val="20"/>
          <w:color w:val="auto"/>
        </w:rPr>
      </w:pPr>
    </w:p>
    <w:p>
      <w:pPr>
        <w:ind w:firstLine="517"/>
        <w:spacing w:after="0" w:line="258" w:lineRule="auto"/>
        <w:rPr>
          <w:sz w:val="20"/>
          <w:szCs w:val="20"/>
          <w:color w:val="auto"/>
        </w:rPr>
      </w:pPr>
      <w:r>
        <w:rPr>
          <w:rFonts w:ascii="Arial" w:cs="Arial" w:eastAsia="Arial" w:hAnsi="Arial"/>
          <w:sz w:val="14"/>
          <w:szCs w:val="14"/>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4"/>
          <w:szCs w:val="14"/>
          <w:color w:val="auto"/>
        </w:rPr>
        <w:t>“</w:t>
      </w:r>
      <w:r>
        <w:rPr>
          <w:rFonts w:ascii="Arial" w:cs="Arial" w:eastAsia="Arial" w:hAnsi="Arial"/>
          <w:sz w:val="14"/>
          <w:szCs w:val="14"/>
          <w:i w:val="1"/>
          <w:iCs w:val="1"/>
          <w:color w:val="auto"/>
        </w:rPr>
        <w:t>DoD</w:t>
      </w:r>
      <w:r>
        <w:rPr>
          <w:rFonts w:ascii="Arial" w:cs="Arial" w:eastAsia="Arial" w:hAnsi="Arial"/>
          <w:sz w:val="14"/>
          <w:szCs w:val="14"/>
          <w:color w:val="auto"/>
        </w:rPr>
        <w:t>”)</w:t>
      </w:r>
      <w:r>
        <w:rPr>
          <w:rFonts w:ascii="Arial" w:cs="Arial" w:eastAsia="Arial" w:hAnsi="Arial"/>
          <w:sz w:val="14"/>
          <w:szCs w:val="14"/>
          <w:i w:val="1"/>
          <w:iCs w:val="1"/>
          <w:color w:val="auto"/>
        </w:rPr>
        <w:t>,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or if we cannot expand our customer base or if our products do not achieve broad acceptance which could impact our ability to achieve our anticipated level of growth;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risks related to unknown defects or errors in our products;</w:t>
      </w:r>
    </w:p>
    <w:p>
      <w:pPr>
        <w:spacing w:after="0" w:line="1" w:lineRule="exact"/>
        <w:rPr>
          <w:sz w:val="20"/>
          <w:szCs w:val="20"/>
          <w:color w:val="auto"/>
        </w:rPr>
      </w:pPr>
    </w:p>
    <w:p>
      <w:pPr>
        <w:ind w:right="20"/>
        <w:spacing w:after="0" w:line="289" w:lineRule="auto"/>
        <w:rPr>
          <w:sz w:val="20"/>
          <w:szCs w:val="20"/>
          <w:color w:val="auto"/>
        </w:rPr>
      </w:pPr>
      <w:r>
        <w:rPr>
          <w:rFonts w:ascii="Arial" w:cs="Arial" w:eastAsia="Arial" w:hAnsi="Arial"/>
          <w:sz w:val="13"/>
          <w:szCs w:val="13"/>
          <w:i w:val="1"/>
          <w:iCs w:val="1"/>
          <w:color w:val="auto"/>
        </w:rPr>
        <w:t>and competition in the marketplace, which could reduce revenues and profit margins, as well as the additional risks and uncertainties described in this Quarterly Report, in “Item 1A-Risk Factors” of our Annual Report on Form 10-K for the fiscal year ended December 30, 2018 filed with the U.S. Securities and Exchange Commission (the “SEC”</w:t>
      </w:r>
      <w:r>
        <w:rPr>
          <w:rFonts w:ascii="Arial" w:cs="Arial" w:eastAsia="Arial" w:hAnsi="Arial"/>
          <w:sz w:val="13"/>
          <w:szCs w:val="13"/>
          <w:color w:val="auto"/>
        </w:rPr>
        <w:t>)</w:t>
      </w:r>
      <w:r>
        <w:rPr>
          <w:rFonts w:ascii="Arial" w:cs="Arial" w:eastAsia="Arial" w:hAnsi="Arial"/>
          <w:sz w:val="13"/>
          <w:szCs w:val="13"/>
          <w:i w:val="1"/>
          <w:iCs w:val="1"/>
          <w:color w:val="auto"/>
        </w:rPr>
        <w:t xml:space="preserve"> on February 28, 2019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All references to “us,” “we,” “our,” the “Company” and “Kratos” refer to Kratos Defense &amp; Security Solutions, Inc., a Delaware corporation,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ind w:right="80" w:firstLine="517"/>
        <w:spacing w:after="0" w:line="261" w:lineRule="auto"/>
        <w:rPr>
          <w:sz w:val="20"/>
          <w:szCs w:val="20"/>
          <w:color w:val="auto"/>
        </w:rPr>
      </w:pPr>
      <w:r>
        <w:rPr>
          <w:rFonts w:ascii="Arial" w:cs="Arial" w:eastAsia="Arial" w:hAnsi="Arial"/>
          <w:sz w:val="14"/>
          <w:szCs w:val="14"/>
          <w:color w:val="auto"/>
        </w:rPr>
        <w:t>Kratos is a government contractor at the forefront of the DoD’s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Kratos’ primary focus areas are unmanned systems, space and satellite communications, microwave electronics, cyber security/warfare, training systems, missile defense, and C5ISR.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facility. Our entire organization is focused on executing our strategy of becoming the leading technology and intellectual property based company in our industry.</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Update</w:t>
      </w:r>
    </w:p>
    <w:p>
      <w:pPr>
        <w:spacing w:after="0" w:line="188" w:lineRule="exact"/>
        <w:rPr>
          <w:sz w:val="20"/>
          <w:szCs w:val="20"/>
          <w:color w:val="auto"/>
        </w:rPr>
      </w:pPr>
    </w:p>
    <w:p>
      <w:pPr>
        <w:ind w:right="20" w:firstLine="517"/>
        <w:spacing w:after="0" w:line="264" w:lineRule="auto"/>
        <w:rPr>
          <w:sz w:val="20"/>
          <w:szCs w:val="20"/>
          <w:color w:val="auto"/>
        </w:rPr>
      </w:pPr>
      <w:r>
        <w:rPr>
          <w:rFonts w:ascii="Arial" w:cs="Arial" w:eastAsia="Arial" w:hAnsi="Arial"/>
          <w:sz w:val="14"/>
          <w:szCs w:val="14"/>
          <w:color w:val="auto"/>
        </w:rPr>
        <w:t>The Bipartisan Budget Act of 2018 was passed in February 2019 enacting full year appropriations for all U.S. Government agencies and consolidating the spending bills signed into law in September 2018. The legislation continues to mandate spending limits created by the Budget Control Act of 2011 (“BCA”) on U.S. Government discretionary spending for FY 2020 and FY 2021 that are lower than FY 2018 and FY 2019. The U.S. Governments fiscal year (“FY”) ends on September 30. On July 22, 2019, Congressional leaders from both parties and President Trump announced a two-year spending agreement that raises federal spending by approximately $320 billion over two years above limits set by the BCA and suspends the debt ceiling until the end of July 2021. The bill still requires Congressional and Presidential approval.</w:t>
      </w:r>
    </w:p>
    <w:p>
      <w:pPr>
        <w:spacing w:after="0" w:line="149" w:lineRule="exact"/>
        <w:rPr>
          <w:sz w:val="20"/>
          <w:szCs w:val="20"/>
          <w:color w:val="auto"/>
        </w:rPr>
      </w:pPr>
    </w:p>
    <w:p>
      <w:pPr>
        <w:ind w:right="360" w:firstLine="517"/>
        <w:spacing w:after="0" w:line="288" w:lineRule="auto"/>
        <w:rPr>
          <w:sz w:val="20"/>
          <w:szCs w:val="20"/>
          <w:color w:val="auto"/>
        </w:rPr>
      </w:pPr>
      <w:r>
        <w:rPr>
          <w:rFonts w:ascii="Arial" w:cs="Arial" w:eastAsia="Arial" w:hAnsi="Arial"/>
          <w:sz w:val="14"/>
          <w:szCs w:val="14"/>
          <w:color w:val="auto"/>
        </w:rPr>
        <w:t>Considerable uncertainty still exists regarding how future budget and program decisions will unfold, including the defense spending priorities of the Administration and Congress, what challenges budget reductions (required by the BCA and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129" w:right="21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otherwise) will present for the defense industry and whether annual appropriations bills for all agencies will be enacted for FY 2020. If annual appropriations bills are not timely enacted for FY 2020 or beyond,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49" w:lineRule="exact"/>
        <w:rPr>
          <w:sz w:val="20"/>
          <w:szCs w:val="20"/>
          <w:color w:val="auto"/>
        </w:rPr>
      </w:pPr>
    </w:p>
    <w:p>
      <w:pPr>
        <w:jc w:val="both"/>
        <w:ind w:right="140" w:firstLine="517"/>
        <w:spacing w:after="0" w:line="302" w:lineRule="auto"/>
        <w:rPr>
          <w:sz w:val="20"/>
          <w:szCs w:val="20"/>
          <w:color w:val="auto"/>
        </w:rPr>
      </w:pPr>
      <w:r>
        <w:rPr>
          <w:rFonts w:ascii="Arial" w:cs="Arial" w:eastAsia="Arial" w:hAnsi="Arial"/>
          <w:sz w:val="13"/>
          <w:szCs w:val="13"/>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125" w:lineRule="exact"/>
        <w:rPr>
          <w:sz w:val="20"/>
          <w:szCs w:val="20"/>
          <w:color w:val="auto"/>
        </w:rPr>
      </w:pPr>
    </w:p>
    <w:p>
      <w:pPr>
        <w:ind w:right="180" w:firstLine="517"/>
        <w:spacing w:after="0" w:line="376" w:lineRule="auto"/>
        <w:rPr>
          <w:sz w:val="20"/>
          <w:szCs w:val="20"/>
          <w:color w:val="auto"/>
        </w:rPr>
      </w:pPr>
      <w:r>
        <w:rPr>
          <w:rFonts w:ascii="Arial" w:cs="Arial" w:eastAsia="Arial" w:hAnsi="Arial"/>
          <w:sz w:val="12"/>
          <w:szCs w:val="12"/>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Reportable Segments</w:t>
      </w:r>
    </w:p>
    <w:p>
      <w:pPr>
        <w:spacing w:after="0" w:line="188" w:lineRule="exact"/>
        <w:rPr>
          <w:sz w:val="20"/>
          <w:szCs w:val="20"/>
          <w:color w:val="auto"/>
        </w:rPr>
      </w:pPr>
    </w:p>
    <w:p>
      <w:pPr>
        <w:ind w:firstLine="517"/>
        <w:spacing w:after="0" w:line="272" w:lineRule="auto"/>
        <w:rPr>
          <w:sz w:val="20"/>
          <w:szCs w:val="20"/>
          <w:color w:val="auto"/>
        </w:rPr>
      </w:pPr>
      <w:r>
        <w:rPr>
          <w:rFonts w:ascii="Arial" w:cs="Arial" w:eastAsia="Arial" w:hAnsi="Arial"/>
          <w:sz w:val="14"/>
          <w:szCs w:val="14"/>
          <w:color w:val="auto"/>
        </w:rPr>
        <w:t>The Company operates in two reportable segments. The Kratos Government Solutions (“KGS”) reportable segment is comprised of an aggregation of KGS operating segments, including our microwave electronic products, space and satellite communications, training systems, modular systems, defense and rocket support services, and turbine technologies operating segments. The Unmanned Systems (“US”) reportable segment consists of our unmanned aerial system and unmanned ground and seaborne system businesses.</w:t>
      </w:r>
    </w:p>
    <w:p>
      <w:pPr>
        <w:spacing w:after="0" w:line="142" w:lineRule="exact"/>
        <w:rPr>
          <w:sz w:val="20"/>
          <w:szCs w:val="20"/>
          <w:color w:val="auto"/>
        </w:rPr>
      </w:pPr>
    </w:p>
    <w:p>
      <w:pPr>
        <w:ind w:right="100" w:firstLine="517"/>
        <w:spacing w:after="0" w:line="267" w:lineRule="auto"/>
        <w:rPr>
          <w:sz w:val="20"/>
          <w:szCs w:val="20"/>
          <w:color w:val="auto"/>
        </w:rPr>
      </w:pPr>
      <w:r>
        <w:rPr>
          <w:rFonts w:ascii="Arial" w:cs="Arial" w:eastAsia="Arial" w:hAnsi="Arial"/>
          <w:sz w:val="14"/>
          <w:szCs w:val="14"/>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Notes to Condensed Consolidated Financial Statements. From a customer and solutions perspective, we view our business as an integrated whole, leveraging skills and assets wherever possible.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Financial Statement Concepts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Effective December 31, 2018, we adopted the requirements of ASU 2016-02, </w:t>
      </w:r>
      <w:r>
        <w:rPr>
          <w:rFonts w:ascii="Arial" w:cs="Arial" w:eastAsia="Arial" w:hAnsi="Arial"/>
          <w:sz w:val="14"/>
          <w:szCs w:val="14"/>
          <w:i w:val="1"/>
          <w:iCs w:val="1"/>
          <w:color w:val="auto"/>
        </w:rPr>
        <w:t>Leases</w:t>
      </w:r>
      <w:r>
        <w:rPr>
          <w:rFonts w:ascii="Arial" w:cs="Arial" w:eastAsia="Arial" w:hAnsi="Arial"/>
          <w:sz w:val="14"/>
          <w:szCs w:val="14"/>
          <w:color w:val="auto"/>
        </w:rPr>
        <w:t>, also referred to as</w:t>
      </w:r>
    </w:p>
    <w:p>
      <w:pPr>
        <w:spacing w:after="0" w:line="21"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“ASC 842”, utilizing the optional transition method, as discussed in Note 1 to the accompanying Condensed Consolidated Financial Statements. Other than the adoption of ASC 842, there have been no changes to our key financial statement concepts for the six months ended June 30, 2019. For a complete description of our business and a discussion of our critical accounting matters, please refer to Item 7, “Management’s Discussion and Analysis of Financial Condition and Results of Operations” in the Form 10-K.</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40"/>
          </w:cols>
          <w:pgMar w:left="220" w:top="129"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Results for the Three Months Ended June 30, 2019 to the Three Months Ended July 1, 2018</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Revenues. </w:t>
      </w:r>
      <w:r>
        <w:rPr>
          <w:rFonts w:ascii="Arial" w:cs="Arial" w:eastAsia="Arial" w:hAnsi="Arial"/>
          <w:sz w:val="14"/>
          <w:szCs w:val="14"/>
          <w:color w:val="auto"/>
        </w:rPr>
        <w:t>Revenues by operating segment for the three months ended June 30, 2019 and July 1, 2018 are as follows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2019</w:t>
            </w: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Arial" w:cs="Arial" w:eastAsia="Arial" w:hAnsi="Arial"/>
                <w:sz w:val="11"/>
                <w:szCs w:val="11"/>
                <w:b w:val="1"/>
                <w:bCs w:val="1"/>
                <w:color w:val="auto"/>
              </w:rPr>
              <w:t>July 1, 2018</w:t>
            </w:r>
          </w:p>
        </w:tc>
        <w:tc>
          <w:tcPr>
            <w:tcW w:w="320" w:type="dxa"/>
            <w:vAlign w:val="bottom"/>
          </w:tcPr>
          <w:p>
            <w:pPr>
              <w:spacing w:after="0"/>
              <w:rPr>
                <w:sz w:val="13"/>
                <w:szCs w:val="13"/>
                <w:color w:val="auto"/>
              </w:rPr>
            </w:pPr>
          </w:p>
        </w:tc>
        <w:tc>
          <w:tcPr>
            <w:tcW w:w="1160" w:type="dxa"/>
            <w:vAlign w:val="bottom"/>
          </w:tcPr>
          <w:p>
            <w:pPr>
              <w:jc w:val="right"/>
              <w:ind w:right="450"/>
              <w:spacing w:after="0"/>
              <w:rPr>
                <w:sz w:val="20"/>
                <w:szCs w:val="20"/>
                <w:color w:val="auto"/>
              </w:rPr>
            </w:pPr>
            <w:r>
              <w:rPr>
                <w:rFonts w:ascii="Arial" w:cs="Arial" w:eastAsia="Arial" w:hAnsi="Arial"/>
                <w:sz w:val="11"/>
                <w:szCs w:val="11"/>
                <w:b w:val="1"/>
                <w:bCs w:val="1"/>
                <w:color w:val="auto"/>
              </w:rPr>
              <w:t>$ change</w:t>
            </w:r>
          </w:p>
        </w:tc>
        <w:tc>
          <w:tcPr>
            <w:tcW w:w="100" w:type="dxa"/>
            <w:vAlign w:val="bottom"/>
          </w:tcPr>
          <w:p>
            <w:pPr>
              <w:spacing w:after="0"/>
              <w:rPr>
                <w:sz w:val="13"/>
                <w:szCs w:val="13"/>
                <w:color w:val="auto"/>
              </w:rPr>
            </w:pPr>
          </w:p>
        </w:tc>
        <w:tc>
          <w:tcPr>
            <w:tcW w:w="1520" w:type="dxa"/>
            <w:vAlign w:val="bottom"/>
          </w:tcPr>
          <w:p>
            <w:pPr>
              <w:jc w:val="right"/>
              <w:ind w:right="463"/>
              <w:spacing w:after="0"/>
              <w:rPr>
                <w:sz w:val="20"/>
                <w:szCs w:val="20"/>
                <w:color w:val="auto"/>
              </w:rPr>
            </w:pPr>
            <w:r>
              <w:rPr>
                <w:rFonts w:ascii="Arial" w:cs="Arial" w:eastAsia="Arial" w:hAnsi="Arial"/>
                <w:sz w:val="11"/>
                <w:szCs w:val="11"/>
                <w:b w:val="1"/>
                <w:bCs w:val="1"/>
                <w:color w:val="auto"/>
              </w:rPr>
              <w:t>% change</w:t>
            </w:r>
          </w:p>
        </w:tc>
      </w:tr>
      <w:tr>
        <w:trPr>
          <w:trHeight w:val="191"/>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Kratos Government Solutions</w:t>
            </w: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Service 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26.7</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56.8%</w:t>
            </w:r>
          </w:p>
        </w:tc>
      </w:tr>
      <w:tr>
        <w:trPr>
          <w:trHeight w:val="23"/>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Product sales</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71.7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68.6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3.1</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Total Kratos Government Solutions</w:t>
            </w: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145.4</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115.6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29.8</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25.8%</w:t>
            </w:r>
          </w:p>
        </w:tc>
      </w:tr>
      <w:tr>
        <w:trPr>
          <w:trHeight w:val="23"/>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Unmanned Systems product sales</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42.5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240"/>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revenues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187.9</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151.2</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r>
      <w:tr>
        <w:trPr>
          <w:trHeight w:val="215"/>
        </w:trPr>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Total service 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26.7</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56.8%</w:t>
            </w:r>
          </w:p>
        </w:tc>
      </w:tr>
      <w:tr>
        <w:trPr>
          <w:trHeight w:val="23"/>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product sales</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114.2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104.2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200"/>
        </w:trPr>
        <w:tc>
          <w:tcPr>
            <w:tcW w:w="5160" w:type="dxa"/>
            <w:vAlign w:val="bottom"/>
          </w:tcPr>
          <w:p>
            <w:pPr>
              <w:ind w:left="140"/>
              <w:spacing w:after="0"/>
              <w:rPr>
                <w:sz w:val="20"/>
                <w:szCs w:val="20"/>
                <w:color w:val="auto"/>
              </w:rPr>
            </w:pPr>
            <w:r>
              <w:rPr>
                <w:rFonts w:ascii="Arial" w:cs="Arial" w:eastAsia="Arial" w:hAnsi="Arial"/>
                <w:sz w:val="14"/>
                <w:szCs w:val="14"/>
                <w:color w:val="auto"/>
              </w:rPr>
              <w:t>Total revenues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187.9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36.7</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24.3%</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62" w:lineRule="exact"/>
        <w:rPr>
          <w:sz w:val="20"/>
          <w:szCs w:val="20"/>
          <w:color w:val="auto"/>
        </w:rPr>
      </w:pPr>
    </w:p>
    <w:p>
      <w:pPr>
        <w:ind w:right="60" w:firstLine="517"/>
        <w:spacing w:after="0" w:line="267" w:lineRule="auto"/>
        <w:rPr>
          <w:sz w:val="20"/>
          <w:szCs w:val="20"/>
          <w:color w:val="auto"/>
        </w:rPr>
      </w:pPr>
      <w:r>
        <w:rPr>
          <w:rFonts w:ascii="Arial" w:cs="Arial" w:eastAsia="Arial" w:hAnsi="Arial"/>
          <w:sz w:val="14"/>
          <w:szCs w:val="14"/>
          <w:color w:val="auto"/>
        </w:rPr>
        <w:t>Revenues increased $36.7 million to $187.9 million for the three months ended June 30, 2019 from $151.2 million for the three months ended July 1, 2018. Revenues in our KGS segment increased $29.8 million due to the acquisition of FTT, which contributed approximately $17.2 million, and increases in our training systems, space and satellite communications and modular systems businesses with aggregate increased revenue of $14.5 million, offset partially by reductions in our legacy government services business of $1.7 million. Revenues in our US segment increased primarily due to increased production of the U.S. Air Force AFSAT 167 targets and our SSAT/177 aerial targets for the U.S. Navy.</w:t>
      </w:r>
    </w:p>
    <w:p>
      <w:pPr>
        <w:spacing w:after="0" w:line="146" w:lineRule="exact"/>
        <w:rPr>
          <w:sz w:val="20"/>
          <w:szCs w:val="20"/>
          <w:color w:val="auto"/>
        </w:rPr>
      </w:pPr>
    </w:p>
    <w:p>
      <w:pPr>
        <w:ind w:right="100" w:firstLine="517"/>
        <w:spacing w:after="0" w:line="264" w:lineRule="auto"/>
        <w:rPr>
          <w:sz w:val="20"/>
          <w:szCs w:val="20"/>
          <w:color w:val="auto"/>
        </w:rPr>
      </w:pPr>
      <w:r>
        <w:rPr>
          <w:rFonts w:ascii="Arial" w:cs="Arial" w:eastAsia="Arial" w:hAnsi="Arial"/>
          <w:sz w:val="14"/>
          <w:szCs w:val="14"/>
          <w:color w:val="auto"/>
        </w:rPr>
        <w:t>Product sales increased $10.0 million to $114.2 million for the three months ended June 30, 2019 from $104.2 million for the three months ended July 1, 2018 primarily due to increased production in our US business and our modular systems business. As a percentage of total revenue, product sales were 60.8% for the three months ended June 30, 2019 as compared to 68.9% for the three months ended July 1, 2018. Service revenues increased by $26.7 million to $73.7 million for the three months ended June 30, 2019 from $47.0 million for the three months ended July 1, 2018. The increase was primarily related to work performed in our recently acquired FTT business as well increased work in the training solutions, space and satellite communications and ballistic missile targets businesses within KGS.</w:t>
      </w:r>
    </w:p>
    <w:p>
      <w:pPr>
        <w:spacing w:after="0" w:line="149" w:lineRule="exact"/>
        <w:rPr>
          <w:sz w:val="20"/>
          <w:szCs w:val="20"/>
          <w:color w:val="auto"/>
        </w:rPr>
      </w:pPr>
    </w:p>
    <w:p>
      <w:pPr>
        <w:ind w:right="240" w:firstLine="517"/>
        <w:spacing w:after="0" w:line="288" w:lineRule="auto"/>
        <w:rPr>
          <w:sz w:val="20"/>
          <w:szCs w:val="20"/>
          <w:color w:val="auto"/>
        </w:rPr>
      </w:pPr>
      <w:r>
        <w:rPr>
          <w:rFonts w:ascii="Arial" w:cs="Arial" w:eastAsia="Arial" w:hAnsi="Arial"/>
          <w:sz w:val="14"/>
          <w:szCs w:val="14"/>
          <w:i w:val="1"/>
          <w:iCs w:val="1"/>
          <w:color w:val="auto"/>
        </w:rPr>
        <w:t xml:space="preserve">Cost of Revenues. </w:t>
      </w:r>
      <w:r>
        <w:rPr>
          <w:rFonts w:ascii="Arial" w:cs="Arial" w:eastAsia="Arial" w:hAnsi="Arial"/>
          <w:sz w:val="14"/>
          <w:szCs w:val="14"/>
          <w:color w:val="auto"/>
        </w:rPr>
        <w:t>Cost of revenues increased $27.9 million to $139.8 million for the three months ended June 30, 2019 from $111.9 million for the three months ended July 1, 2018. The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in cost of revenues was primarily a result of the increase in revenues discussed above.</w:t>
      </w:r>
    </w:p>
    <w:p>
      <w:pPr>
        <w:spacing w:after="0" w:line="131" w:lineRule="exact"/>
        <w:rPr>
          <w:sz w:val="20"/>
          <w:szCs w:val="20"/>
          <w:color w:val="auto"/>
        </w:rPr>
      </w:pPr>
    </w:p>
    <w:p>
      <w:pPr>
        <w:ind w:right="40" w:firstLine="517"/>
        <w:spacing w:after="0" w:line="263" w:lineRule="auto"/>
        <w:rPr>
          <w:sz w:val="20"/>
          <w:szCs w:val="20"/>
          <w:color w:val="auto"/>
        </w:rPr>
      </w:pPr>
      <w:r>
        <w:rPr>
          <w:rFonts w:ascii="Arial" w:cs="Arial" w:eastAsia="Arial" w:hAnsi="Arial"/>
          <w:sz w:val="14"/>
          <w:szCs w:val="14"/>
          <w:color w:val="auto"/>
        </w:rPr>
        <w:t>Gross margin decreased to 25.6% for the three months ended June 30, 2019 from 26.0% for the three months ended July 1, 2018. Margins on services increased to 31.3% for the three months ended June 30, 2019 from 29.4% for the three months ended July 1, 2018, due primarily to a more favorable mix of revenues, primarily in our space and satellite communications and training solutions businesses and our recently acquired FTT business. Margins on products decreased to 21.9% for the three months ended June 30, 2019 from 24.5% for the three months ended July 1, 2018, primarily due to the mix of products produced. Margins in the KGS segment decreased slightly to 27.4% for the three months ended June 30, 2019 from 27.6% for the three months ended July 1, 2018. Margins in the US segment decreased to 19.5% for the three months ended June 30, 2019 from 20.8% for the three months ended July 1, 2018, primarily due to a less favorable mix of products being produced during the three months ended June 30, 2019.</w:t>
      </w:r>
    </w:p>
    <w:p>
      <w:pPr>
        <w:spacing w:after="0" w:line="148" w:lineRule="exact"/>
        <w:rPr>
          <w:sz w:val="20"/>
          <w:szCs w:val="20"/>
          <w:color w:val="auto"/>
        </w:rPr>
      </w:pPr>
    </w:p>
    <w:p>
      <w:pPr>
        <w:ind w:right="40" w:firstLine="517"/>
        <w:spacing w:after="0" w:line="272" w:lineRule="auto"/>
        <w:rPr>
          <w:sz w:val="20"/>
          <w:szCs w:val="20"/>
          <w:color w:val="auto"/>
        </w:rPr>
      </w:pPr>
      <w:r>
        <w:rPr>
          <w:rFonts w:ascii="Arial" w:cs="Arial" w:eastAsia="Arial" w:hAnsi="Arial"/>
          <w:sz w:val="14"/>
          <w:szCs w:val="14"/>
          <w:i w:val="1"/>
          <w:iCs w:val="1"/>
          <w:color w:val="auto"/>
        </w:rPr>
        <w:t>Selling, General and Administrative (</w:t>
      </w:r>
      <w:r>
        <w:rPr>
          <w:rFonts w:ascii="Arial" w:cs="Arial" w:eastAsia="Arial" w:hAnsi="Arial"/>
          <w:sz w:val="14"/>
          <w:szCs w:val="14"/>
          <w:color w:val="auto"/>
        </w:rPr>
        <w:t>“</w:t>
      </w:r>
      <w:r>
        <w:rPr>
          <w:rFonts w:ascii="Arial" w:cs="Arial" w:eastAsia="Arial" w:hAnsi="Arial"/>
          <w:sz w:val="14"/>
          <w:szCs w:val="14"/>
          <w:i w:val="1"/>
          <w:iCs w:val="1"/>
          <w:color w:val="auto"/>
        </w:rPr>
        <w:t>SG&amp;A</w:t>
      </w:r>
      <w:r>
        <w:rPr>
          <w:rFonts w:ascii="Arial" w:cs="Arial" w:eastAsia="Arial" w:hAnsi="Arial"/>
          <w:sz w:val="14"/>
          <w:szCs w:val="14"/>
          <w:color w:val="auto"/>
        </w:rPr>
        <w:t>”</w:t>
      </w:r>
      <w:r>
        <w:rPr>
          <w:rFonts w:ascii="Arial" w:cs="Arial" w:eastAsia="Arial" w:hAnsi="Arial"/>
          <w:sz w:val="14"/>
          <w:szCs w:val="14"/>
          <w:i w:val="1"/>
          <w:iCs w:val="1"/>
          <w:color w:val="auto"/>
        </w:rPr>
        <w:t xml:space="preserve">) Expenses. </w:t>
      </w:r>
      <w:r>
        <w:rPr>
          <w:rFonts w:ascii="Arial" w:cs="Arial" w:eastAsia="Arial" w:hAnsi="Arial"/>
          <w:sz w:val="14"/>
          <w:szCs w:val="14"/>
          <w:color w:val="auto"/>
        </w:rPr>
        <w:t>SG&amp;A expense was $33.7 million for the three months ended June 30, 2019 and $30.1 million for the three months ended July 1,</w:t>
      </w:r>
      <w:r>
        <w:rPr>
          <w:rFonts w:ascii="Arial" w:cs="Arial" w:eastAsia="Arial" w:hAnsi="Arial"/>
          <w:sz w:val="14"/>
          <w:szCs w:val="14"/>
          <w:i w:val="1"/>
          <w:iCs w:val="1"/>
          <w:color w:val="auto"/>
        </w:rPr>
        <w:t xml:space="preserve"> </w:t>
      </w:r>
      <w:r>
        <w:rPr>
          <w:rFonts w:ascii="Arial" w:cs="Arial" w:eastAsia="Arial" w:hAnsi="Arial"/>
          <w:sz w:val="14"/>
          <w:szCs w:val="14"/>
          <w:color w:val="auto"/>
        </w:rPr>
        <w:t>2018. As a percentage of revenues, SG&amp;A decreased to 17.9% at June 30, 2019 from 19.9% at July 1, 2018, which is primarily due to the leverage on the fixed SG&amp;A infrastructure as revenues have increased, as well as the impact of cost reduction actions taken during 2018.</w:t>
      </w:r>
    </w:p>
    <w:p>
      <w:pPr>
        <w:spacing w:after="0" w:line="142" w:lineRule="exact"/>
        <w:rPr>
          <w:sz w:val="20"/>
          <w:szCs w:val="20"/>
          <w:color w:val="auto"/>
        </w:rPr>
      </w:pPr>
    </w:p>
    <w:p>
      <w:pPr>
        <w:ind w:right="20" w:firstLine="517"/>
        <w:spacing w:after="0" w:line="294" w:lineRule="auto"/>
        <w:rPr>
          <w:sz w:val="20"/>
          <w:szCs w:val="20"/>
          <w:color w:val="auto"/>
        </w:rPr>
      </w:pPr>
      <w:r>
        <w:rPr>
          <w:rFonts w:ascii="Arial" w:cs="Arial" w:eastAsia="Arial" w:hAnsi="Arial"/>
          <w:sz w:val="13"/>
          <w:szCs w:val="13"/>
          <w:i w:val="1"/>
          <w:iCs w:val="1"/>
          <w:color w:val="auto"/>
        </w:rPr>
        <w:t>Research and Development (</w:t>
      </w:r>
      <w:r>
        <w:rPr>
          <w:rFonts w:ascii="Arial" w:cs="Arial" w:eastAsia="Arial" w:hAnsi="Arial"/>
          <w:sz w:val="13"/>
          <w:szCs w:val="13"/>
          <w:color w:val="auto"/>
        </w:rPr>
        <w:t>“</w:t>
      </w:r>
      <w:r>
        <w:rPr>
          <w:rFonts w:ascii="Arial" w:cs="Arial" w:eastAsia="Arial" w:hAnsi="Arial"/>
          <w:sz w:val="13"/>
          <w:szCs w:val="13"/>
          <w:i w:val="1"/>
          <w:iCs w:val="1"/>
          <w:color w:val="auto"/>
        </w:rPr>
        <w:t>R&amp;D</w:t>
      </w:r>
      <w:r>
        <w:rPr>
          <w:rFonts w:ascii="Arial" w:cs="Arial" w:eastAsia="Arial" w:hAnsi="Arial"/>
          <w:sz w:val="13"/>
          <w:szCs w:val="13"/>
          <w:color w:val="auto"/>
        </w:rPr>
        <w:t>”</w:t>
      </w:r>
      <w:r>
        <w:rPr>
          <w:rFonts w:ascii="Arial" w:cs="Arial" w:eastAsia="Arial" w:hAnsi="Arial"/>
          <w:sz w:val="13"/>
          <w:szCs w:val="13"/>
          <w:i w:val="1"/>
          <w:iCs w:val="1"/>
          <w:color w:val="auto"/>
        </w:rPr>
        <w:t xml:space="preserve">) Expenses. </w:t>
      </w:r>
      <w:r>
        <w:rPr>
          <w:rFonts w:ascii="Arial" w:cs="Arial" w:eastAsia="Arial" w:hAnsi="Arial"/>
          <w:sz w:val="13"/>
          <w:szCs w:val="13"/>
          <w:color w:val="auto"/>
        </w:rPr>
        <w:t>R&amp;D expenses increased $0.9 million to $4.5 million for the three months ended June 30, 2019 from $3.6 million for the three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July 1, 2018, with the primary increases in our space and satellite communications business. As a percentage of revenues, R&amp;D remained flat at 2.4% for the three months ended June 30, 2019 and the three months ended July 1, 2018. R&amp;D expenditures are primarily related to investments we are making in conjunction with our customers, with the objectives of our products being the new platform for or “designed-in” to certain new long-term program opportunities and our ownership of certain intellectual property rights for products that support these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129" w:right="21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programs as well as technology upgrades and refresh activities that are necessary for the next generation of our existing product lines specifically in our space and satellite communications business.</w:t>
      </w:r>
    </w:p>
    <w:p>
      <w:pPr>
        <w:spacing w:after="0" w:line="195" w:lineRule="exact"/>
        <w:rPr>
          <w:sz w:val="20"/>
          <w:szCs w:val="20"/>
          <w:color w:val="auto"/>
        </w:rPr>
      </w:pPr>
    </w:p>
    <w:p>
      <w:pPr>
        <w:ind w:right="280" w:firstLine="517"/>
        <w:spacing w:after="0" w:line="302" w:lineRule="auto"/>
        <w:rPr>
          <w:sz w:val="20"/>
          <w:szCs w:val="20"/>
          <w:color w:val="auto"/>
        </w:rPr>
      </w:pPr>
      <w:r>
        <w:rPr>
          <w:rFonts w:ascii="Arial" w:cs="Arial" w:eastAsia="Arial" w:hAnsi="Arial"/>
          <w:sz w:val="13"/>
          <w:szCs w:val="13"/>
          <w:i w:val="1"/>
          <w:iCs w:val="1"/>
          <w:color w:val="auto"/>
        </w:rPr>
        <w:t xml:space="preserve">Restructuring Expenses and Other. </w:t>
      </w:r>
      <w:r>
        <w:rPr>
          <w:rFonts w:ascii="Arial" w:cs="Arial" w:eastAsia="Arial" w:hAnsi="Arial"/>
          <w:sz w:val="13"/>
          <w:szCs w:val="13"/>
          <w:color w:val="auto"/>
        </w:rPr>
        <w:t>The expense of $0.3 million for the three months ended June 30, 2019 was primarily due to employee termination costs related to personnel reduction</w:t>
      </w:r>
      <w:r>
        <w:rPr>
          <w:rFonts w:ascii="Arial" w:cs="Arial" w:eastAsia="Arial" w:hAnsi="Arial"/>
          <w:sz w:val="13"/>
          <w:szCs w:val="13"/>
          <w:i w:val="1"/>
          <w:iCs w:val="1"/>
          <w:color w:val="auto"/>
        </w:rPr>
        <w:t xml:space="preserve"> </w:t>
      </w:r>
      <w:r>
        <w:rPr>
          <w:rFonts w:ascii="Arial" w:cs="Arial" w:eastAsia="Arial" w:hAnsi="Arial"/>
          <w:sz w:val="13"/>
          <w:szCs w:val="13"/>
          <w:color w:val="auto"/>
        </w:rPr>
        <w:t>actions taken in the second quarter of 2019. The expense of $3.0 million for the three months ended July 1, 2018 was primarily due to a litigation settlement of $2.3 million, approximately $0.5 million of litigation-related fees and approximately $0.2 million of employee termination costs related to personnel reduction actions taken in the second quarter of 2018.</w:t>
      </w:r>
    </w:p>
    <w:p>
      <w:pPr>
        <w:spacing w:after="0" w:line="125" w:lineRule="exact"/>
        <w:rPr>
          <w:sz w:val="20"/>
          <w:szCs w:val="20"/>
          <w:color w:val="auto"/>
        </w:rPr>
      </w:pPr>
    </w:p>
    <w:p>
      <w:pPr>
        <w:ind w:right="100" w:firstLine="517"/>
        <w:spacing w:after="0" w:line="288" w:lineRule="auto"/>
        <w:rPr>
          <w:sz w:val="20"/>
          <w:szCs w:val="20"/>
          <w:color w:val="auto"/>
        </w:rPr>
      </w:pPr>
      <w:r>
        <w:rPr>
          <w:rFonts w:ascii="Arial" w:cs="Arial" w:eastAsia="Arial" w:hAnsi="Arial"/>
          <w:sz w:val="14"/>
          <w:szCs w:val="14"/>
          <w:i w:val="1"/>
          <w:iCs w:val="1"/>
          <w:color w:val="auto"/>
        </w:rPr>
        <w:t xml:space="preserve">Other Expense, Net. </w:t>
      </w:r>
      <w:r>
        <w:rPr>
          <w:rFonts w:ascii="Arial" w:cs="Arial" w:eastAsia="Arial" w:hAnsi="Arial"/>
          <w:sz w:val="14"/>
          <w:szCs w:val="14"/>
          <w:color w:val="auto"/>
        </w:rPr>
        <w:t>Other expense, net decreased to $5.2 million from $6.3 million for the three months ended June 30, 2019 and July 1, 2018, respectively. The decrease in other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net, of $1.1 million is primarily related to a decrease in foreign transaction loss of $0.6 million, as well as due to an increase in interest income of $0.5 million.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Provision for Income Taxes from Continuing Operations. </w:t>
      </w:r>
      <w:r>
        <w:rPr>
          <w:rFonts w:ascii="Arial" w:cs="Arial" w:eastAsia="Arial" w:hAnsi="Arial"/>
          <w:sz w:val="13"/>
          <w:szCs w:val="13"/>
          <w:color w:val="auto"/>
        </w:rPr>
        <w:t>Income tax expense from continuing operations for the three months ended June 30, 2019 and July 1, 2018 was $2.5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$0.1 million, respectively. For the three months ended June 30, 2019 and July 1, 2018, the expense was primarily a function of the estimated effective tax rate for the year. The estimated effective tax</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rate is driven by estimated foreign taxes, estimated federal and state taxes, permanent book/tax differences, tax amortization of intangible assets that have an indefinite life under accounting principles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generally accepted in the U.S. and the projected income or loss for the year.</w:t>
      </w:r>
    </w:p>
    <w:p>
      <w:pPr>
        <w:spacing w:after="0" w:line="174" w:lineRule="exact"/>
        <w:rPr>
          <w:sz w:val="20"/>
          <w:szCs w:val="20"/>
          <w:color w:val="auto"/>
        </w:rPr>
      </w:pPr>
    </w:p>
    <w:p>
      <w:pPr>
        <w:ind w:right="140" w:firstLine="517"/>
        <w:spacing w:after="0" w:line="263" w:lineRule="auto"/>
        <w:rPr>
          <w:sz w:val="20"/>
          <w:szCs w:val="20"/>
          <w:color w:val="auto"/>
        </w:rPr>
      </w:pPr>
      <w:r>
        <w:rPr>
          <w:rFonts w:ascii="Arial" w:cs="Arial" w:eastAsia="Arial" w:hAnsi="Arial"/>
          <w:sz w:val="14"/>
          <w:szCs w:val="14"/>
          <w:i w:val="1"/>
          <w:iCs w:val="1"/>
          <w:color w:val="auto"/>
        </w:rPr>
        <w:t xml:space="preserve">Income (loss) from Discontinued Operations. </w:t>
      </w:r>
      <w:r>
        <w:rPr>
          <w:rFonts w:ascii="Arial" w:cs="Arial" w:eastAsia="Arial" w:hAnsi="Arial"/>
          <w:sz w:val="14"/>
          <w:szCs w:val="14"/>
          <w:color w:val="auto"/>
        </w:rPr>
        <w:t>The income from discontinued operations was $3.0 million for the three months ended June 30, 2019, and includes a $3.6 million gain as a</w:t>
      </w:r>
      <w:r>
        <w:rPr>
          <w:rFonts w:ascii="Arial" w:cs="Arial" w:eastAsia="Arial" w:hAnsi="Arial"/>
          <w:sz w:val="14"/>
          <w:szCs w:val="14"/>
          <w:i w:val="1"/>
          <w:iCs w:val="1"/>
          <w:color w:val="auto"/>
        </w:rPr>
        <w:t xml:space="preserve"> </w:t>
      </w:r>
      <w:r>
        <w:rPr>
          <w:rFonts w:ascii="Arial" w:cs="Arial" w:eastAsia="Arial" w:hAnsi="Arial"/>
          <w:sz w:val="14"/>
          <w:szCs w:val="14"/>
          <w:color w:val="auto"/>
        </w:rPr>
        <w:t>result of the release of an indemnification liability following the lapse of the statute of limitations associated with a potential tax liability that was recorded in 2015 as part of the sale of the our Electronics Products Division. This gain was offset by a loss of $0.6 million from operating activities primarily reflecting the work performed in relation to outstanding tasks on legacy projects retained by us following the sale of the PSS business and legal expenses related to the closing working capital dispute with the buyer of the PSS business. The loss from discontinued operations of $3.9 million for the three months ended July 1, 2018 includes a loss of $2.0 million from operating activities through the completion of the disposition and approximately $1.9 million of transaction expenses related to the disposition.</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Results for the Six Months Ended June 30, 2019 to the Six Months Ended July 1, 2018</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Revenues. </w:t>
      </w:r>
      <w:r>
        <w:rPr>
          <w:rFonts w:ascii="Arial" w:cs="Arial" w:eastAsia="Arial" w:hAnsi="Arial"/>
          <w:sz w:val="14"/>
          <w:szCs w:val="14"/>
          <w:color w:val="auto"/>
        </w:rPr>
        <w:t>Revenues by operating segment for the six months ended June 30, 2019 and July 1, 2018 are as follows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2019</w:t>
            </w:r>
          </w:p>
        </w:tc>
        <w:tc>
          <w:tcPr>
            <w:tcW w:w="2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Arial" w:cs="Arial" w:eastAsia="Arial" w:hAnsi="Arial"/>
                <w:sz w:val="11"/>
                <w:szCs w:val="11"/>
                <w:b w:val="1"/>
                <w:bCs w:val="1"/>
                <w:color w:val="auto"/>
              </w:rPr>
              <w:t>July 1, 2018</w:t>
            </w:r>
          </w:p>
        </w:tc>
        <w:tc>
          <w:tcPr>
            <w:tcW w:w="320" w:type="dxa"/>
            <w:vAlign w:val="bottom"/>
          </w:tcPr>
          <w:p>
            <w:pPr>
              <w:spacing w:after="0"/>
              <w:rPr>
                <w:sz w:val="13"/>
                <w:szCs w:val="13"/>
                <w:color w:val="auto"/>
              </w:rPr>
            </w:pPr>
          </w:p>
        </w:tc>
        <w:tc>
          <w:tcPr>
            <w:tcW w:w="1160" w:type="dxa"/>
            <w:vAlign w:val="bottom"/>
          </w:tcPr>
          <w:p>
            <w:pPr>
              <w:jc w:val="right"/>
              <w:ind w:right="450"/>
              <w:spacing w:after="0"/>
              <w:rPr>
                <w:sz w:val="20"/>
                <w:szCs w:val="20"/>
                <w:color w:val="auto"/>
              </w:rPr>
            </w:pPr>
            <w:r>
              <w:rPr>
                <w:rFonts w:ascii="Arial" w:cs="Arial" w:eastAsia="Arial" w:hAnsi="Arial"/>
                <w:sz w:val="11"/>
                <w:szCs w:val="11"/>
                <w:b w:val="1"/>
                <w:bCs w:val="1"/>
                <w:color w:val="auto"/>
              </w:rPr>
              <w:t>$ change</w:t>
            </w:r>
          </w:p>
        </w:tc>
        <w:tc>
          <w:tcPr>
            <w:tcW w:w="100" w:type="dxa"/>
            <w:vAlign w:val="bottom"/>
          </w:tcPr>
          <w:p>
            <w:pPr>
              <w:spacing w:after="0"/>
              <w:rPr>
                <w:sz w:val="13"/>
                <w:szCs w:val="13"/>
                <w:color w:val="auto"/>
              </w:rPr>
            </w:pPr>
          </w:p>
        </w:tc>
        <w:tc>
          <w:tcPr>
            <w:tcW w:w="1560" w:type="dxa"/>
            <w:vAlign w:val="bottom"/>
          </w:tcPr>
          <w:p>
            <w:pPr>
              <w:jc w:val="right"/>
              <w:ind w:right="483"/>
              <w:spacing w:after="0"/>
              <w:rPr>
                <w:sz w:val="20"/>
                <w:szCs w:val="20"/>
                <w:color w:val="auto"/>
              </w:rPr>
            </w:pPr>
            <w:r>
              <w:rPr>
                <w:rFonts w:ascii="Arial" w:cs="Arial" w:eastAsia="Arial" w:hAnsi="Arial"/>
                <w:sz w:val="11"/>
                <w:szCs w:val="11"/>
                <w:b w:val="1"/>
                <w:bCs w:val="1"/>
                <w:color w:val="auto"/>
              </w:rPr>
              <w:t>% change</w:t>
            </w:r>
          </w:p>
        </w:tc>
      </w:tr>
      <w:tr>
        <w:trPr>
          <w:trHeight w:val="191"/>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Kratos Government Solutions</w:t>
            </w: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Service 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93.0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43.3</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46.6 %</w:t>
            </w:r>
          </w:p>
        </w:tc>
      </w:tr>
      <w:tr>
        <w:trPr>
          <w:trHeight w:val="23"/>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Product sales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134.6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Total Kratos Government Solutions</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270.9</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230.8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40.1</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17.4 %</w:t>
            </w:r>
          </w:p>
        </w:tc>
      </w:tr>
      <w:tr>
        <w:trPr>
          <w:trHeight w:val="23"/>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Unmanned Systems product sales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77.4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22.1 %</w:t>
            </w:r>
          </w:p>
        </w:tc>
      </w:tr>
      <w:tr>
        <w:trPr>
          <w:trHeight w:val="240"/>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revenues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348.3</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294.2</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54.1</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r>
      <w:tr>
        <w:trPr>
          <w:trHeight w:val="215"/>
        </w:trPr>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Total service 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93.0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43.3</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46.6 %</w:t>
            </w:r>
          </w:p>
        </w:tc>
      </w:tr>
      <w:tr>
        <w:trPr>
          <w:trHeight w:val="23"/>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product sales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212.0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5.4 %</w:t>
            </w:r>
          </w:p>
        </w:tc>
      </w:tr>
      <w:tr>
        <w:trPr>
          <w:trHeight w:val="200"/>
        </w:trPr>
        <w:tc>
          <w:tcPr>
            <w:tcW w:w="5160" w:type="dxa"/>
            <w:vAlign w:val="bottom"/>
          </w:tcPr>
          <w:p>
            <w:pPr>
              <w:ind w:left="140"/>
              <w:spacing w:after="0"/>
              <w:rPr>
                <w:sz w:val="20"/>
                <w:szCs w:val="20"/>
                <w:color w:val="auto"/>
              </w:rPr>
            </w:pPr>
            <w:r>
              <w:rPr>
                <w:rFonts w:ascii="Arial" w:cs="Arial" w:eastAsia="Arial" w:hAnsi="Arial"/>
                <w:sz w:val="14"/>
                <w:szCs w:val="14"/>
                <w:color w:val="auto"/>
              </w:rPr>
              <w:t>Total revenues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348.3</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294.2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54.1</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18.4 %</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62" w:lineRule="exact"/>
        <w:rPr>
          <w:sz w:val="20"/>
          <w:szCs w:val="20"/>
          <w:color w:val="auto"/>
        </w:rPr>
      </w:pPr>
    </w:p>
    <w:p>
      <w:pPr>
        <w:ind w:right="160" w:firstLine="517"/>
        <w:spacing w:after="0" w:line="287" w:lineRule="auto"/>
        <w:rPr>
          <w:sz w:val="20"/>
          <w:szCs w:val="20"/>
          <w:color w:val="auto"/>
        </w:rPr>
      </w:pPr>
      <w:r>
        <w:rPr>
          <w:rFonts w:ascii="Arial" w:cs="Arial" w:eastAsia="Arial" w:hAnsi="Arial"/>
          <w:sz w:val="13"/>
          <w:szCs w:val="13"/>
          <w:color w:val="auto"/>
        </w:rPr>
        <w:t>Revenues increased $54.1 million to $348.3 million for the six months ended June 30, 2019 from $294.2 million for the six months ended July 1, 2018. Revenues in our KGS segment increased $40.1 million due to the recent FTT acquisition which contributed $21.4 million, along with increases in our satellite communications, modular systems, training systems and our ballistic missile target businesses which contributed increased revenues of $24.9 million, partially offset by reductions of approximately $3.4 million resulting from reduced revenues in our legacy government services business which has been impacted by continued commoditization and price competitiveness in the government services industry due to contract awards on a lowest price technically acceptable basis rather than on a best value basis. Revenues in our US segment increased due to increased execution on low rate initial production of our SSAT/177 aerial targets for the U.S. Navy, production on our AFSAT 167 aerial targets for the U.S. Air Force and low rate initial production on other programs, which resulted in increased revenues of $14.0 million.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129" w:right="2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8" w:lineRule="exact"/>
        <w:rPr>
          <w:sz w:val="20"/>
          <w:szCs w:val="20"/>
          <w:color w:val="auto"/>
        </w:rPr>
      </w:pPr>
    </w:p>
    <w:p>
      <w:pPr>
        <w:ind w:right="100" w:firstLine="517"/>
        <w:spacing w:after="0" w:line="264" w:lineRule="auto"/>
        <w:rPr>
          <w:sz w:val="20"/>
          <w:szCs w:val="20"/>
          <w:color w:val="auto"/>
        </w:rPr>
      </w:pPr>
      <w:r>
        <w:rPr>
          <w:rFonts w:ascii="Arial" w:cs="Arial" w:eastAsia="Arial" w:hAnsi="Arial"/>
          <w:sz w:val="14"/>
          <w:szCs w:val="14"/>
          <w:color w:val="auto"/>
        </w:rPr>
        <w:t>Product sales increased $10.8 million to $212.0 million for the six months ended June 30, 2019 from $201.2 million for the six months ended July 1, 2018, primarily as a result of increased production activity in our US segment. As a percentage of total revenue, product sales were 60.9% for the six months ended June 30, 2019 as compared to 68.4% for the six months ended July 1, 2018. Service revenues increased by $43.3 million to $136.3 million for the six months ended June 30, 2019 from $93.0 million for the six months ended July 1, 2018. The increase was primarily related to work performed in our recently acquired FTT business as well increased work in the training solutions, space and satellite communications and ballistic missile targets businesses within KGS.</w:t>
      </w:r>
    </w:p>
    <w:p>
      <w:pPr>
        <w:spacing w:after="0" w:line="149" w:lineRule="exact"/>
        <w:rPr>
          <w:sz w:val="20"/>
          <w:szCs w:val="20"/>
          <w:color w:val="auto"/>
        </w:rPr>
      </w:pPr>
    </w:p>
    <w:p>
      <w:pPr>
        <w:ind w:right="460" w:firstLine="517"/>
        <w:spacing w:after="0" w:line="288" w:lineRule="auto"/>
        <w:rPr>
          <w:sz w:val="20"/>
          <w:szCs w:val="20"/>
          <w:color w:val="auto"/>
        </w:rPr>
      </w:pPr>
      <w:r>
        <w:rPr>
          <w:rFonts w:ascii="Arial" w:cs="Arial" w:eastAsia="Arial" w:hAnsi="Arial"/>
          <w:sz w:val="14"/>
          <w:szCs w:val="14"/>
          <w:i w:val="1"/>
          <w:iCs w:val="1"/>
          <w:color w:val="auto"/>
        </w:rPr>
        <w:t xml:space="preserve">Cost of Revenues. </w:t>
      </w:r>
      <w:r>
        <w:rPr>
          <w:rFonts w:ascii="Arial" w:cs="Arial" w:eastAsia="Arial" w:hAnsi="Arial"/>
          <w:sz w:val="14"/>
          <w:szCs w:val="14"/>
          <w:color w:val="auto"/>
        </w:rPr>
        <w:t>Cost of revenues increased $41.2 million to $255.3 million for the six months ended June 30, 2019 from $214.1 million for the six months ended July 1, 2018. The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in cost of revenues was primarily a result of the revenue changes discussed above.</w:t>
      </w:r>
    </w:p>
    <w:p>
      <w:pPr>
        <w:spacing w:after="0" w:line="131" w:lineRule="exact"/>
        <w:rPr>
          <w:sz w:val="20"/>
          <w:szCs w:val="20"/>
          <w:color w:val="auto"/>
        </w:rPr>
      </w:pPr>
    </w:p>
    <w:p>
      <w:pPr>
        <w:ind w:right="20" w:firstLine="517"/>
        <w:spacing w:after="0" w:line="264" w:lineRule="auto"/>
        <w:rPr>
          <w:sz w:val="20"/>
          <w:szCs w:val="20"/>
          <w:color w:val="auto"/>
        </w:rPr>
      </w:pPr>
      <w:r>
        <w:rPr>
          <w:rFonts w:ascii="Arial" w:cs="Arial" w:eastAsia="Arial" w:hAnsi="Arial"/>
          <w:sz w:val="14"/>
          <w:szCs w:val="14"/>
          <w:color w:val="auto"/>
        </w:rPr>
        <w:t>Gross margin decreased to 26.7% for the six months ended June 30, 2019 from 27.2% for the six months ended July 1, 2018. Margins on services increased to 32.1% for the six months ended June 30, 2019 from 28.9% for the six months ended July 1, 2018, due primarily to a more favorable mix of revenues. Margins on product sales decreased to 23.3% for the six months ended June 30, 2019 from 26.4% for the six months ended July 1, 2018, primarily due to the mix of products. Margins in the KGS segment remained flat at 28.7% for the six months ended June 30, 2019 and for the six months ended July 1, 2018. Margins in the US segment decreased to 19.6% for the six months ended June 30, 2019 from 21.9% for the six months ended July 1, 2018, primarily due to a less favorable mix and execution of products produced and shipped during the six months ended June 30, 2019.</w:t>
      </w:r>
    </w:p>
    <w:p>
      <w:pPr>
        <w:spacing w:after="0" w:line="149" w:lineRule="exact"/>
        <w:rPr>
          <w:sz w:val="20"/>
          <w:szCs w:val="20"/>
          <w:color w:val="auto"/>
        </w:rPr>
      </w:pPr>
    </w:p>
    <w:p>
      <w:pPr>
        <w:jc w:val="both"/>
        <w:ind w:right="200" w:firstLine="517"/>
        <w:spacing w:after="0" w:line="272" w:lineRule="auto"/>
        <w:rPr>
          <w:sz w:val="20"/>
          <w:szCs w:val="20"/>
          <w:color w:val="auto"/>
        </w:rPr>
      </w:pPr>
      <w:r>
        <w:rPr>
          <w:rFonts w:ascii="Arial" w:cs="Arial" w:eastAsia="Arial" w:hAnsi="Arial"/>
          <w:sz w:val="14"/>
          <w:szCs w:val="14"/>
          <w:i w:val="1"/>
          <w:iCs w:val="1"/>
          <w:color w:val="auto"/>
        </w:rPr>
        <w:t xml:space="preserve">SG&amp;A Expenses. </w:t>
      </w:r>
      <w:r>
        <w:rPr>
          <w:rFonts w:ascii="Arial" w:cs="Arial" w:eastAsia="Arial" w:hAnsi="Arial"/>
          <w:sz w:val="14"/>
          <w:szCs w:val="14"/>
          <w:color w:val="auto"/>
        </w:rPr>
        <w:t>SG&amp;A expense was $65.2 million for the six months ended June 30, 2019 and $59.9 million for the six months ended July 1, 2018. As a percentage of revenues, SG&amp;A</w:t>
      </w:r>
      <w:r>
        <w:rPr>
          <w:rFonts w:ascii="Arial" w:cs="Arial" w:eastAsia="Arial" w:hAnsi="Arial"/>
          <w:sz w:val="14"/>
          <w:szCs w:val="14"/>
          <w:i w:val="1"/>
          <w:iCs w:val="1"/>
          <w:color w:val="auto"/>
        </w:rPr>
        <w:t xml:space="preserve"> </w:t>
      </w:r>
      <w:r>
        <w:rPr>
          <w:rFonts w:ascii="Arial" w:cs="Arial" w:eastAsia="Arial" w:hAnsi="Arial"/>
          <w:sz w:val="14"/>
          <w:szCs w:val="14"/>
          <w:color w:val="auto"/>
        </w:rPr>
        <w:t>decreased to 18.7% at June 30, 2019 from 20.4% at July 1, 2018, which is primarily due to the leverage on the fixed SG&amp;A infrastructure as revenues have increased, as well as the impact of cost reduction actions taken by us.</w:t>
      </w:r>
    </w:p>
    <w:p>
      <w:pPr>
        <w:spacing w:after="0" w:line="142" w:lineRule="exact"/>
        <w:rPr>
          <w:sz w:val="20"/>
          <w:szCs w:val="20"/>
          <w:color w:val="auto"/>
        </w:rPr>
      </w:pPr>
    </w:p>
    <w:p>
      <w:pPr>
        <w:ind w:right="200" w:firstLine="517"/>
        <w:spacing w:after="0" w:line="264" w:lineRule="auto"/>
        <w:rPr>
          <w:sz w:val="20"/>
          <w:szCs w:val="20"/>
          <w:color w:val="auto"/>
        </w:rPr>
      </w:pPr>
      <w:r>
        <w:rPr>
          <w:rFonts w:ascii="Arial" w:cs="Arial" w:eastAsia="Arial" w:hAnsi="Arial"/>
          <w:sz w:val="14"/>
          <w:szCs w:val="14"/>
          <w:i w:val="1"/>
          <w:iCs w:val="1"/>
          <w:color w:val="auto"/>
        </w:rPr>
        <w:t xml:space="preserve">R&amp;D Expenses. </w:t>
      </w:r>
      <w:r>
        <w:rPr>
          <w:rFonts w:ascii="Arial" w:cs="Arial" w:eastAsia="Arial" w:hAnsi="Arial"/>
          <w:sz w:val="14"/>
          <w:szCs w:val="14"/>
          <w:color w:val="auto"/>
        </w:rPr>
        <w:t>R&amp;D expenses were $8.4 million for the six months ended June 30, 2019 and $7.2 million for the six months ended July 1, 2018. As a percentage of revenues, R&amp;D</w:t>
      </w:r>
      <w:r>
        <w:rPr>
          <w:rFonts w:ascii="Arial" w:cs="Arial" w:eastAsia="Arial" w:hAnsi="Arial"/>
          <w:sz w:val="14"/>
          <w:szCs w:val="14"/>
          <w:i w:val="1"/>
          <w:iCs w:val="1"/>
          <w:color w:val="auto"/>
        </w:rPr>
        <w:t xml:space="preserve"> </w:t>
      </w:r>
      <w:r>
        <w:rPr>
          <w:rFonts w:ascii="Arial" w:cs="Arial" w:eastAsia="Arial" w:hAnsi="Arial"/>
          <w:sz w:val="14"/>
          <w:szCs w:val="14"/>
          <w:color w:val="auto"/>
        </w:rPr>
        <w:t>remained flat at 2.4% for the six months ended June 30, 2019 and for the six months ended July 1, 2018. R&amp;D expenditures are primarily related to investments we are making in conjunction with our customers, with our objectives for our products being the new platform for or “designed-in” to certain new long-term program opportunities and our ownership of certain intellectual property rights for products that support these programs as well as technology upgrades and refresh activities that are necessary for the next generation of our existing product lines specifically in our space and satellite communications business.</w:t>
      </w:r>
    </w:p>
    <w:p>
      <w:pPr>
        <w:spacing w:after="0" w:line="149" w:lineRule="exact"/>
        <w:rPr>
          <w:sz w:val="20"/>
          <w:szCs w:val="20"/>
          <w:color w:val="auto"/>
        </w:rPr>
      </w:pPr>
    </w:p>
    <w:p>
      <w:pPr>
        <w:ind w:right="20" w:firstLine="517"/>
        <w:spacing w:after="0" w:line="302" w:lineRule="auto"/>
        <w:rPr>
          <w:sz w:val="20"/>
          <w:szCs w:val="20"/>
          <w:color w:val="auto"/>
        </w:rPr>
      </w:pPr>
      <w:r>
        <w:rPr>
          <w:rFonts w:ascii="Arial" w:cs="Arial" w:eastAsia="Arial" w:hAnsi="Arial"/>
          <w:sz w:val="13"/>
          <w:szCs w:val="13"/>
          <w:i w:val="1"/>
          <w:iCs w:val="1"/>
          <w:color w:val="auto"/>
        </w:rPr>
        <w:t xml:space="preserve">Restructuring Expenses and Other. </w:t>
      </w:r>
      <w:r>
        <w:rPr>
          <w:rFonts w:ascii="Arial" w:cs="Arial" w:eastAsia="Arial" w:hAnsi="Arial"/>
          <w:sz w:val="13"/>
          <w:szCs w:val="13"/>
          <w:color w:val="auto"/>
        </w:rPr>
        <w:t>The expense of $0.4 million for the six months ended June 30, 2019 was primarily due to employee termination costs related to personnel reduction</w:t>
      </w:r>
      <w:r>
        <w:rPr>
          <w:rFonts w:ascii="Arial" w:cs="Arial" w:eastAsia="Arial" w:hAnsi="Arial"/>
          <w:sz w:val="13"/>
          <w:szCs w:val="13"/>
          <w:i w:val="1"/>
          <w:iCs w:val="1"/>
          <w:color w:val="auto"/>
        </w:rPr>
        <w:t xml:space="preserve"> </w:t>
      </w:r>
      <w:r>
        <w:rPr>
          <w:rFonts w:ascii="Arial" w:cs="Arial" w:eastAsia="Arial" w:hAnsi="Arial"/>
          <w:sz w:val="13"/>
          <w:szCs w:val="13"/>
          <w:color w:val="auto"/>
        </w:rPr>
        <w:t>actions taken in the first and second quarters of 2019. The expense of $3.4 million for the six months ended July 1, 2018 was primarily due to a litigation settlement of $2.3 million, related legal costs of approximately $0.5 million and employee termination costs of approximately $0.6 million related to personnel reduction actions taken in the first and second quarters of 2018.</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Other Expense, Net. </w:t>
      </w:r>
      <w:r>
        <w:rPr>
          <w:rFonts w:ascii="Arial" w:cs="Arial" w:eastAsia="Arial" w:hAnsi="Arial"/>
          <w:sz w:val="14"/>
          <w:szCs w:val="14"/>
          <w:color w:val="auto"/>
        </w:rPr>
        <w:t>Other expense, net, increased to $11.2 million from $11.1 million for the six months ended June 30, 2019 and July 1, 2018, respectively.</w:t>
      </w:r>
    </w:p>
    <w:p>
      <w:pPr>
        <w:spacing w:after="0" w:line="184" w:lineRule="exact"/>
        <w:rPr>
          <w:sz w:val="20"/>
          <w:szCs w:val="20"/>
          <w:color w:val="auto"/>
        </w:rPr>
      </w:pPr>
    </w:p>
    <w:p>
      <w:pPr>
        <w:ind w:firstLine="517"/>
        <w:spacing w:after="0" w:line="267" w:lineRule="auto"/>
        <w:rPr>
          <w:sz w:val="20"/>
          <w:szCs w:val="20"/>
          <w:color w:val="auto"/>
        </w:rPr>
      </w:pPr>
      <w:r>
        <w:rPr>
          <w:rFonts w:ascii="Arial" w:cs="Arial" w:eastAsia="Arial" w:hAnsi="Arial"/>
          <w:sz w:val="14"/>
          <w:szCs w:val="14"/>
          <w:i w:val="1"/>
          <w:iCs w:val="1"/>
          <w:color w:val="auto"/>
        </w:rPr>
        <w:t xml:space="preserve">Provision for Income Taxes from Continuing Operations. </w:t>
      </w:r>
      <w:r>
        <w:rPr>
          <w:rFonts w:ascii="Arial" w:cs="Arial" w:eastAsia="Arial" w:hAnsi="Arial"/>
          <w:sz w:val="14"/>
          <w:szCs w:val="14"/>
          <w:color w:val="auto"/>
        </w:rPr>
        <w:t>Income tax expense from continuing operations for both the six months ended June 30, 2019 and July 1, 2018 was $1.0 million.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six months ended June 30, 2019 and July 1, 2018,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w:t>
      </w:r>
    </w:p>
    <w:p>
      <w:pPr>
        <w:spacing w:after="0" w:line="146" w:lineRule="exact"/>
        <w:rPr>
          <w:sz w:val="20"/>
          <w:szCs w:val="20"/>
          <w:color w:val="auto"/>
        </w:rPr>
      </w:pPr>
    </w:p>
    <w:p>
      <w:pPr>
        <w:ind w:firstLine="553"/>
        <w:spacing w:after="0" w:line="263" w:lineRule="auto"/>
        <w:rPr>
          <w:sz w:val="20"/>
          <w:szCs w:val="20"/>
          <w:color w:val="auto"/>
        </w:rPr>
      </w:pPr>
      <w:r>
        <w:rPr>
          <w:rFonts w:ascii="Arial" w:cs="Arial" w:eastAsia="Arial" w:hAnsi="Arial"/>
          <w:sz w:val="14"/>
          <w:szCs w:val="14"/>
          <w:i w:val="1"/>
          <w:iCs w:val="1"/>
          <w:color w:val="auto"/>
        </w:rPr>
        <w:t xml:space="preserve">Income (loss) from Discontinued Operations. </w:t>
      </w:r>
      <w:r>
        <w:rPr>
          <w:rFonts w:ascii="Arial" w:cs="Arial" w:eastAsia="Arial" w:hAnsi="Arial"/>
          <w:sz w:val="14"/>
          <w:szCs w:val="14"/>
          <w:color w:val="auto"/>
        </w:rPr>
        <w:t>The income from discontinued operations was $2.4 million for the six months ended June 30, 2019, and includes a $3.6 million gain as a result</w:t>
      </w:r>
      <w:r>
        <w:rPr>
          <w:rFonts w:ascii="Arial" w:cs="Arial" w:eastAsia="Arial" w:hAnsi="Arial"/>
          <w:sz w:val="14"/>
          <w:szCs w:val="14"/>
          <w:i w:val="1"/>
          <w:iCs w:val="1"/>
          <w:color w:val="auto"/>
        </w:rPr>
        <w:t xml:space="preserve"> </w:t>
      </w:r>
      <w:r>
        <w:rPr>
          <w:rFonts w:ascii="Arial" w:cs="Arial" w:eastAsia="Arial" w:hAnsi="Arial"/>
          <w:sz w:val="14"/>
          <w:szCs w:val="14"/>
          <w:color w:val="auto"/>
        </w:rPr>
        <w:t>of the release of an indemnification liability following the lapse of the statute of limitations associated with a potential tax liability that was recorded in 2015 as part of the sale of the our Electronics Products Division. This gain was offset by a loss of $1.2 million from operating activities primarily reflecting the work performed in relation to outstanding tasks on legacy projects retained by us following the sale of the PSS business and legal expenses related to the closing working capital dispute with the buyer of the PSS business. The loss from discontinued operations was $7.4 million for the six months ended July 1, 2018 which includes a gain from disposal of $0.0 million and a loss of $4.7 million from operating activities through the completion of the disposition and approximately $2.7 million of transaction-related expenses related to the disposition.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40"/>
          </w:cols>
          <w:pgMar w:left="220" w:top="129"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188" w:lineRule="exact"/>
        <w:rPr>
          <w:sz w:val="20"/>
          <w:szCs w:val="20"/>
          <w:color w:val="auto"/>
        </w:rPr>
      </w:pPr>
    </w:p>
    <w:p>
      <w:pPr>
        <w:ind w:right="360" w:firstLine="180"/>
        <w:spacing w:after="0" w:line="272" w:lineRule="auto"/>
        <w:rPr>
          <w:sz w:val="20"/>
          <w:szCs w:val="20"/>
          <w:color w:val="auto"/>
        </w:rPr>
      </w:pPr>
      <w:r>
        <w:rPr>
          <w:rFonts w:ascii="Arial" w:cs="Arial" w:eastAsia="Arial" w:hAnsi="Arial"/>
          <w:sz w:val="14"/>
          <w:szCs w:val="14"/>
          <w:color w:val="auto"/>
        </w:rPr>
        <w:t>On June 30, 2019, we had approximately $620.3 million of total backlog, of which $545.4 million was funded. We expect to recognize approximately 41% of the remaining total backlog as revenue in 2019, an additional 34% by 2020 and the balance thereafter. Our comparable total backlog balance as of July 1, 2018, was approximately $501.9 million of which $451.9 million was funded.</w:t>
      </w:r>
    </w:p>
    <w:p>
      <w:pPr>
        <w:spacing w:after="0" w:line="142" w:lineRule="exact"/>
        <w:rPr>
          <w:sz w:val="20"/>
          <w:szCs w:val="20"/>
          <w:color w:val="auto"/>
        </w:rPr>
      </w:pPr>
    </w:p>
    <w:p>
      <w:pPr>
        <w:ind w:firstLine="517"/>
        <w:spacing w:after="0" w:line="287" w:lineRule="auto"/>
        <w:rPr>
          <w:sz w:val="20"/>
          <w:szCs w:val="20"/>
          <w:color w:val="auto"/>
        </w:rPr>
      </w:pPr>
      <w:r>
        <w:rPr>
          <w:rFonts w:ascii="Arial" w:cs="Arial" w:eastAsia="Arial" w:hAnsi="Arial"/>
          <w:sz w:val="13"/>
          <w:szCs w:val="13"/>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134" w:lineRule="exact"/>
        <w:rPr>
          <w:sz w:val="20"/>
          <w:szCs w:val="20"/>
          <w:color w:val="auto"/>
        </w:rPr>
      </w:pPr>
    </w:p>
    <w:p>
      <w:pPr>
        <w:ind w:right="80" w:firstLine="517"/>
        <w:spacing w:after="0" w:line="264" w:lineRule="auto"/>
        <w:rPr>
          <w:sz w:val="20"/>
          <w:szCs w:val="20"/>
          <w:color w:val="auto"/>
        </w:rPr>
      </w:pPr>
      <w:r>
        <w:rPr>
          <w:rFonts w:ascii="Arial" w:cs="Arial" w:eastAsia="Arial" w:hAnsi="Arial"/>
          <w:sz w:val="14"/>
          <w:szCs w:val="14"/>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49" w:lineRule="exact"/>
        <w:rPr>
          <w:sz w:val="20"/>
          <w:szCs w:val="20"/>
          <w:color w:val="auto"/>
        </w:rPr>
      </w:pPr>
    </w:p>
    <w:p>
      <w:pPr>
        <w:ind w:right="120" w:firstLine="517"/>
        <w:spacing w:after="0" w:line="267" w:lineRule="auto"/>
        <w:rPr>
          <w:sz w:val="20"/>
          <w:szCs w:val="20"/>
          <w:color w:val="auto"/>
        </w:rPr>
      </w:pPr>
      <w:r>
        <w:rPr>
          <w:rFonts w:ascii="Arial" w:cs="Arial" w:eastAsia="Arial" w:hAnsi="Arial"/>
          <w:sz w:val="14"/>
          <w:szCs w:val="14"/>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46" w:lineRule="exact"/>
        <w:rPr>
          <w:sz w:val="20"/>
          <w:szCs w:val="20"/>
          <w:color w:val="auto"/>
        </w:rPr>
      </w:pPr>
    </w:p>
    <w:p>
      <w:pPr>
        <w:ind w:right="100" w:firstLine="517"/>
        <w:spacing w:after="0" w:line="272" w:lineRule="auto"/>
        <w:rPr>
          <w:sz w:val="20"/>
          <w:szCs w:val="20"/>
          <w:color w:val="auto"/>
        </w:rPr>
      </w:pPr>
      <w:r>
        <w:rPr>
          <w:rFonts w:ascii="Arial" w:cs="Arial" w:eastAsia="Arial" w:hAnsi="Arial"/>
          <w:sz w:val="14"/>
          <w:szCs w:val="14"/>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its backlog until a related contract award is received.</w:t>
      </w:r>
    </w:p>
    <w:p>
      <w:pPr>
        <w:spacing w:after="0" w:line="142" w:lineRule="exact"/>
        <w:rPr>
          <w:sz w:val="20"/>
          <w:szCs w:val="20"/>
          <w:color w:val="auto"/>
        </w:rPr>
      </w:pPr>
    </w:p>
    <w:p>
      <w:pPr>
        <w:ind w:right="180" w:firstLine="517"/>
        <w:spacing w:after="0" w:line="267" w:lineRule="auto"/>
        <w:rPr>
          <w:sz w:val="20"/>
          <w:szCs w:val="20"/>
          <w:color w:val="auto"/>
        </w:rPr>
      </w:pPr>
      <w:r>
        <w:rPr>
          <w:rFonts w:ascii="Arial" w:cs="Arial" w:eastAsia="Arial" w:hAnsi="Arial"/>
          <w:sz w:val="14"/>
          <w:szCs w:val="14"/>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8" w:lineRule="exact"/>
        <w:rPr>
          <w:sz w:val="20"/>
          <w:szCs w:val="20"/>
          <w:color w:val="auto"/>
        </w:rPr>
      </w:pPr>
    </w:p>
    <w:p>
      <w:pPr>
        <w:ind w:right="80" w:firstLine="517"/>
        <w:spacing w:after="0" w:line="294" w:lineRule="auto"/>
        <w:rPr>
          <w:sz w:val="20"/>
          <w:szCs w:val="20"/>
          <w:color w:val="auto"/>
        </w:rPr>
      </w:pPr>
      <w:r>
        <w:rPr>
          <w:rFonts w:ascii="Arial" w:cs="Arial" w:eastAsia="Arial" w:hAnsi="Arial"/>
          <w:sz w:val="13"/>
          <w:szCs w:val="13"/>
          <w:color w:val="auto"/>
        </w:rPr>
        <w:t>As of June 30, 2019, we had cash and cash equivalents of $176.2 million compared with cash and cash equivalents of $182.7 million as of December 30, 2018, which includes $18.2 million and $12.0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30" w:lineRule="exact"/>
        <w:rPr>
          <w:sz w:val="20"/>
          <w:szCs w:val="20"/>
          <w:color w:val="auto"/>
        </w:rPr>
      </w:pPr>
    </w:p>
    <w:p>
      <w:pPr>
        <w:ind w:right="460" w:firstLine="517"/>
        <w:spacing w:after="0" w:line="288" w:lineRule="auto"/>
        <w:rPr>
          <w:sz w:val="20"/>
          <w:szCs w:val="20"/>
          <w:color w:val="auto"/>
        </w:rPr>
      </w:pPr>
      <w:r>
        <w:rPr>
          <w:rFonts w:ascii="Arial" w:cs="Arial" w:eastAsia="Arial" w:hAnsi="Arial"/>
          <w:sz w:val="14"/>
          <w:szCs w:val="14"/>
          <w:color w:val="auto"/>
        </w:rPr>
        <w:t>Our total long-term debt, including principal due on our Notes, increased from $294.2 million at December 30, 2018 to $294.6 million at June 30, 2019, due to the amortization of the discount on our Notes and the amortization of deferred financing costs.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129" w:right="21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60" w:firstLine="517"/>
        <w:spacing w:after="0" w:line="309" w:lineRule="auto"/>
        <w:rPr>
          <w:sz w:val="20"/>
          <w:szCs w:val="20"/>
          <w:color w:val="auto"/>
        </w:rPr>
      </w:pPr>
      <w:r>
        <w:rPr>
          <w:rFonts w:ascii="Arial" w:cs="Arial" w:eastAsia="Arial" w:hAnsi="Arial"/>
          <w:sz w:val="12"/>
          <w:szCs w:val="12"/>
          <w:color w:val="auto"/>
        </w:rPr>
        <w:t>We use our operating cash flow to finance trade accounts receivable, fund necessary increases in inventory, fund capital expenditures, our internal research and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from 131 days as of December 30, 2018 to 115 days at June 30, 2019, primarily as a result of certain contractual billing milestones which have been achieved and collected.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 We are currently in dispute with an international customer in our US segment over approximately $11.2 million in unbilled receivables outstanding as of June 30, 2019. The dispute concerns the completion of flight requirements and contractual milestones.</w:t>
      </w:r>
    </w:p>
    <w:p>
      <w:pPr>
        <w:spacing w:after="0" w:line="125" w:lineRule="exact"/>
        <w:rPr>
          <w:sz w:val="20"/>
          <w:szCs w:val="20"/>
          <w:color w:val="auto"/>
        </w:rPr>
      </w:pPr>
    </w:p>
    <w:p>
      <w:pPr>
        <w:ind w:right="240" w:firstLine="517"/>
        <w:spacing w:after="0" w:line="288" w:lineRule="auto"/>
        <w:rPr>
          <w:sz w:val="20"/>
          <w:szCs w:val="20"/>
          <w:color w:val="auto"/>
        </w:rPr>
      </w:pPr>
      <w:r>
        <w:rPr>
          <w:rFonts w:ascii="Arial" w:cs="Arial" w:eastAsia="Arial" w:hAnsi="Arial"/>
          <w:sz w:val="14"/>
          <w:szCs w:val="14"/>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8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1"/>
                <w:szCs w:val="11"/>
                <w:b w:val="1"/>
                <w:bCs w:val="1"/>
                <w:color w:val="auto"/>
              </w:rPr>
              <w:t>Six Months Ended</w:t>
            </w:r>
          </w:p>
        </w:tc>
      </w:tr>
      <w:tr>
        <w:trPr>
          <w:trHeight w:val="20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1"/>
                <w:szCs w:val="11"/>
                <w:b w:val="1"/>
                <w:bCs w:val="1"/>
                <w:color w:val="auto"/>
              </w:rPr>
              <w:t>June 30, 2019</w:t>
            </w:r>
          </w:p>
        </w:tc>
        <w:tc>
          <w:tcPr>
            <w:tcW w:w="240" w:type="dxa"/>
            <w:vAlign w:val="bottom"/>
          </w:tcPr>
          <w:p>
            <w:pPr>
              <w:spacing w:after="0"/>
              <w:rPr>
                <w:sz w:val="17"/>
                <w:szCs w:val="17"/>
                <w:color w:val="auto"/>
              </w:rPr>
            </w:pPr>
          </w:p>
        </w:tc>
        <w:tc>
          <w:tcPr>
            <w:tcW w:w="1120" w:type="dxa"/>
            <w:vAlign w:val="bottom"/>
          </w:tcPr>
          <w:p>
            <w:pPr>
              <w:jc w:val="right"/>
              <w:ind w:right="331"/>
              <w:spacing w:after="0"/>
              <w:rPr>
                <w:sz w:val="20"/>
                <w:szCs w:val="20"/>
                <w:color w:val="auto"/>
              </w:rPr>
            </w:pPr>
            <w:r>
              <w:rPr>
                <w:rFonts w:ascii="Arial" w:cs="Arial" w:eastAsia="Arial" w:hAnsi="Arial"/>
                <w:sz w:val="11"/>
                <w:szCs w:val="11"/>
                <w:b w:val="1"/>
                <w:bCs w:val="1"/>
                <w:color w:val="auto"/>
              </w:rPr>
              <w:t>July 1, 2018</w:t>
            </w:r>
          </w:p>
        </w:tc>
      </w:tr>
      <w:tr>
        <w:trPr>
          <w:trHeight w:val="191"/>
        </w:trPr>
        <w:tc>
          <w:tcPr>
            <w:tcW w:w="85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cash provided by operating activities from continuing operations</w:t>
            </w: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w:t>
            </w:r>
          </w:p>
        </w:tc>
      </w:tr>
      <w:tr>
        <w:trPr>
          <w:trHeight w:val="193"/>
        </w:trPr>
        <w:tc>
          <w:tcPr>
            <w:tcW w:w="8580" w:type="dxa"/>
            <w:vAlign w:val="bottom"/>
          </w:tcPr>
          <w:p>
            <w:pPr>
              <w:ind w:left="280"/>
              <w:spacing w:after="0"/>
              <w:rPr>
                <w:sz w:val="20"/>
                <w:szCs w:val="20"/>
                <w:color w:val="auto"/>
              </w:rPr>
            </w:pPr>
            <w:r>
              <w:rPr>
                <w:rFonts w:ascii="Arial" w:cs="Arial" w:eastAsia="Arial" w:hAnsi="Arial"/>
                <w:sz w:val="14"/>
                <w:szCs w:val="14"/>
                <w:color w:val="auto"/>
              </w:rPr>
              <w:t>Net cash provided by (used in) investing activities from continuing operations</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56.9</w:t>
            </w:r>
          </w:p>
        </w:tc>
      </w:tr>
      <w:tr>
        <w:trPr>
          <w:trHeight w:val="23"/>
        </w:trPr>
        <w:tc>
          <w:tcPr>
            <w:tcW w:w="8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cash provided by financing activities from continuing operations</w:t>
            </w: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0.1</w:t>
            </w:r>
          </w:p>
        </w:tc>
      </w:tr>
      <w:tr>
        <w:trPr>
          <w:trHeight w:val="193"/>
        </w:trPr>
        <w:tc>
          <w:tcPr>
            <w:tcW w:w="8580" w:type="dxa"/>
            <w:vAlign w:val="bottom"/>
          </w:tcPr>
          <w:p>
            <w:pPr>
              <w:ind w:left="280"/>
              <w:spacing w:after="0"/>
              <w:rPr>
                <w:sz w:val="20"/>
                <w:szCs w:val="20"/>
                <w:color w:val="auto"/>
              </w:rPr>
            </w:pPr>
            <w:r>
              <w:rPr>
                <w:rFonts w:ascii="Arial" w:cs="Arial" w:eastAsia="Arial" w:hAnsi="Arial"/>
                <w:sz w:val="14"/>
                <w:szCs w:val="14"/>
                <w:color w:val="auto"/>
              </w:rPr>
              <w:t>Net operating cash flows of discontinued operations</w:t>
            </w:r>
          </w:p>
        </w:tc>
        <w:tc>
          <w:tcPr>
            <w:tcW w:w="2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w:t>
            </w:r>
          </w:p>
        </w:tc>
      </w:tr>
    </w:tbl>
    <w:p>
      <w:pPr>
        <w:spacing w:after="0" w:line="281" w:lineRule="exact"/>
        <w:rPr>
          <w:sz w:val="20"/>
          <w:szCs w:val="20"/>
          <w:color w:val="auto"/>
        </w:rPr>
      </w:pPr>
    </w:p>
    <w:p>
      <w:pPr>
        <w:ind w:right="140" w:firstLine="517"/>
        <w:spacing w:after="0" w:line="272" w:lineRule="auto"/>
        <w:rPr>
          <w:sz w:val="20"/>
          <w:szCs w:val="20"/>
          <w:color w:val="auto"/>
        </w:rPr>
      </w:pPr>
      <w:r>
        <w:rPr>
          <w:rFonts w:ascii="Arial" w:cs="Arial" w:eastAsia="Arial" w:hAnsi="Arial"/>
          <w:sz w:val="14"/>
          <w:szCs w:val="14"/>
          <w:color w:val="auto"/>
        </w:rPr>
        <w:t>Net cash provided by operating activities from continuing operations for the six months ended June 30, 2019 was positively impacted by increased operating income as compared to the six months ended July 1, 2018, partially offset by changes in working capital accounts. The net use in working capital accounts for the six months ended June 30, 2019 includes approximately $0.8 million of internal development investments we are making related to the Low Cost Attritable Unmanned Aerial System Demonstration (“LCASD”).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Net cash used in investing activities from continuing operations for the six months ended June 30, 2019 is comprised of the acquisition of FTT and capital expenditures, which consist</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primarily of investments in machinery, computer hardware and software and improvement of our physical properties in order to maintain suitable conditions in which to conduct our business. Net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cash provided by investing activities from continuing operations for the six months ended July 1, 2018 was positively impacted by the approximately $67.9 million net proceeds, net of related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transaction expenses, received from the disposition of our PSS business unit. These proceeds were partially offset by capital expenditures of $11.0 million, which consist primarily of investments in</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machinery, computer hardware and software and improvement of our physical properties in order to maintain suitable conditions in which to conduct our business. During the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June 30, 2019, capital expenditures of approximately $5.3 million were incurred in our US business, primarily related to our unmanned combat target initiative. We expect our capital expenditures for</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FY 2019 to continue to be significant for investments we are making in our US business totaling approximately $15 to $18 million, including approximately $4 to $6 million for capital aerial targets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and related support equipment and tooling that we are building and approximately $6 to $8 million related to investments we are making to build-out our new Oklahoma manufacturing facility and a</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new secured facility for our US business.</w:t>
      </w:r>
    </w:p>
    <w:p>
      <w:pPr>
        <w:spacing w:after="0" w:line="174" w:lineRule="exact"/>
        <w:rPr>
          <w:sz w:val="20"/>
          <w:szCs w:val="20"/>
          <w:color w:val="auto"/>
        </w:rPr>
      </w:pPr>
    </w:p>
    <w:p>
      <w:pPr>
        <w:ind w:right="300" w:firstLine="517"/>
        <w:spacing w:after="0" w:line="288" w:lineRule="auto"/>
        <w:rPr>
          <w:sz w:val="20"/>
          <w:szCs w:val="20"/>
          <w:color w:val="auto"/>
        </w:rPr>
      </w:pPr>
      <w:r>
        <w:rPr>
          <w:rFonts w:ascii="Arial" w:cs="Arial" w:eastAsia="Arial" w:hAnsi="Arial"/>
          <w:sz w:val="14"/>
          <w:szCs w:val="14"/>
          <w:color w:val="auto"/>
        </w:rPr>
        <w:t>Net cash provided by financing activities from continuing operations was $0.7 million for the six months ended June 30, 2019. Net cash provided by financing activities from continuing operations was $0.1 million for the six months ended July 1, 2018.</w:t>
      </w:r>
    </w:p>
    <w:p>
      <w:pPr>
        <w:spacing w:after="0" w:line="131" w:lineRule="exact"/>
        <w:rPr>
          <w:sz w:val="20"/>
          <w:szCs w:val="20"/>
          <w:color w:val="auto"/>
        </w:rPr>
      </w:pPr>
    </w:p>
    <w:p>
      <w:pPr>
        <w:ind w:right="120" w:firstLine="517"/>
        <w:spacing w:after="0" w:line="272" w:lineRule="auto"/>
        <w:rPr>
          <w:sz w:val="20"/>
          <w:szCs w:val="20"/>
          <w:color w:val="auto"/>
        </w:rPr>
      </w:pPr>
      <w:r>
        <w:rPr>
          <w:rFonts w:ascii="Arial" w:cs="Arial" w:eastAsia="Arial" w:hAnsi="Arial"/>
          <w:sz w:val="14"/>
          <w:szCs w:val="14"/>
          <w:color w:val="auto"/>
        </w:rPr>
        <w:t>The operating cash flows from discontinued operations for the six month period ended June 30, 2019 is substantially related to the discontinued operations of our PSS business unit. During the six month period ended June 30, 2019, approximately $1.5 million was collected on amounts due related to the legacy projects retained by us. The operating cash flows from discontinued operations for the six month period ended July 1, 2018 is substantially related to the discontinued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129" w:right="21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500"/>
        <w:spacing w:after="0" w:line="288" w:lineRule="auto"/>
        <w:rPr>
          <w:sz w:val="20"/>
          <w:szCs w:val="20"/>
          <w:color w:val="auto"/>
        </w:rPr>
      </w:pPr>
      <w:r>
        <w:rPr>
          <w:rFonts w:ascii="Arial" w:cs="Arial" w:eastAsia="Arial" w:hAnsi="Arial"/>
          <w:sz w:val="14"/>
          <w:szCs w:val="14"/>
          <w:color w:val="auto"/>
        </w:rPr>
        <w:t>operations of our PSS business unit, including transaction expenses incurred related to the divestiture of this business and legal expenses we have incurred related to the dispute on the closing working capital with the buyer of our PSS business unit.</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6.5% Senior Secured Notes due 2025</w:t>
      </w:r>
    </w:p>
    <w:p>
      <w:pPr>
        <w:spacing w:after="0" w:line="188" w:lineRule="exact"/>
        <w:rPr>
          <w:sz w:val="20"/>
          <w:szCs w:val="20"/>
          <w:color w:val="auto"/>
        </w:rPr>
      </w:pPr>
    </w:p>
    <w:p>
      <w:pPr>
        <w:ind w:right="220" w:firstLine="517"/>
        <w:spacing w:after="0" w:line="267" w:lineRule="auto"/>
        <w:rPr>
          <w:sz w:val="20"/>
          <w:szCs w:val="20"/>
          <w:color w:val="auto"/>
        </w:rPr>
      </w:pPr>
      <w:r>
        <w:rPr>
          <w:rFonts w:ascii="Arial" w:cs="Arial" w:eastAsia="Arial" w:hAnsi="Arial"/>
          <w:sz w:val="14"/>
          <w:szCs w:val="14"/>
          <w:color w:val="auto"/>
        </w:rPr>
        <w:t>In November 2017, we issued and sold $300 million aggregate principal amount of 6.5% Senior Secured Notes due 2025 (the “6.5% Notes”) in a private placement conducted pursuant to Rule 144A and Regulation S under the Securities Act of 1933, as amended (the “Act”). We incurred debt issuance costs of $6.6 million associated with the new 6.5% Notes. We utilized the net proceeds from the sale of the 6.5% Notes, as well as cash from its recent equity offering to extinguish the outstanding 7% Notes. The total reacquisition price of the 7% Notes was $385.2 million, including a $12.0 million call premium, and $0.3 million of accrued interest.</w:t>
      </w:r>
    </w:p>
    <w:p>
      <w:pPr>
        <w:spacing w:after="0" w:line="146"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(as defined in the Indenture); (c) we exercise our legal defeasance option or our covenant defeasance option; or (d) upon satisfaction and discharge of the Indenture or payment in full in cash of the principal of, premium, if any, and accrued and unpaid interest on the 6.5% Notes.</w:t>
      </w:r>
    </w:p>
    <w:p>
      <w:pPr>
        <w:spacing w:after="0" w:line="149" w:lineRule="exact"/>
        <w:rPr>
          <w:sz w:val="20"/>
          <w:szCs w:val="20"/>
          <w:color w:val="auto"/>
        </w:rPr>
      </w:pPr>
    </w:p>
    <w:p>
      <w:pPr>
        <w:jc w:val="both"/>
        <w:ind w:firstLine="517"/>
        <w:spacing w:after="0" w:line="328" w:lineRule="auto"/>
        <w:rPr>
          <w:sz w:val="20"/>
          <w:szCs w:val="20"/>
          <w:color w:val="auto"/>
        </w:rPr>
      </w:pPr>
      <w:r>
        <w:rPr>
          <w:rFonts w:ascii="Arial" w:cs="Arial" w:eastAsia="Arial" w:hAnsi="Arial"/>
          <w:sz w:val="13"/>
          <w:szCs w:val="13"/>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0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3"/>
          <w:szCs w:val="13"/>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130"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14"/>
          <w:szCs w:val="14"/>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its assets.</w:t>
      </w:r>
    </w:p>
    <w:p>
      <w:pPr>
        <w:spacing w:after="0" w:line="148"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The Indenture contains covenants limiting, among other things, our ability and the Subsidiary Guarantors’ ability to: (a) pay dividends on or make distributions or repurchase or redeem our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its subsidiaries’ ability to pay dividends. These covenants are subject to a number of exceptions. As of June 30, 2019, we were in compliance with the covenants contained in the Indenture governing the 6.5% Notes.</w:t>
      </w:r>
    </w:p>
    <w:p>
      <w:pPr>
        <w:spacing w:after="0" w:line="149" w:lineRule="exact"/>
        <w:rPr>
          <w:sz w:val="20"/>
          <w:szCs w:val="20"/>
          <w:color w:val="auto"/>
        </w:rPr>
      </w:pPr>
    </w:p>
    <w:p>
      <w:pPr>
        <w:ind w:right="80" w:firstLine="517"/>
        <w:spacing w:after="0" w:line="267" w:lineRule="auto"/>
        <w:rPr>
          <w:sz w:val="20"/>
          <w:szCs w:val="20"/>
          <w:color w:val="auto"/>
        </w:rPr>
      </w:pPr>
      <w:r>
        <w:rPr>
          <w:rFonts w:ascii="Arial" w:cs="Arial" w:eastAsia="Arial" w:hAnsi="Arial"/>
          <w:sz w:val="14"/>
          <w:szCs w:val="14"/>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129" w:right="2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right="120" w:firstLine="517"/>
        <w:spacing w:after="0" w:line="288" w:lineRule="auto"/>
        <w:rPr>
          <w:sz w:val="20"/>
          <w:szCs w:val="20"/>
          <w:color w:val="auto"/>
        </w:rPr>
      </w:pPr>
      <w:r>
        <w:rPr>
          <w:rFonts w:ascii="Arial" w:cs="Arial" w:eastAsia="Arial" w:hAnsi="Arial"/>
          <w:sz w:val="14"/>
          <w:szCs w:val="14"/>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June 30, 2019, there was $300.0 million of 6.5% Notes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Indebtedness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Credit Agreement</w:t>
      </w:r>
    </w:p>
    <w:p>
      <w:pPr>
        <w:spacing w:after="0" w:line="184"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3"/>
          <w:szCs w:val="13"/>
          <w:color w:val="auto"/>
        </w:rPr>
        <w:t>On November 20, 2017, we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w:t>
      </w:r>
    </w:p>
    <w:p>
      <w:pPr>
        <w:spacing w:after="0" w:line="3" w:lineRule="exact"/>
        <w:rPr>
          <w:sz w:val="20"/>
          <w:szCs w:val="20"/>
          <w:color w:val="auto"/>
        </w:rPr>
      </w:pPr>
    </w:p>
    <w:p>
      <w:pPr>
        <w:ind w:firstLine="6"/>
        <w:spacing w:after="0" w:line="274" w:lineRule="auto"/>
        <w:tabs>
          <w:tab w:leader="none" w:pos="181"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first priority lien on our accounts receivable, inventory, deposit accounts, securities accounts, cash, securities and general intangibles (other than intellectual property)and (ii) a second priority lien, junior to the lien securing our 6.5% Notes, on all of our other assets.</w:t>
      </w:r>
    </w:p>
    <w:p>
      <w:pPr>
        <w:spacing w:after="0" w:line="140" w:lineRule="exact"/>
        <w:rPr>
          <w:sz w:val="20"/>
          <w:szCs w:val="20"/>
          <w:color w:val="auto"/>
        </w:rPr>
      </w:pPr>
    </w:p>
    <w:p>
      <w:pPr>
        <w:ind w:firstLine="517"/>
        <w:spacing w:after="0" w:line="261" w:lineRule="auto"/>
        <w:rPr>
          <w:sz w:val="20"/>
          <w:szCs w:val="20"/>
          <w:color w:val="auto"/>
        </w:rPr>
      </w:pPr>
      <w:r>
        <w:rPr>
          <w:rFonts w:ascii="Arial" w:cs="Arial" w:eastAsia="Arial" w:hAnsi="Arial"/>
          <w:sz w:val="14"/>
          <w:szCs w:val="14"/>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151" w:lineRule="exact"/>
        <w:rPr>
          <w:sz w:val="20"/>
          <w:szCs w:val="20"/>
          <w:color w:val="auto"/>
        </w:rPr>
      </w:pPr>
    </w:p>
    <w:p>
      <w:pPr>
        <w:ind w:right="60" w:firstLine="517"/>
        <w:spacing w:after="0" w:line="281" w:lineRule="auto"/>
        <w:rPr>
          <w:sz w:val="20"/>
          <w:szCs w:val="20"/>
          <w:color w:val="auto"/>
        </w:rPr>
      </w:pPr>
      <w:r>
        <w:rPr>
          <w:rFonts w:ascii="Arial" w:cs="Arial" w:eastAsia="Arial" w:hAnsi="Arial"/>
          <w:sz w:val="13"/>
          <w:szCs w:val="13"/>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June 30, 2019,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41" w:lineRule="exact"/>
        <w:rPr>
          <w:sz w:val="20"/>
          <w:szCs w:val="20"/>
          <w:color w:val="auto"/>
        </w:rPr>
      </w:pPr>
    </w:p>
    <w:p>
      <w:pPr>
        <w:ind w:right="200" w:firstLine="517"/>
        <w:spacing w:after="0" w:line="288" w:lineRule="auto"/>
        <w:rPr>
          <w:sz w:val="20"/>
          <w:szCs w:val="20"/>
          <w:color w:val="auto"/>
        </w:rPr>
      </w:pPr>
      <w:r>
        <w:rPr>
          <w:rFonts w:ascii="Arial" w:cs="Arial" w:eastAsia="Arial" w:hAnsi="Arial"/>
          <w:sz w:val="14"/>
          <w:szCs w:val="14"/>
          <w:color w:val="auto"/>
        </w:rPr>
        <w:t>The measurement of a minimum fixed charge coverage ratio under the Credit Agreement was modified in November 2017 to require measurement if Excess Availability (as defined in the Credit Agreement) is less than 50% of the lesser of the borrowing base or the total commitment amount.</w:t>
      </w:r>
    </w:p>
    <w:p>
      <w:pPr>
        <w:spacing w:after="0" w:line="131" w:lineRule="exact"/>
        <w:rPr>
          <w:sz w:val="20"/>
          <w:szCs w:val="20"/>
          <w:color w:val="auto"/>
        </w:rPr>
      </w:pPr>
    </w:p>
    <w:p>
      <w:pPr>
        <w:ind w:right="140" w:firstLine="517"/>
        <w:spacing w:after="0" w:line="288" w:lineRule="auto"/>
        <w:rPr>
          <w:sz w:val="20"/>
          <w:szCs w:val="20"/>
          <w:color w:val="auto"/>
        </w:rPr>
      </w:pPr>
      <w:r>
        <w:rPr>
          <w:rFonts w:ascii="Arial" w:cs="Arial" w:eastAsia="Arial" w:hAnsi="Arial"/>
          <w:sz w:val="14"/>
          <w:szCs w:val="14"/>
          <w:color w:val="auto"/>
        </w:rPr>
        <w:t>On June 11, 2018, we entered into a first amendment (the “First Amendment”) to the amended and restated Credit Agreement. Among other things, the First Amendment permitted the sale of the PSS business, provided that certain conditions,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129"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including application of the proceeds in accordance with the terms of documents governing our outstanding indebtedness, were satisfied.</w:t>
      </w:r>
    </w:p>
    <w:p>
      <w:pPr>
        <w:spacing w:after="0" w:line="184" w:lineRule="exact"/>
        <w:rPr>
          <w:sz w:val="20"/>
          <w:szCs w:val="20"/>
          <w:color w:val="auto"/>
        </w:rPr>
      </w:pPr>
    </w:p>
    <w:p>
      <w:pPr>
        <w:ind w:right="340" w:firstLine="517"/>
        <w:spacing w:after="0" w:line="288" w:lineRule="auto"/>
        <w:rPr>
          <w:sz w:val="20"/>
          <w:szCs w:val="20"/>
          <w:color w:val="auto"/>
        </w:rPr>
      </w:pPr>
      <w:r>
        <w:rPr>
          <w:rFonts w:ascii="Arial" w:cs="Arial" w:eastAsia="Arial" w:hAnsi="Arial"/>
          <w:sz w:val="14"/>
          <w:szCs w:val="14"/>
          <w:color w:val="auto"/>
        </w:rPr>
        <w:t>As of June 30, 2019, there were no borrowings outstanding on the Credit Agreement and $5.7 million was outstanding on letters of credit, resulting in net borrowing base availability of $64.8 million. We were in compliance with the financial covenants of the Credit Agreement and its amendments as of June 30, 2019.</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Liquidity Matters</w:t>
      </w:r>
    </w:p>
    <w:p>
      <w:pPr>
        <w:spacing w:after="0" w:line="188" w:lineRule="exact"/>
        <w:rPr>
          <w:sz w:val="20"/>
          <w:szCs w:val="20"/>
          <w:color w:val="auto"/>
        </w:rPr>
      </w:pPr>
    </w:p>
    <w:p>
      <w:pPr>
        <w:ind w:right="480" w:firstLine="517"/>
        <w:spacing w:after="0" w:line="288" w:lineRule="auto"/>
        <w:rPr>
          <w:sz w:val="20"/>
          <w:szCs w:val="20"/>
          <w:color w:val="auto"/>
        </w:rPr>
      </w:pPr>
      <w:r>
        <w:rPr>
          <w:rFonts w:ascii="Arial" w:cs="Arial" w:eastAsia="Arial" w:hAnsi="Arial"/>
          <w:sz w:val="14"/>
          <w:szCs w:val="14"/>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31" w:lineRule="exact"/>
        <w:rPr>
          <w:sz w:val="20"/>
          <w:szCs w:val="20"/>
          <w:color w:val="auto"/>
        </w:rPr>
      </w:pPr>
    </w:p>
    <w:p>
      <w:pPr>
        <w:ind w:right="60" w:firstLine="517"/>
        <w:spacing w:after="0" w:line="267" w:lineRule="auto"/>
        <w:rPr>
          <w:sz w:val="20"/>
          <w:szCs w:val="20"/>
          <w:color w:val="auto"/>
        </w:rPr>
      </w:pPr>
      <w:r>
        <w:rPr>
          <w:rFonts w:ascii="Arial" w:cs="Arial" w:eastAsia="Arial" w:hAnsi="Arial"/>
          <w:sz w:val="14"/>
          <w:szCs w:val="14"/>
          <w:color w:val="auto"/>
        </w:rPr>
        <w:t>As discussed in 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Principles and Estimates</w:t>
      </w:r>
    </w:p>
    <w:p>
      <w:pPr>
        <w:spacing w:after="0" w:line="188" w:lineRule="exact"/>
        <w:rPr>
          <w:sz w:val="20"/>
          <w:szCs w:val="20"/>
          <w:color w:val="auto"/>
        </w:rPr>
      </w:pPr>
    </w:p>
    <w:p>
      <w:pPr>
        <w:jc w:val="both"/>
        <w:ind w:right="60" w:firstLine="517"/>
        <w:spacing w:after="0" w:line="267" w:lineRule="auto"/>
        <w:rPr>
          <w:sz w:val="20"/>
          <w:szCs w:val="20"/>
          <w:color w:val="auto"/>
        </w:rPr>
      </w:pPr>
      <w:r>
        <w:rPr>
          <w:rFonts w:ascii="Arial" w:cs="Arial" w:eastAsia="Arial" w:hAnsi="Arial"/>
          <w:sz w:val="14"/>
          <w:szCs w:val="14"/>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46" w:lineRule="exact"/>
        <w:rPr>
          <w:sz w:val="20"/>
          <w:szCs w:val="20"/>
          <w:color w:val="auto"/>
        </w:rPr>
      </w:pPr>
    </w:p>
    <w:p>
      <w:pPr>
        <w:jc w:val="both"/>
        <w:ind w:right="460" w:firstLine="517"/>
        <w:spacing w:after="0" w:line="272" w:lineRule="auto"/>
        <w:rPr>
          <w:sz w:val="20"/>
          <w:szCs w:val="20"/>
          <w:color w:val="auto"/>
        </w:rPr>
      </w:pPr>
      <w:r>
        <w:rPr>
          <w:rFonts w:ascii="Arial" w:cs="Arial" w:eastAsia="Arial" w:hAnsi="Arial"/>
          <w:sz w:val="14"/>
          <w:szCs w:val="14"/>
          <w:color w:val="auto"/>
        </w:rPr>
        <w:t>Effective December 31, 2018, we adopted the requirements of ASC 842 utilizing the optional transition method as discussed in Note 1 to the accompanying Condensed Consolidated Financial Statements. Other than the adoption of ASC 842, there have been no significant changes to our “Critical Accounting Policies or Estimates” as compared to the significant accounting policies described in the Form 10-K.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88" w:lineRule="exact"/>
        <w:rPr>
          <w:sz w:val="20"/>
          <w:szCs w:val="20"/>
          <w:color w:val="auto"/>
        </w:rPr>
      </w:pPr>
    </w:p>
    <w:p>
      <w:pPr>
        <w:ind w:right="400" w:firstLine="517"/>
        <w:spacing w:after="0" w:line="288" w:lineRule="auto"/>
        <w:rPr>
          <w:sz w:val="20"/>
          <w:szCs w:val="20"/>
          <w:color w:val="auto"/>
        </w:rPr>
      </w:pPr>
      <w:r>
        <w:rPr>
          <w:rFonts w:ascii="Arial" w:cs="Arial" w:eastAsia="Arial" w:hAnsi="Arial"/>
          <w:sz w:val="14"/>
          <w:szCs w:val="14"/>
          <w:color w:val="auto"/>
        </w:rPr>
        <w:t>Since December 30, 2018,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Conclusions Regarding the Effectiveness of Disclosure Controls and Procedures</w:t>
      </w:r>
    </w:p>
    <w:p>
      <w:pPr>
        <w:spacing w:after="0" w:line="184" w:lineRule="exact"/>
        <w:rPr>
          <w:sz w:val="20"/>
          <w:szCs w:val="20"/>
          <w:color w:val="auto"/>
        </w:rPr>
      </w:pPr>
    </w:p>
    <w:p>
      <w:pPr>
        <w:ind w:right="120" w:firstLine="517"/>
        <w:spacing w:after="0" w:line="263" w:lineRule="auto"/>
        <w:rPr>
          <w:sz w:val="20"/>
          <w:szCs w:val="20"/>
          <w:color w:val="auto"/>
        </w:rPr>
      </w:pPr>
      <w:r>
        <w:rPr>
          <w:rFonts w:ascii="Arial" w:cs="Arial" w:eastAsia="Arial" w:hAnsi="Arial"/>
          <w:sz w:val="14"/>
          <w:szCs w:val="14"/>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As required by Rule 13a-15(b) promulgated under the Exchange Act, we carried out an evaluation, under the supervision and with the participation of our management, including our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Principal Executive Officer and Principal Financial Officer, of the effectiveness of the design and operation of our disclosure controls and procedures as of the end of the period covered by this report.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129" w:right="21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5" w:lineRule="exact"/>
        <w:rPr>
          <w:sz w:val="20"/>
          <w:szCs w:val="20"/>
          <w:color w:val="auto"/>
        </w:rPr>
      </w:pPr>
    </w:p>
    <w:p>
      <w:pPr>
        <w:ind w:firstLine="517"/>
        <w:spacing w:after="0" w:line="288" w:lineRule="auto"/>
        <w:rPr>
          <w:sz w:val="20"/>
          <w:szCs w:val="20"/>
          <w:color w:val="auto"/>
        </w:rPr>
      </w:pPr>
      <w:r>
        <w:rPr>
          <w:rFonts w:ascii="Arial" w:cs="Arial" w:eastAsia="Arial" w:hAnsi="Arial"/>
          <w:sz w:val="14"/>
          <w:szCs w:val="14"/>
          <w:color w:val="auto"/>
        </w:rPr>
        <w:t>Based on the foregoing, our Principal Executive Officer and Principal Financial Officer concluded that our disclosure controls and procedures were effective at the reasonable assurance level as of June 30, 2019.</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184" w:lineRule="exact"/>
        <w:rPr>
          <w:sz w:val="20"/>
          <w:szCs w:val="20"/>
          <w:color w:val="auto"/>
        </w:rPr>
      </w:pPr>
    </w:p>
    <w:p>
      <w:pPr>
        <w:ind w:right="40" w:firstLine="517"/>
        <w:spacing w:after="0" w:line="288" w:lineRule="auto"/>
        <w:rPr>
          <w:sz w:val="20"/>
          <w:szCs w:val="20"/>
          <w:color w:val="auto"/>
        </w:rPr>
      </w:pPr>
      <w:r>
        <w:rPr>
          <w:rFonts w:ascii="Arial" w:cs="Arial" w:eastAsia="Arial" w:hAnsi="Arial"/>
          <w:sz w:val="14"/>
          <w:szCs w:val="14"/>
          <w:color w:val="auto"/>
        </w:rPr>
        <w:t>We operate under the COSO (Committee of Sponsoring Organizations) 2013 Framework. There was no change in our internal control over financial reporting during the three months ended June 30, 2019 that has materially affected, or is reasonably likely to materially affect, our internal control over financial reporting.</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40"/>
          </w:cols>
          <w:pgMar w:left="220" w:top="129"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See Note 14 of the Notes to the Condensed Consolidated Financial Statements contained within this Quarterly Report for a discussion of our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8" w:lineRule="exact"/>
        <w:rPr>
          <w:sz w:val="20"/>
          <w:szCs w:val="20"/>
          <w:color w:val="auto"/>
        </w:rPr>
      </w:pPr>
    </w:p>
    <w:p>
      <w:pPr>
        <w:ind w:firstLine="517"/>
        <w:spacing w:after="0" w:line="267" w:lineRule="auto"/>
        <w:rPr>
          <w:sz w:val="20"/>
          <w:szCs w:val="20"/>
          <w:color w:val="auto"/>
        </w:rPr>
      </w:pPr>
      <w:r>
        <w:rPr>
          <w:rFonts w:ascii="Arial" w:cs="Arial" w:eastAsia="Arial" w:hAnsi="Arial"/>
          <w:sz w:val="14"/>
          <w:szCs w:val="14"/>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There have been no material changes in our risk factors as previously disclosed in the Form 10-K during the period covered by this Quarterly Report.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40"/>
          </w:cols>
          <w:pgMar w:left="220" w:top="129"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gridSpan w:val="18"/>
            <w:vMerge w:val="restart"/>
          </w:tcPr>
          <w:p>
            <w:pPr>
              <w:spacing w:after="0"/>
              <w:rPr>
                <w:sz w:val="20"/>
                <w:szCs w:val="20"/>
                <w:color w:val="auto"/>
              </w:rPr>
            </w:pPr>
            <w:r>
              <w:rPr>
                <w:rFonts w:ascii="Arial" w:cs="Arial" w:eastAsia="Arial" w:hAnsi="Arial"/>
                <w:sz w:val="11"/>
                <w:szCs w:val="11"/>
                <w:b w:val="1"/>
                <w:bCs w:val="1"/>
                <w:color w:val="auto"/>
              </w:rPr>
              <w:t>Exhibit Description</w:t>
            </w:r>
          </w:p>
        </w:tc>
        <w:tc>
          <w:tcPr>
            <w:tcW w:w="0" w:type="dxa"/>
            <w:vAlign w:val="bottom"/>
          </w:tcPr>
          <w:p>
            <w:pPr>
              <w:spacing w:after="0"/>
              <w:rPr>
                <w:sz w:val="1"/>
                <w:szCs w:val="1"/>
                <w:color w:val="auto"/>
              </w:rPr>
            </w:pPr>
          </w:p>
        </w:tc>
      </w:tr>
      <w:tr>
        <w:trPr>
          <w:trHeight w:val="153"/>
        </w:trPr>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gridSpan w:val="1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4"/>
                <w:szCs w:val="14"/>
                <w:color w:val="auto"/>
                <w:w w:val="87"/>
              </w:rPr>
              <w:t>2.1#</w:t>
            </w: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920" w:type="dxa"/>
            <w:vAlign w:val="bottom"/>
            <w:tcBorders>
              <w:top w:val="single" w:sz="8" w:color="auto"/>
              <w:bottom w:val="single" w:sz="8" w:color="0000FF"/>
            </w:tcBorders>
            <w:gridSpan w:val="13"/>
          </w:tcPr>
          <w:p>
            <w:pPr>
              <w:spacing w:after="0" w:line="157" w:lineRule="exact"/>
              <w:rPr>
                <w:rFonts w:ascii="Arial" w:cs="Arial" w:eastAsia="Arial" w:hAnsi="Arial"/>
                <w:sz w:val="14"/>
                <w:szCs w:val="14"/>
                <w:color w:val="0000FF"/>
                <w:w w:val="91"/>
              </w:rPr>
            </w:pPr>
            <w:hyperlink r:id="rId18">
              <w:r>
                <w:rPr>
                  <w:rFonts w:ascii="Arial" w:cs="Arial" w:eastAsia="Arial" w:hAnsi="Arial"/>
                  <w:sz w:val="14"/>
                  <w:szCs w:val="14"/>
                  <w:color w:val="0000FF"/>
                  <w:w w:val="91"/>
                </w:rPr>
                <w:t>Stock Purchase Agreement, dated February 28, 2018, among Kratos</w:t>
              </w:r>
            </w:hyperlink>
          </w:p>
        </w:tc>
        <w:tc>
          <w:tcPr>
            <w:tcW w:w="300" w:type="dxa"/>
            <w:vAlign w:val="bottom"/>
            <w:tcBorders>
              <w:top w:val="single" w:sz="8" w:color="auto"/>
            </w:tcBorders>
            <w:gridSpan w:val="9"/>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2"/>
          </w:tcPr>
          <w:p>
            <w:pPr>
              <w:spacing w:after="0" w:line="153" w:lineRule="exact"/>
              <w:rPr>
                <w:rFonts w:ascii="Arial" w:cs="Arial" w:eastAsia="Arial" w:hAnsi="Arial"/>
                <w:sz w:val="14"/>
                <w:szCs w:val="14"/>
                <w:color w:val="0000FF"/>
              </w:rPr>
            </w:pPr>
            <w:hyperlink r:id="rId18">
              <w:r>
                <w:rPr>
                  <w:rFonts w:ascii="Arial" w:cs="Arial" w:eastAsia="Arial" w:hAnsi="Arial"/>
                  <w:sz w:val="14"/>
                  <w:szCs w:val="14"/>
                  <w:color w:val="0000FF"/>
                </w:rPr>
                <w:t>Defense &amp; Security Solutions, Inc., Kratos Public Safety &amp; Security</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13"/>
          </w:tcPr>
          <w:p>
            <w:pPr>
              <w:spacing w:after="0" w:line="153" w:lineRule="exact"/>
              <w:rPr>
                <w:rFonts w:ascii="Arial" w:cs="Arial" w:eastAsia="Arial" w:hAnsi="Arial"/>
                <w:sz w:val="14"/>
                <w:szCs w:val="14"/>
                <w:color w:val="0000FF"/>
              </w:rPr>
            </w:pPr>
            <w:hyperlink r:id="rId18">
              <w:r>
                <w:rPr>
                  <w:rFonts w:ascii="Arial" w:cs="Arial" w:eastAsia="Arial" w:hAnsi="Arial"/>
                  <w:sz w:val="14"/>
                  <w:szCs w:val="14"/>
                  <w:color w:val="0000FF"/>
                </w:rPr>
                <w:t>Solutions, Inc. and Securitas Electronic Security, Inc.</w:t>
              </w:r>
            </w:hyperlink>
          </w:p>
        </w:tc>
        <w:tc>
          <w:tcPr>
            <w:tcW w:w="3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97"/>
              </w:rPr>
              <w:t>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5"/>
          </w:tcPr>
          <w:p>
            <w:pPr>
              <w:spacing w:after="0"/>
              <w:rPr>
                <w:rFonts w:ascii="Arial" w:cs="Arial" w:eastAsia="Arial" w:hAnsi="Arial"/>
                <w:sz w:val="14"/>
                <w:szCs w:val="14"/>
                <w:color w:val="0000FF"/>
                <w:w w:val="91"/>
              </w:rPr>
            </w:pPr>
            <w:hyperlink r:id="rId19">
              <w:r>
                <w:rPr>
                  <w:rFonts w:ascii="Arial" w:cs="Arial" w:eastAsia="Arial" w:hAnsi="Arial"/>
                  <w:sz w:val="14"/>
                  <w:szCs w:val="14"/>
                  <w:color w:val="0000FF"/>
                  <w:w w:val="91"/>
                </w:rPr>
                <w:t>Purchase Agreement, dated February 27, 2019, by and among Kratos</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2"/>
          </w:tcPr>
          <w:p>
            <w:pPr>
              <w:spacing w:after="0" w:line="153" w:lineRule="exact"/>
              <w:rPr>
                <w:rFonts w:ascii="Arial" w:cs="Arial" w:eastAsia="Arial" w:hAnsi="Arial"/>
                <w:sz w:val="14"/>
                <w:szCs w:val="14"/>
                <w:color w:val="0000FF"/>
                <w:w w:val="96"/>
              </w:rPr>
            </w:pPr>
            <w:hyperlink r:id="rId19">
              <w:r>
                <w:rPr>
                  <w:rFonts w:ascii="Arial" w:cs="Arial" w:eastAsia="Arial" w:hAnsi="Arial"/>
                  <w:sz w:val="14"/>
                  <w:szCs w:val="14"/>
                  <w:color w:val="0000FF"/>
                  <w:w w:val="96"/>
                </w:rPr>
                <w:t>Defense &amp; Security Solutions, Inc., Shirley Brostmeyer, (“SB”), Joseph</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bottom w:val="single" w:sz="8" w:color="0000FF"/>
            </w:tcBorders>
            <w:gridSpan w:val="19"/>
          </w:tcPr>
          <w:p>
            <w:pPr>
              <w:spacing w:after="0" w:line="153" w:lineRule="exact"/>
              <w:rPr>
                <w:rFonts w:ascii="Arial" w:cs="Arial" w:eastAsia="Arial" w:hAnsi="Arial"/>
                <w:sz w:val="14"/>
                <w:szCs w:val="14"/>
                <w:color w:val="0000FF"/>
                <w:w w:val="92"/>
              </w:rPr>
            </w:pPr>
            <w:hyperlink r:id="rId19">
              <w:r>
                <w:rPr>
                  <w:rFonts w:ascii="Arial" w:cs="Arial" w:eastAsia="Arial" w:hAnsi="Arial"/>
                  <w:sz w:val="14"/>
                  <w:szCs w:val="14"/>
                  <w:color w:val="0000FF"/>
                  <w:w w:val="92"/>
                </w:rPr>
                <w:t>Brostmeyer (“JB”), certain trusts established by SB, JB and members of</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2"/>
          </w:tcPr>
          <w:p>
            <w:pPr>
              <w:spacing w:after="0" w:line="153" w:lineRule="exact"/>
              <w:rPr>
                <w:rFonts w:ascii="Arial" w:cs="Arial" w:eastAsia="Arial" w:hAnsi="Arial"/>
                <w:sz w:val="14"/>
                <w:szCs w:val="14"/>
                <w:color w:val="0000FF"/>
              </w:rPr>
            </w:pPr>
            <w:hyperlink r:id="rId19">
              <w:r>
                <w:rPr>
                  <w:rFonts w:ascii="Arial" w:cs="Arial" w:eastAsia="Arial" w:hAnsi="Arial"/>
                  <w:sz w:val="14"/>
                  <w:szCs w:val="14"/>
                  <w:color w:val="0000FF"/>
                </w:rPr>
                <w:t>their immediate family, and JB, as the Sellers Representative.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rPr>
                <w:rFonts w:ascii="Arial" w:cs="Arial" w:eastAsia="Arial" w:hAnsi="Arial"/>
                <w:sz w:val="14"/>
                <w:szCs w:val="14"/>
                <w:color w:val="0000FF"/>
                <w:w w:val="93"/>
              </w:rPr>
            </w:pPr>
            <w:hyperlink r:id="rId20">
              <w:r>
                <w:rPr>
                  <w:rFonts w:ascii="Arial" w:cs="Arial" w:eastAsia="Arial" w:hAnsi="Arial"/>
                  <w:sz w:val="14"/>
                  <w:szCs w:val="14"/>
                  <w:color w:val="0000FF"/>
                  <w:w w:val="93"/>
                </w:rPr>
                <w:t>Amended and Restated Certificate of Incorporation of Kratos Defense &amp;</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2"/>
          </w:tcPr>
          <w:p>
            <w:pPr>
              <w:spacing w:after="0" w:line="153" w:lineRule="exact"/>
              <w:rPr>
                <w:rFonts w:ascii="Arial" w:cs="Arial" w:eastAsia="Arial" w:hAnsi="Arial"/>
                <w:sz w:val="14"/>
                <w:szCs w:val="14"/>
                <w:color w:val="0000FF"/>
              </w:rPr>
            </w:pPr>
            <w:hyperlink r:id="rId20">
              <w:r>
                <w:rPr>
                  <w:rFonts w:ascii="Arial" w:cs="Arial" w:eastAsia="Arial" w:hAnsi="Arial"/>
                  <w:sz w:val="14"/>
                  <w:szCs w:val="14"/>
                  <w:color w:val="0000FF"/>
                </w:rPr>
                <w:t>Security Solutions, Inc., as amended.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22"/>
          </w:tcPr>
          <w:p>
            <w:pPr>
              <w:spacing w:after="0"/>
              <w:rPr>
                <w:rFonts w:ascii="Arial" w:cs="Arial" w:eastAsia="Arial" w:hAnsi="Arial"/>
                <w:sz w:val="14"/>
                <w:szCs w:val="14"/>
                <w:color w:val="0000FF"/>
                <w:w w:val="97"/>
              </w:rPr>
            </w:pPr>
            <w:hyperlink r:id="rId21">
              <w:r>
                <w:rPr>
                  <w:rFonts w:ascii="Arial" w:cs="Arial" w:eastAsia="Arial" w:hAnsi="Arial"/>
                  <w:sz w:val="14"/>
                  <w:szCs w:val="14"/>
                  <w:color w:val="0000FF"/>
                  <w:w w:val="97"/>
                </w:rPr>
                <w:t>Second Amended and Restated Bylaws of Kratos Defense &amp; Security</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4"/>
          </w:tcPr>
          <w:p>
            <w:pPr>
              <w:spacing w:after="0" w:line="153" w:lineRule="exact"/>
              <w:rPr>
                <w:rFonts w:ascii="Arial" w:cs="Arial" w:eastAsia="Arial" w:hAnsi="Arial"/>
                <w:sz w:val="14"/>
                <w:szCs w:val="14"/>
                <w:color w:val="0000FF"/>
                <w:w w:val="90"/>
              </w:rPr>
            </w:pPr>
            <w:hyperlink r:id="rId21">
              <w:r>
                <w:rPr>
                  <w:rFonts w:ascii="Arial" w:cs="Arial" w:eastAsia="Arial" w:hAnsi="Arial"/>
                  <w:sz w:val="14"/>
                  <w:szCs w:val="14"/>
                  <w:color w:val="0000FF"/>
                  <w:w w:val="90"/>
                </w:rPr>
                <w:t>Solutions, Inc., as amended.</w:t>
              </w:r>
            </w:hyperlink>
          </w:p>
        </w:tc>
        <w:tc>
          <w:tcPr>
            <w:tcW w:w="2380" w:type="dxa"/>
            <w:vAlign w:val="bottom"/>
            <w:tcBorders>
              <w:top w:val="single" w:sz="8" w:color="0000FF"/>
            </w:tcBorders>
            <w:gridSpan w:val="11"/>
          </w:tcPr>
          <w:p>
            <w:pPr>
              <w:spacing w:after="0"/>
              <w:rPr>
                <w:sz w:val="13"/>
                <w:szCs w:val="13"/>
                <w:color w:val="auto"/>
              </w:rPr>
            </w:pPr>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22"/>
          </w:tcPr>
          <w:p>
            <w:pPr>
              <w:spacing w:after="0"/>
              <w:rPr>
                <w:rFonts w:ascii="Arial" w:cs="Arial" w:eastAsia="Arial" w:hAnsi="Arial"/>
                <w:sz w:val="14"/>
                <w:szCs w:val="14"/>
                <w:color w:val="0000FF"/>
              </w:rPr>
            </w:pPr>
            <w:hyperlink r:id="rId22">
              <w:r>
                <w:rPr>
                  <w:rFonts w:ascii="Arial" w:cs="Arial" w:eastAsia="Arial" w:hAnsi="Arial"/>
                  <w:sz w:val="14"/>
                  <w:szCs w:val="14"/>
                  <w:color w:val="0000FF"/>
                </w:rPr>
                <w:t>Specimen Stock Certificate.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16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22"/>
          </w:tcPr>
          <w:p>
            <w:pPr>
              <w:spacing w:after="0"/>
              <w:rPr>
                <w:rFonts w:ascii="Arial" w:cs="Arial" w:eastAsia="Arial" w:hAnsi="Arial"/>
                <w:sz w:val="14"/>
                <w:szCs w:val="14"/>
                <w:color w:val="0000FF"/>
                <w:w w:val="98"/>
              </w:rPr>
            </w:pPr>
            <w:hyperlink r:id="rId23">
              <w:r>
                <w:rPr>
                  <w:rFonts w:ascii="Arial" w:cs="Arial" w:eastAsia="Arial" w:hAnsi="Arial"/>
                  <w:sz w:val="14"/>
                  <w:szCs w:val="14"/>
                  <w:color w:val="0000FF"/>
                  <w:w w:val="98"/>
                </w:rPr>
                <w:t>Indenture, dated as of November 20, 2017, among Kratos Defense &amp;</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12"/>
          </w:tcPr>
          <w:p>
            <w:pPr>
              <w:spacing w:after="0" w:line="153" w:lineRule="exact"/>
              <w:rPr>
                <w:rFonts w:ascii="Arial" w:cs="Arial" w:eastAsia="Arial" w:hAnsi="Arial"/>
                <w:sz w:val="14"/>
                <w:szCs w:val="14"/>
                <w:color w:val="0000FF"/>
                <w:w w:val="91"/>
              </w:rPr>
            </w:pPr>
            <w:hyperlink r:id="rId23">
              <w:r>
                <w:rPr>
                  <w:rFonts w:ascii="Arial" w:cs="Arial" w:eastAsia="Arial" w:hAnsi="Arial"/>
                  <w:sz w:val="14"/>
                  <w:szCs w:val="14"/>
                  <w:color w:val="0000FF"/>
                  <w:w w:val="91"/>
                </w:rPr>
                <w:t>Security Solutions, Inc., as Issuer, the Guarantors party thereto, and</w:t>
              </w:r>
            </w:hyperlink>
          </w:p>
        </w:tc>
        <w:tc>
          <w:tcPr>
            <w:tcW w:w="80" w:type="dxa"/>
            <w:vAlign w:val="bottom"/>
            <w:tcBorders>
              <w:top w:val="single" w:sz="8" w:color="0000FF"/>
            </w:tcBorders>
            <w:gridSpan w:val="2"/>
          </w:tcPr>
          <w:p>
            <w:pPr>
              <w:spacing w:after="0"/>
              <w:rPr>
                <w:sz w:val="13"/>
                <w:szCs w:val="13"/>
                <w:color w:val="auto"/>
              </w:rPr>
            </w:pPr>
          </w:p>
        </w:tc>
        <w:tc>
          <w:tcPr>
            <w:tcW w:w="2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2"/>
          </w:tcPr>
          <w:p>
            <w:pPr>
              <w:spacing w:after="0" w:line="153" w:lineRule="exact"/>
              <w:rPr>
                <w:rFonts w:ascii="Arial" w:cs="Arial" w:eastAsia="Arial" w:hAnsi="Arial"/>
                <w:sz w:val="14"/>
                <w:szCs w:val="14"/>
                <w:color w:val="0000FF"/>
              </w:rPr>
            </w:pPr>
            <w:hyperlink r:id="rId23">
              <w:r>
                <w:rPr>
                  <w:rFonts w:ascii="Arial" w:cs="Arial" w:eastAsia="Arial" w:hAnsi="Arial"/>
                  <w:sz w:val="14"/>
                  <w:szCs w:val="14"/>
                  <w:color w:val="0000FF"/>
                </w:rPr>
                <w:t>Wilmington Trust, National Association, as Trustee and Collateral</w:t>
              </w:r>
            </w:hyperlink>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0"/>
          </w:tcPr>
          <w:p>
            <w:pPr>
              <w:spacing w:after="0" w:line="153" w:lineRule="exact"/>
              <w:rPr>
                <w:rFonts w:ascii="Arial" w:cs="Arial" w:eastAsia="Arial" w:hAnsi="Arial"/>
                <w:sz w:val="14"/>
                <w:szCs w:val="14"/>
                <w:color w:val="0000FF"/>
              </w:rPr>
            </w:pPr>
            <w:hyperlink r:id="rId23">
              <w:r>
                <w:rPr>
                  <w:rFonts w:ascii="Arial" w:cs="Arial" w:eastAsia="Arial" w:hAnsi="Arial"/>
                  <w:sz w:val="14"/>
                  <w:szCs w:val="14"/>
                  <w:color w:val="0000FF"/>
                </w:rPr>
                <w:t>Agent.</w:t>
              </w:r>
            </w:hyperlink>
          </w:p>
        </w:tc>
        <w:tc>
          <w:tcPr>
            <w:tcW w:w="42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5"/>
          </w:tcPr>
          <w:p>
            <w:pPr>
              <w:spacing w:after="0"/>
              <w:rPr>
                <w:rFonts w:ascii="Arial" w:cs="Arial" w:eastAsia="Arial" w:hAnsi="Arial"/>
                <w:sz w:val="14"/>
                <w:szCs w:val="14"/>
                <w:color w:val="0000FF"/>
                <w:w w:val="91"/>
              </w:rPr>
            </w:pPr>
            <w:hyperlink r:id="rId24">
              <w:r>
                <w:rPr>
                  <w:rFonts w:ascii="Arial" w:cs="Arial" w:eastAsia="Arial" w:hAnsi="Arial"/>
                  <w:sz w:val="14"/>
                  <w:szCs w:val="14"/>
                  <w:color w:val="0000FF"/>
                  <w:w w:val="91"/>
                </w:rPr>
                <w:t>First Supplemental Indenture, dated as of December 21, 2017, among</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2"/>
          </w:tcPr>
          <w:p>
            <w:pPr>
              <w:spacing w:after="0" w:line="153" w:lineRule="exact"/>
              <w:rPr>
                <w:rFonts w:ascii="Arial" w:cs="Arial" w:eastAsia="Arial" w:hAnsi="Arial"/>
                <w:sz w:val="14"/>
                <w:szCs w:val="14"/>
                <w:color w:val="0000FF"/>
                <w:w w:val="96"/>
              </w:rPr>
            </w:pPr>
            <w:hyperlink r:id="rId24">
              <w:r>
                <w:rPr>
                  <w:rFonts w:ascii="Arial" w:cs="Arial" w:eastAsia="Arial" w:hAnsi="Arial"/>
                  <w:sz w:val="14"/>
                  <w:szCs w:val="14"/>
                  <w:color w:val="0000FF"/>
                  <w:w w:val="96"/>
                </w:rPr>
                <w:t>Kratos Defense &amp; Security Solutions, Inc., as Issuer, the Guarantor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bottom w:val="single" w:sz="8" w:color="0000FF"/>
            </w:tcBorders>
            <w:gridSpan w:val="18"/>
          </w:tcPr>
          <w:p>
            <w:pPr>
              <w:spacing w:after="0" w:line="153" w:lineRule="exact"/>
              <w:rPr>
                <w:rFonts w:ascii="Arial" w:cs="Arial" w:eastAsia="Arial" w:hAnsi="Arial"/>
                <w:sz w:val="14"/>
                <w:szCs w:val="14"/>
                <w:color w:val="0000FF"/>
                <w:w w:val="94"/>
              </w:rPr>
            </w:pPr>
            <w:hyperlink r:id="rId24">
              <w:r>
                <w:rPr>
                  <w:rFonts w:ascii="Arial" w:cs="Arial" w:eastAsia="Arial" w:hAnsi="Arial"/>
                  <w:sz w:val="14"/>
                  <w:szCs w:val="14"/>
                  <w:color w:val="0000FF"/>
                  <w:w w:val="94"/>
                </w:rPr>
                <w:t>party thereto, and Wilmington Trust, National Association, as Trustee.</w:t>
              </w:r>
            </w:hyperlink>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11"/>
          </w:tcPr>
          <w:p>
            <w:pPr>
              <w:spacing w:after="0"/>
              <w:rPr>
                <w:rFonts w:ascii="Arial" w:cs="Arial" w:eastAsia="Arial" w:hAnsi="Arial"/>
                <w:sz w:val="14"/>
                <w:szCs w:val="14"/>
                <w:color w:val="0000FF"/>
                <w:w w:val="92"/>
              </w:rPr>
            </w:pPr>
            <w:hyperlink w:anchor="page40">
              <w:r>
                <w:rPr>
                  <w:rFonts w:ascii="Arial" w:cs="Arial" w:eastAsia="Arial" w:hAnsi="Arial"/>
                  <w:sz w:val="14"/>
                  <w:szCs w:val="14"/>
                  <w:color w:val="0000FF"/>
                  <w:w w:val="92"/>
                </w:rPr>
                <w:t>Executive Employment Agreement, dated January 1, 2017, by and</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bottom w:val="single" w:sz="8" w:color="0000FF"/>
            </w:tcBorders>
            <w:gridSpan w:val="17"/>
          </w:tcPr>
          <w:p>
            <w:pPr>
              <w:spacing w:after="0" w:line="153" w:lineRule="exact"/>
              <w:rPr>
                <w:rFonts w:ascii="Arial" w:cs="Arial" w:eastAsia="Arial" w:hAnsi="Arial"/>
                <w:sz w:val="14"/>
                <w:szCs w:val="14"/>
                <w:color w:val="0000FF"/>
                <w:w w:val="93"/>
              </w:rPr>
            </w:pPr>
            <w:hyperlink w:anchor="page40">
              <w:r>
                <w:rPr>
                  <w:rFonts w:ascii="Arial" w:cs="Arial" w:eastAsia="Arial" w:hAnsi="Arial"/>
                  <w:sz w:val="14"/>
                  <w:szCs w:val="14"/>
                  <w:color w:val="0000FF"/>
                  <w:w w:val="93"/>
                </w:rPr>
                <w:t>between Kratos Defense &amp; Security Solutions, Inc. and Ben Goodwin</w:t>
              </w:r>
            </w:hyperlink>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18"/>
          </w:tcPr>
          <w:p>
            <w:pPr>
              <w:spacing w:after="0"/>
              <w:rPr>
                <w:rFonts w:ascii="Arial" w:cs="Arial" w:eastAsia="Arial" w:hAnsi="Arial"/>
                <w:sz w:val="14"/>
                <w:szCs w:val="14"/>
                <w:color w:val="0000FF"/>
                <w:w w:val="95"/>
              </w:rPr>
            </w:pPr>
            <w:hyperlink w:anchor="page53">
              <w:r>
                <w:rPr>
                  <w:rFonts w:ascii="Arial" w:cs="Arial" w:eastAsia="Arial" w:hAnsi="Arial"/>
                  <w:sz w:val="14"/>
                  <w:szCs w:val="14"/>
                  <w:color w:val="0000FF"/>
                  <w:w w:val="95"/>
                </w:rPr>
                <w:t>Certification of Chief Executive Officer pursuant to Section 302 of the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2"/>
          </w:tcPr>
          <w:p>
            <w:pPr>
              <w:spacing w:after="0" w:line="153" w:lineRule="exact"/>
              <w:rPr>
                <w:rFonts w:ascii="Arial" w:cs="Arial" w:eastAsia="Arial" w:hAnsi="Arial"/>
                <w:sz w:val="14"/>
                <w:szCs w:val="14"/>
                <w:color w:val="0000FF"/>
              </w:rPr>
            </w:pPr>
            <w:hyperlink w:anchor="page53">
              <w:r>
                <w:rPr>
                  <w:rFonts w:ascii="Arial" w:cs="Arial" w:eastAsia="Arial" w:hAnsi="Arial"/>
                  <w:sz w:val="14"/>
                  <w:szCs w:val="14"/>
                  <w:color w:val="0000FF"/>
                </w:rPr>
                <w:t>Sarbanes 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17"/>
          </w:tcPr>
          <w:p>
            <w:pPr>
              <w:spacing w:after="0"/>
              <w:rPr>
                <w:rFonts w:ascii="Arial" w:cs="Arial" w:eastAsia="Arial" w:hAnsi="Arial"/>
                <w:sz w:val="14"/>
                <w:szCs w:val="14"/>
                <w:color w:val="0000FF"/>
                <w:w w:val="95"/>
              </w:rPr>
            </w:pPr>
            <w:hyperlink w:anchor="page54">
              <w:r>
                <w:rPr>
                  <w:rFonts w:ascii="Arial" w:cs="Arial" w:eastAsia="Arial" w:hAnsi="Arial"/>
                  <w:sz w:val="14"/>
                  <w:szCs w:val="14"/>
                  <w:color w:val="0000FF"/>
                  <w:w w:val="95"/>
                </w:rPr>
                <w:t>Certification of Chief Financial Officer pursuant to Section 302 of the</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2"/>
          </w:tcPr>
          <w:p>
            <w:pPr>
              <w:spacing w:after="0" w:line="153" w:lineRule="exact"/>
              <w:rPr>
                <w:rFonts w:ascii="Arial" w:cs="Arial" w:eastAsia="Arial" w:hAnsi="Arial"/>
                <w:sz w:val="14"/>
                <w:szCs w:val="14"/>
                <w:color w:val="0000FF"/>
              </w:rPr>
            </w:pPr>
            <w:hyperlink w:anchor="page54">
              <w:r>
                <w:rPr>
                  <w:rFonts w:ascii="Arial" w:cs="Arial" w:eastAsia="Arial" w:hAnsi="Arial"/>
                  <w:sz w:val="14"/>
                  <w:szCs w:val="14"/>
                  <w:color w:val="0000FF"/>
                </w:rPr>
                <w:t>Sarbanes 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0"/>
          </w:tcPr>
          <w:p>
            <w:pPr>
              <w:spacing w:after="0"/>
              <w:rPr>
                <w:rFonts w:ascii="Arial" w:cs="Arial" w:eastAsia="Arial" w:hAnsi="Arial"/>
                <w:sz w:val="14"/>
                <w:szCs w:val="14"/>
                <w:color w:val="0000FF"/>
                <w:w w:val="92"/>
              </w:rPr>
            </w:pPr>
            <w:hyperlink w:anchor="page55">
              <w:r>
                <w:rPr>
                  <w:rFonts w:ascii="Arial" w:cs="Arial" w:eastAsia="Arial" w:hAnsi="Arial"/>
                  <w:sz w:val="14"/>
                  <w:szCs w:val="14"/>
                  <w:color w:val="0000FF"/>
                  <w:w w:val="92"/>
                </w:rPr>
                <w:t>Certification pursuant to 18 U.S.C. Section 1350, as adopted pursuant to</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bottom w:val="single" w:sz="8" w:color="0000FF"/>
            </w:tcBorders>
            <w:gridSpan w:val="16"/>
          </w:tcPr>
          <w:p>
            <w:pPr>
              <w:spacing w:after="0" w:line="153" w:lineRule="exact"/>
              <w:rPr>
                <w:rFonts w:ascii="Arial" w:cs="Arial" w:eastAsia="Arial" w:hAnsi="Arial"/>
                <w:sz w:val="14"/>
                <w:szCs w:val="14"/>
                <w:color w:val="0000FF"/>
                <w:w w:val="94"/>
              </w:rPr>
            </w:pPr>
            <w:hyperlink w:anchor="page55">
              <w:r>
                <w:rPr>
                  <w:rFonts w:ascii="Arial" w:cs="Arial" w:eastAsia="Arial" w:hAnsi="Arial"/>
                  <w:sz w:val="14"/>
                  <w:szCs w:val="14"/>
                  <w:color w:val="0000FF"/>
                  <w:w w:val="94"/>
                </w:rPr>
                <w:t>Section 906 of the Sarbanes-Oxley Act of 2002 for Eric M. DeMarco.</w:t>
              </w:r>
            </w:hyperlink>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tcPr>
          <w:p>
            <w:pPr>
              <w:jc w:val="center"/>
              <w:spacing w:after="0"/>
              <w:rPr>
                <w:sz w:val="20"/>
                <w:szCs w:val="20"/>
                <w:color w:val="auto"/>
              </w:rPr>
            </w:pPr>
            <w:r>
              <w:rPr>
                <w:rFonts w:ascii="Arial" w:cs="Arial" w:eastAsia="Arial" w:hAnsi="Arial"/>
                <w:sz w:val="14"/>
                <w:szCs w:val="14"/>
                <w:color w:val="auto"/>
                <w:w w:val="87"/>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0"/>
          </w:tcPr>
          <w:p>
            <w:pPr>
              <w:spacing w:after="0"/>
              <w:rPr>
                <w:rFonts w:ascii="Arial" w:cs="Arial" w:eastAsia="Arial" w:hAnsi="Arial"/>
                <w:sz w:val="14"/>
                <w:szCs w:val="14"/>
                <w:color w:val="0000FF"/>
                <w:w w:val="92"/>
              </w:rPr>
            </w:pPr>
            <w:hyperlink w:anchor="page56">
              <w:r>
                <w:rPr>
                  <w:rFonts w:ascii="Arial" w:cs="Arial" w:eastAsia="Arial" w:hAnsi="Arial"/>
                  <w:sz w:val="14"/>
                  <w:szCs w:val="14"/>
                  <w:color w:val="0000FF"/>
                  <w:w w:val="92"/>
                </w:rPr>
                <w:t>Certification pursuant to 18 U.S.C. Section 1350, as adopted pursuant to</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bottom w:val="single" w:sz="8" w:color="0000FF"/>
            </w:tcBorders>
            <w:gridSpan w:val="9"/>
          </w:tcPr>
          <w:p>
            <w:pPr>
              <w:spacing w:after="0" w:line="153" w:lineRule="exact"/>
              <w:rPr>
                <w:rFonts w:ascii="Arial" w:cs="Arial" w:eastAsia="Arial" w:hAnsi="Arial"/>
                <w:sz w:val="14"/>
                <w:szCs w:val="14"/>
                <w:color w:val="0000FF"/>
                <w:w w:val="93"/>
              </w:rPr>
            </w:pPr>
            <w:hyperlink w:anchor="page56">
              <w:r>
                <w:rPr>
                  <w:rFonts w:ascii="Arial" w:cs="Arial" w:eastAsia="Arial" w:hAnsi="Arial"/>
                  <w:sz w:val="14"/>
                  <w:szCs w:val="14"/>
                  <w:color w:val="0000FF"/>
                  <w:w w:val="93"/>
                </w:rPr>
                <w:t>Section 906 of the Sarbanes-Oxley Act of 2002 for Deanna Lund.</w:t>
              </w:r>
            </w:hyperlink>
          </w:p>
        </w:tc>
        <w:tc>
          <w:tcPr>
            <w:tcW w:w="44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80" w:type="dxa"/>
            <w:vAlign w:val="bottom"/>
            <w:gridSpan w:val="2"/>
          </w:tcPr>
          <w:p>
            <w:pPr>
              <w:ind w:left="34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7"/>
                <w:szCs w:val="17"/>
                <w:color w:val="auto"/>
              </w:rPr>
            </w:pPr>
          </w:p>
        </w:tc>
        <w:tc>
          <w:tcPr>
            <w:tcW w:w="4160" w:type="dxa"/>
            <w:vAlign w:val="bottom"/>
            <w:tcBorders>
              <w:bottom w:val="single" w:sz="8" w:color="0000EE"/>
            </w:tcBorders>
            <w:gridSpan w:val="20"/>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XBRL Instance Document-the instance document does not appear in the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bottom w:val="single" w:sz="8" w:color="0000EE"/>
            </w:tcBorders>
            <w:gridSpan w:val="15"/>
          </w:tcPr>
          <w:p>
            <w:pPr>
              <w:spacing w:after="0" w:line="153" w:lineRule="exact"/>
              <w:rPr>
                <w:rFonts w:ascii="Arial" w:cs="Arial" w:eastAsia="Arial" w:hAnsi="Arial"/>
                <w:sz w:val="14"/>
                <w:szCs w:val="14"/>
                <w:color w:val="0000EE"/>
                <w:w w:val="92"/>
              </w:rPr>
            </w:pPr>
            <w:hyperlink w:anchor="page3">
              <w:r>
                <w:rPr>
                  <w:rFonts w:ascii="Arial" w:cs="Arial" w:eastAsia="Arial" w:hAnsi="Arial"/>
                  <w:sz w:val="14"/>
                  <w:szCs w:val="14"/>
                  <w:color w:val="0000EE"/>
                  <w:w w:val="92"/>
                </w:rPr>
                <w:t>Interactive Data File because its XBRL tags are embedded within the</w:t>
              </w:r>
            </w:hyperlink>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bottom w:val="single" w:sz="8" w:color="0000EE"/>
            </w:tcBorders>
            <w:gridSpan w:val="2"/>
          </w:tcPr>
          <w:p>
            <w:pPr>
              <w:spacing w:after="0" w:line="153" w:lineRule="exact"/>
              <w:rPr>
                <w:rFonts w:ascii="Arial" w:cs="Arial" w:eastAsia="Arial" w:hAnsi="Arial"/>
                <w:sz w:val="14"/>
                <w:szCs w:val="14"/>
                <w:color w:val="0000EE"/>
                <w:w w:val="96"/>
              </w:rPr>
            </w:pPr>
            <w:hyperlink w:anchor="page3">
              <w:r>
                <w:rPr>
                  <w:rFonts w:ascii="Arial" w:cs="Arial" w:eastAsia="Arial" w:hAnsi="Arial"/>
                  <w:sz w:val="14"/>
                  <w:szCs w:val="14"/>
                  <w:color w:val="0000EE"/>
                  <w:w w:val="96"/>
                </w:rPr>
                <w:t>Inline XBRL document</w:t>
              </w:r>
            </w:hyperlink>
          </w:p>
        </w:tc>
        <w:tc>
          <w:tcPr>
            <w:tcW w:w="28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20"/>
        <w:spacing w:after="0"/>
        <w:rPr>
          <w:sz w:val="20"/>
          <w:szCs w:val="20"/>
          <w:color w:val="auto"/>
        </w:rPr>
      </w:pPr>
      <w:r>
        <w:rPr>
          <w:rFonts w:ascii="Arial" w:cs="Arial" w:eastAsia="Arial" w:hAnsi="Arial"/>
          <w:sz w:val="11"/>
          <w:szCs w:val="11"/>
          <w:b w:val="1"/>
          <w:bCs w:val="1"/>
          <w:color w:val="auto"/>
        </w:rPr>
        <w:t>Incorporated by</w:t>
      </w:r>
    </w:p>
    <w:p>
      <w:pPr>
        <w:spacing w:after="0" w:line="4" w:lineRule="exact"/>
        <w:rPr>
          <w:sz w:val="20"/>
          <w:szCs w:val="20"/>
          <w:color w:val="auto"/>
        </w:rPr>
      </w:pPr>
    </w:p>
    <w:p>
      <w:pPr>
        <w:jc w:val="center"/>
        <w:ind w:right="2020"/>
        <w:spacing w:after="0"/>
        <w:rPr>
          <w:sz w:val="20"/>
          <w:szCs w:val="20"/>
          <w:color w:val="auto"/>
        </w:rPr>
      </w:pPr>
      <w:r>
        <w:rPr>
          <w:rFonts w:ascii="Arial" w:cs="Arial" w:eastAsia="Arial" w:hAnsi="Arial"/>
          <w:sz w:val="11"/>
          <w:szCs w:val="11"/>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12065</wp:posOffset>
            </wp:positionV>
            <wp:extent cx="275780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757805" cy="698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Filing Date/</w:t>
            </w: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5"/>
              </w:rPr>
              <w:t>Filed-</w:t>
            </w:r>
          </w:p>
        </w:tc>
        <w:tc>
          <w:tcPr>
            <w:tcW w:w="0" w:type="dxa"/>
            <w:vAlign w:val="bottom"/>
          </w:tcPr>
          <w:p>
            <w:pPr>
              <w:spacing w:after="0"/>
              <w:rPr>
                <w:sz w:val="1"/>
                <w:szCs w:val="1"/>
                <w:color w:val="auto"/>
              </w:rPr>
            </w:pPr>
          </w:p>
        </w:tc>
      </w:tr>
      <w:tr>
        <w:trPr>
          <w:trHeight w:val="119"/>
        </w:trPr>
        <w:tc>
          <w:tcPr>
            <w:tcW w:w="960" w:type="dxa"/>
            <w:vAlign w:val="bottom"/>
            <w:vMerge w:val="restart"/>
          </w:tcPr>
          <w:p>
            <w:pPr>
              <w:jc w:val="center"/>
              <w:ind w:right="590"/>
              <w:spacing w:after="0"/>
              <w:rPr>
                <w:sz w:val="20"/>
                <w:szCs w:val="20"/>
                <w:color w:val="auto"/>
              </w:rPr>
            </w:pPr>
            <w:r>
              <w:rPr>
                <w:rFonts w:ascii="Arial" w:cs="Arial" w:eastAsia="Arial" w:hAnsi="Arial"/>
                <w:sz w:val="11"/>
                <w:szCs w:val="11"/>
                <w:b w:val="1"/>
                <w:bCs w:val="1"/>
                <w:color w:val="auto"/>
                <w:w w:val="94"/>
              </w:rPr>
              <w:t>Form</w:t>
            </w:r>
          </w:p>
        </w:tc>
        <w:tc>
          <w:tcPr>
            <w:tcW w:w="14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6"/>
              </w:rPr>
              <w:t>Period End</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Exhibit</w:t>
            </w:r>
          </w:p>
        </w:tc>
        <w:tc>
          <w:tcPr>
            <w:tcW w:w="1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Furnished</w:t>
            </w:r>
          </w:p>
        </w:tc>
        <w:tc>
          <w:tcPr>
            <w:tcW w:w="0" w:type="dxa"/>
            <w:vAlign w:val="bottom"/>
          </w:tcPr>
          <w:p>
            <w:pPr>
              <w:spacing w:after="0"/>
              <w:rPr>
                <w:sz w:val="1"/>
                <w:szCs w:val="1"/>
                <w:color w:val="auto"/>
              </w:rPr>
            </w:pPr>
          </w:p>
        </w:tc>
      </w:tr>
      <w:tr>
        <w:trPr>
          <w:trHeight w:val="153"/>
        </w:trPr>
        <w:tc>
          <w:tcPr>
            <w:tcW w:w="960" w:type="dxa"/>
            <w:vAlign w:val="bottom"/>
            <w:vMerge w:val="continue"/>
          </w:tcPr>
          <w:p>
            <w:pPr>
              <w:spacing w:after="0"/>
              <w:rPr>
                <w:sz w:val="13"/>
                <w:szCs w:val="1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Date</w:t>
            </w:r>
          </w:p>
        </w:tc>
        <w:tc>
          <w:tcPr>
            <w:tcW w:w="1480" w:type="dxa"/>
            <w:vAlign w:val="bottom"/>
            <w:gridSpan w:val="2"/>
            <w:vMerge w:val="continue"/>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179"/>
        </w:trPr>
        <w:tc>
          <w:tcPr>
            <w:tcW w:w="960" w:type="dxa"/>
            <w:vAlign w:val="bottom"/>
          </w:tcPr>
          <w:p>
            <w:pPr>
              <w:jc w:val="center"/>
              <w:ind w:right="590"/>
              <w:spacing w:after="0"/>
              <w:rPr>
                <w:sz w:val="20"/>
                <w:szCs w:val="20"/>
                <w:color w:val="auto"/>
              </w:rPr>
            </w:pPr>
            <w:r>
              <w:rPr>
                <w:rFonts w:ascii="Arial" w:cs="Arial" w:eastAsia="Arial" w:hAnsi="Arial"/>
                <w:sz w:val="14"/>
                <w:szCs w:val="14"/>
                <w:color w:val="auto"/>
                <w:w w:val="96"/>
              </w:rPr>
              <w:t>10-Q</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05/10/2018</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2.2</w:t>
            </w:r>
          </w:p>
        </w:tc>
        <w:tc>
          <w:tcPr>
            <w:tcW w:w="1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960" w:type="dxa"/>
            <w:vAlign w:val="bottom"/>
          </w:tcPr>
          <w:p>
            <w:pPr>
              <w:jc w:val="center"/>
              <w:ind w:right="590"/>
              <w:spacing w:after="0"/>
              <w:rPr>
                <w:sz w:val="20"/>
                <w:szCs w:val="20"/>
                <w:color w:val="auto"/>
              </w:rPr>
            </w:pPr>
            <w:r>
              <w:rPr>
                <w:rFonts w:ascii="Arial" w:cs="Arial" w:eastAsia="Arial" w:hAnsi="Arial"/>
                <w:sz w:val="14"/>
                <w:szCs w:val="14"/>
                <w:color w:val="auto"/>
                <w:w w:val="96"/>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05/08/2019</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2.3</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1"/>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02/27/2017</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02/27/2017</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02/27/2017</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11/21/2017</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(001-34460)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960" w:type="dxa"/>
            <w:vAlign w:val="bottom"/>
          </w:tcPr>
          <w:p>
            <w:pPr>
              <w:jc w:val="center"/>
              <w:ind w:right="590"/>
              <w:spacing w:after="0"/>
              <w:rPr>
                <w:sz w:val="20"/>
                <w:szCs w:val="20"/>
                <w:color w:val="auto"/>
              </w:rPr>
            </w:pPr>
            <w:r>
              <w:rPr>
                <w:rFonts w:ascii="Arial" w:cs="Arial" w:eastAsia="Arial" w:hAnsi="Arial"/>
                <w:sz w:val="14"/>
                <w:szCs w:val="14"/>
                <w:color w:val="auto"/>
              </w:rPr>
              <w:t>10-K</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02/28/2018</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-2154555</wp:posOffset>
            </wp:positionV>
            <wp:extent cx="87566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875665" cy="698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4"/>
          <w:szCs w:val="14"/>
          <w:color w:val="auto"/>
        </w:rPr>
        <w:t>(001-34460)</w:t>
      </w:r>
    </w:p>
    <w:p>
      <w:pPr>
        <w:spacing w:after="0" w:line="21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22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ectPr>
          <w:pgSz w:w="11900" w:h="16838" w:orient="portrait"/>
          <w:cols w:equalWidth="0" w:num="2">
            <w:col w:w="5800" w:space="380"/>
            <w:col w:w="5280"/>
          </w:cols>
          <w:pgMar w:left="220" w:top="129" w:right="2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Incorporated by</w:t>
            </w: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w w:val="93"/>
              </w:rPr>
              <w:t>Reference</w:t>
            </w:r>
          </w:p>
        </w:tc>
        <w:tc>
          <w:tcPr>
            <w:tcW w:w="1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2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w w:val="97"/>
              </w:rPr>
              <w:t>Filing Date/</w:t>
            </w: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5"/>
              </w:rPr>
              <w:t>Filed-</w:t>
            </w:r>
          </w:p>
        </w:tc>
        <w:tc>
          <w:tcPr>
            <w:tcW w:w="0" w:type="dxa"/>
            <w:vAlign w:val="bottom"/>
          </w:tcPr>
          <w:p>
            <w:pPr>
              <w:spacing w:after="0"/>
              <w:rPr>
                <w:sz w:val="1"/>
                <w:szCs w:val="1"/>
                <w:color w:val="auto"/>
              </w:rPr>
            </w:pPr>
          </w:p>
        </w:tc>
      </w:tr>
      <w:tr>
        <w:trPr>
          <w:trHeight w:val="119"/>
        </w:trPr>
        <w:tc>
          <w:tcPr>
            <w:tcW w:w="1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gridSpan w:val="5"/>
            <w:vMerge w:val="restart"/>
          </w:tcPr>
          <w:p>
            <w:pPr>
              <w:ind w:left="1620"/>
              <w:spacing w:after="0"/>
              <w:rPr>
                <w:sz w:val="20"/>
                <w:szCs w:val="20"/>
                <w:color w:val="auto"/>
              </w:rPr>
            </w:pPr>
            <w:r>
              <w:rPr>
                <w:rFonts w:ascii="Arial" w:cs="Arial" w:eastAsia="Arial" w:hAnsi="Arial"/>
                <w:sz w:val="11"/>
                <w:szCs w:val="11"/>
                <w:b w:val="1"/>
                <w:bCs w:val="1"/>
                <w:color w:val="auto"/>
              </w:rPr>
              <w:t>Exhibit Description</w:t>
            </w:r>
          </w:p>
        </w:tc>
        <w:tc>
          <w:tcPr>
            <w:tcW w:w="120" w:type="dxa"/>
            <w:vAlign w:val="bottom"/>
            <w:vMerge w:val="restart"/>
          </w:tcPr>
          <w:p>
            <w:pPr>
              <w:spacing w:after="0"/>
              <w:rPr>
                <w:sz w:val="10"/>
                <w:szCs w:val="10"/>
                <w:color w:val="auto"/>
              </w:rPr>
            </w:pPr>
          </w:p>
        </w:tc>
        <w:tc>
          <w:tcPr>
            <w:tcW w:w="1380" w:type="dxa"/>
            <w:vAlign w:val="bottom"/>
            <w:vMerge w:val="restart"/>
          </w:tcPr>
          <w:p>
            <w:pPr>
              <w:ind w:left="560"/>
              <w:spacing w:after="0"/>
              <w:rPr>
                <w:sz w:val="20"/>
                <w:szCs w:val="20"/>
                <w:color w:val="auto"/>
              </w:rPr>
            </w:pPr>
            <w:r>
              <w:rPr>
                <w:rFonts w:ascii="Arial" w:cs="Arial" w:eastAsia="Arial" w:hAnsi="Arial"/>
                <w:sz w:val="11"/>
                <w:szCs w:val="11"/>
                <w:b w:val="1"/>
                <w:bCs w:val="1"/>
                <w:color w:val="auto"/>
              </w:rPr>
              <w:t>Form</w:t>
            </w:r>
          </w:p>
        </w:tc>
        <w:tc>
          <w:tcPr>
            <w:tcW w:w="120" w:type="dxa"/>
            <w:vAlign w:val="bottom"/>
            <w:vMerge w:val="restart"/>
          </w:tcPr>
          <w:p>
            <w:pPr>
              <w:spacing w:after="0"/>
              <w:rPr>
                <w:sz w:val="10"/>
                <w:szCs w:val="10"/>
                <w:color w:val="auto"/>
              </w:rPr>
            </w:pPr>
          </w:p>
        </w:tc>
        <w:tc>
          <w:tcPr>
            <w:tcW w:w="14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6"/>
              </w:rPr>
              <w:t>Period End</w:t>
            </w:r>
          </w:p>
        </w:tc>
        <w:tc>
          <w:tcPr>
            <w:tcW w:w="136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Exhibit</w:t>
            </w:r>
          </w:p>
        </w:tc>
        <w:tc>
          <w:tcPr>
            <w:tcW w:w="120" w:type="dxa"/>
            <w:vAlign w:val="bottom"/>
            <w:vMerge w:val="restart"/>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Furnished</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20" w:type="dxa"/>
            <w:vAlign w:val="bottom"/>
            <w:tcBorders>
              <w:bottom w:val="single" w:sz="8" w:color="auto"/>
            </w:tcBorders>
            <w:gridSpan w:val="5"/>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157"/>
        </w:trPr>
        <w:tc>
          <w:tcPr>
            <w:tcW w:w="12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2"/>
              </w:rPr>
              <w:t>1.01.SCH</w:t>
            </w:r>
          </w:p>
        </w:tc>
        <w:tc>
          <w:tcPr>
            <w:tcW w:w="20" w:type="dxa"/>
            <w:vAlign w:val="bottom"/>
          </w:tcPr>
          <w:p>
            <w:pPr>
              <w:spacing w:after="0"/>
              <w:rPr>
                <w:sz w:val="13"/>
                <w:szCs w:val="13"/>
                <w:color w:val="auto"/>
              </w:rPr>
            </w:pPr>
          </w:p>
        </w:tc>
        <w:tc>
          <w:tcPr>
            <w:tcW w:w="4340" w:type="dxa"/>
            <w:vAlign w:val="bottom"/>
            <w:gridSpan w:val="6"/>
          </w:tcPr>
          <w:p>
            <w:pPr>
              <w:spacing w:after="0" w:line="157" w:lineRule="exact"/>
              <w:rPr>
                <w:rFonts w:ascii="Arial" w:cs="Arial" w:eastAsia="Arial" w:hAnsi="Arial"/>
                <w:sz w:val="14"/>
                <w:szCs w:val="14"/>
                <w:color w:val="0000EE"/>
              </w:rPr>
            </w:pPr>
            <w:hyperlink w:anchor="page3">
              <w:r>
                <w:rPr>
                  <w:rFonts w:ascii="Arial" w:cs="Arial" w:eastAsia="Arial" w:hAnsi="Arial"/>
                  <w:sz w:val="14"/>
                  <w:szCs w:val="14"/>
                  <w:color w:val="0000EE"/>
                </w:rPr>
                <w:t>XBRL Taxonomy Extension Schema Document</w:t>
              </w:r>
            </w:hyperlink>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1.01.CAL</w:t>
            </w:r>
          </w:p>
        </w:tc>
        <w:tc>
          <w:tcPr>
            <w:tcW w:w="20" w:type="dxa"/>
            <w:vAlign w:val="bottom"/>
          </w:tcPr>
          <w:p>
            <w:pPr>
              <w:spacing w:after="0"/>
              <w:rPr>
                <w:sz w:val="17"/>
                <w:szCs w:val="17"/>
                <w:color w:val="auto"/>
              </w:rPr>
            </w:pPr>
          </w:p>
        </w:tc>
        <w:tc>
          <w:tcPr>
            <w:tcW w:w="3580" w:type="dxa"/>
            <w:vAlign w:val="bottom"/>
            <w:tcBorders>
              <w:bottom w:val="single" w:sz="8" w:color="0000EE"/>
            </w:tcBorders>
            <w:gridSpan w:val="4"/>
          </w:tcPr>
          <w:p>
            <w:pPr>
              <w:spacing w:after="0"/>
              <w:rPr>
                <w:rFonts w:ascii="Arial" w:cs="Arial" w:eastAsia="Arial" w:hAnsi="Arial"/>
                <w:sz w:val="14"/>
                <w:szCs w:val="14"/>
                <w:color w:val="0000EE"/>
                <w:w w:val="95"/>
              </w:rPr>
            </w:pPr>
            <w:hyperlink w:anchor="page3">
              <w:r>
                <w:rPr>
                  <w:rFonts w:ascii="Arial" w:cs="Arial" w:eastAsia="Arial" w:hAnsi="Arial"/>
                  <w:sz w:val="14"/>
                  <w:szCs w:val="14"/>
                  <w:color w:val="0000EE"/>
                  <w:w w:val="95"/>
                </w:rPr>
                <w:t>XBRL Taxonomy Extension Calculation Linkbase Document</w:t>
              </w:r>
            </w:hyperlink>
          </w:p>
        </w:tc>
        <w:tc>
          <w:tcPr>
            <w:tcW w:w="76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17"/>
                <w:szCs w:val="17"/>
                <w:color w:val="auto"/>
              </w:rPr>
            </w:pPr>
          </w:p>
        </w:tc>
        <w:tc>
          <w:tcPr>
            <w:tcW w:w="4340" w:type="dxa"/>
            <w:vAlign w:val="bottom"/>
            <w:gridSpan w:val="6"/>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XBRL Taxonomy Extension Definition Linkbase Document</w:t>
              </w:r>
            </w:hyperlink>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7"/>
                <w:szCs w:val="17"/>
                <w:color w:val="auto"/>
              </w:rPr>
            </w:pPr>
          </w:p>
        </w:tc>
        <w:tc>
          <w:tcPr>
            <w:tcW w:w="3460" w:type="dxa"/>
            <w:vAlign w:val="bottom"/>
            <w:tcBorders>
              <w:top w:val="single" w:sz="8" w:color="0000EE"/>
            </w:tcBorders>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XBRL Taxonomy Extension Label Linkbase Document</w:t>
              </w:r>
            </w:hyperlink>
          </w:p>
        </w:tc>
        <w:tc>
          <w:tcPr>
            <w:tcW w:w="88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1.01.PRE</w:t>
            </w:r>
          </w:p>
        </w:tc>
        <w:tc>
          <w:tcPr>
            <w:tcW w:w="20" w:type="dxa"/>
            <w:vAlign w:val="bottom"/>
          </w:tcPr>
          <w:p>
            <w:pPr>
              <w:spacing w:after="0"/>
              <w:rPr>
                <w:sz w:val="17"/>
                <w:szCs w:val="17"/>
                <w:color w:val="auto"/>
              </w:rPr>
            </w:pPr>
          </w:p>
        </w:tc>
        <w:tc>
          <w:tcPr>
            <w:tcW w:w="4340" w:type="dxa"/>
            <w:vAlign w:val="bottom"/>
            <w:gridSpan w:val="6"/>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XBRL Taxonomy Extension Presentation Linkbase Document</w:t>
              </w:r>
            </w:hyperlink>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266700</wp:posOffset>
            </wp:positionV>
            <wp:extent cx="251142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511425" cy="69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right="500" w:firstLine="6"/>
        <w:spacing w:after="0" w:line="288" w:lineRule="auto"/>
        <w:tabs>
          <w:tab w:leader="none" w:pos="215"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31" w:lineRule="exact"/>
        <w:rPr>
          <w:sz w:val="20"/>
          <w:szCs w:val="20"/>
          <w:color w:val="auto"/>
        </w:rPr>
      </w:pPr>
    </w:p>
    <w:p>
      <w:pPr>
        <w:ind w:left="5660" w:right="1420" w:hanging="5654"/>
        <w:spacing w:after="0" w:line="577" w:lineRule="auto"/>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Certain confidential information contained in this Exhibit has been omitted because it is both (i) not material and (ii) would be competitively harmful if publicly disclosed. 38</w:t>
      </w:r>
    </w:p>
    <w:p>
      <w:pPr>
        <w:sectPr>
          <w:pgSz w:w="11900" w:h="16838" w:orient="portrait"/>
          <w:cols w:equalWidth="0" w:num="1">
            <w:col w:w="11460"/>
          </w:cols>
          <w:pgMar w:left="220" w:top="129" w:right="21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420" w:type="dxa"/>
            <w:vAlign w:val="bottom"/>
          </w:tcPr>
          <w:p>
            <w:pPr>
              <w:spacing w:after="0"/>
              <w:rPr>
                <w:sz w:val="15"/>
                <w:szCs w:val="15"/>
                <w:color w:val="auto"/>
              </w:rPr>
            </w:pPr>
          </w:p>
        </w:tc>
        <w:tc>
          <w:tcPr>
            <w:tcW w:w="11020" w:type="dxa"/>
            <w:vAlign w:val="bottom"/>
            <w:gridSpan w:val="2"/>
          </w:tcPr>
          <w:p>
            <w:pPr>
              <w:ind w:left="80"/>
              <w:spacing w:after="0"/>
              <w:rPr>
                <w:sz w:val="20"/>
                <w:szCs w:val="20"/>
                <w:color w:val="auto"/>
              </w:rPr>
            </w:pPr>
            <w:r>
              <w:rPr>
                <w:rFonts w:ascii="Arial" w:cs="Arial" w:eastAsia="Arial" w:hAnsi="Arial"/>
                <w:sz w:val="14"/>
                <w:szCs w:val="14"/>
                <w:color w:val="auto"/>
                <w:w w:val="95"/>
              </w:rPr>
              <w:t>Pursuant to the requirements of the Securities Exchange Act of 1934, the registrant has duly caused this report to be signed on its behalf by the undersigned, thereunto duly authorized.</w:t>
            </w:r>
          </w:p>
        </w:tc>
      </w:tr>
      <w:tr>
        <w:trPr>
          <w:trHeight w:val="474"/>
        </w:trPr>
        <w:tc>
          <w:tcPr>
            <w:tcW w:w="420" w:type="dxa"/>
            <w:vAlign w:val="bottom"/>
          </w:tcPr>
          <w:p>
            <w:pPr>
              <w:spacing w:after="0"/>
              <w:rPr>
                <w:sz w:val="24"/>
                <w:szCs w:val="24"/>
                <w:color w:val="auto"/>
              </w:rPr>
            </w:pPr>
          </w:p>
        </w:tc>
        <w:tc>
          <w:tcPr>
            <w:tcW w:w="11020" w:type="dxa"/>
            <w:vAlign w:val="bottom"/>
            <w:gridSpan w:val="2"/>
          </w:tcPr>
          <w:p>
            <w:pPr>
              <w:ind w:left="5220"/>
              <w:spacing w:after="0"/>
              <w:rPr>
                <w:sz w:val="20"/>
                <w:szCs w:val="20"/>
                <w:color w:val="auto"/>
              </w:rPr>
            </w:pPr>
            <w:r>
              <w:rPr>
                <w:rFonts w:ascii="Arial" w:cs="Arial" w:eastAsia="Arial" w:hAnsi="Arial"/>
                <w:sz w:val="14"/>
                <w:szCs w:val="14"/>
                <w:color w:val="auto"/>
              </w:rPr>
              <w:t>KRATOS DEFENSE &amp; SECURITY SOLUTIONS, INC.</w:t>
            </w:r>
          </w:p>
        </w:tc>
      </w:tr>
      <w:tr>
        <w:trPr>
          <w:trHeight w:val="647"/>
        </w:trPr>
        <w:tc>
          <w:tcPr>
            <w:tcW w:w="420" w:type="dxa"/>
            <w:vAlign w:val="bottom"/>
          </w:tcPr>
          <w:p>
            <w:pPr>
              <w:spacing w:after="0"/>
              <w:rPr>
                <w:sz w:val="24"/>
                <w:szCs w:val="24"/>
                <w:color w:val="auto"/>
              </w:rPr>
            </w:pPr>
          </w:p>
        </w:tc>
        <w:tc>
          <w:tcPr>
            <w:tcW w:w="5640" w:type="dxa"/>
            <w:vAlign w:val="bottom"/>
          </w:tcPr>
          <w:p>
            <w:pPr>
              <w:ind w:left="5220"/>
              <w:spacing w:after="0"/>
              <w:rPr>
                <w:sz w:val="20"/>
                <w:szCs w:val="20"/>
                <w:color w:val="auto"/>
              </w:rPr>
            </w:pPr>
            <w:r>
              <w:rPr>
                <w:rFonts w:ascii="Arial" w:cs="Arial" w:eastAsia="Arial" w:hAnsi="Arial"/>
                <w:sz w:val="14"/>
                <w:szCs w:val="14"/>
                <w:color w:val="auto"/>
              </w:rPr>
              <w:t>By:</w:t>
            </w:r>
          </w:p>
        </w:tc>
        <w:tc>
          <w:tcPr>
            <w:tcW w:w="5380" w:type="dxa"/>
            <w:vAlign w:val="bottom"/>
          </w:tcPr>
          <w:p>
            <w:pPr>
              <w:jc w:val="center"/>
              <w:spacing w:after="0"/>
              <w:rPr>
                <w:sz w:val="20"/>
                <w:szCs w:val="20"/>
                <w:color w:val="auto"/>
              </w:rPr>
            </w:pPr>
            <w:r>
              <w:rPr>
                <w:rFonts w:ascii="Arial" w:cs="Arial" w:eastAsia="Arial" w:hAnsi="Arial"/>
                <w:sz w:val="14"/>
                <w:szCs w:val="14"/>
                <w:color w:val="auto"/>
                <w:w w:val="99"/>
              </w:rPr>
              <w:t>/s/ ERIC M. DEMARCO</w:t>
            </w:r>
          </w:p>
        </w:tc>
      </w:tr>
      <w:tr>
        <w:trPr>
          <w:trHeight w:val="23"/>
        </w:trPr>
        <w:tc>
          <w:tcPr>
            <w:tcW w:w="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84"/>
        </w:trPr>
        <w:tc>
          <w:tcPr>
            <w:tcW w:w="4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5380" w:type="dxa"/>
            <w:vAlign w:val="bottom"/>
          </w:tcPr>
          <w:p>
            <w:pPr>
              <w:jc w:val="center"/>
              <w:spacing w:after="0"/>
              <w:rPr>
                <w:sz w:val="20"/>
                <w:szCs w:val="20"/>
                <w:color w:val="auto"/>
              </w:rPr>
            </w:pPr>
            <w:r>
              <w:rPr>
                <w:rFonts w:ascii="Arial" w:cs="Arial" w:eastAsia="Arial" w:hAnsi="Arial"/>
                <w:sz w:val="14"/>
                <w:szCs w:val="14"/>
                <w:color w:val="auto"/>
                <w:w w:val="97"/>
              </w:rPr>
              <w:t>Eric M. DeMarco</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2"/>
              </w:rPr>
              <w:t>Chief Executive Officer, President</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7"/>
              </w:rPr>
              <w:t>(Principal Executive Officer)</w:t>
            </w:r>
          </w:p>
        </w:tc>
      </w:tr>
      <w:tr>
        <w:trPr>
          <w:trHeight w:val="647"/>
        </w:trPr>
        <w:tc>
          <w:tcPr>
            <w:tcW w:w="420" w:type="dxa"/>
            <w:vAlign w:val="bottom"/>
          </w:tcPr>
          <w:p>
            <w:pPr>
              <w:spacing w:after="0"/>
              <w:rPr>
                <w:sz w:val="24"/>
                <w:szCs w:val="24"/>
                <w:color w:val="auto"/>
              </w:rPr>
            </w:pPr>
          </w:p>
        </w:tc>
        <w:tc>
          <w:tcPr>
            <w:tcW w:w="5640" w:type="dxa"/>
            <w:vAlign w:val="bottom"/>
          </w:tcPr>
          <w:p>
            <w:pPr>
              <w:ind w:left="5220"/>
              <w:spacing w:after="0"/>
              <w:rPr>
                <w:sz w:val="20"/>
                <w:szCs w:val="20"/>
                <w:color w:val="auto"/>
              </w:rPr>
            </w:pPr>
            <w:r>
              <w:rPr>
                <w:rFonts w:ascii="Arial" w:cs="Arial" w:eastAsia="Arial" w:hAnsi="Arial"/>
                <w:sz w:val="14"/>
                <w:szCs w:val="14"/>
                <w:color w:val="auto"/>
              </w:rPr>
              <w:t>By:</w:t>
            </w:r>
          </w:p>
        </w:tc>
        <w:tc>
          <w:tcPr>
            <w:tcW w:w="5380" w:type="dxa"/>
            <w:vAlign w:val="bottom"/>
          </w:tcPr>
          <w:p>
            <w:pPr>
              <w:jc w:val="center"/>
              <w:spacing w:after="0"/>
              <w:rPr>
                <w:sz w:val="20"/>
                <w:szCs w:val="20"/>
                <w:color w:val="auto"/>
              </w:rPr>
            </w:pPr>
            <w:r>
              <w:rPr>
                <w:rFonts w:ascii="Arial" w:cs="Arial" w:eastAsia="Arial" w:hAnsi="Arial"/>
                <w:sz w:val="14"/>
                <w:szCs w:val="14"/>
                <w:color w:val="auto"/>
              </w:rPr>
              <w:t>/s/ DEANNA H. LUND, CPA</w:t>
            </w:r>
          </w:p>
        </w:tc>
      </w:tr>
      <w:tr>
        <w:trPr>
          <w:trHeight w:val="23"/>
        </w:trPr>
        <w:tc>
          <w:tcPr>
            <w:tcW w:w="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84"/>
        </w:trPr>
        <w:tc>
          <w:tcPr>
            <w:tcW w:w="4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5380" w:type="dxa"/>
            <w:vAlign w:val="bottom"/>
          </w:tcPr>
          <w:p>
            <w:pPr>
              <w:jc w:val="center"/>
              <w:spacing w:after="0"/>
              <w:rPr>
                <w:sz w:val="20"/>
                <w:szCs w:val="20"/>
                <w:color w:val="auto"/>
              </w:rPr>
            </w:pPr>
            <w:r>
              <w:rPr>
                <w:rFonts w:ascii="Arial" w:cs="Arial" w:eastAsia="Arial" w:hAnsi="Arial"/>
                <w:sz w:val="14"/>
                <w:szCs w:val="14"/>
                <w:color w:val="auto"/>
                <w:w w:val="92"/>
              </w:rPr>
              <w:t>Deanna H. Lund</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4"/>
              </w:rPr>
              <w:t>Executive Vice President, Chief Financial Officer</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9"/>
              </w:rPr>
              <w:t>(Principal Financial Officer)</w:t>
            </w:r>
          </w:p>
        </w:tc>
      </w:tr>
      <w:tr>
        <w:trPr>
          <w:trHeight w:val="668"/>
        </w:trPr>
        <w:tc>
          <w:tcPr>
            <w:tcW w:w="420" w:type="dxa"/>
            <w:vAlign w:val="bottom"/>
          </w:tcPr>
          <w:p>
            <w:pPr>
              <w:spacing w:after="0"/>
              <w:rPr>
                <w:sz w:val="24"/>
                <w:szCs w:val="24"/>
                <w:color w:val="auto"/>
              </w:rPr>
            </w:pPr>
          </w:p>
        </w:tc>
        <w:tc>
          <w:tcPr>
            <w:tcW w:w="5640" w:type="dxa"/>
            <w:vAlign w:val="bottom"/>
          </w:tcPr>
          <w:p>
            <w:pPr>
              <w:ind w:left="5220"/>
              <w:spacing w:after="0"/>
              <w:rPr>
                <w:sz w:val="20"/>
                <w:szCs w:val="20"/>
                <w:color w:val="auto"/>
              </w:rPr>
            </w:pPr>
            <w:r>
              <w:rPr>
                <w:rFonts w:ascii="Arial" w:cs="Arial" w:eastAsia="Arial" w:hAnsi="Arial"/>
                <w:sz w:val="14"/>
                <w:szCs w:val="14"/>
                <w:color w:val="auto"/>
              </w:rPr>
              <w:t>By:</w:t>
            </w:r>
          </w:p>
        </w:tc>
        <w:tc>
          <w:tcPr>
            <w:tcW w:w="5380" w:type="dxa"/>
            <w:vAlign w:val="bottom"/>
          </w:tcPr>
          <w:p>
            <w:pPr>
              <w:jc w:val="center"/>
              <w:spacing w:after="0"/>
              <w:rPr>
                <w:sz w:val="20"/>
                <w:szCs w:val="20"/>
                <w:color w:val="auto"/>
              </w:rPr>
            </w:pPr>
            <w:r>
              <w:rPr>
                <w:rFonts w:ascii="Arial" w:cs="Arial" w:eastAsia="Arial" w:hAnsi="Arial"/>
                <w:sz w:val="14"/>
                <w:szCs w:val="14"/>
                <w:color w:val="auto"/>
                <w:w w:val="97"/>
              </w:rPr>
              <w:t>/s/ MARIA CERVANTES DE BURGREEN, CPA</w:t>
            </w:r>
          </w:p>
        </w:tc>
      </w:tr>
      <w:tr>
        <w:trPr>
          <w:trHeight w:val="23"/>
        </w:trPr>
        <w:tc>
          <w:tcPr>
            <w:tcW w:w="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r>
      <w:tr>
        <w:trPr>
          <w:trHeight w:val="184"/>
        </w:trPr>
        <w:tc>
          <w:tcPr>
            <w:tcW w:w="4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5380" w:type="dxa"/>
            <w:vAlign w:val="bottom"/>
          </w:tcPr>
          <w:p>
            <w:pPr>
              <w:jc w:val="center"/>
              <w:spacing w:after="0"/>
              <w:rPr>
                <w:sz w:val="20"/>
                <w:szCs w:val="20"/>
                <w:color w:val="auto"/>
              </w:rPr>
            </w:pPr>
            <w:r>
              <w:rPr>
                <w:rFonts w:ascii="Arial" w:cs="Arial" w:eastAsia="Arial" w:hAnsi="Arial"/>
                <w:sz w:val="14"/>
                <w:szCs w:val="14"/>
                <w:color w:val="auto"/>
                <w:w w:val="92"/>
              </w:rPr>
              <w:t>Maria Cervantes de Burgreen</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4"/>
              </w:rPr>
              <w:t>Vice President and Corporate Controller</w:t>
            </w:r>
          </w:p>
        </w:tc>
      </w:tr>
      <w:tr>
        <w:trPr>
          <w:trHeight w:val="216"/>
        </w:trPr>
        <w:tc>
          <w:tcPr>
            <w:tcW w:w="4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4"/>
                <w:szCs w:val="14"/>
                <w:i w:val="1"/>
                <w:iCs w:val="1"/>
                <w:color w:val="auto"/>
                <w:w w:val="98"/>
              </w:rPr>
              <w:t>(Principal Accounting Officer)</w:t>
            </w:r>
          </w:p>
        </w:tc>
      </w:tr>
      <w:tr>
        <w:trPr>
          <w:trHeight w:val="216"/>
        </w:trPr>
        <w:tc>
          <w:tcPr>
            <w:tcW w:w="420" w:type="dxa"/>
            <w:vAlign w:val="bottom"/>
          </w:tcPr>
          <w:p>
            <w:pPr>
              <w:spacing w:after="0"/>
              <w:rPr>
                <w:sz w:val="20"/>
                <w:szCs w:val="20"/>
                <w:color w:val="auto"/>
              </w:rPr>
            </w:pPr>
            <w:r>
              <w:rPr>
                <w:rFonts w:ascii="Arial" w:cs="Arial" w:eastAsia="Arial" w:hAnsi="Arial"/>
                <w:sz w:val="14"/>
                <w:szCs w:val="14"/>
                <w:color w:val="auto"/>
              </w:rPr>
              <w:t>Date:</w:t>
            </w:r>
          </w:p>
        </w:tc>
        <w:tc>
          <w:tcPr>
            <w:tcW w:w="5640" w:type="dxa"/>
            <w:vAlign w:val="bottom"/>
          </w:tcPr>
          <w:p>
            <w:pPr>
              <w:ind w:left="280"/>
              <w:spacing w:after="0"/>
              <w:rPr>
                <w:sz w:val="20"/>
                <w:szCs w:val="20"/>
                <w:color w:val="auto"/>
              </w:rPr>
            </w:pPr>
            <w:r>
              <w:rPr>
                <w:rFonts w:ascii="Arial" w:cs="Arial" w:eastAsia="Arial" w:hAnsi="Arial"/>
                <w:sz w:val="14"/>
                <w:szCs w:val="14"/>
                <w:color w:val="auto"/>
              </w:rPr>
              <w:t>July 31, 2019</w:t>
            </w:r>
          </w:p>
        </w:tc>
        <w:tc>
          <w:tcPr>
            <w:tcW w:w="5380" w:type="dxa"/>
            <w:vAlign w:val="bottom"/>
          </w:tcPr>
          <w:p>
            <w:pPr>
              <w:spacing w:after="0"/>
              <w:rPr>
                <w:sz w:val="18"/>
                <w:szCs w:val="18"/>
                <w:color w:val="auto"/>
              </w:rPr>
            </w:pPr>
          </w:p>
        </w:tc>
      </w:tr>
      <w:tr>
        <w:trPr>
          <w:trHeight w:val="388"/>
        </w:trPr>
        <w:tc>
          <w:tcPr>
            <w:tcW w:w="420" w:type="dxa"/>
            <w:vAlign w:val="bottom"/>
          </w:tcPr>
          <w:p>
            <w:pPr>
              <w:spacing w:after="0"/>
              <w:rPr>
                <w:sz w:val="24"/>
                <w:szCs w:val="24"/>
                <w:color w:val="auto"/>
              </w:rPr>
            </w:pPr>
          </w:p>
        </w:tc>
        <w:tc>
          <w:tcPr>
            <w:tcW w:w="5640" w:type="dxa"/>
            <w:vAlign w:val="bottom"/>
          </w:tcPr>
          <w:p>
            <w:pPr>
              <w:ind w:left="5220"/>
              <w:spacing w:after="0"/>
              <w:rPr>
                <w:sz w:val="20"/>
                <w:szCs w:val="20"/>
                <w:color w:val="auto"/>
              </w:rPr>
            </w:pPr>
            <w:r>
              <w:rPr>
                <w:rFonts w:ascii="Arial" w:cs="Arial" w:eastAsia="Arial" w:hAnsi="Arial"/>
                <w:sz w:val="14"/>
                <w:szCs w:val="14"/>
                <w:color w:val="auto"/>
              </w:rPr>
              <w:t>39</w:t>
            </w:r>
          </w:p>
        </w:tc>
        <w:tc>
          <w:tcPr>
            <w:tcW w:w="538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t>EXHIBIT 31.1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I, Eric M. DeMarco, certify that:</w:t>
      </w:r>
    </w:p>
    <w:p>
      <w:pPr>
        <w:spacing w:after="0" w:line="152" w:lineRule="exact"/>
        <w:rPr>
          <w:sz w:val="20"/>
          <w:szCs w:val="20"/>
          <w:color w:val="auto"/>
        </w:rPr>
      </w:pPr>
    </w:p>
    <w:p>
      <w:pPr>
        <w:ind w:left="520" w:hanging="514"/>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Kratos Defense &amp; Security Solutions, Inc.;</w:t>
      </w:r>
    </w:p>
    <w:p>
      <w:pPr>
        <w:spacing w:after="0" w:line="11" w:lineRule="exact"/>
        <w:rPr>
          <w:rFonts w:ascii="Arial" w:cs="Arial" w:eastAsia="Arial" w:hAnsi="Arial"/>
          <w:sz w:val="13"/>
          <w:szCs w:val="13"/>
          <w:color w:val="auto"/>
        </w:rPr>
      </w:pPr>
    </w:p>
    <w:p>
      <w:pPr>
        <w:ind w:left="520" w:right="40" w:hanging="514"/>
        <w:spacing w:after="0" w:line="242" w:lineRule="auto"/>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140" w:hanging="514"/>
        <w:spacing w:after="0" w:line="242" w:lineRule="auto"/>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340" w:hanging="514"/>
        <w:spacing w:after="0" w:line="248" w:lineRule="auto"/>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3"/>
          <w:szCs w:val="13"/>
          <w:color w:val="auto"/>
        </w:rPr>
      </w:pPr>
    </w:p>
    <w:p>
      <w:pPr>
        <w:ind w:left="1040" w:right="80" w:hanging="517"/>
        <w:spacing w:after="0" w:line="271" w:lineRule="auto"/>
        <w:tabs>
          <w:tab w:leader="none" w:pos="10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40" w:right="300" w:hanging="517"/>
        <w:spacing w:after="0" w:line="262" w:lineRule="auto"/>
        <w:tabs>
          <w:tab w:leader="none" w:pos="10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040" w:right="80" w:hanging="517"/>
        <w:spacing w:after="0" w:line="242" w:lineRule="auto"/>
        <w:tabs>
          <w:tab w:leader="none" w:pos="10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40" w:right="120" w:hanging="517"/>
        <w:spacing w:after="0" w:line="248" w:lineRule="auto"/>
        <w:tabs>
          <w:tab w:leader="none" w:pos="1072" w:val="left"/>
        </w:tabs>
        <w:numPr>
          <w:ilvl w:val="1"/>
          <w:numId w:val="1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3"/>
          <w:szCs w:val="13"/>
          <w:color w:val="auto"/>
        </w:rPr>
      </w:pPr>
    </w:p>
    <w:p>
      <w:pPr>
        <w:ind w:left="520" w:right="540" w:hanging="514"/>
        <w:spacing w:after="0" w:line="264" w:lineRule="auto"/>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3"/>
          <w:szCs w:val="13"/>
          <w:color w:val="auto"/>
        </w:rPr>
      </w:pPr>
    </w:p>
    <w:p>
      <w:pPr>
        <w:ind w:left="1040" w:right="20" w:hanging="517"/>
        <w:spacing w:after="0" w:line="250" w:lineRule="auto"/>
        <w:tabs>
          <w:tab w:leader="none" w:pos="10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40" w:hanging="517"/>
        <w:spacing w:after="0"/>
        <w:tabs>
          <w:tab w:leader="none" w:pos="1040" w:val="left"/>
        </w:tabs>
        <w:numPr>
          <w:ilvl w:val="1"/>
          <w:numId w:val="1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Date: July 31,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KRATOS DEFENSE &amp; SECURITY SOLUTIONS, INC.</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25400</wp:posOffset>
            </wp:positionV>
            <wp:extent cx="351028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510280" cy="698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Eric M. DeMarco</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Chief Executive Officer, President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460"/>
          </w:cols>
          <w:pgMar w:left="220" w:top="495" w:right="21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b w:val="1"/>
          <w:bCs w:val="1"/>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I, Deanna H. Lund, certify that:</w:t>
      </w:r>
    </w:p>
    <w:p>
      <w:pPr>
        <w:spacing w:after="0" w:line="163" w:lineRule="exact"/>
        <w:rPr>
          <w:sz w:val="20"/>
          <w:szCs w:val="20"/>
          <w:color w:val="auto"/>
        </w:rPr>
      </w:pPr>
    </w:p>
    <w:p>
      <w:pPr>
        <w:ind w:left="520" w:hanging="514"/>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3"/>
          <w:szCs w:val="13"/>
          <w:color w:val="auto"/>
        </w:rPr>
        <w:t>I have reviewed this quarterly report on Form 10-Q of Kratos Defense &amp; Security Solutions, Inc.;</w:t>
      </w:r>
    </w:p>
    <w:p>
      <w:pPr>
        <w:spacing w:after="0" w:line="11" w:lineRule="exact"/>
        <w:rPr>
          <w:rFonts w:ascii="Arial" w:cs="Arial" w:eastAsia="Arial" w:hAnsi="Arial"/>
          <w:sz w:val="14"/>
          <w:szCs w:val="14"/>
          <w:color w:val="auto"/>
        </w:rPr>
      </w:pPr>
    </w:p>
    <w:p>
      <w:pPr>
        <w:ind w:left="520" w:right="40" w:hanging="514"/>
        <w:spacing w:after="0" w:line="259"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4"/>
          <w:szCs w:val="14"/>
          <w:color w:val="auto"/>
        </w:rPr>
      </w:pPr>
    </w:p>
    <w:p>
      <w:pPr>
        <w:ind w:left="520" w:right="140" w:hanging="514"/>
        <w:spacing w:after="0" w:line="259"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Arial" w:cs="Arial" w:eastAsia="Arial" w:hAnsi="Arial"/>
          <w:sz w:val="14"/>
          <w:szCs w:val="14"/>
          <w:color w:val="auto"/>
        </w:rPr>
      </w:pPr>
    </w:p>
    <w:p>
      <w:pPr>
        <w:ind w:left="520" w:right="340" w:hanging="514"/>
        <w:spacing w:after="0" w:line="280"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4"/>
          <w:szCs w:val="14"/>
          <w:color w:val="auto"/>
        </w:rPr>
      </w:pPr>
    </w:p>
    <w:p>
      <w:pPr>
        <w:ind w:left="1040" w:right="80" w:hanging="517"/>
        <w:spacing w:after="0" w:line="280" w:lineRule="auto"/>
        <w:tabs>
          <w:tab w:leader="none" w:pos="1040" w:val="left"/>
        </w:tabs>
        <w:numPr>
          <w:ilvl w:val="1"/>
          <w:numId w:val="16"/>
        </w:numPr>
        <w:rPr>
          <w:rFonts w:ascii="Arial" w:cs="Arial" w:eastAsia="Arial" w:hAnsi="Arial"/>
          <w:sz w:val="13"/>
          <w:szCs w:val="13"/>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Arial" w:cs="Arial" w:eastAsia="Arial" w:hAnsi="Arial"/>
          <w:sz w:val="13"/>
          <w:szCs w:val="13"/>
          <w:color w:val="auto"/>
        </w:rPr>
      </w:pPr>
    </w:p>
    <w:p>
      <w:pPr>
        <w:ind w:left="1040" w:right="300" w:hanging="517"/>
        <w:spacing w:after="0" w:line="280" w:lineRule="auto"/>
        <w:tabs>
          <w:tab w:leader="none" w:pos="1040" w:val="left"/>
        </w:tabs>
        <w:numPr>
          <w:ilvl w:val="1"/>
          <w:numId w:val="16"/>
        </w:numPr>
        <w:rPr>
          <w:rFonts w:ascii="Arial" w:cs="Arial" w:eastAsia="Arial" w:hAnsi="Arial"/>
          <w:sz w:val="13"/>
          <w:szCs w:val="13"/>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Arial" w:cs="Arial" w:eastAsia="Arial" w:hAnsi="Arial"/>
          <w:sz w:val="13"/>
          <w:szCs w:val="13"/>
          <w:color w:val="auto"/>
        </w:rPr>
      </w:pPr>
    </w:p>
    <w:p>
      <w:pPr>
        <w:ind w:left="1040" w:right="80" w:hanging="517"/>
        <w:spacing w:after="0" w:line="259" w:lineRule="auto"/>
        <w:tabs>
          <w:tab w:leader="none" w:pos="1040" w:val="left"/>
        </w:tabs>
        <w:numPr>
          <w:ilvl w:val="1"/>
          <w:numId w:val="16"/>
        </w:numPr>
        <w:rPr>
          <w:rFonts w:ascii="Arial" w:cs="Arial" w:eastAsia="Arial" w:hAnsi="Arial"/>
          <w:sz w:val="14"/>
          <w:szCs w:val="14"/>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4"/>
          <w:szCs w:val="14"/>
          <w:color w:val="auto"/>
        </w:rPr>
      </w:pPr>
    </w:p>
    <w:p>
      <w:pPr>
        <w:ind w:left="1040" w:right="120" w:hanging="517"/>
        <w:spacing w:after="0" w:line="280" w:lineRule="auto"/>
        <w:tabs>
          <w:tab w:leader="none" w:pos="1072" w:val="left"/>
        </w:tabs>
        <w:numPr>
          <w:ilvl w:val="1"/>
          <w:numId w:val="16"/>
        </w:numPr>
        <w:rPr>
          <w:rFonts w:ascii="Arial" w:cs="Arial" w:eastAsia="Arial" w:hAnsi="Arial"/>
          <w:sz w:val="14"/>
          <w:szCs w:val="14"/>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4"/>
          <w:szCs w:val="14"/>
          <w:color w:val="auto"/>
        </w:rPr>
      </w:pPr>
    </w:p>
    <w:p>
      <w:pPr>
        <w:ind w:left="520" w:right="540" w:hanging="514"/>
        <w:spacing w:after="0" w:line="280"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left="1040" w:right="20" w:hanging="517"/>
        <w:spacing w:after="0" w:line="259" w:lineRule="auto"/>
        <w:tabs>
          <w:tab w:leader="none" w:pos="1040" w:val="left"/>
        </w:tabs>
        <w:numPr>
          <w:ilvl w:val="1"/>
          <w:numId w:val="16"/>
        </w:numPr>
        <w:rPr>
          <w:rFonts w:ascii="Arial" w:cs="Arial" w:eastAsia="Arial" w:hAnsi="Arial"/>
          <w:sz w:val="14"/>
          <w:szCs w:val="14"/>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4"/>
          <w:szCs w:val="14"/>
          <w:color w:val="auto"/>
        </w:rPr>
      </w:pPr>
    </w:p>
    <w:p>
      <w:pPr>
        <w:ind w:left="1040" w:hanging="517"/>
        <w:spacing w:after="0"/>
        <w:tabs>
          <w:tab w:leader="none" w:pos="1040" w:val="left"/>
        </w:tabs>
        <w:numPr>
          <w:ilvl w:val="1"/>
          <w:numId w:val="16"/>
        </w:numPr>
        <w:rPr>
          <w:rFonts w:ascii="Arial" w:cs="Arial" w:eastAsia="Arial" w:hAnsi="Arial"/>
          <w:sz w:val="14"/>
          <w:szCs w:val="14"/>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 July 31,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KRATOS DEFENSE &amp; SECURITY SOLUTIONS, INC.</w:t>
      </w:r>
    </w:p>
    <w:p>
      <w:pPr>
        <w:spacing w:after="0" w:line="26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25400</wp:posOffset>
            </wp:positionV>
            <wp:extent cx="351028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510280" cy="698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Deanna H. Lund</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Executive Vice President, Chief Financial Officer</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(Principal Financial Officer and Acting Principal Accounting Officer)</w:t>
      </w:r>
    </w:p>
    <w:p>
      <w:pPr>
        <w:sectPr>
          <w:pgSz w:w="11900" w:h="16838" w:orient="portrait"/>
          <w:cols w:equalWidth="0" w:num="1">
            <w:col w:w="11460"/>
          </w:cols>
          <w:pgMar w:left="220" w:top="495" w:right="21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142" w:lineRule="exact"/>
        <w:rPr>
          <w:sz w:val="20"/>
          <w:szCs w:val="20"/>
          <w:color w:val="auto"/>
        </w:rPr>
      </w:pPr>
    </w:p>
    <w:p>
      <w:pPr>
        <w:ind w:right="260" w:firstLine="517"/>
        <w:spacing w:after="0" w:line="264" w:lineRule="auto"/>
        <w:rPr>
          <w:sz w:val="20"/>
          <w:szCs w:val="20"/>
          <w:color w:val="auto"/>
        </w:rPr>
      </w:pPr>
      <w:r>
        <w:rPr>
          <w:rFonts w:ascii="Arial" w:cs="Arial" w:eastAsia="Arial" w:hAnsi="Arial"/>
          <w:sz w:val="13"/>
          <w:szCs w:val="13"/>
          <w:color w:val="auto"/>
        </w:rPr>
        <w:t>In connection with the accompanying Quarterly Report of Kratos Defense &amp; Security Solutions, Inc. (the “Company”) on Form 10-Q for the quarter ended June 30, 2019 (the “Report”), I, Eric M. DeMarco, Chief Executive Officer of the Company, certify, pursuant to 18 U.S.C. Section 1350, as adopted pursuant to Section 906 of the Sarbanes-Oxley Act of 2002, that:</w:t>
      </w:r>
    </w:p>
    <w:p>
      <w:pPr>
        <w:spacing w:after="0" w:line="124" w:lineRule="exact"/>
        <w:rPr>
          <w:sz w:val="20"/>
          <w:szCs w:val="20"/>
          <w:color w:val="auto"/>
        </w:rPr>
      </w:pPr>
    </w:p>
    <w:p>
      <w:pPr>
        <w:ind w:left="1040" w:hanging="517"/>
        <w:spacing w:after="0"/>
        <w:tabs>
          <w:tab w:leader="none" w:pos="10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1" w:lineRule="exact"/>
        <w:rPr>
          <w:rFonts w:ascii="Arial" w:cs="Arial" w:eastAsia="Arial" w:hAnsi="Arial"/>
          <w:sz w:val="13"/>
          <w:szCs w:val="13"/>
          <w:color w:val="auto"/>
        </w:rPr>
      </w:pPr>
    </w:p>
    <w:p>
      <w:pPr>
        <w:ind w:left="1080" w:hanging="557"/>
        <w:spacing w:after="0"/>
        <w:tabs>
          <w:tab w:leader="none" w:pos="10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Date: July 31, 2019</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KRATOS DEFENSE &amp; SECURITY SOLUTIONS, INC.</w:t>
      </w:r>
    </w:p>
    <w:p>
      <w:pPr>
        <w:spacing w:after="0" w:line="282" w:lineRule="exact"/>
        <w:rPr>
          <w:sz w:val="20"/>
          <w:szCs w:val="20"/>
          <w:color w:val="auto"/>
        </w:rPr>
      </w:pPr>
    </w:p>
    <w:p>
      <w:pPr>
        <w:ind w:left="60"/>
        <w:spacing w:after="0"/>
        <w:rPr>
          <w:sz w:val="20"/>
          <w:szCs w:val="20"/>
          <w:color w:val="auto"/>
        </w:rPr>
      </w:pPr>
      <w:r>
        <w:rPr>
          <w:rFonts w:ascii="Arial" w:cs="Arial" w:eastAsia="Arial" w:hAnsi="Arial"/>
          <w:sz w:val="13"/>
          <w:szCs w:val="13"/>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25400</wp:posOffset>
            </wp:positionV>
            <wp:extent cx="362013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620135" cy="6985"/>
                    </a:xfrm>
                    <a:prstGeom prst="rect">
                      <a:avLst/>
                    </a:prstGeom>
                    <a:noFill/>
                  </pic:spPr>
                </pic:pic>
              </a:graphicData>
            </a:graphic>
          </wp:anchor>
        </w:drawing>
      </w:r>
    </w:p>
    <w:p>
      <w:pPr>
        <w:spacing w:after="0" w:line="46" w:lineRule="exact"/>
        <w:rPr>
          <w:sz w:val="20"/>
          <w:szCs w:val="20"/>
          <w:color w:val="auto"/>
        </w:rPr>
      </w:pPr>
    </w:p>
    <w:p>
      <w:pPr>
        <w:ind w:left="60"/>
        <w:spacing w:after="0"/>
        <w:rPr>
          <w:sz w:val="20"/>
          <w:szCs w:val="20"/>
          <w:color w:val="auto"/>
        </w:rPr>
      </w:pPr>
      <w:r>
        <w:rPr>
          <w:rFonts w:ascii="Arial" w:cs="Arial" w:eastAsia="Arial" w:hAnsi="Arial"/>
          <w:sz w:val="13"/>
          <w:szCs w:val="13"/>
          <w:color w:val="auto"/>
        </w:rPr>
        <w:t>Eric M. DeMarco</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Chief Executive Officer, President</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460"/>
          </w:cols>
          <w:pgMar w:left="220" w:top="495"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3"/>
          <w:szCs w:val="13"/>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142" w:lineRule="exact"/>
        <w:rPr>
          <w:sz w:val="20"/>
          <w:szCs w:val="20"/>
          <w:color w:val="auto"/>
        </w:rPr>
      </w:pPr>
    </w:p>
    <w:p>
      <w:pPr>
        <w:ind w:firstLine="517"/>
        <w:spacing w:after="0" w:line="264" w:lineRule="auto"/>
        <w:rPr>
          <w:sz w:val="20"/>
          <w:szCs w:val="20"/>
          <w:color w:val="auto"/>
        </w:rPr>
      </w:pPr>
      <w:r>
        <w:rPr>
          <w:rFonts w:ascii="Arial" w:cs="Arial" w:eastAsia="Arial" w:hAnsi="Arial"/>
          <w:sz w:val="13"/>
          <w:szCs w:val="13"/>
          <w:color w:val="auto"/>
        </w:rPr>
        <w:t>In connection with the accompanying Quarterly Report of Kratos Defense &amp; Security Solutions, Inc. (the “Company”) on Form 10-Q for the quarter ended June 30, 2019 (the “Report”), I, Deanna H. Lund, Chief Financial Officer of the Company, certify, pursuant to 18 U.S.C. Section 1350, as adopted pursuant to Section 906 of the Sarbanes-Oxley Act of 2002, that:</w:t>
      </w:r>
    </w:p>
    <w:p>
      <w:pPr>
        <w:spacing w:after="0" w:line="124" w:lineRule="exact"/>
        <w:rPr>
          <w:sz w:val="20"/>
          <w:szCs w:val="20"/>
          <w:color w:val="auto"/>
        </w:rPr>
      </w:pPr>
    </w:p>
    <w:p>
      <w:pPr>
        <w:ind w:left="1040" w:hanging="517"/>
        <w:spacing w:after="0"/>
        <w:tabs>
          <w:tab w:leader="none" w:pos="10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1" w:lineRule="exact"/>
        <w:rPr>
          <w:rFonts w:ascii="Arial" w:cs="Arial" w:eastAsia="Arial" w:hAnsi="Arial"/>
          <w:sz w:val="13"/>
          <w:szCs w:val="13"/>
          <w:color w:val="auto"/>
        </w:rPr>
      </w:pPr>
    </w:p>
    <w:p>
      <w:pPr>
        <w:ind w:left="1080" w:hanging="557"/>
        <w:spacing w:after="0"/>
        <w:tabs>
          <w:tab w:leader="none" w:pos="10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Date: July 31, 2019</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KRATOS DEFENSE &amp; SECURITY SOLUTIONS, INC.</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3"/>
          <w:szCs w:val="13"/>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25400</wp:posOffset>
            </wp:positionV>
            <wp:extent cx="362013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620135" cy="6985"/>
                    </a:xfrm>
                    <a:prstGeom prst="rect">
                      <a:avLst/>
                    </a:prstGeom>
                    <a:noFill/>
                  </pic:spPr>
                </pic:pic>
              </a:graphicData>
            </a:graphic>
          </wp:anchor>
        </w:drawing>
      </w:r>
    </w:p>
    <w:p>
      <w:pPr>
        <w:spacing w:after="0" w:line="46" w:lineRule="exact"/>
        <w:rPr>
          <w:sz w:val="20"/>
          <w:szCs w:val="20"/>
          <w:color w:val="auto"/>
        </w:rPr>
      </w:pPr>
    </w:p>
    <w:p>
      <w:pPr>
        <w:ind w:left="60"/>
        <w:spacing w:after="0"/>
        <w:rPr>
          <w:sz w:val="20"/>
          <w:szCs w:val="20"/>
          <w:color w:val="auto"/>
        </w:rPr>
      </w:pPr>
      <w:r>
        <w:rPr>
          <w:rFonts w:ascii="Arial" w:cs="Arial" w:eastAsia="Arial" w:hAnsi="Arial"/>
          <w:sz w:val="13"/>
          <w:szCs w:val="13"/>
          <w:color w:val="auto"/>
        </w:rPr>
        <w:t>Deanna H. Lund</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Executive Vice President, Chief Financial Officer</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auto"/>
        </w:rPr>
        <w:t>(Principal Financial Officer and Acting Principal Accounting Officer)</w:t>
      </w:r>
    </w:p>
    <w:sectPr>
      <w:pgSz w:w="11900" w:h="16838" w:orient="portrait"/>
      <w:cols w:equalWidth="0" w:num="1">
        <w:col w:w="11460"/>
      </w:cols>
      <w:pgMar w:left="220" w:top="49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lowerLetter"/>
      <w:start w:val="3"/>
    </w:lvl>
  </w:abstractNum>
  <w:abstractNum w:abstractNumId="5">
    <w:nsid w:val="66EF438D"/>
    <w:multiLevelType w:val="hybridMultilevel"/>
    <w:lvl w:ilvl="0">
      <w:lvlJc w:val="left"/>
      <w:lvlText w:val="(%1)"/>
      <w:numFmt w:val="lowerLetter"/>
      <w:start w:val="6"/>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18" Type="http://schemas.openxmlformats.org/officeDocument/2006/relationships/hyperlink" Target="http://www.sec.gov/Archives/edgar/data/1069258/000106925818000021/ktos20180401ex-22.htm" TargetMode="External"/><Relationship Id="rId19" Type="http://schemas.openxmlformats.org/officeDocument/2006/relationships/hyperlink" Target="http://www.sec.gov/Archives/edgar/data/1069258/000106925819000017/exhibit23redacted.htm" TargetMode="External"/><Relationship Id="rId20" Type="http://schemas.openxmlformats.org/officeDocument/2006/relationships/hyperlink" Target="http://www.sec.gov/Archives/edgar/data/1069258/000106925817000009/ktos20161225ex-31.htm" TargetMode="External"/><Relationship Id="rId21" Type="http://schemas.openxmlformats.org/officeDocument/2006/relationships/hyperlink" Target="http://www.sec.gov/Archives/edgar/data/1069258/000106925817000009/ktos20161225ex-32.htm" TargetMode="External"/><Relationship Id="rId22" Type="http://schemas.openxmlformats.org/officeDocument/2006/relationships/hyperlink" Target="http://www.sec.gov/Archives/edgar/data/1069258/000106925817000009/kratoscommonformofcertif.htm" TargetMode="External"/><Relationship Id="rId23" Type="http://schemas.openxmlformats.org/officeDocument/2006/relationships/hyperlink" Target="http://www.sec.gov/Archives/edgar/data/1069258/000110465917069690/a17-27375_1ex4d1.htm" TargetMode="External"/><Relationship Id="rId24" Type="http://schemas.openxmlformats.org/officeDocument/2006/relationships/hyperlink" Target="http://www.sec.gov/Archives/edgar/data/1069258/000106925818000006/ktos20171231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2019-12-28T09:55:22Z</dcterms:created>
  <dcterms:modified xsi:type="dcterms:W3CDTF">2019-12-28T09:55:22Z</dcterms:modified>
</cp:coreProperties>
</file>