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7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80" w:right="200" w:hanging="714"/>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28, 2008</w:t>
      </w:r>
    </w:p>
    <w:p>
      <w:pPr>
        <w:spacing w:after="0" w:line="239" w:lineRule="exact"/>
        <w:rPr>
          <w:sz w:val="24"/>
          <w:szCs w:val="24"/>
          <w:color w:val="auto"/>
        </w:rPr>
      </w:pPr>
    </w:p>
    <w:p>
      <w:pPr>
        <w:ind w:left="1080" w:right="180" w:hanging="674"/>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1440" w:gutter="0" w:footer="0" w:header="0"/>
        </w:sectPr>
      </w:pPr>
    </w:p>
    <w:p>
      <w:pPr>
        <w:spacing w:after="0" w:line="20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13-3818604</w:t>
      </w:r>
    </w:p>
    <w:p>
      <w:pPr>
        <w:spacing w:after="0" w:line="21"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260" w:space="720"/>
            <w:col w:w="3440"/>
          </w:cols>
          <w:pgMar w:left="240" w:top="469" w:right="239" w:bottom="1440" w:gutter="0" w:footer="0" w:header="0"/>
          <w:type w:val="continuous"/>
        </w:sectPr>
      </w:pPr>
    </w:p>
    <w:p>
      <w:pPr>
        <w:spacing w:after="0" w:line="36"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4810 Eastgate Mall</w:t>
      </w:r>
    </w:p>
    <w:p>
      <w:pPr>
        <w:spacing w:after="0" w:line="21"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(Address, including zip code, and telephone number, including</w:t>
      </w:r>
    </w:p>
    <w:p>
      <w:pPr>
        <w:spacing w:after="0" w:line="32"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158750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ind w:right="3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filer"and "smaller reporting company" in Rule 12b-2 of the Exchange Act (Check one):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2480" w:type="dxa"/>
            <w:vAlign w:val="bottom"/>
          </w:tcPr>
          <w:p>
            <w:pPr>
              <w:ind w:left="380"/>
              <w:spacing w:after="0"/>
              <w:rPr>
                <w:sz w:val="20"/>
                <w:szCs w:val="20"/>
                <w:color w:val="auto"/>
              </w:rPr>
            </w:pPr>
            <w:r>
              <w:rPr>
                <w:rFonts w:ascii="Arial" w:cs="Arial" w:eastAsia="Arial" w:hAnsi="Arial"/>
                <w:sz w:val="18"/>
                <w:szCs w:val="18"/>
                <w:color w:val="auto"/>
              </w:rPr>
              <w:t>Large accelerated filer o</w:t>
            </w:r>
          </w:p>
        </w:tc>
        <w:tc>
          <w:tcPr>
            <w:tcW w:w="2300" w:type="dxa"/>
            <w:vAlign w:val="bottom"/>
          </w:tcPr>
          <w:p>
            <w:pPr>
              <w:ind w:left="4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620" w:type="dxa"/>
            <w:vAlign w:val="bottom"/>
          </w:tcPr>
          <w:p>
            <w:pPr>
              <w:jc w:val="center"/>
              <w:ind w:right="42"/>
              <w:spacing w:after="0"/>
              <w:rPr>
                <w:sz w:val="20"/>
                <w:szCs w:val="20"/>
                <w:color w:val="auto"/>
              </w:rPr>
            </w:pPr>
            <w:r>
              <w:rPr>
                <w:rFonts w:ascii="Arial" w:cs="Arial" w:eastAsia="Arial" w:hAnsi="Arial"/>
                <w:sz w:val="18"/>
                <w:szCs w:val="18"/>
                <w:color w:val="auto"/>
                <w:w w:val="89"/>
              </w:rPr>
              <w:t>Non-accelerated filer o</w:t>
            </w:r>
          </w:p>
        </w:tc>
        <w:tc>
          <w:tcPr>
            <w:tcW w:w="3020" w:type="dxa"/>
            <w:vAlign w:val="bottom"/>
          </w:tcPr>
          <w:p>
            <w:pPr>
              <w:ind w:left="520"/>
              <w:spacing w:after="0"/>
              <w:rPr>
                <w:sz w:val="20"/>
                <w:szCs w:val="20"/>
                <w:color w:val="auto"/>
              </w:rPr>
            </w:pPr>
            <w:r>
              <w:rPr>
                <w:rFonts w:ascii="Arial" w:cs="Arial" w:eastAsia="Arial" w:hAnsi="Arial"/>
                <w:sz w:val="18"/>
                <w:szCs w:val="18"/>
                <w:color w:val="auto"/>
              </w:rPr>
              <w:t>Smaller reporting company o</w:t>
            </w:r>
          </w:p>
        </w:tc>
      </w:tr>
      <w:tr>
        <w:trPr>
          <w:trHeight w:val="172"/>
        </w:trPr>
        <w:tc>
          <w:tcPr>
            <w:tcW w:w="2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20" w:type="dxa"/>
            <w:vAlign w:val="bottom"/>
          </w:tcPr>
          <w:p>
            <w:pPr>
              <w:jc w:val="center"/>
              <w:ind w:right="62"/>
              <w:spacing w:after="0"/>
              <w:rPr>
                <w:sz w:val="20"/>
                <w:szCs w:val="20"/>
                <w:color w:val="auto"/>
              </w:rPr>
            </w:pPr>
            <w:r>
              <w:rPr>
                <w:rFonts w:ascii="Arial" w:cs="Arial" w:eastAsia="Arial" w:hAnsi="Arial"/>
                <w:sz w:val="14"/>
                <w:szCs w:val="14"/>
                <w:color w:val="auto"/>
                <w:w w:val="89"/>
              </w:rPr>
              <w:t>(Do not check if a smaller reporting company)</w:t>
            </w:r>
          </w:p>
        </w:tc>
        <w:tc>
          <w:tcPr>
            <w:tcW w:w="3020" w:type="dxa"/>
            <w:vAlign w:val="bottom"/>
          </w:tcPr>
          <w:p>
            <w:pPr>
              <w:spacing w:after="0"/>
              <w:rPr>
                <w:sz w:val="14"/>
                <w:szCs w:val="14"/>
                <w:color w:val="auto"/>
              </w:rPr>
            </w:pPr>
          </w:p>
        </w:tc>
      </w:tr>
      <w:tr>
        <w:trPr>
          <w:trHeight w:val="437"/>
        </w:trPr>
        <w:tc>
          <w:tcPr>
            <w:tcW w:w="8400" w:type="dxa"/>
            <w:vAlign w:val="bottom"/>
            <w:gridSpan w:val="3"/>
          </w:tcPr>
          <w:p>
            <w:pPr>
              <w:ind w:left="3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30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tc>
      </w:tr>
      <w:tr>
        <w:trPr>
          <w:trHeight w:val="412"/>
        </w:trPr>
        <w:tc>
          <w:tcPr>
            <w:tcW w:w="8400" w:type="dxa"/>
            <w:vAlign w:val="bottom"/>
            <w:gridSpan w:val="3"/>
          </w:tcPr>
          <w:p>
            <w:pPr>
              <w:ind w:left="340"/>
              <w:spacing w:after="0"/>
              <w:rPr>
                <w:sz w:val="20"/>
                <w:szCs w:val="20"/>
                <w:color w:val="auto"/>
              </w:rPr>
            </w:pPr>
            <w:r>
              <w:rPr>
                <w:rFonts w:ascii="Arial" w:cs="Arial" w:eastAsia="Arial" w:hAnsi="Arial"/>
                <w:sz w:val="18"/>
                <w:szCs w:val="18"/>
                <w:color w:val="auto"/>
              </w:rPr>
              <w:t>As of October 31, 2008 105,292,730 shares of the registrant's common stock were outstanding</w:t>
            </w:r>
          </w:p>
        </w:tc>
        <w:tc>
          <w:tcPr>
            <w:tcW w:w="3020" w:type="dxa"/>
            <w:vAlign w:val="bottom"/>
          </w:tcPr>
          <w:p>
            <w:pPr>
              <w:spacing w:after="0"/>
              <w:rPr>
                <w:sz w:val="24"/>
                <w:szCs w:val="24"/>
                <w:color w:val="auto"/>
              </w:rPr>
            </w:pPr>
          </w:p>
        </w:tc>
      </w:tr>
      <w:tr>
        <w:trPr>
          <w:trHeight w:val="218"/>
        </w:trPr>
        <w:tc>
          <w:tcPr>
            <w:tcW w:w="2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r>
      <w:tr>
        <w:trPr>
          <w:trHeight w:val="41"/>
        </w:trPr>
        <w:tc>
          <w:tcPr>
            <w:tcW w:w="24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226"/>
        </w:trPr>
        <w:tc>
          <w:tcPr>
            <w:tcW w:w="24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28, 2008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972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9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1.</w:t>
            </w:r>
          </w:p>
        </w:tc>
        <w:tc>
          <w:tcPr>
            <w:tcW w:w="972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Arial" w:cs="Arial" w:eastAsia="Arial" w:hAnsi="Arial"/>
                <w:sz w:val="18"/>
                <w:szCs w:val="18"/>
                <w:color w:val="auto"/>
              </w:rPr>
              <w:t>Consolidated Balance Sheets at December 31, 2007 and September 28, 2008 (unaudited)</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Arial" w:cs="Arial" w:eastAsia="Arial" w:hAnsi="Arial"/>
                <w:sz w:val="18"/>
                <w:szCs w:val="18"/>
                <w:color w:val="auto"/>
                <w:w w:val="88"/>
              </w:rPr>
              <w:t>Consolidated Statements of Operations for the Three and Nine Months Ended September 30, 2007 and September 28, 2008 (unaudited)</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Arial" w:cs="Arial" w:eastAsia="Arial" w:hAnsi="Arial"/>
                <w:sz w:val="18"/>
                <w:szCs w:val="18"/>
                <w:color w:val="auto"/>
                <w:w w:val="96"/>
              </w:rPr>
              <w:t>Consolidated Statements of Cash Flows for the Nine Months Ended September 30, 2007 and September 28, 2008 (unaudited)</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72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 (unaudited)</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2.</w:t>
            </w:r>
          </w:p>
        </w:tc>
        <w:tc>
          <w:tcPr>
            <w:tcW w:w="972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3.</w:t>
            </w:r>
          </w:p>
        </w:tc>
        <w:tc>
          <w:tcPr>
            <w:tcW w:w="972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4.</w:t>
            </w:r>
          </w:p>
        </w:tc>
        <w:tc>
          <w:tcPr>
            <w:tcW w:w="972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720" w:type="dxa"/>
            <w:vAlign w:val="bottom"/>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1.</w:t>
            </w:r>
          </w:p>
        </w:tc>
        <w:tc>
          <w:tcPr>
            <w:tcW w:w="972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1A.</w:t>
            </w:r>
          </w:p>
        </w:tc>
        <w:tc>
          <w:tcPr>
            <w:tcW w:w="972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2.</w:t>
            </w:r>
          </w:p>
        </w:tc>
        <w:tc>
          <w:tcPr>
            <w:tcW w:w="972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3.</w:t>
            </w:r>
          </w:p>
        </w:tc>
        <w:tc>
          <w:tcPr>
            <w:tcW w:w="972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4.</w:t>
            </w:r>
          </w:p>
        </w:tc>
        <w:tc>
          <w:tcPr>
            <w:tcW w:w="9720" w:type="dxa"/>
            <w:vAlign w:val="bottom"/>
          </w:tcPr>
          <w:p>
            <w:pPr>
              <w:ind w:left="20"/>
              <w:spacing w:after="0"/>
              <w:rPr>
                <w:sz w:val="20"/>
                <w:szCs w:val="20"/>
                <w:color w:val="auto"/>
              </w:rPr>
            </w:pPr>
            <w:r>
              <w:rPr>
                <w:rFonts w:ascii="Arial" w:cs="Arial" w:eastAsia="Arial" w:hAnsi="Arial"/>
                <w:sz w:val="18"/>
                <w:szCs w:val="18"/>
                <w:color w:val="auto"/>
              </w:rPr>
              <w:t>Submission of Matters to a Vote of Security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5.</w:t>
            </w:r>
          </w:p>
        </w:tc>
        <w:tc>
          <w:tcPr>
            <w:tcW w:w="972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rPr>
              <w:t>Item 6.</w:t>
            </w:r>
          </w:p>
        </w:tc>
        <w:tc>
          <w:tcPr>
            <w:tcW w:w="9720" w:type="dxa"/>
            <w:vAlign w:val="bottom"/>
          </w:tcPr>
          <w:p>
            <w:pPr>
              <w:ind w:left="20"/>
              <w:spacing w:after="0"/>
              <w:rPr>
                <w:sz w:val="20"/>
                <w:szCs w:val="20"/>
                <w:color w:val="auto"/>
              </w:rPr>
            </w:pPr>
            <w:r>
              <w:rPr>
                <w:rFonts w:ascii="Arial" w:cs="Arial" w:eastAsia="Arial" w:hAnsi="Arial"/>
                <w:sz w:val="18"/>
                <w:szCs w:val="18"/>
                <w:color w:val="auto"/>
              </w:rPr>
              <w:t>Exhibits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ind w:left="340"/>
              <w:spacing w:after="0"/>
              <w:rPr>
                <w:sz w:val="20"/>
                <w:szCs w:val="20"/>
                <w:color w:val="auto"/>
              </w:rPr>
            </w:pPr>
            <w:r>
              <w:rPr>
                <w:rFonts w:ascii="Arial" w:cs="Arial" w:eastAsia="Arial" w:hAnsi="Arial"/>
                <w:sz w:val="18"/>
                <w:szCs w:val="18"/>
                <w:color w:val="auto"/>
                <w:w w:val="85"/>
              </w:rPr>
              <w:t>Signatures</w:t>
            </w:r>
          </w:p>
        </w:tc>
        <w:tc>
          <w:tcPr>
            <w:tcW w:w="9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720" w:type="dxa"/>
            <w:vAlign w:val="bottom"/>
          </w:tcPr>
          <w:p>
            <w:pPr>
              <w:ind w:left="45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bottom w:val="single" w:sz="8" w:color="808080"/>
            </w:tcBorders>
          </w:tcPr>
          <w:p>
            <w:pPr>
              <w:spacing w:after="0"/>
              <w:rPr>
                <w:sz w:val="19"/>
                <w:szCs w:val="19"/>
                <w:color w:val="auto"/>
              </w:rPr>
            </w:pPr>
          </w:p>
        </w:tc>
        <w:tc>
          <w:tcPr>
            <w:tcW w:w="9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80" w:type="dxa"/>
            <w:vAlign w:val="bottom"/>
          </w:tcPr>
          <w:p>
            <w:pPr>
              <w:jc w:val="center"/>
              <w:ind w:left="732"/>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jc w:val="right"/>
              <w:ind w:right="239"/>
              <w:spacing w:after="0"/>
              <w:rPr>
                <w:sz w:val="20"/>
                <w:szCs w:val="20"/>
                <w:color w:val="auto"/>
              </w:rPr>
            </w:pPr>
            <w:r>
              <w:rPr>
                <w:rFonts w:ascii="Arial" w:cs="Arial" w:eastAsia="Arial" w:hAnsi="Arial"/>
                <w:sz w:val="14"/>
                <w:szCs w:val="14"/>
                <w:b w:val="1"/>
                <w:bCs w:val="1"/>
                <w:color w:val="auto"/>
              </w:rPr>
              <w:t>September 28,</w:t>
            </w: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receivable</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Non current assets of discontinued operations</w:t>
            </w:r>
          </w:p>
        </w:tc>
        <w:tc>
          <w:tcPr>
            <w:tcW w:w="2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335.3</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7"/>
        </w:trPr>
        <w:tc>
          <w:tcPr>
            <w:tcW w:w="6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Liabilities and Stockholders' Equity</w:t>
            </w: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8"/>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Billings in excess of costs and earnings on uncompleted</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contracts</w:t>
            </w: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2"/>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current liabilities of discontinued operations</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(Notes 1, 5, 6, 7, 8 and 13)</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Stock, 5,000,000 shares authorized, Series B</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Convertible Preferred Stock, $.001 par value; 10,000 shares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outstanding at December 31, 2007 and September 28, 2008,</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(liquidation preference $5.0 million)</w:t>
            </w:r>
          </w:p>
        </w:tc>
        <w:tc>
          <w:tcPr>
            <w:tcW w:w="2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Common Stock, $.001 par value, 195,000,000 shares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authorized; 78,998,922 shares and 105,130,415 shares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issued and outstanding at December 31, 2007 and</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300"/>
              <w:spacing w:after="0"/>
              <w:rPr>
                <w:sz w:val="20"/>
                <w:szCs w:val="20"/>
                <w:color w:val="auto"/>
              </w:rPr>
            </w:pPr>
            <w:r>
              <w:rPr>
                <w:rFonts w:ascii="Arial" w:cs="Arial" w:eastAsia="Arial" w:hAnsi="Arial"/>
                <w:sz w:val="18"/>
                <w:szCs w:val="18"/>
                <w:color w:val="auto"/>
              </w:rPr>
              <w:t>September 28, 2008, respectively</w:t>
            </w:r>
          </w:p>
        </w:tc>
        <w:tc>
          <w:tcPr>
            <w:tcW w:w="24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9"/>
                <w:szCs w:val="19"/>
                <w:color w:val="auto"/>
              </w:rPr>
            </w:pPr>
          </w:p>
        </w:tc>
        <w:tc>
          <w:tcPr>
            <w:tcW w:w="194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412.7</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22"/>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(245.5)</w:t>
            </w:r>
          </w:p>
        </w:tc>
        <w:tc>
          <w:tcPr>
            <w:tcW w:w="2040" w:type="dxa"/>
            <w:vAlign w:val="bottom"/>
          </w:tcPr>
          <w:p>
            <w:pPr>
              <w:spacing w:after="0"/>
              <w:rPr>
                <w:sz w:val="19"/>
                <w:szCs w:val="19"/>
                <w:color w:val="auto"/>
              </w:rPr>
            </w:pPr>
          </w:p>
        </w:tc>
        <w:tc>
          <w:tcPr>
            <w:tcW w:w="1940" w:type="dxa"/>
            <w:vAlign w:val="bottom"/>
            <w:gridSpan w:val="2"/>
          </w:tcPr>
          <w:p>
            <w:pPr>
              <w:jc w:val="right"/>
              <w:ind w:right="134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6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1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4"/>
                <w:szCs w:val="14"/>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29"/>
        </w:trPr>
        <w:tc>
          <w:tcPr>
            <w:tcW w:w="7100" w:type="dxa"/>
            <w:vAlign w:val="bottom"/>
          </w:tcPr>
          <w:p>
            <w:pPr>
              <w:spacing w:after="0"/>
              <w:rPr>
                <w:sz w:val="11"/>
                <w:szCs w:val="11"/>
                <w:color w:val="auto"/>
              </w:rPr>
            </w:pPr>
          </w:p>
        </w:tc>
        <w:tc>
          <w:tcPr>
            <w:tcW w:w="102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20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Impairment of assets and adjustments to the liability for unused office space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0"/>
              </w:rPr>
              <w:t>Recovery of unauthorized issuance of stock options and stock option investigation and related fees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28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Interest income (expense), net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0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100" w:type="dxa"/>
            <w:vAlign w:val="bottom"/>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420" w:top="341" w:right="41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9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September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2007</w:t>
            </w: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(0.2)</w:t>
            </w:r>
          </w:p>
        </w:tc>
        <w:tc>
          <w:tcPr>
            <w:tcW w:w="0" w:type="dxa"/>
            <w:vAlign w:val="bottom"/>
          </w:tcPr>
          <w:p>
            <w:pPr>
              <w:spacing w:after="0"/>
              <w:rPr>
                <w:sz w:val="1"/>
                <w:szCs w:val="1"/>
                <w:color w:val="auto"/>
              </w:rPr>
            </w:pPr>
          </w:p>
        </w:tc>
      </w:tr>
      <w:tr>
        <w:trPr>
          <w:trHeight w:val="27"/>
        </w:trPr>
        <w:tc>
          <w:tcPr>
            <w:tcW w:w="8320" w:type="dxa"/>
            <w:vAlign w:val="bottom"/>
            <w:vMerge w:val="restart"/>
          </w:tcPr>
          <w:p>
            <w:pPr>
              <w:ind w:left="120"/>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loss from continuing operations to net cash provided by (used in) continuing operations: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40"/>
              <w:spacing w:after="0"/>
              <w:rPr>
                <w:sz w:val="20"/>
                <w:szCs w:val="20"/>
                <w:color w:val="auto"/>
              </w:rPr>
            </w:pPr>
            <w:r>
              <w:rPr>
                <w:rFonts w:ascii="Arial" w:cs="Arial" w:eastAsia="Arial" w:hAnsi="Arial"/>
                <w:sz w:val="18"/>
                <w:szCs w:val="18"/>
                <w:color w:val="auto"/>
              </w:rPr>
              <w:t>Asset impairment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 and disposal of fixed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240"/>
              <w:spacing w:after="0"/>
              <w:rPr>
                <w:sz w:val="20"/>
                <w:szCs w:val="20"/>
                <w:color w:val="auto"/>
              </w:rPr>
            </w:pPr>
            <w:r>
              <w:rPr>
                <w:rFonts w:ascii="Arial" w:cs="Arial" w:eastAsia="Arial" w:hAnsi="Arial"/>
                <w:sz w:val="18"/>
                <w:szCs w:val="18"/>
                <w:color w:val="auto"/>
              </w:rPr>
              <w:t>Mark to market on swaps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40"/>
              <w:spacing w:after="0"/>
              <w:rPr>
                <w:sz w:val="20"/>
                <w:szCs w:val="20"/>
                <w:color w:val="auto"/>
              </w:rPr>
            </w:pPr>
            <w:r>
              <w:rPr>
                <w:rFonts w:ascii="Arial" w:cs="Arial" w:eastAsia="Arial" w:hAnsi="Arial"/>
                <w:sz w:val="18"/>
                <w:szCs w:val="18"/>
                <w:color w:val="auto"/>
              </w:rPr>
              <w:t>Change in accrual for unused office space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(0.6)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4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(0.5)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(0.6)</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(3.8)</w:t>
            </w:r>
          </w:p>
        </w:tc>
        <w:tc>
          <w:tcPr>
            <w:tcW w:w="0" w:type="dxa"/>
            <w:vAlign w:val="bottom"/>
          </w:tcPr>
          <w:p>
            <w:pPr>
              <w:spacing w:after="0"/>
              <w:rPr>
                <w:sz w:val="1"/>
                <w:szCs w:val="1"/>
                <w:color w:val="auto"/>
              </w:rPr>
            </w:pPr>
          </w:p>
        </w:tc>
      </w:tr>
      <w:tr>
        <w:trPr>
          <w:trHeight w:val="222"/>
        </w:trPr>
        <w:tc>
          <w:tcPr>
            <w:tcW w:w="8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(3.4)</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continuing operations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(5.4)</w:t>
            </w: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in acquisitions,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(2.1)</w:t>
            </w: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Arial" w:cs="Arial" w:eastAsia="Arial" w:hAnsi="Arial"/>
                <w:sz w:val="18"/>
                <w:szCs w:val="18"/>
                <w:color w:val="auto"/>
              </w:rPr>
              <w:t>Decrease (increase) in restricted cash</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disposition of discontinued operations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(0.7)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sale of investments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Arial" w:cs="Arial" w:eastAsia="Arial" w:hAnsi="Arial"/>
                <w:sz w:val="18"/>
                <w:szCs w:val="18"/>
                <w:color w:val="auto"/>
              </w:rPr>
              <w:t>Borrowings under line of credit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under line of credit and term notes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w:t>
            </w:r>
          </w:p>
        </w:tc>
        <w:tc>
          <w:tcPr>
            <w:tcW w:w="0" w:type="dxa"/>
            <w:vAlign w:val="bottom"/>
          </w:tcPr>
          <w:p>
            <w:pPr>
              <w:spacing w:after="0"/>
              <w:rPr>
                <w:sz w:val="1"/>
                <w:szCs w:val="1"/>
                <w:color w:val="auto"/>
              </w:rPr>
            </w:pPr>
          </w:p>
        </w:tc>
      </w:tr>
      <w:tr>
        <w:trPr>
          <w:trHeight w:val="222"/>
        </w:trPr>
        <w:tc>
          <w:tcPr>
            <w:tcW w:w="8320" w:type="dxa"/>
            <w:vAlign w:val="bottom"/>
          </w:tcPr>
          <w:p>
            <w:pPr>
              <w:ind w:left="120"/>
              <w:spacing w:after="0"/>
              <w:rPr>
                <w:sz w:val="20"/>
                <w:szCs w:val="20"/>
                <w:color w:val="auto"/>
              </w:rPr>
            </w:pPr>
            <w:r>
              <w:rPr>
                <w:rFonts w:ascii="Arial" w:cs="Arial" w:eastAsia="Arial" w:hAnsi="Arial"/>
                <w:sz w:val="18"/>
                <w:szCs w:val="18"/>
                <w:color w:val="auto"/>
              </w:rPr>
              <w:t>Decrease in capital lease obligations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(0.2)</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18"/>
                <w:szCs w:val="18"/>
                <w:color w:val="auto"/>
              </w:rPr>
              <w:t>Net cash flows of continuing operations</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of discontinued operations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Arial" w:cs="Arial" w:eastAsia="Arial" w:hAnsi="Arial"/>
                <w:sz w:val="18"/>
                <w:szCs w:val="18"/>
                <w:color w:val="auto"/>
              </w:rPr>
              <w:t>Operating cash flows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(0.8)</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cash flows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vMerge w:val="restart"/>
          </w:tcPr>
          <w:p>
            <w:pPr>
              <w:ind w:left="480"/>
              <w:spacing w:after="0"/>
              <w:rPr>
                <w:sz w:val="20"/>
                <w:szCs w:val="20"/>
                <w:color w:val="auto"/>
              </w:rPr>
            </w:pPr>
            <w:r>
              <w:rPr>
                <w:rFonts w:ascii="Arial" w:cs="Arial" w:eastAsia="Arial" w:hAnsi="Arial"/>
                <w:sz w:val="18"/>
                <w:szCs w:val="18"/>
                <w:color w:val="auto"/>
              </w:rPr>
              <w:t>Net cash flows of discontinued operations</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5"/>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(6.1)</w:t>
            </w: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800" w:top="341" w:right="77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45"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Kratos Defense &amp; Security Solutions, Inc. ("Kratos" or "the Company") was initially incorporated under the name of Wireless Facilities, Inc. in the state of New York on December 19, 1994, commenced operations in March 1995, and was reincorporated in Delaware in 1998. Under its former name of Wireless Facilities, the Company historically conducted business in three segments: Wireless Network Services, Government Network Services and Enterprise Network Services. The Company was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and enterprise customers through its Enterprise Network Services division ("ENS").</w:t>
      </w:r>
    </w:p>
    <w:p>
      <w:pPr>
        <w:spacing w:after="0" w:line="17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In 2006 and 2007, the Company undertook a transformation strategy that culminated in the divestiture in 2007 of its wireless-related businesses, and since then the Company has aggressively pursued business with the federal government, primarily the U.S. Department of Defense, through strategic acquisition. See Note 7, Acquisitions. The Company's divestiture of its European wireless engineering services business was completed in March 2007. In addition, the Company's divestiture of its domestic wireless engineering services business was completed in June 2007 and the divestiture of its wireless deployment services business was completed in July 2007. Accordingly, the accompanying financial statements reflect the divestiture of the domestic wireless engineering services and wireless network deployment business and the results of their operations through the date of divestiture as discontinued operations in the accompanying statements of operations.</w:t>
      </w:r>
    </w:p>
    <w:p>
      <w:pPr>
        <w:spacing w:after="0" w:line="172"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a result of the divestiture of the Company's wireless related assets and businesses in 2007, the Company changed its name from Wireless Facilities, Inc. to Kratos Defense &amp; Security Solutions, Inc. on September 12, 2007. The name was changed to reflect the Company's revised focus as a defense contractor and security systems integrator for the federal government and for state and local agencies and reflects the Company's business going forward. Additionally, the former operating segments have been renamed as the Kratos Government Solutions ("KGS") segment, which includes all former government-related business formerly included in the GNS segment, and the Public Safety &amp; Security ("PSS") segment, which includes all enterprise, commercial and other civilian business formerly included in the ENS segment. All financial statements prior to September 12, 2007 were issued under the Company's previous name, Wireless Facilities, Inc.</w:t>
      </w:r>
    </w:p>
    <w:p>
      <w:pPr>
        <w:spacing w:after="0" w:line="228"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 information as of September 28, 2008, and for the three and nine months ended September 28, 2008 and September 30, 2007 is unaudited. The consolidated balance sheet as of December 31, 2007 was derived from the Company's audited consolidated financial statements at that date. In the opinion of management, these unaudited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of America. These unaudited consolidated financial statements should be read in conjunction with the consolidated financial statements and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related notes included in the Company's audited annual consolidated financial statements for the year ended December 31, 2007, filed on Form 10-K on</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March 27, 2008 with the United States Securities and Exchange Commission ("SEC"). Interim operating results are not necessarily indicative of operating results expected in subsequent periods or for the year as a whole.</w:t>
      </w:r>
    </w:p>
    <w:p>
      <w:pPr>
        <w:spacing w:after="0" w:line="205"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Investments in unconsolidated affiliates are accounted for using the cost method as the Company owns less than 20% and the Company has no significant influence over the affiliates.</w:t>
      </w:r>
    </w:p>
    <w:p>
      <w:pPr>
        <w:spacing w:after="0" w:line="213"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Fiscal Calendar</w:t>
      </w:r>
    </w:p>
    <w:p>
      <w:pPr>
        <w:spacing w:after="0" w:line="22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2008, the Company changed its fiscal year end to the last Sunday of the year with interim fiscal periods ending on the last Sunday of the last calendar month of each quarter. For fiscal year 2007, the Company's year end was December 31 with fiscal periods ending on the last calendar day of the last month of each quarter.</w:t>
      </w:r>
    </w:p>
    <w:p>
      <w:pPr>
        <w:spacing w:after="0" w:line="208"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348"/>
        <w:spacing w:after="0" w:line="309" w:lineRule="auto"/>
        <w:rPr>
          <w:sz w:val="20"/>
          <w:szCs w:val="20"/>
          <w:color w:val="auto"/>
        </w:rPr>
      </w:pPr>
      <w:r>
        <w:rPr>
          <w:rFonts w:ascii="Arial" w:cs="Arial" w:eastAsia="Arial" w:hAnsi="Arial"/>
          <w:sz w:val="15"/>
          <w:szCs w:val="15"/>
          <w:color w:val="auto"/>
        </w:rPr>
        <w:t>The Company provides services to customers under three primary types of contracts: fixed-price; time and materials; and cost reimbursable plus fixed fee. The Company realizes a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and are expensed as incurred. Cost estimates are reviewed monthly on an individual contract basis, and are revised periodically throughout the life of the contract such that adjustments to profit resulting from revisions are made cumulative to the date of the revision. The full amount of an estimated loss associated with a contract is accrued and charged to operations in the period it is determined that it is probable a loss will be realized from the performance of the contract.</w:t>
      </w:r>
    </w:p>
    <w:p>
      <w:pPr>
        <w:spacing w:after="0" w:line="16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 In the future, the Company may realize actual results that differ from current estimates and the differences could be material. 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If, in any period, the Company significantly increases or decreases the estimate of the total costs to complete a project, and/or reduces or increases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periods ended September 30, 2007 and September 28, 2008.</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terms of substantially all of the Company's fixed price contracts, if a contract is terminated without proper cause by the customer, the customer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creates unplanned/unreasonable time delays, or the customer modifies the contract tasks/scope, the Company has contractual rights to reimbursement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terms and conditions regarding payment for work performed, but not yet billed (i.e., unbilled trade accounts receivable) at a gross profit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that is consistent with the overall project margin. Furthermore, certain additional provisions compensate the Company for additional or excess costs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incurred, whereby any scope reductions or other modifications are subject to reimbursement of costs incurred to date with a reasonable profit margin based 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contract value and completed work at that time. The inherent aforementioned risks are reflected in the Company's ongoing periodic assessment of the "total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contract value" and the associated revenue recognized. Total net unbilled accounts receivable at December 31, 2007 and September 28, 2008 were $34.2 million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$42.9 million, respectively. The Company periodically performs work under authorizations to proceed or work orders from its customers for which a formal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order may not be received until after the work has commenced. As of December 31, 2007 and September 28, 2008, approximately $0.4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million, respectively, of the Company's unbilled accounts receivable balance were under an authorization to proceed or work order from its customers where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formal purchase order had not yet been received.</w:t>
      </w:r>
    </w:p>
    <w:p>
      <w:pPr>
        <w:spacing w:after="0" w:line="219"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Revenue from certain time and materials and fixed-price contracts are recognized when realized or realizable and earned, in accordance with Staff Accounting Bulletin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Cost reimbursable contracts for the government provide for reimbursement of costs plus the payment of a fee. The Company records the fee as costs are incurred.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170"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depending on the specific circumstances of the arrangement. The Company considers the following criteria, among others, for recording revenue on a gross or net basis:</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The Company also recognizes revenue from the sale of hardware, hardware products which include software that is more than incidental, hardware and software maintenance agreements, and Application Service Provider (ASP) services. The Company recognizes revenue when persuasive evidence of an arrangement exists, delivery has occurred or services have been provided, the sale price is fixed or determinable, and collection is reasonably assured.</w:t>
      </w:r>
    </w:p>
    <w:p>
      <w:pPr>
        <w:spacing w:after="0" w:line="188"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Inventories that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31, 2007 and September 28, 2008, the Company had $2.1 million and $2.9 million, respectively, of inventories which were reflected in other current assets on the Consolidated Balance Sheets.</w:t>
      </w:r>
    </w:p>
    <w:p>
      <w:pPr>
        <w:spacing w:after="0" w:line="18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86"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currently carries a significant amount of debt and as such, its ability to execute on additional business opportunities may be limited due to its existing borrowing capacity. In addition, given the relatively highly leveraged liquidity position, any down-turn in its operating earnings could impair its ability to comply with the financial covenants of its existing credit facility. If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believed a covenant violation is more than likely to occur in the near future, it would seek relief from its lenders. This relief would have some cost to the Company and such relief might not be on terms as favorable as those in its existing Credit Agreement. If the Company were to actually default due to its failure to meet the financial covenants of its Credit Agreement and inability to obtain a waiver from the lenders, the Company's Credit Agreement could require the Company to immediately repay all amounts then outstanding under the Credit Agreement and/or require the Company to pay interest at default rates per the Credit Agreement. In the event the Company was required to repay the amount outstanding under the existing credit facility, it would need to obtain alternative sources of financing to continue its operating activities at existing levels. There can be no assurance that alternative financing would be available on acceptable terms or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New Accounting Standards Adopted</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proposed 157-c.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157-c clarifies the principles in SFAS 157 on the fair value measurement of liabilities. The Company adopted SFAS 157 as of January 1, 2008, with the exception of the application of the statement to non-recurring nonfinancial assets and nonfinancial liabilities. Refer to Note 9 to the Consolidated Financial Statements for additional discussion on fair value measurements.</w:t>
      </w:r>
    </w:p>
    <w:p>
      <w:pPr>
        <w:spacing w:after="0" w:line="18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The Company has adopted SFAS 159 as of January 1, 2008 and has elected not to measure any additional financial instruments or other items at fair value.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225" w:lineRule="exact"/>
        <w:rPr>
          <w:sz w:val="20"/>
          <w:szCs w:val="20"/>
          <w:color w:val="auto"/>
        </w:rPr>
      </w:pPr>
    </w:p>
    <w:p>
      <w:pPr>
        <w:jc w:val="both"/>
        <w:ind w:right="320" w:firstLine="351"/>
        <w:spacing w:after="0" w:line="303" w:lineRule="auto"/>
        <w:rPr>
          <w:sz w:val="20"/>
          <w:szCs w:val="20"/>
          <w:color w:val="auto"/>
        </w:rPr>
      </w:pPr>
      <w:r>
        <w:rPr>
          <w:rFonts w:ascii="Arial" w:cs="Arial" w:eastAsia="Arial" w:hAnsi="Arial"/>
          <w:sz w:val="15"/>
          <w:szCs w:val="15"/>
          <w:color w:val="auto"/>
        </w:rPr>
        <w:t>In December 2007, the FASB issued SFAS No. 141 (revised 2007), "Business Combinations" (SFAS 141(R)), which replaces SFAS No. 141, "Business Combinations." SFAS 141(R) retains the underlying concepts of SFAS 141 in that all business combinations are still required to be accounted for at fair value under the acquisition method of accounting, but SFAS 141(R) changed the method of applying the acquisition method in a number of significant aspects.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Acquisition costs will generally be expensed as incurred; noncontrolling interests will be valued at fair value at the acquisition date; in-process research and development will be recorded at fair value as an indefinite-lived intangible asset at the acquisition date; restructuring costs associated with a business combination will generally be expensed subsequent to the acquisition date; and any adjustments to an entity's deferred tax assets and uncertain tax positions that occur after the measurement period will be recorded as a component of income tax expense. SFAS 141(R) is effective on a prospective basis for all business combinations for which the acquisition date is on or after the beginning of the first annual period subsequent to December 15, 2008. Additionally, SFAS 141 (R) is effective for changes to valuation allowances or acquired uncertain tax positions occurring after the effective date of SFAS 141 (R), where the acquisition date occurs prior to the effective date for SFAS 141(R). Early adoption is not permitted. The Company is currently evaluating the effects, if any, that SFAS 141(R) may have on its financial statements; however, since the Company has significant acquired deferred tax assets for which full valuation allowances were recorded at the acquisition date, SFAS 141(R) could significantly affect the results of operations if changes in the valuation allowances occur subsequent to adoption. For additional discussion on deferred tax valuation allowances, refer to Note 10 to the Consolidated Financial Statements in our Annual Report filed on Form 10-K for the fiscal year ended December 31, 2007.</w:t>
      </w:r>
    </w:p>
    <w:p>
      <w:pPr>
        <w:spacing w:after="0" w:line="17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The Company is currently evaluating this new statement and anticipates that the statement will not have a significant impact on the Company's results of operations, financial condition or liquidity.</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 No. 99-19, "Reporting Revenue Gross as a Principal versus Net as an Agent." This Issue also includes enhanced disclosure requirements regarding the nature and purpose of the arrangement,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rights and obligations under the arrangement, accounting policy, amount and income statement classification of collaboration transactions between the parties. The Company is currently evaluating this new statement and anticipates that the statement will not have a significant impact on the Company's results of operations, financial condition or liquidity.</w:t>
      </w:r>
    </w:p>
    <w:p>
      <w:pPr>
        <w:spacing w:after="0" w:line="194"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FASB Statement No. 133"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The Company is currently evaluating the disclosure implications of this statement and anticipates that the statement will not have a significant impact on the Company's results of operations, financial condition or liquidity.</w:t>
      </w:r>
    </w:p>
    <w:p>
      <w:pPr>
        <w:spacing w:after="0" w:line="16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April 2008, the FASB issued FSP FAS No. 142-3, which amends the factors that must be considered in developing renewal or extension assumptions used to determine the useful life over which to amortize the cost of a recognized intangible asset under FAS No. 142, "Goodwill and Other Intangible Assets." The FSP requires an entity to consider its own assumptions about renewal or extension of the term of the arrangement, consistent with its expected use of the asset, and is an attempt to improve consistency between the useful life of a recognized intangible asset under FAS No. 142 and the period of expected cash flows used to measure the fair value of the asset under FAS No. 141, "Business Combinations." The FSP is effective for fiscal years beginning after December 15, 2008, and the guidance for determining the useful life of a recognized intangible asset must be applied prospectively to intangible assets acquired after the effective date. The FSP is not expected to have a significant impact on the Company's results of operations, financial condition or liquidity.</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May 2008, the FASB issued Financial Accounting Standard (FAS) No. 162, "The Hierarchy of Generally Accepted Accounting Principles." The statement is intended to improve financial reporting by identifying a consistent hierarchy for selecting accounting principles to be used in preparing financial statements that are prepared in conformance with generally accepted accounting principles. Unlike Statement on Auditing Standards (SAS) No. 69, "The Meaning of Present in Conformity With GAAP," FAS No. 162 is directed to the entity rather than the auditor. The statement is effective 60 days following the SEC's approval of the Public Company Accounting Oversight Board (PCAOB) amendments to AU Section 411, "The Meaning of Present Fairly in Conformity with GAAP," and is not expected to have any impact on the Company's results of operations, financial condition or liquidity.</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June 2008, the Financial Accounting Standards Board (FASB) issued FASB Staff Position (FSP) Emerging Issues Task Force (EITF) No. 03-6-1, "Determining Whether Instruments Granted in Share-Based Payment Transactions Are Participating Securities." Under the FSP, unvested share-based payment awards that contain rights to receive nonforfeitable dividends (whether paid or unpaid)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participating securities, and should be included in the two-class method of computing EPS. The FSP is effective for fiscal years beginning after December 15, 2008, and interim periods within those years, and is not expected to have a significant impact on the Company's results of operations, financial condition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the following three stock option plans under which shares were available for grant at September 28, 2008: the 1999 Equity Incentive Plan (the "1999 Plan"), the 2000 Non-Statutory Stock Option Plan (the "2000 Plan") and the 2005 Equity Incentive Plan (the "2005 Plan"). The Company uses a standard Restricted Stock Unit Agreement (the "RSU Agreement") to govern the issuance of restricted stock units ("RSU") to executive officers under the 2005 Plan.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28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Grant-Date</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200" w:type="dxa"/>
            <w:vAlign w:val="bottom"/>
            <w:gridSpan w:val="2"/>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98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rPr>
              <w:t>(Shares in Thousands)</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balance, December 31, 2007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Nonvested balance, September 28, 2008</w:t>
            </w: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56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following table shows the amounts recognized in the financial statements for the three and nine months ended September 30, 2007 and September 28, 2008 for share-based compensation expense related to employees (in millions, except per share data). The share-based compensation expense for the three and nine months ended September 30, 2007 and September 28, 2008 primarily relates to the grant of restricted stock units. In addition, for the three and nine months ended September 30, 2007</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and September 28, 2008, there was no incremental tax benefit from stock options exercised in the period.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3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tcBorders>
              <w:bottom w:val="single" w:sz="8" w:color="auto"/>
            </w:tcBorders>
            <w:gridSpan w:val="4"/>
          </w:tcPr>
          <w:p>
            <w:pPr>
              <w:ind w:left="1080"/>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1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September 28,</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ind w:left="480"/>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September 28,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3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cost of employee share-based</w:t>
            </w: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included in income</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income tax</w:t>
            </w:r>
          </w:p>
        </w:tc>
        <w:tc>
          <w:tcPr>
            <w:tcW w:w="13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20" w:type="dxa"/>
            <w:vAlign w:val="bottom"/>
          </w:tcPr>
          <w:p>
            <w:pPr>
              <w:spacing w:after="0"/>
              <w:rPr>
                <w:sz w:val="20"/>
                <w:szCs w:val="20"/>
                <w:color w:val="auto"/>
              </w:rPr>
            </w:pPr>
            <w:r>
              <w:rPr>
                <w:rFonts w:ascii="Arial" w:cs="Arial" w:eastAsia="Arial" w:hAnsi="Arial"/>
                <w:sz w:val="18"/>
                <w:szCs w:val="18"/>
                <w:color w:val="auto"/>
              </w:rPr>
              <w:t>Amount of income tax recognized in</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80"/>
              <w:spacing w:after="0"/>
              <w:rPr>
                <w:sz w:val="20"/>
                <w:szCs w:val="20"/>
                <w:color w:val="auto"/>
              </w:rPr>
            </w:pPr>
            <w:r>
              <w:rPr>
                <w:rFonts w:ascii="Arial" w:cs="Arial" w:eastAsia="Arial" w:hAnsi="Arial"/>
                <w:sz w:val="18"/>
                <w:szCs w:val="18"/>
                <w:color w:val="auto"/>
              </w:rPr>
              <w:t>earnings</w:t>
            </w:r>
          </w:p>
        </w:tc>
        <w:tc>
          <w:tcPr>
            <w:tcW w:w="13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 charged against income from</w:t>
            </w: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3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20" w:type="dxa"/>
            <w:vAlign w:val="bottom"/>
          </w:tcPr>
          <w:p>
            <w:pPr>
              <w:spacing w:after="0"/>
              <w:rPr>
                <w:sz w:val="20"/>
                <w:szCs w:val="20"/>
                <w:color w:val="auto"/>
              </w:rPr>
            </w:pPr>
            <w:r>
              <w:rPr>
                <w:rFonts w:ascii="Arial" w:cs="Arial" w:eastAsia="Arial" w:hAnsi="Arial"/>
                <w:sz w:val="18"/>
                <w:szCs w:val="18"/>
                <w:color w:val="auto"/>
                <w:w w:val="97"/>
              </w:rPr>
              <w:t>Amount charged against income (loss)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80"/>
              <w:spacing w:after="0"/>
              <w:rPr>
                <w:sz w:val="20"/>
                <w:szCs w:val="20"/>
                <w:color w:val="auto"/>
              </w:rPr>
            </w:pPr>
            <w:r>
              <w:rPr>
                <w:rFonts w:ascii="Arial" w:cs="Arial" w:eastAsia="Arial" w:hAnsi="Arial"/>
                <w:sz w:val="18"/>
                <w:szCs w:val="18"/>
                <w:color w:val="auto"/>
              </w:rPr>
              <w:t>from discontinued operations</w:t>
            </w:r>
          </w:p>
        </w:tc>
        <w:tc>
          <w:tcPr>
            <w:tcW w:w="13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4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36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charged against income</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rPr>
                <w:sz w:val="20"/>
                <w:szCs w:val="20"/>
                <w:color w:val="auto"/>
              </w:rPr>
            </w:pPr>
            <w:r>
              <w:rPr>
                <w:rFonts w:ascii="Arial" w:cs="Arial" w:eastAsia="Arial" w:hAnsi="Arial"/>
                <w:sz w:val="18"/>
                <w:szCs w:val="18"/>
                <w:color w:val="auto"/>
              </w:rPr>
              <w:t>Total impact on net income (loss) per</w:t>
            </w: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2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180"/>
              <w:spacing w:after="0"/>
              <w:rPr>
                <w:sz w:val="20"/>
                <w:szCs w:val="20"/>
                <w:color w:val="auto"/>
              </w:rPr>
            </w:pPr>
            <w:r>
              <w:rPr>
                <w:rFonts w:ascii="Arial" w:cs="Arial" w:eastAsia="Arial" w:hAnsi="Arial"/>
                <w:sz w:val="18"/>
                <w:szCs w:val="18"/>
                <w:color w:val="auto"/>
              </w:rPr>
              <w:t>common share:</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(0.01)</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(0.01)</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(0.01)</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34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(0.01)</w:t>
            </w:r>
          </w:p>
        </w:tc>
        <w:tc>
          <w:tcPr>
            <w:tcW w:w="142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(0.01)</w:t>
            </w:r>
          </w:p>
        </w:tc>
        <w:tc>
          <w:tcPr>
            <w:tcW w:w="13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(0.01)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changes in Stockholders' Equity for the periods ended September 30, 2007 and September 28, 2008 is provided below (in millions):</w:t>
      </w:r>
    </w:p>
    <w:p>
      <w:pPr>
        <w:spacing w:after="0" w:line="231"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Nine Months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484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28,</w:t>
            </w:r>
          </w:p>
        </w:tc>
      </w:tr>
      <w:tr>
        <w:trPr>
          <w:trHeight w:val="161"/>
        </w:trPr>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4"/>
              </w:rPr>
              <w:t>Stock based compensation and Employee Stock Purchase Plan</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 for acquisition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Cumulative effect adjustment upon adoption of FIN No. 48</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 for acquisition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r>
      <w:tr>
        <w:trPr>
          <w:trHeight w:val="27"/>
        </w:trPr>
        <w:tc>
          <w:tcPr>
            <w:tcW w:w="4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60" w:firstLine="348"/>
        <w:spacing w:after="0" w:line="370" w:lineRule="auto"/>
        <w:rPr>
          <w:sz w:val="20"/>
          <w:szCs w:val="20"/>
          <w:color w:val="auto"/>
        </w:rPr>
      </w:pPr>
      <w:r>
        <w:rPr>
          <w:rFonts w:ascii="Arial" w:cs="Arial" w:eastAsia="Arial" w:hAnsi="Arial"/>
          <w:sz w:val="15"/>
          <w:szCs w:val="15"/>
          <w:color w:val="auto"/>
        </w:rPr>
        <w:t>The Company has two classes of stock outstanding, Series B Convertible Preferred Stock and common stock. There was no issuance, redemption or conversion of the Series B Convertible Preferred Stock in the most recent fiscal year ended December 31, 2007 or for the period ended September 28,</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2008. Common stock issued by the Company for the most recent fiscal year ended December 31, 2007 and through the period ended September 28, 2008 was as follows (in millions):</w:t>
      </w:r>
    </w:p>
    <w:p>
      <w:pPr>
        <w:spacing w:after="0" w:line="169"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28,</w:t>
            </w: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the beginning of the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Common stock issued for acquisitions</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the end of the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has an Employee Stock Purchase Plan ("ESPP") which was approved in 1999 and subsequently suspended effective January 1, 2006. The Company reactivated the ESPP on April 1,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 calculates net income (loss) per share in accordance with SFAS No. 128, "Earnings Per Share". Under SFAS No. 128,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1"/>
              </w:rPr>
              <w:t>For the Three Months Ended</w:t>
            </w:r>
          </w:p>
        </w:tc>
        <w:tc>
          <w:tcPr>
            <w:tcW w:w="200" w:type="dxa"/>
            <w:vAlign w:val="bottom"/>
          </w:tcPr>
          <w:p>
            <w:pPr>
              <w:spacing w:after="0"/>
              <w:rPr>
                <w:sz w:val="14"/>
                <w:szCs w:val="14"/>
                <w:color w:val="auto"/>
              </w:rPr>
            </w:pPr>
          </w:p>
        </w:tc>
        <w:tc>
          <w:tcPr>
            <w:tcW w:w="1900" w:type="dxa"/>
            <w:vAlign w:val="bottom"/>
            <w:gridSpan w:val="4"/>
          </w:tcPr>
          <w:p>
            <w:pPr>
              <w:ind w:left="100"/>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29"/>
        </w:trPr>
        <w:tc>
          <w:tcPr>
            <w:tcW w:w="7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28,</w:t>
            </w:r>
          </w:p>
        </w:tc>
        <w:tc>
          <w:tcPr>
            <w:tcW w:w="60" w:type="dxa"/>
            <w:vAlign w:val="bottom"/>
          </w:tcPr>
          <w:p>
            <w:pPr>
              <w:spacing w:after="0"/>
              <w:rPr>
                <w:sz w:val="11"/>
                <w:szCs w:val="11"/>
                <w:color w:val="auto"/>
              </w:rPr>
            </w:pPr>
          </w:p>
        </w:tc>
      </w:tr>
      <w:tr>
        <w:trPr>
          <w:trHeight w:val="161"/>
        </w:trPr>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0"/>
              </w:rPr>
              <w:t>Anti-dilutive weighted shares from restricted stock units and stock options excluded from calculation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Anti-dilutive weighted shares from preferred stock excluded from calculation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Anti-dilutive weighted shares of common stock contingently issuable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Anti-dilutive weighted shares of common stock from convertible debt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adopted the provisions of Financial Accounting Standards Board Interpretations ("FIN 48") on January 1, 2007. The total liability for unrecognized tax benefits as of the date of adoption was $4.7 million. Additionally, the Company has a tax refund claim of $2.4 million for which it has not recorded any benefit under FIN 48 or prior standards. As a result of the implementation of FIN 48, the Company recognized a $0.7 million increase in the liability for unrecognized tax benefits, with $0.2 million net decrease in valuation allowance, $0.1 million charged to retained earnings, and $0.4 million recorded to goodwill. In addition, the Company reduced its gross deferred tax assets by $10.8 million for unrecognized tax benefits, which was offset by a reduction in its valuation allowance by the same amount.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 (Continued)</w:t>
      </w:r>
    </w:p>
    <w:p>
      <w:pPr>
        <w:spacing w:after="0" w:line="231" w:lineRule="exact"/>
        <w:rPr>
          <w:sz w:val="20"/>
          <w:szCs w:val="20"/>
          <w:color w:val="auto"/>
        </w:rPr>
      </w:pPr>
    </w:p>
    <w:p>
      <w:pPr>
        <w:ind w:right="260" w:firstLine="341"/>
        <w:spacing w:after="0" w:line="255" w:lineRule="auto"/>
        <w:rPr>
          <w:sz w:val="20"/>
          <w:szCs w:val="20"/>
          <w:color w:val="auto"/>
        </w:rPr>
      </w:pPr>
      <w:r>
        <w:rPr>
          <w:rFonts w:ascii="Arial" w:cs="Arial" w:eastAsia="Arial" w:hAnsi="Arial"/>
          <w:sz w:val="18"/>
          <w:szCs w:val="18"/>
          <w:color w:val="auto"/>
        </w:rPr>
        <w:t>As of December 31, 2007, the Company had $15.2 million of unrecognized tax benefits. During the first quarter of 2008, this amount was reduced by $1.2 million relating to the expiration of statutes of limitations resulting in unrecognized tax benefits at March 31, 2008 of $14.0 million. The reduction in unrecognized tax benefits was recorded as a tax benefit from discontinued operations for $1.1 million and a reduction to goodwill for $0.1 million. As of September 28, 2008, the Company had $13.7 million of unrecognized tax benefits. The Company recognizes interest and penalties related to unrecognized tax benefits in its provision for income taxes.</w:t>
      </w:r>
    </w:p>
    <w:p>
      <w:pPr>
        <w:spacing w:after="0" w:line="197"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$3.2 million of the FIN 48 tax liabilities will expire within 12 months of September 28, 2008 due to the expiration of various applicable statutes of limitations and possible settlement of a pending income tax refund claim.</w:t>
      </w:r>
    </w:p>
    <w:p>
      <w:pPr>
        <w:spacing w:after="0" w:line="139"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negative tax rate of 1,400% for the nine month period ended September 28, 2008 is a function of the relationship between certain minimum taxes that the Company is subject to regardless of its reported book income.</w:t>
      </w:r>
    </w:p>
    <w:p>
      <w:pPr>
        <w:spacing w:after="0" w:line="186"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December 28, 2006, the Board of Directors of the Company approved a plan to divest portions of the Company's business where critical mass had not been achieved. This plan involved the divestiture of the Company's EMEA (Europe, Middle East and Asia) operations and its remaining South American operations. The Company determined that these operations met the criteria to be classified as held for sale. Accordingly, these operations were reflected as discontinued in accordance with SFAS No. 144, "Accounting for the Impairment or Disposal of Long-Lived Assets" in the accompanying consolidated financial statements.</w:t>
      </w:r>
    </w:p>
    <w:p>
      <w:pPr>
        <w:spacing w:after="0" w:line="197"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EMEA operations were sold to LCC International, Inc. (LCC) on March 9, 2007 for $4.0 million in cash, $3.3 million of which was received on that date. The Company also received approximately $1.8 million from its EMEA operations, prior and subsequent to the closing date as payment on outstanding intercompany debt. The sale of EMEA generated a gain on disposition of $3.3 million. The balance of the $0.7 million sales price was withheld as security for the satisfaction of certain indemnification obligations and was payable on March 31, 2008. In the fourth quarter of 2007, the Company recorded a reserve of</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$0.7 million on the remaining sales price holdback based on the Company's assessment of LCC's available liquidity and ability to pay following the Company's review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LCC's most recently filed financial statements, thereby reducing the net estimated gain on this transaction to $2.6 million. In May 2008, the Company and LCC reached an agreement related to the $0.7 million holdback amount, under which LCC agreed to pay the Company the outstanding balance in $100,000 increments each month commencing June 30, 2008. The Company did not receive the payments due on June 30, 2008 or any month thereafter through September 28, 2008. While the Company intends to vigorously pursue collection of the amounts, there is a substantial likelihood the Company will not receive payment of the amount due in light of LCC's apparent current available liquidity.</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With respect to the additional earn-out consideration, the Company has not received and does not expect to receive any payments. The Company recorded an impairment charge of approximately $5.2 million as of December 31, 2006 to reduce the current carrying value of the Brazil operations to their estimated fair value based upon indications of interest at that time. In the second quarter of 2007, when this business was sold, a gain on disposition of $0.2 million was recorded primarily due to lower than expected selling costs.</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May 29, 2007, the Company entered into an Asset Purchase Agreement with LCC pursuant to which the Company agreed to sell to LCC all of the assets used in the conduct of the operation of the Company's Wireless Network Services business segment that provided engineering services to the non-government wireless communications industry in the United States.</w:t>
      </w:r>
    </w:p>
    <w:p>
      <w:pPr>
        <w:spacing w:after="0" w:line="194"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transaction was completed on June 4, 2007. The aggregate consideration paid by LCC in connection with the Acquisition was $46 million. LCC delivered a subordinated promissory note for the principal amount of $21.6 million (the "</w:t>
      </w:r>
      <w:r>
        <w:rPr>
          <w:rFonts w:ascii="Arial" w:cs="Arial" w:eastAsia="Arial" w:hAnsi="Arial"/>
          <w:sz w:val="18"/>
          <w:szCs w:val="18"/>
          <w:i w:val="1"/>
          <w:iCs w:val="1"/>
          <w:color w:val="auto"/>
        </w:rPr>
        <w:t>Subordinated Promissory Note</w:t>
      </w:r>
      <w:r>
        <w:rPr>
          <w:rFonts w:ascii="Arial" w:cs="Arial" w:eastAsia="Arial" w:hAnsi="Arial"/>
          <w:sz w:val="18"/>
          <w:szCs w:val="18"/>
          <w:color w:val="auto"/>
        </w:rPr>
        <w:t>"), paid $17 million at closing and paid final working capital adjustments of $2.4 million through an amendment to the Subordinated Promissory Note, and the Company retained an estimated $5.0 million in net working capital of the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5, 2007, the Company sold the $21.6 million subordinated promissory note taken in the sale of assets to LCC in exchange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$19.6 million in net cash proceeds, reflecting a discount from par value of less than five percent and aggregate transaction fees of approximately $1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was acquired by a fund affiliated with Silver Point Capital, L.P. The Company collected $2.3 million in January 2008, net of a $0.1 million discount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Silver Point in accordance with the terms of the note agreement for the working capital portion of the note. The Company did not provide any guaranty for LCC's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obligations for the note.</w:t>
      </w:r>
    </w:p>
    <w:p>
      <w:pPr>
        <w:spacing w:after="0" w:line="21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July 24, 2007, the Company completed the sale to an affiliate of Platinum Equity of its wireless deployment services portion of the Wireless Network Services segment and the Wireless Facilities trade and corporate names. The total consideration for the acquisition was $24 million including $18 million in cash at closing, subject to typical post-closing working capital adjustments, and an aggregate $6 million in a three-year earn-out arrangement. The Company provided certain transition services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Platinum Equity for a period of nine months pursuant to a Transition Services Agreement. Under an employee leasing arrangement with Platinum Equity, the Company serviced the payroll for the deployment business employees until October 1, 2007. On September 25, 2007, in accordance with the acquisition agreement, the Company provided its working capital calculation to Platinum Equity. On July 16, 2008, the Company came to an agreement with Platinum Equity on a working capital adjustment of $5.0 million. In connection with that resolution, the earn-out arrangement was terminated. The adjustment is to be paid in installments with the first amount of $2.5 million due on July 31, 2008 and payments of $0.5 million monthly thereafter until paid in full in December 2008. The Company did not make the scheduled $2.5 million payment due as of July 31, 2008. Payments of $1.0 million were made in August and September of 2008, respectively. As of September 28, 2008, the balance of $3.0 million plus accrued interest on the outstanding balance has been reflected in other current liabilities.</w:t>
      </w:r>
    </w:p>
    <w:p>
      <w:pPr>
        <w:spacing w:after="0" w:line="17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Company determined that the U.S. engineering and U.S. deployment operations met the criteria to be classified as held for sale in the first quarter of 2007. Accordingly, the Company reflected these operations as discontinued and assessed these assets for impairment in accordance with SFAS No. 144, "Accounting for the Impairment or Disposal of Long-Lived Assets". The Company determined that the assets of the U.S. deployment operations were impaired and recorded an impairment charge of approximately $13.4 million. The fair value of the assets was determined by utilizing the sale price less estimated costs to sell the business. The Company subsequently recorded a gain in discontinued operations from the sale of the U.S. engineering operations of $14.8 million. Upon the divestiture of the deployment business, the Company recorded a loss from disposal of $1.9 million, reflecting the closing working capital adjustment and final closing balance sheet. In addition, the Company recorded a charge for an excess facility accrual of approximately $1.1 million related to certain facility leases of deployment field offices that were not assumed by Platinum.</w:t>
      </w:r>
    </w:p>
    <w:p>
      <w:pPr>
        <w:spacing w:after="0" w:line="172"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the Company's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charge of approximately $7.2 million related to goodwill for this reporting unit which was recorded in the first quarter of 2007.</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In addition,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xml:space="preserve"> ("EITF 87-24"), interest expense incurred on the debt that was required to be repaid as a result of the sales of our wireless network services business was allocated to discontinued operations for the periods presented. During the quarter ended September 30, 2007 and September 28, 2008, interest expense allocated to discontinued operations was approximately $0.1 million and zero, respectively. For the nine months ended September 30, 2007 and September 28, 2008, interest expense allocated to discontinued operations was approximately $2.2 million and zero, respectively. For the nine months ended September 28, 2008, the primary activity related to discontinued operations was a reduction in tax contingencies net of a charge for impairment of assets and the adjustment related to the agreement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working capital with Platinum Equity. The following table presents the results of discontinued operations (in millions):</w:t>
      </w:r>
    </w:p>
    <w:p>
      <w:pPr>
        <w:spacing w:after="0" w:line="275"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0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For the Three Months Ended</w:t>
            </w:r>
          </w:p>
        </w:tc>
        <w:tc>
          <w:tcPr>
            <w:tcW w:w="1920" w:type="dxa"/>
            <w:vAlign w:val="bottom"/>
            <w:gridSpan w:val="6"/>
          </w:tcPr>
          <w:p>
            <w:pPr>
              <w:ind w:left="120"/>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20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rPr>
                <w:sz w:val="20"/>
                <w:szCs w:val="20"/>
                <w:color w:val="auto"/>
              </w:rPr>
            </w:pPr>
            <w:r>
              <w:rPr>
                <w:rFonts w:ascii="Arial" w:cs="Arial" w:eastAsia="Arial" w:hAnsi="Arial"/>
                <w:sz w:val="18"/>
                <w:szCs w:val="18"/>
                <w:color w:val="auto"/>
              </w:rPr>
              <w:t>Net income (loss) before taxes</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Borders>
              <w:top w:val="single" w:sz="8" w:color="auto"/>
            </w:tcBorders>
          </w:tcPr>
          <w:p>
            <w:pPr>
              <w:ind w:left="12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020" w:type="dxa"/>
            <w:vAlign w:val="bottom"/>
            <w:vMerge w:val="restart"/>
          </w:tcPr>
          <w:p>
            <w:pPr>
              <w:spacing w:after="0"/>
              <w:rPr>
                <w:sz w:val="20"/>
                <w:szCs w:val="20"/>
                <w:color w:val="auto"/>
              </w:rPr>
            </w:pPr>
            <w:r>
              <w:rPr>
                <w:rFonts w:ascii="Arial" w:cs="Arial" w:eastAsia="Arial" w:hAnsi="Arial"/>
                <w:sz w:val="18"/>
                <w:szCs w:val="18"/>
                <w:color w:val="auto"/>
              </w:rPr>
              <w:t>Net income (loss) after taxes</w:t>
            </w: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20" w:type="dxa"/>
            <w:vAlign w:val="bottom"/>
            <w:vMerge w:val="continue"/>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the assets and liabilities of discontinued operations as of December 31, 2007 and September 28, 2008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28,</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2008</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ind w:left="2960"/>
              <w:spacing w:after="0"/>
              <w:rPr>
                <w:sz w:val="20"/>
                <w:szCs w:val="20"/>
                <w:color w:val="auto"/>
              </w:rPr>
            </w:pPr>
            <w:r>
              <w:rPr>
                <w:rFonts w:ascii="Arial" w:cs="Arial" w:eastAsia="Arial" w:hAnsi="Arial"/>
                <w:sz w:val="18"/>
                <w:szCs w:val="18"/>
                <w:color w:val="auto"/>
              </w:rPr>
              <w:t>Current assets of discontinued operations</w:t>
            </w: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non-current assets</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ind w:left="2960"/>
              <w:spacing w:after="0"/>
              <w:rPr>
                <w:sz w:val="20"/>
                <w:szCs w:val="20"/>
                <w:color w:val="auto"/>
              </w:rPr>
            </w:pPr>
            <w:r>
              <w:rPr>
                <w:rFonts w:ascii="Arial" w:cs="Arial" w:eastAsia="Arial" w:hAnsi="Arial"/>
                <w:sz w:val="18"/>
                <w:szCs w:val="18"/>
                <w:color w:val="auto"/>
                <w:w w:val="95"/>
              </w:rPr>
              <w:t>Non-current assets of discontinued operations</w:t>
            </w: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contingencies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ind w:left="2960"/>
              <w:spacing w:after="0"/>
              <w:rPr>
                <w:sz w:val="20"/>
                <w:szCs w:val="20"/>
                <w:color w:val="auto"/>
              </w:rPr>
            </w:pPr>
            <w:r>
              <w:rPr>
                <w:rFonts w:ascii="Arial" w:cs="Arial" w:eastAsia="Arial" w:hAnsi="Arial"/>
                <w:sz w:val="18"/>
                <w:szCs w:val="18"/>
                <w:color w:val="auto"/>
              </w:rPr>
              <w:t>Non-current income tax contingencies</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continu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ind w:left="2960"/>
              <w:spacing w:after="0"/>
              <w:rPr>
                <w:sz w:val="20"/>
                <w:szCs w:val="20"/>
                <w:color w:val="auto"/>
              </w:rPr>
            </w:pPr>
            <w:r>
              <w:rPr>
                <w:rFonts w:ascii="Arial" w:cs="Arial" w:eastAsia="Arial" w:hAnsi="Arial"/>
                <w:sz w:val="18"/>
                <w:szCs w:val="18"/>
                <w:color w:val="auto"/>
                <w:w w:val="91"/>
              </w:rPr>
              <w:t>Non-current liabilities of discontinued operations</w:t>
            </w: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00" w:type="dxa"/>
            <w:vAlign w:val="bottom"/>
            <w:gridSpan w:val="2"/>
            <w:vMerge w:val="restart"/>
          </w:tcPr>
          <w:p>
            <w:pPr>
              <w:ind w:left="56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changes in the carrying amounts of goodwill and other finite-life intangible assets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2008 (in millions):</w:t>
      </w:r>
    </w:p>
    <w:p>
      <w:pPr>
        <w:spacing w:after="0" w:line="202"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2"/>
              </w:rPr>
              <w:t>Government</w:t>
            </w:r>
          </w:p>
        </w:tc>
      </w:tr>
      <w:tr>
        <w:trPr>
          <w:trHeight w:val="149"/>
        </w:trPr>
        <w:tc>
          <w:tcPr>
            <w:tcW w:w="4520" w:type="dxa"/>
            <w:vAlign w:val="bottom"/>
          </w:tcPr>
          <w:p>
            <w:pPr>
              <w:spacing w:after="0"/>
              <w:rPr>
                <w:sz w:val="12"/>
                <w:szCs w:val="12"/>
                <w:color w:val="auto"/>
              </w:rPr>
            </w:pPr>
          </w:p>
        </w:tc>
        <w:tc>
          <w:tcPr>
            <w:tcW w:w="7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Network</w:t>
            </w:r>
          </w:p>
        </w:tc>
      </w:tr>
      <w:tr>
        <w:trPr>
          <w:trHeight w:val="161"/>
        </w:trPr>
        <w:tc>
          <w:tcPr>
            <w:tcW w:w="4520" w:type="dxa"/>
            <w:vAlign w:val="bottom"/>
          </w:tcPr>
          <w:p>
            <w:pPr>
              <w:spacing w:after="0"/>
              <w:rPr>
                <w:sz w:val="14"/>
                <w:szCs w:val="14"/>
                <w:color w:val="auto"/>
              </w:rPr>
            </w:pPr>
          </w:p>
        </w:tc>
        <w:tc>
          <w:tcPr>
            <w:tcW w:w="780" w:type="dxa"/>
            <w:vAlign w:val="bottom"/>
            <w:gridSpan w:val="3"/>
          </w:tcPr>
          <w:p>
            <w:pPr>
              <w:ind w:left="140"/>
              <w:spacing w:after="0"/>
              <w:rPr>
                <w:sz w:val="20"/>
                <w:szCs w:val="20"/>
                <w:color w:val="auto"/>
              </w:rPr>
            </w:pPr>
            <w:r>
              <w:rPr>
                <w:rFonts w:ascii="Arial" w:cs="Arial" w:eastAsia="Arial" w:hAnsi="Arial"/>
                <w:sz w:val="14"/>
                <w:szCs w:val="14"/>
                <w:b w:val="1"/>
                <w:bCs w:val="1"/>
                <w:color w:val="auto"/>
              </w:rPr>
              <w:t>Services</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Balance as of December 31, 2007</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194.5</w:t>
            </w:r>
          </w:p>
        </w:tc>
      </w:tr>
      <w:tr>
        <w:trPr>
          <w:trHeight w:val="216"/>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SYS</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r>
      <w:tr>
        <w:trPr>
          <w:trHeight w:val="222"/>
        </w:trPr>
        <w:tc>
          <w:tcPr>
            <w:tcW w:w="4520" w:type="dxa"/>
            <w:vAlign w:val="bottom"/>
          </w:tcPr>
          <w:p>
            <w:pPr>
              <w:ind w:left="140"/>
              <w:spacing w:after="0"/>
              <w:rPr>
                <w:sz w:val="20"/>
                <w:szCs w:val="20"/>
                <w:color w:val="auto"/>
              </w:rPr>
            </w:pPr>
            <w:r>
              <w:rPr>
                <w:rFonts w:ascii="Arial" w:cs="Arial" w:eastAsia="Arial" w:hAnsi="Arial"/>
                <w:sz w:val="18"/>
                <w:szCs w:val="18"/>
                <w:color w:val="auto"/>
              </w:rPr>
              <w:t>Purchase accounting adjustments</w:t>
            </w:r>
          </w:p>
        </w:tc>
        <w:tc>
          <w:tcPr>
            <w:tcW w:w="2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28, 2008</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237.3</w:t>
            </w:r>
          </w:p>
        </w:tc>
      </w:tr>
      <w:tr>
        <w:trPr>
          <w:trHeight w:val="27"/>
        </w:trPr>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December 31, 2007</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September 28, 2008</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9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9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0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9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1"/>
                <w:szCs w:val="11"/>
                <w:color w:val="auto"/>
              </w:rPr>
            </w:pPr>
          </w:p>
        </w:tc>
      </w:tr>
      <w:tr>
        <w:trPr>
          <w:trHeight w:val="161"/>
        </w:trPr>
        <w:tc>
          <w:tcPr>
            <w:tcW w:w="2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Amortization</w:t>
            </w:r>
          </w:p>
        </w:tc>
        <w:tc>
          <w:tcPr>
            <w:tcW w:w="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w:t>
            </w: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7"/>
              </w:rPr>
              <w:t>Acquired finite-lived intangible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w:t>
            </w: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Contracts and backlog</w:t>
            </w: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Intellectual property</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r>
      <w:tr>
        <w:trPr>
          <w:trHeight w:val="21"/>
        </w:trPr>
        <w:tc>
          <w:tcPr>
            <w:tcW w:w="2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$28.4</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w:t>
            </w:r>
          </w:p>
        </w:tc>
        <w:tc>
          <w:tcPr>
            <w:tcW w:w="60" w:type="dxa"/>
            <w:vAlign w:val="bottom"/>
            <w:shd w:val="clear" w:color="auto" w:fill="CCEEFF"/>
          </w:tcPr>
          <w:p>
            <w:pPr>
              <w:spacing w:after="0"/>
              <w:rPr>
                <w:sz w:val="18"/>
                <w:szCs w:val="18"/>
                <w:color w:val="auto"/>
              </w:rPr>
            </w:pPr>
          </w:p>
        </w:tc>
      </w:tr>
      <w:tr>
        <w:trPr>
          <w:trHeight w:val="27"/>
        </w:trPr>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20" w:firstLine="351"/>
        <w:spacing w:after="0" w:line="306" w:lineRule="auto"/>
        <w:rPr>
          <w:sz w:val="20"/>
          <w:szCs w:val="20"/>
          <w:color w:val="auto"/>
        </w:rPr>
      </w:pPr>
      <w:r>
        <w:rPr>
          <w:rFonts w:ascii="Arial" w:cs="Arial" w:eastAsia="Arial" w:hAnsi="Arial"/>
          <w:sz w:val="16"/>
          <w:szCs w:val="16"/>
          <w:color w:val="auto"/>
        </w:rPr>
        <w:t>Consolidated amortization expense related to intangible assets subject to amortization was $0.7 million and $1.3 million for the quarters ended September 30, 2007 and September 28, 2008, respectively. Consolidated amortization expense related to intangible assets subject to amortization was $2.1 million and $3.6 million for the nine months ended September 30, 2007 and September 28, 2008, respectively.</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June 28, 2008, the Company acquired San Diego-based SYS Technologies ("SYS"). SYS provides a range of Command, Control, Communications, Computers, Combat Systems, Intelligence, Surveillance, and Reconnaissance (C5ISR) and net-centric solutions to federal, state, local and other customers. The combination of SYS and Kratos creates a broad, complementary set of offerings, and positions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C5ISR. The amount of goodwill assigned in the preliminary allocation of purchase price is primarily attributable to the aforementioned advantages of this acquisition. Further, goodwill assigned to this transaction has not yet been allocated to the Company's reportable segments.</w:t>
      </w:r>
    </w:p>
    <w:p>
      <w:pPr>
        <w:spacing w:after="0" w:line="172"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purchase price of $55.7 million includes direct transaction costs of $2.5 million and estimated restructuring costs to be paid by Kratos. The value of the purchase price related to the common stock issued was derived from the number of shares of Kratos common stock issued of 25.3 million, based on 20.1 million shares of SYS common stock outstanding and the exchange ratio of 1.2582 for each SYS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share, at a price of $2.022 per share, the average closing price of Kratos shares of common stock for the two days prior to, including, and two days subsequent to the public announcement of the merger on February 21, 2008. Since signing the definitive merger agreement in February 2008, senior management of Kratos and SYS has been developing a plan to restructure and/or exit certain business activities of SYS. The plan includes a comprehensive assessment of personnel, relocation of personnel, facility consolidation and exit strategies for certain lines of business. As of September 28, 2008, the plan tentatively estimates approximately $1.3 million of restructuring costs associated with personnel, and additional costs of $0.4 million for facilities consolidation. Personnel, facilities consolidation and exit costs are still being developed therefore, the estimated restructuring liabilities are subject to change as plans become finalized. The Company expects to finalize the restructuring plan as soon as possible, but no later than June 28, 2009.</w:t>
      </w:r>
    </w:p>
    <w:p>
      <w:pPr>
        <w:spacing w:after="0" w:line="172"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Consolidated Statement of Operations for the three and nine month periods ended September 28, 2008 includes the results of SYS's operations from the date of acquisition.</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summarizes the preliminary allocation of the purchase price, including transaction costs of $2.5 million, to the fair value of the assets acquired and liabilities assumed at the date of acquisition (in millions):</w:t>
      </w:r>
    </w:p>
    <w:p>
      <w:pPr>
        <w:spacing w:after="0" w:line="194"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current assets, net of accounts receivable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$ 55.7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December 31, 2007, the Company acquired Indianapolis, Indiana headquartered Haverstick Consulting, Inc. ("Haverstick") as part of the Kratos Government Solutions segment. Haverstick provides rocket and missile test and evaluation, weapons systems support, and professional services to the U.S. Army, U.S. Air Force, U.S. Navy, NASA, and other federal, state and local agencies. Through the Haverstick acquisition, the Company expanded its customer footprint within the Department of Defense (DoD), and enhanced its presence with the U.S. Air Force, a key growth area for Kratos. The aforementioned factors are the primary reason for the acquisition and the amount subsequently assigned to goodwill.</w:t>
      </w:r>
    </w:p>
    <w:p>
      <w:pPr>
        <w:spacing w:after="0" w:line="170"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total purchase price of $90.2 million includes transaction costs incurred by the Company of $0.5 million. The purchase price paid to Haverstick was $89.7 million comprised of $70.3 million in cash and the issuance of 7.48 million shares of the Company's common stock valued at $2.60 per share, or an aggregate stock consideration of $19.4 million. The value of the shares issued was determined by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averaging the market price of the stock two days before and two days after the announcement of the acquisition, which occurred on November 5, 2007. The Company paid $81.1 million, $66.7 million of which was cash paid at closing, $2.4 million was paid shortly thereafter, and $12.0 million in common stock. The Company held back $8.6 million (the Holdback Consideration) to secure any negative working capital adjustments required by the merger agreement and the Company's indemnity rights. The Holdback Consideration is comprised of both cash and Kratos stock in the amounts of $1.2 million and $7.4 million, respectively, and accrues interest at a rate of LIBOR plus 4% until paid. The indemnity rights component of the Holdback Consideration will be released in 50%</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increments on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and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month of the anniversary date of the acquisition. In addition to the indemnity holdback, the agreement also called for a post closing working capital adjustment. In February 2008, the Company and Haverstick agreed on the working capital calculation called for in the agreement. The calculation resulted in a working capital adjustment due to Haverstick in an amount of $1.5 million. The working capital adjustment was paid with 697,315 shares of Company stock on June 30, 2008, valued at $1.3 million and cash of $0.2 million in April 2008. To fund the acquisition, the Company secured a new credit facility of $85.0 million arranged by KeyBanc Capital Markets. The credit facility, which includes a $25.0 million line of credit and $60.0 million in term notes, replaced the Company's previous credit facility which had an outstanding principal balance of $6.0 million on the date of closing.</w:t>
      </w:r>
    </w:p>
    <w:p>
      <w:pPr>
        <w:spacing w:after="0" w:line="19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Until the date on which the shares of stock became salable, interest accrued on the value of the closing stock at a floating rate of one-month LIBOR plus four percent (4%) per annum. The shares became saleable on June 30, 2008 and 167,692 additional shares were issued in satisfaction of the accrued interest.</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summarizes supplemental statement of operations information on an unaudited pro forma basis as if the acquisitions of Haverstick and SYS had occurred on January 1, 2007 and includes adjustments that were directly attributable to the transactions or were not expected to have a continuing impact on the Company, with the exception of approximately $3.2 million of acquisition costs of SYS included in the supplemental statement of operations for the nine months ended September 28, 2008.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unaudited amounts, all, except per share amounts are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For the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9"/>
        </w:trPr>
        <w:tc>
          <w:tcPr>
            <w:tcW w:w="2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61"/>
        </w:trPr>
        <w:tc>
          <w:tcPr>
            <w:tcW w:w="2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4"/>
                <w:szCs w:val="14"/>
                <w:color w:val="auto"/>
              </w:rPr>
            </w:pPr>
          </w:p>
        </w:tc>
        <w:tc>
          <w:tcPr>
            <w:tcW w:w="20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For the Nine Months Ended</w:t>
            </w:r>
          </w:p>
        </w:tc>
        <w:tc>
          <w:tcPr>
            <w:tcW w:w="2660" w:type="dxa"/>
            <w:vAlign w:val="bottom"/>
          </w:tcPr>
          <w:p>
            <w:pPr>
              <w:spacing w:after="0"/>
              <w:rPr>
                <w:sz w:val="14"/>
                <w:szCs w:val="14"/>
                <w:color w:val="auto"/>
              </w:rPr>
            </w:pPr>
          </w:p>
        </w:tc>
      </w:tr>
      <w:tr>
        <w:trPr>
          <w:trHeight w:val="129"/>
        </w:trPr>
        <w:tc>
          <w:tcPr>
            <w:tcW w:w="26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1"/>
                <w:szCs w:val="11"/>
                <w:color w:val="auto"/>
              </w:rPr>
            </w:pPr>
          </w:p>
        </w:tc>
        <w:tc>
          <w:tcPr>
            <w:tcW w:w="11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60" w:type="dxa"/>
            <w:vAlign w:val="bottom"/>
          </w:tcPr>
          <w:p>
            <w:pPr>
              <w:spacing w:after="0"/>
              <w:rPr>
                <w:sz w:val="11"/>
                <w:szCs w:val="11"/>
                <w:color w:val="auto"/>
              </w:rPr>
            </w:pPr>
          </w:p>
        </w:tc>
        <w:tc>
          <w:tcPr>
            <w:tcW w:w="2660" w:type="dxa"/>
            <w:vAlign w:val="bottom"/>
          </w:tcPr>
          <w:p>
            <w:pPr>
              <w:spacing w:after="0"/>
              <w:rPr>
                <w:sz w:val="11"/>
                <w:szCs w:val="11"/>
                <w:color w:val="auto"/>
              </w:rPr>
            </w:pPr>
          </w:p>
        </w:tc>
      </w:tr>
      <w:tr>
        <w:trPr>
          <w:trHeight w:val="161"/>
        </w:trPr>
        <w:tc>
          <w:tcPr>
            <w:tcW w:w="2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210"/>
        </w:trPr>
        <w:tc>
          <w:tcPr>
            <w:tcW w:w="266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278.2</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258.5</w:t>
            </w:r>
          </w:p>
        </w:tc>
        <w:tc>
          <w:tcPr>
            <w:tcW w:w="266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Pro forma 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6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pro forma net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60" w:type="dxa"/>
            <w:vAlign w:val="bottom"/>
          </w:tcPr>
          <w:p>
            <w:pPr>
              <w:spacing w:after="0"/>
              <w:rPr>
                <w:sz w:val="18"/>
                <w:szCs w:val="18"/>
                <w:color w:val="auto"/>
              </w:rPr>
            </w:pPr>
          </w:p>
        </w:tc>
      </w:tr>
      <w:tr>
        <w:trPr>
          <w:trHeight w:val="222"/>
        </w:trPr>
        <w:tc>
          <w:tcPr>
            <w:tcW w:w="26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Diluted pro forma net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660" w:type="dxa"/>
            <w:vAlign w:val="bottom"/>
          </w:tcPr>
          <w:p>
            <w:pPr>
              <w:spacing w:after="0"/>
              <w:rPr>
                <w:sz w:val="19"/>
                <w:szCs w:val="19"/>
                <w:color w:val="auto"/>
              </w:rPr>
            </w:pPr>
          </w:p>
        </w:tc>
      </w:tr>
      <w:tr>
        <w:trPr>
          <w:trHeight w:val="424"/>
        </w:trPr>
        <w:tc>
          <w:tcPr>
            <w:tcW w:w="2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4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the additional consideration becomes payable. The other current liabilities on the accompanying Consolidated Balance Sheet as of September 28, 2008 include $2.4 million for Madison Research Corporation ("MRC") and $0.6 million for Haverstick. Included in other long-term liabilities is $0.6 million for Haverstick with the contingent common stock consideration of $8.2 million reflected as additional paid in capital for contingent consideration in the accompanying Consolidated Financial Statements.</w:t>
      </w:r>
    </w:p>
    <w:p>
      <w:pPr>
        <w:spacing w:after="0" w:line="174"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MRC holdback of approximately $2.4 million was originally due in April 2008 and this date has been extended to provide additional time to resolve outstanding indemnification obligations. The Company expects to make this payment in the fourth quarter of 2008 or early 2009. The remaining amounts for Haverstick of $1.2 million in cash and $8.2 million in common stock are due in equal payments in December 2008 and September 2009. The holdback arrangements accrue interest in accordance with the terms of the purchase agreements.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contingent acquisition consideration as of December 31, 2007 and September 28, 2008 is summarized in the following table (in millions):</w:t>
      </w:r>
    </w:p>
    <w:p>
      <w:pPr>
        <w:spacing w:after="0" w:line="298"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Haverstick</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MRC</w:t>
            </w: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$10.9</w:t>
            </w:r>
          </w:p>
        </w:tc>
      </w:tr>
      <w:tr>
        <w:trPr>
          <w:trHeight w:val="222"/>
        </w:trPr>
        <w:tc>
          <w:tcPr>
            <w:tcW w:w="3780" w:type="dxa"/>
            <w:vAlign w:val="bottom"/>
          </w:tcPr>
          <w:p>
            <w:pPr>
              <w:ind w:left="120"/>
              <w:spacing w:after="0"/>
              <w:rPr>
                <w:sz w:val="20"/>
                <w:szCs w:val="20"/>
                <w:color w:val="auto"/>
              </w:rPr>
            </w:pPr>
            <w:r>
              <w:rPr>
                <w:rFonts w:ascii="Arial" w:cs="Arial" w:eastAsia="Arial" w:hAnsi="Arial"/>
                <w:sz w:val="18"/>
                <w:szCs w:val="18"/>
                <w:color w:val="auto"/>
                <w:w w:val="91"/>
              </w:rPr>
              <w:t>Post acquisition adjustments and interest accruals</w:t>
            </w: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1"/>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28, 2008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$11.8</w:t>
            </w: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w:t>
      </w:r>
    </w:p>
    <w:p>
      <w:pPr>
        <w:spacing w:after="0" w:line="24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31, 2007, the Company entered into a credit facility of $85.0 million with KeyBanc Capital Markets which replaced the October 2, 2006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Key Bank. This credit facility provides for two term loans consisting of a first lien term note of $50.0 million and a second lien term note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as well as a first lien $25 million revolving line of credit. The $10.0 million term loan has a five and one half year term with principal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required quarterly beginning on March 31, 2008 through March 31, 2013 with the final balance of $9.5 million due on June 30, 2013. The $50.0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has a five year term with principal payments of $0.6 million required quarterly beginning on March 31, 2008 , $1.3 million in 2009, $2.5 million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2110, and $4.1 million in 2011 and 2012. The term loans have a provision which states that once the full amount of the note has been borrowed, the notes cannot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paid down and reborrowed again. The revolving line of credit has a four year term which expires on December 31, 2011 and contains provisions typical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arrangements. All loans under the new credit facility have an interest rate equal to a base rate defined as a fluctuating rate per annum equal to the higher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the Federal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 (Continued)</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the Company's aggregate debt to its EBITDA for the previous four fiscal quarters. The Company used the credit facility to fund the acquisition of Haverstick and to retire the outstanding debt from the October 2006 agreement.</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credit agreements contain covenants which impose certain restrictions on the Company's ability to, among other things, incur additional debt, pay dividends, make investments or sell assets. Additionally, certain non-recurring cash inflows such as proceeds from asset sales, insurance recoveries, and equity offerings may have to be used to pay down indebtedness and may not be reborrowed. In addition, the credit agreements contain certain financial covenants which are defined by the terms of the agreements. These financial covenants include a maximum first lien leverage ratio, a maximum total leverage ratio, a minimum liquidity ratio, a minimum fixed charge coverage ratio, and a minimum consolidated EBITDA at various dates for the $50.0 million term loan and the $25.0 million revolver as outlined in the following table.</w:t>
      </w:r>
    </w:p>
    <w:p>
      <w:pPr>
        <w:spacing w:after="0" w:line="18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Minimum</w:t>
            </w:r>
          </w:p>
        </w:tc>
      </w:tr>
      <w:tr>
        <w:trPr>
          <w:trHeight w:val="149"/>
        </w:trPr>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Maximum</w:t>
            </w: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Maximum</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Minimum</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First Lien</w:t>
            </w: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144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Minimum</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Fixed Charge</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EBITDA</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16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Leverage Ratio</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Leverage Ratio</w:t>
            </w:r>
          </w:p>
        </w:tc>
        <w:tc>
          <w:tcPr>
            <w:tcW w:w="180" w:type="dxa"/>
            <w:vAlign w:val="bottom"/>
          </w:tcPr>
          <w:p>
            <w:pPr>
              <w:spacing w:after="0"/>
              <w:rPr>
                <w:sz w:val="14"/>
                <w:szCs w:val="14"/>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Liquidity Ratio</w:t>
            </w:r>
          </w:p>
        </w:tc>
        <w:tc>
          <w:tcPr>
            <w:tcW w:w="1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 Ratio</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4"/>
                <w:szCs w:val="14"/>
                <w:color w:val="auto"/>
              </w:rPr>
            </w:pPr>
          </w:p>
        </w:tc>
      </w:tr>
      <w:tr>
        <w:trPr>
          <w:trHeight w:val="210"/>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December 31, 2007-2008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shd w:val="clear" w:color="auto" w:fill="CCEEFF"/>
              </w:rPr>
              <w:t>3.22 to 4.76:1.00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shd w:val="clear" w:color="auto" w:fill="CCEEFF"/>
              </w:rPr>
              <w:t>3.76 to 5.68:1.00</w:t>
            </w: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shd w:val="clear" w:color="auto" w:fill="CCEEFF"/>
              </w:rPr>
              <w:t>1.56 to 1.33:1.00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shd w:val="clear" w:color="auto" w:fill="CCEEFF"/>
              </w:rPr>
              <w:t>1.05 to 0.50:1.00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shd w:val="clear" w:color="auto" w:fill="CCEEFF"/>
              </w:rPr>
              <w:t>$16.1 to $19.4</w:t>
            </w:r>
          </w:p>
        </w:tc>
        <w:tc>
          <w:tcPr>
            <w:tcW w:w="20" w:type="dxa"/>
            <w:vAlign w:val="bottom"/>
          </w:tcPr>
          <w:p>
            <w:pPr>
              <w:spacing w:after="0"/>
              <w:rPr>
                <w:sz w:val="18"/>
                <w:szCs w:val="18"/>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2009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2.97 to 2.33:1.00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2.78 to 3.50:1.00</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1.60 to 1.58:1.00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1.11 to 1.02:1.00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$19.8 to $21.5</w:t>
            </w:r>
          </w:p>
        </w:tc>
        <w:tc>
          <w:tcPr>
            <w:tcW w:w="20" w:type="dxa"/>
            <w:vAlign w:val="bottom"/>
          </w:tcPr>
          <w:p>
            <w:pPr>
              <w:spacing w:after="0"/>
              <w:rPr>
                <w:sz w:val="18"/>
                <w:szCs w:val="18"/>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1.75 to 2.00:1.00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2.25 to 2.50:1.00</w:t>
            </w: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1.54 to 1.49:1.00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1.10 to 1.06:1.00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$21.5 to $23.4</w:t>
            </w:r>
          </w:p>
        </w:tc>
        <w:tc>
          <w:tcPr>
            <w:tcW w:w="20" w:type="dxa"/>
            <w:vAlign w:val="bottom"/>
          </w:tcPr>
          <w:p>
            <w:pPr>
              <w:spacing w:after="0"/>
              <w:rPr>
                <w:sz w:val="18"/>
                <w:szCs w:val="18"/>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2011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1.75:1.00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2.25:1.00</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1.55 to 1.53:1.00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1.10:1.00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$24.4 to $26.5</w:t>
            </w:r>
          </w:p>
        </w:tc>
        <w:tc>
          <w:tcPr>
            <w:tcW w:w="20" w:type="dxa"/>
            <w:vAlign w:val="bottom"/>
          </w:tcPr>
          <w:p>
            <w:pPr>
              <w:spacing w:after="0"/>
              <w:rPr>
                <w:sz w:val="18"/>
                <w:szCs w:val="18"/>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1.75:1.00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2.25:1.00</w:t>
            </w: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1.42 to 1.54:1.00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$26.7 to $27.6</w:t>
            </w:r>
          </w:p>
        </w:tc>
        <w:tc>
          <w:tcPr>
            <w:tcW w:w="20" w:type="dxa"/>
            <w:vAlign w:val="bottom"/>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$10.0 million subordinated term loan also provides for similar financial covenants.</w:t>
      </w:r>
    </w:p>
    <w:p>
      <w:pPr>
        <w:spacing w:after="0" w:line="225"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of September 28, 2008, the Company's outstanding balance on the facility was $79.5 million and the weighted average interest rate on the debt borrowed during the quarter and nine months ended September 28, 2008 was 11.54% and 11.67% respectively. As of September 28, 2008, the unused line of credit under the revolving line of credit was $2.0 million. The only restriction on the use of these funds is that the Company must be in compliance with covenants of the credit facility. The Company was in compliance with all covenants under the credit facility as of September 28, 2008.</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March 2008, the Company entered into a tentative agreement to settle its 2004 and 2007 securities class action litigation actions and, as a result, the Company recorded a $4.9 million charge in the quarter ended December 31, 2007 to accrue its share of the settlement amounts and an estimate for a contingent liability associated with legal proceedings related to the derivative actions, net of the amounts to be covered by the Company's insurance carriers. As a consequence of recording this legal settlement, the Company did not meet certain of the financial covenants in accordance with the credit facility. Accordingly, on March 27, 2008, the Company obtained an amendment and waiver from its lenders to waive the impact of the legal settlement amounts on its financial covenants as of December 31, 2007 and the affected future periods. The amendment also amended the credit facility to provide for an increase in the LIBOR floor rate to 4.25% and to require that the Company set aside in a restricted account approximately 50% of the proceeds of the recovery from the theft of stock options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its former stock option administrator, or approximately $1.7 million, to fund these settlement amounts. In April 2008, $1.7 million was transferred to a restricted cash account and in July 2008, an additional $0.6 million was transferred for the amount received from the insurance carriers as settlement on the theft of stock options. In July 2008, the funding of the 2007 Securities Litigation Settlement included the use of $1.2 million of the cash from the restricted account. The lenders have also reserved the right to require the Company to utilize the entire amount of the $3.4 million in proceeds received from the theft of stock options to permanently pay down indebtedness. This right can be exercised no earlier than 60 days from March 27, 2008 and expires upon the Company's compliance with financial covenants under the credit facility for the four consecutive quarters commencing after January 1, 2008.</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June 26, 2008, the Company entered into a second amendment to its credit facility in order to complete the merger with SYS. The amendment specifically approves that certain unsecured subordinated convertible notes issued by SYS be treated as subordinated debt under the credit facility, provided that a Subordination Agreement is obtained from the note holders representing no less than 95% of the aggregate principal amount of all subordinated notes, which was obtained in July 2008. In addition, the amendment provides for an add-back for amounts representing actual transaction costs incurred by an acquired entity in the computation of Consolidated EBITDA, as defined in the credit agreement, in any acquisition in which 100% of the purchase price is paid in equity securities of the Company.</w:t>
      </w:r>
    </w:p>
    <w:p>
      <w:pPr>
        <w:spacing w:after="0" w:line="198"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On February 11, 2008, the Company entered into three derivative financial instruments with Key Bank to reduce the Company's exposure to its variable interest rates on its outstanding debt. These instruments initially hedged $70 million of its LIBOR-based floating rate debt with the amounts hedged decreasing over time. The derivatives mature on March 31, 2010 and March 31, 2011 and result in an average fixed rate of 3.16% for the term of the agreements. The Company designated these instruments as cash flow hedges. In March 2008, as a result of the amendment to the Company's credit facility, which included a LIBOR floor rate of 4.25%, the Company determined that these instruments were no longer highly effective as a hedge. As a result, a charge of $0.7 million from marking the derivative financial instruments to market has been reflected in other income (expense), net rather than in other comprehensive income on the Company's Consolidated Balance Sheet as of March 30, 2008. For the quarter ended June 29, 2008, the result of marking the derivatives to market was a</w:t>
      </w:r>
    </w:p>
    <w:p>
      <w:pPr>
        <w:ind w:right="520"/>
        <w:spacing w:after="0" w:line="281" w:lineRule="auto"/>
        <w:rPr>
          <w:sz w:val="20"/>
          <w:szCs w:val="20"/>
          <w:color w:val="auto"/>
        </w:rPr>
      </w:pPr>
      <w:r>
        <w:rPr>
          <w:rFonts w:ascii="Arial" w:cs="Arial" w:eastAsia="Arial" w:hAnsi="Arial"/>
          <w:sz w:val="16"/>
          <w:szCs w:val="16"/>
          <w:color w:val="auto"/>
        </w:rPr>
        <w:t>$1.3 million gain reflected in other income (expense), net. For the quarter ended September 28, 2008, the result of marking the derivatives to market was a $0.2 million loss reflected in other income (expense). The net gain associated with the derivatives for the nine months ended September 28, 2008 was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$0.4 million. Future gains and losses on these derivative instruments as well as the offsetting gain or loss on the hedged item attributable to the hedged risk will continue to be recognized in the Company's Statement of Operations. See Note 9.</w:t>
      </w:r>
    </w:p>
    <w:p>
      <w:pPr>
        <w:spacing w:after="0" w:line="19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July 2008, the Company paid $1.8 million related to the 2007 securities litigation settlement. This amount was partially funded with $1.2 million of the funds placed in the Company's restricted cash account with the remaining $0.6 million from the Company's operating cash accounts. The Company expects to pay an additional $2.0 million related to the settlement of the 2004 securities litigation in the fourth quarter of this year. Approximately $1.0 million was paid in October from the restricted cash account and the remaining $2.0 million will come from cash in the Company's operating accounts.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2008, the Company had outstanding convertible notes payable which were acquired as the result of the SYS acquisition totaling</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$3.1 million, of which $0.8 million was payable to related parties. The convertible notes payable are unsecured and subordinated to the Company's bank debt and bear interest at 10% per annum payable quarterly. Principal is due February 14, 2009 and the notes are convertible at any time into shares of common stock at a conversion rate of $2.86 per share. The balance of the outstanding notes is reflected in current portion of long-term debt in the accompanying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adopted SFAS 157 as of January 1, 2008, with the exception of the application of the statement to non-recurring nonfinancial assets and nonfinancial liabilities. Non-recurring nonfinancial assets and nonfinancial liabilities for which it has not applied the provisions of SFAS 157 include those measured at fair value in goodwill impairment testing, indefinite lived intangible assets measured at fair value for impairment testing, asset retirement obligations initially measured at fair value, and those initially measured at fair value in a business combination.</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SFAS 157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the assets and liabilities carried at fair value measured on a recurring basis as of September 28, 2008 (in millions):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Value Measurements at September 28, 2008 Using</w:t>
      </w:r>
    </w:p>
    <w:p>
      <w:pPr>
        <w:spacing w:after="0" w:line="214"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Carrying Value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5"/>
              </w:rPr>
              <w:t>in active</w:t>
            </w:r>
          </w:p>
        </w:tc>
        <w:tc>
          <w:tcPr>
            <w:tcW w:w="2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2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49"/>
        </w:trPr>
        <w:tc>
          <w:tcPr>
            <w:tcW w:w="2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85"/>
              </w:rPr>
              <w:t>markets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4"/>
                <w:szCs w:val="14"/>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is validated with the use of a nationally recognized financial reporting service.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Customer Information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presents the Company's key customers from continuing operations for the periods presented and the percentage of net sales made to such customers (in millions):</w:t>
      </w:r>
    </w:p>
    <w:p>
      <w:pPr>
        <w:spacing w:after="0" w:line="236"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3"/>
              </w:rPr>
              <w:t>Key Customers</w:t>
            </w:r>
          </w:p>
        </w:tc>
        <w:tc>
          <w:tcPr>
            <w:tcW w:w="102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980" w:type="dxa"/>
            <w:vAlign w:val="bottom"/>
            <w:tcBorders>
              <w:bottom w:val="single" w:sz="8" w:color="auto"/>
            </w:tcBorders>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2007</w:t>
            </w:r>
          </w:p>
        </w:tc>
        <w:tc>
          <w:tcPr>
            <w:tcW w:w="18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September 28, 2008</w:t>
            </w:r>
          </w:p>
        </w:tc>
        <w:tc>
          <w:tcPr>
            <w:tcW w:w="160" w:type="dxa"/>
            <w:vAlign w:val="bottom"/>
          </w:tcPr>
          <w:p>
            <w:pPr>
              <w:spacing w:after="0"/>
              <w:rPr>
                <w:sz w:val="12"/>
                <w:szCs w:val="12"/>
                <w:color w:val="auto"/>
              </w:rPr>
            </w:pPr>
          </w:p>
        </w:tc>
        <w:tc>
          <w:tcPr>
            <w:tcW w:w="1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2007</w:t>
            </w:r>
          </w:p>
        </w:tc>
        <w:tc>
          <w:tcPr>
            <w:tcW w:w="160" w:type="dxa"/>
            <w:vAlign w:val="bottom"/>
          </w:tcPr>
          <w:p>
            <w:pPr>
              <w:spacing w:after="0"/>
              <w:rPr>
                <w:sz w:val="12"/>
                <w:szCs w:val="12"/>
                <w:color w:val="auto"/>
              </w:rPr>
            </w:pPr>
          </w:p>
        </w:tc>
        <w:tc>
          <w:tcPr>
            <w:tcW w:w="1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September 28, 2008</w:t>
            </w:r>
          </w:p>
        </w:tc>
        <w:tc>
          <w:tcPr>
            <w:tcW w:w="0" w:type="dxa"/>
            <w:vAlign w:val="bottom"/>
          </w:tcPr>
          <w:p>
            <w:pPr>
              <w:spacing w:after="0"/>
              <w:rPr>
                <w:sz w:val="1"/>
                <w:szCs w:val="1"/>
                <w:color w:val="auto"/>
              </w:rPr>
            </w:pPr>
          </w:p>
        </w:tc>
      </w:tr>
      <w:tr>
        <w:trPr>
          <w:trHeight w:val="210"/>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Navy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U.S. Army</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
              <w:spacing w:after="0"/>
              <w:rPr>
                <w:sz w:val="20"/>
                <w:szCs w:val="20"/>
                <w:color w:val="auto"/>
              </w:rPr>
            </w:pPr>
            <w:r>
              <w:rPr>
                <w:rFonts w:ascii="Arial" w:cs="Arial" w:eastAsia="Arial" w:hAnsi="Arial"/>
                <w:sz w:val="18"/>
                <w:szCs w:val="18"/>
                <w:color w:val="auto"/>
                <w:w w:val="79"/>
              </w:rPr>
              <w:t>13.3</w:t>
            </w: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$10.3</w:t>
            </w: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$36.3</w:t>
            </w: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$37.4</w:t>
            </w: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These key customers are all served by the Kratos Government Solutions segment. The top five customers accounted for approximately 64% and 63% of total revenue for the three and nine months ended September 30, 2007, respectively, and for approximately 58% and 62% of total revenue for the three and nine months ended September 28,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Prior to the divestiture of our wireless-related business, the Company had three operating segments: Wireless Network Services (WNS) segment, Enterprise Network Services (ENS) segment, and Government Network Services (GNS) segment. Following the divestiture of the WNS segment and corporate name change, the Company reorganized into two operating segments, Kratos Government Solutions (KGS) (formerly GNS) and Public Safety and Security (PSS) (formerly ENS). The financial statements in this Quarterly Report are presented in a manner consistent with the new operating structure.</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Certain income and charges are not allocated to segments in the Company's management reports because they are not considered in evaluating the segments' operating performance. Unallocated charges are related to corporate expenses previously allocated to the discontinued Wireless Network Services segment, share based compensation charges and related tax adjustments, expenses related to the stock option investigation, a benefit for the insurance proceeds received for the theft of stock options and a benefit related to a change in estimate for the Company's unused office space. These charges are included in corporate activities in the table below. Revenues and operating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generated by the Company's current reporting segments for the three and nine months ended September 30, 2007 and September 28, 2008 are as follows (in millions):</w:t>
      </w:r>
    </w:p>
    <w:p>
      <w:pPr>
        <w:spacing w:after="0" w:line="236"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9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9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89"/>
              </w:rPr>
              <w:t>2008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5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Corporate activities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income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Segment assets as of December 31, 2007 were $292.4 million for the Government Solutions segment and $22.5 million for the Public Safety and Security Segment. Both segments in total will have increased assets due to the acquisition of SYS of approximately $55.7 million. As of September 28, 2008, the allocation of the SYS assets to the segments has not been determined due to a restructuring analysis which is in progress and will be completed in the first half of 2009. This analysis will result in assets being allocated to both the Government Solutions Segment and the Public Safety and Security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2002, the Company issued 90,000 shares of Series B Convertible Preferred Stock in a private placement to entities affiliated with one of the directors of the Company (40,000 shares), to a brother of the previous Chairman and Chief Executive Officer of the Company (10,000 shares) and to an unrelated third-party investor (40,000 shares). As of September 28, 2008, a total of 10,000 shares of Series B Convertible Stock remain outstanding with a total liquidation preference of $5.0 million.</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acquired unsecured subordinated notes payable as a result of the SYS acquisition and $0.8 million of the notes are held by employees of SYS who are now employees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No. 01-CV-4779. In the amended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settlement was terminated pursuant to stipulation and will not receive final approval.</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amended complaints in the six focus cases in August 2007. The Company is not one of the focus case issuers. In September 2007, the Company's named officers and directors again extended the tolling agreement with plaintiffs. In September 2007, plaintiffs moved to certify the classes alleged in the focus cases and to appoint class representatives and class counsel in those cases. The focus case issuers filed motions to dismiss the claims against them in November 2007 and an opposition to plaintiffs' motion for class certification in December 2007. The Court denied the motions to dismiss on March 16, 2008. On October 2, 2008, the plaintiffs withdrew their class certification motion. Due to the inherent uncertainties of litigation, the ultimate outcome of this matter cannot be predicted. In accordance with FASB No. 5, "Accounting for Contingencies," the Company believes any contingent liability related to this claim is not probable or estimable and therefore no amounts have been accrued in regards to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action—In re Wireless Facilities, Inc. Securities Litigation, Master File 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Under the tentative settlement, plaintiffs and the class will dismiss all claims, with prejudice, in exchange for a cash payment in the total amount of $12 million. The Company's directors' and officers' liability insurers will pay the settlement amount in accordance with the Company's insurance policies, less any applicable retention or co-insurance obligations that are expected to be paid directly by the Company. The Company estimates that the amount of its payment toward the settlement will be approximately $2.4 million. The Company has accrued approximately $2.4 million as of September 28, 2008 related to this matter and paid $1.0 million in October 2008 from its restricted cash account. The Company expects to fund the remaining $2.0 million towards the settlement in the fourth quarter of 2008 and expects to receive $0.6 million from the insurance carriers for this payment in the first half of 2009.</w:t>
      </w:r>
    </w:p>
    <w:p>
      <w:pPr>
        <w:spacing w:after="0" w:line="200" w:lineRule="exact"/>
        <w:rPr>
          <w:sz w:val="20"/>
          <w:szCs w:val="20"/>
          <w:color w:val="auto"/>
        </w:rPr>
      </w:pPr>
    </w:p>
    <w:p>
      <w:pPr>
        <w:spacing w:after="0" w:line="203"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June 2008, the parties executed a Memorandum of Understanding documenting the essential terms of the proposed settlement and on August 8, 2008, the parties filed their joint motions for preliminary approval of the proposed settlement with the Court. The Company makes no assurances at this time that the Court will grant final approval of the proposed settlement terms or that the matter ultimately will be settled. Despite the pending settlement reached in this action, the Company believes that the allegations lack merit.</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2004, two derivative lawsuits were filed in the United States District Court for the Southern District of California against certain of the Company's current and former officers and directors: Pedicini v. Wireless Facilities, Inc., Case No. 04CV1663; and Roth v. Wireless Facilities, Inc., Case No.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Plaintiff's opening brief on the matter is due on or before December 2, 2008, and Defendant's response is due January 2, 2009. A hearing date on the matter has not been set. The parties have conferred and discussed the Court's personal jurisdictional order and notice of appeal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December 5,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83" w:lineRule="exact"/>
        <w:rPr>
          <w:sz w:val="20"/>
          <w:szCs w:val="20"/>
          <w:color w:val="auto"/>
        </w:rPr>
      </w:pPr>
    </w:p>
    <w:p>
      <w:pPr>
        <w:ind w:right="240" w:firstLine="351"/>
        <w:spacing w:after="0" w:line="289"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No.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 The Company believes that the allegations lacked merit and intended to vigorously defend all claims asserted.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No. GIC 834253. The plaintiffs filed a Consolidated Shareholder Derivative Complaint on October 14, 2004. This action has been stayed pending a decision in federal court on a motion to dismiss the federal derivative lawsuits. In October 2008, the parties notified the Court of the status of the federal action and the court continued the stay for an additional six months. The Court also ordered the parties to file an updated status report in April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$0.7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right="60" w:firstLine="351"/>
        <w:spacing w:after="0" w:line="282"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The consolidated class action complaint was filed on November 19, 2007. In March 2008, following a voluntary mediation of the matter, the parties reached a tentative agreement to settle the class action. Under the settlement proposal, plaintiffs and the class will dismiss all claims, with prejudice, in exchange for a cash payment in the amount of $4.5 million. The Company's directors' and officers' liability insurers will pay the settlement amount, less any applicable retention or co-insurance obligations and contributions that are expected to be paid directly by the Company. In May 2008, the parties executed a Memorandum of Understanding documenting the essential terms of the proposed settlement and on August 8, 2008, the parties filed their joint motions for preliminary approval of the proposed settlement with the Court. In July 2008, the Company paid</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$1.8 million related to the settlement of this litigation. The final fairness hearing on the proposed settlement is set for December 3, 2008. The Company makes no assurances at this time that the Court will grant final approval of the proposed settlement terms or that the matter ultimately will be settled. Despite the pending settlement reached in this action, the Company believes that the allegations lack merit.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$0.6 million for his back wages, vacation pay and certain other benefits. The Company filed an appeal in the matter on July 20, 2006 and is challenging the basis for the award on several theories.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 The Company has accrued approximately $0.5 million as of September 28, 2008 related to this matter.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Superior Court of the State of California, Alameda County. The suit alleges various violations of the California Labor Code and seeks payments for allegedly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unpaid straight time and overtime, meal period pay and associated penalties. The Company and the plaintiffs agreed to venue for the suit in San Diego County.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Although the Company believes that the allegations lack merit, it has agreed with the plaintiffs to settle their claims for an aggregate amount in the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to $0.5 million, to include individual and incentive awards, attorneys' fees and administrative costs, subject to court approval. The actual amount paid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by the Company will depend upon the number of responses received from members of the purported class of plaintiffs. The Company has recorded an accrual for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contingent liability associated with this legal proceeding in the amount of $0.3 million.</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investigation and that it did not intend to recommend any enforcement action by the SEC against the Company. Kratos has cooperated with, and continue to cooperate with the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is in the process of liquidating the remaining assets which approximate $0.1 million in value. In June 2008, the Company's insurance carrier agreed to reimburse the Company for $0.6 million related to the theft of stock options. In September 2008, the Company's directors' and officers' liability insurers agreed to reimburse the Company for $1 million related to fees previously incurred on the ongoing investigation by the U.S. Attorney's Office. As a result, a benefit for this amount has been recorded in the recovery of unauthorized issuance of stock options and stock option investigation and related fees line item for the three and nine month periods ended September 28, 2008 in the accompanying Consolidated Statements of Operations.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of the U.S. Department of Defense, which could cause delays or cancellations of key government contracts; the timing, rescheduling or cancellation of significant customer contracts and agreements, or consolidation by or the loss of key customers; risks that the integration of Haverstick and SYS will prove more costly, take more time, or be more distracting than currently anticipated; risks of adverse regulatory action or litigation; risks associated with debt leverage; failure to obtain court approval of the proposed litigation settlement or to ultimately settle the litigation; failure to successfully consummate acquisitions or integrate acquired operations; and competition in the marketplace which could reduce revenues and profit margins.</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i w:val="1"/>
          <w:iCs w:val="1"/>
          <w:color w:val="auto"/>
        </w:rPr>
        <w:t>Certain of the information set forth herein, including costs and expenses that exclude the impact of stock compensation expense and amortization costs of purchased intangibles in 2007 and 2008,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5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2007 and other reports and filings made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provide mission critical engineering, IT services and warfighter solutions to the U.S. government and government agencies, as well as to state and local agencies and commercial customers. Our principal services are related to, but are not limited to, Command, Control, Communications, Computing, Combat Systems Intelligence, Surveillance and Reconnaissance (C5ISR), weapon systems lifecycle support and extension, military range operations and technical services, missile, rocket and weapon test and evaluation, mission launch services, public safety, security and surveillance, advanced network engineering services and IT services, and critical infrastructure design and integration services.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We offer our customers solutions and expertise to support their mission-critical needs by leveraging our skills across these core service areas.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Historically, the majority of our business was concentrated in the area of wireless network services, and our business operated in three reportable segments: Wireless Network Services, Government Network Services, and Enterprise Network Services. 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2006 and 2007, we undertook a transformation strategy whereby we divested our wireless-related businesses and chose to pursue business with the federal government, primarily the U.S. Department of Defense, through strategic acquisitions and organic growth. We divested assets in our Wireless Network Services segment and renamed our Enterprise Network Services segment "Public Safety and Security". Today, under the new corporate name of Kratos Defense &amp; Security Solutions, Inc., we are organized into two primary operating segments: Kratos Government Solutions (KGS) and Public Safety &amp; Security (PSS).</w:t>
      </w:r>
    </w:p>
    <w:p>
      <w:pPr>
        <w:spacing w:after="0" w:line="16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in this Quarterly Report are presented in a manner consistent with our new operating structure. For additional information regarding our operating segments, see Note 11 of Notes to Consolidated Financial Statements. From a customer and solutions perspective, we view our business as an integrated whole, leveraging skills and assets wherever possible.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Segment (KGS)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Kratos Government Solutions segment provides engineering, information technology and technical services to federal, state, and local government agencies, but primarily the U.S. Department of Defense (DoD). Our work includes weapon systems lifecycle support and extension; C5ISR; military range operations and technical services; missile, rocket, and weapon systems test and evaluation; mission launch services; public safety and security services; advanced network engineering and information technology services; and public safety, security and surveillance systems integration. Our KGS segment also focuses on the homeland security market with products and services aimed at supporting first responders.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Segment (PSS)</w:t>
      </w:r>
    </w:p>
    <w:p>
      <w:pPr>
        <w:spacing w:after="0" w:line="225"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Our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and temperature control and 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Mid-Atlantic, Kratos Southeast, and Kratos Southwest, where we are focused on security, surveillance and other building automation and integration services.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complete description of our business is set forth in our Form 10-K filed with the Securities and Exchange Commission on March 27, 2008.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Divestiture of Wireless Network Business</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December 28, 2006, our Board approved a plan to divest portions of our business where critical mass had not been achieved. This plan involved the divestiture of our EMEA operations and our remaining South American operations. The EMEA operations were sold to LCC International, Inc. ("LCC") on March 9, 2007 for $4.0 million in cash, $3.3 million of which was received on that date. We also received approximately $1.8 million from our EMEA operations prior and subsequent to the closing date as payment on outstanding intercompany debt. The balance of the $0.7 million sales price was withheld as security for the satisfaction of certain indemnification obligations and was payable on March 31, 2008. Based upon our review of the most recently available financial statements of the buyer, as of December 31, 2007, we had concern about their ability to pay this holdback, due to their available liquidity. We recorded a reserve of</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$0.7 million for this receivable. In May 2008, we reached an agreement with LCC for the payment of the $0.7 million holdback amount, under which LCC agreed to pay as the outstanding balance in $0.1 million increments each month commencing June 30, 2008. We have not yet received any payments due according to the agreement. While we intend to vigorously pursue collection of the amounts, there is a substantial likelihood that we will not receive payment of the amount due, in light of LCC's apparent available liquidity amounts.</w:t>
      </w:r>
    </w:p>
    <w:p>
      <w:pPr>
        <w:spacing w:after="0" w:line="198"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On April 20, 2007, we entered into an Equity Purchase Agreement to sell all of the issued and outstanding equity of its interests of our wholly-owned subsidiary WFI de Brazil Techlogia en Telecommunications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With respect to the additional earn-out consideration, the Company has not received and does not anticipate receiving any payments.</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 May 29, 2007, we entered into an Asset Purchase Agreement with LCC International, Inc. for the sale of all of the assets used in the conduct of the operation of our engineering services business of our Wireless Network Services segment that provided engineering services to the non-government wireless communications industry in the United States, for aggregate consideration of $46 million. LCC delivered a subordinated promissory note for the principal amount of $21.6 million (the "Subordinated Promissory Note"), paid $17 million at closing and paid final working capital adjustments of $2.4 million through an amendment to the Subordinated Promissory Note. We retained an estimated $5.0 million in net working capital. The transaction was completed on June 4, 2007. On July 5, 2007, we sold the $21.6 million Subordinated Promissory Note to Silver Point Capital, L.P. ("Silver Point") in a transaction arranged by KeyBanc Capital Markets ("KeyBanc"). We received approximately $19.6 million in net cash proceeds, reflecting a discount from par value of less than five percent and aggregate transaction fees of approximately $1 million, which includes a $0.75 million fee to KeyBanc, an affiliate of our lender. On January 30, 2008, we received net proceeds of approximately $2.3 million on the working capital adjustment from Silver Point, net of a $0.1 million discount from par value. We did not provide any guaranty for LCC's payment obligations under the note.</w:t>
      </w:r>
    </w:p>
    <w:p>
      <w:pPr>
        <w:spacing w:after="0" w:line="17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July 7, 2007, we entered into a definitive agreement with an affiliate of Platinum Equity to sell our deployment services business of our Wireless Network Services segment for total consideration payable of $24 million, including $18 million in cash at closing (subject to typical post closing working capital adjustments) and an aggregate $6 million in a three-year earn-out arrangement. We also agreed to provide certain transition services for a period of six months. The assets sold to Platinum Equity included all of our wireless deployment business and the Wireless Facilities name. The transaction closed on July 24, 2007. As a result of these engineering and deployment services divestitures in 2007, the Wireless Network Services segment has been classified as a discontinued operation in this Quarterly Report and all prior year results presented herein have been reclassified to reflect these businesses as discontinued operations in accordance with SFAS No. 144, "Accounting for the Impairment or Disposal of Long-Lived Assets".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ind w:right="20" w:firstLine="351"/>
        <w:spacing w:after="0" w:line="253" w:lineRule="auto"/>
        <w:rPr>
          <w:sz w:val="20"/>
          <w:szCs w:val="20"/>
          <w:color w:val="auto"/>
        </w:rPr>
      </w:pPr>
      <w:r>
        <w:rPr>
          <w:rFonts w:ascii="Arial" w:cs="Arial" w:eastAsia="Arial" w:hAnsi="Arial"/>
          <w:sz w:val="18"/>
          <w:szCs w:val="18"/>
          <w:color w:val="auto"/>
        </w:rPr>
        <w:t>On September 25, 2007, we provided the working capital calculation to Platinum Equity, which indicated a working capital adjustment was due to Platinum Equity primarily due to cash collected on accounts receivables by us prior to the close of the transaction that exceeded our previous estimate of working capital to be delivered to Platinum Equity. On July 16, 2008, we came to an agreement with Platinum Equity on a working capital adjustment of $5.0 million. The adjustment is to be paid in installments with the first amount of $2.5 million due on July 31, 2008 and payments of $0.5 million monthly thereafter until paid in full in December 2008. The Company did not make the scheduled $2.5 million payment due as of July 31, 2008. Payments of $1.0 million were made in August and September of 2008, respectively. As of September 28, 2008, the balance of $3.0 million plus accrued interest on the payments outstanding has been reflected in other current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December 31, 2007, we completed our acquisition of Indianapolis, Indiana headquartered Haverstick Consulting, Inc. ("Haverstick") as part of our KGS segment. Haverstick provides rocket and missile test and evaluation, weapons systems support, and professional services to the U.S. Army, U.S. Air Force, U.S. Navy, NASA, and other federal, state and local agencies. Through the Haverstick acquisition, we expanded our customer relationship within the DoD and enhanced our presence with the U.S. Air Force, a key growth area for Haverstick.</w:t>
      </w:r>
    </w:p>
    <w:p>
      <w:pPr>
        <w:spacing w:after="0" w:line="197" w:lineRule="exact"/>
        <w:rPr>
          <w:sz w:val="20"/>
          <w:szCs w:val="20"/>
          <w:color w:val="auto"/>
        </w:rPr>
      </w:pPr>
    </w:p>
    <w:p>
      <w:pPr>
        <w:ind w:right="740" w:firstLine="348"/>
        <w:spacing w:after="0" w:line="286" w:lineRule="auto"/>
        <w:rPr>
          <w:sz w:val="20"/>
          <w:szCs w:val="20"/>
          <w:color w:val="auto"/>
        </w:rPr>
      </w:pPr>
      <w:r>
        <w:rPr>
          <w:rFonts w:ascii="Arial" w:cs="Arial" w:eastAsia="Arial" w:hAnsi="Arial"/>
          <w:sz w:val="16"/>
          <w:szCs w:val="16"/>
          <w:color w:val="auto"/>
        </w:rPr>
        <w:t>The total purchase price was $90.2 million including transaction costs incurred by Kratos of $0.5 million. The purchase price paid to Haverstick of $89.7 million was paid in a combination of $70.3 million of cash and common stock valued at $19.4 million. We paid $66.7 million in cash at closing,</w:t>
      </w:r>
    </w:p>
    <w:p>
      <w:pPr>
        <w:ind w:right="60"/>
        <w:spacing w:after="0" w:line="250" w:lineRule="auto"/>
        <w:rPr>
          <w:sz w:val="20"/>
          <w:szCs w:val="20"/>
          <w:color w:val="auto"/>
        </w:rPr>
      </w:pPr>
      <w:r>
        <w:rPr>
          <w:rFonts w:ascii="Arial" w:cs="Arial" w:eastAsia="Arial" w:hAnsi="Arial"/>
          <w:sz w:val="16"/>
          <w:szCs w:val="16"/>
          <w:color w:val="auto"/>
        </w:rPr>
        <w:t>$2.4 million in cash shortly thereafter and $12.0 million of common stock. In addition, $1.2 million in cash and $7.4 million in stock was held back to secure any negative working capital adjustments required by the merger agreement and our indemnity rights. The holdback consideration, which accrues interest in accordance with the terms of the agreement until paid, will be released on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and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month after the date of the acquisition. In addition to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indemnity holdback, the agreement also calls for a post closing working capital adjustment. To fund the acquisition, we secured a new credit facility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$85.0 million arranged by KeyBanc Capital Markets. The credit facility, which includes a $25.0 million line of credit and $60.0 million in term notes, replaced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previous credit facility, which had an outstanding principal balance of $6.0 million on December 31, 2007.</w:t>
      </w:r>
    </w:p>
    <w:p>
      <w:pPr>
        <w:spacing w:after="0" w:line="21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February 2008, we and Haverstick agreed on the working capital calculation called for in the agreement. The calculation resulted in a working capital adjustment due to Haverstick in an amount of $1.5 million. The working capital adjustment was paid in April 2008 with 697,315 shares of common stock valued at $1.3 million and cash of $0.2 million.</w:t>
      </w:r>
    </w:p>
    <w:p>
      <w:pPr>
        <w:spacing w:after="0" w:line="194"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Until the date on which the shares of stock became salable interest shall accrued on the value of the closing stock at a floating rate of one-month LIBOR plus four percent (4%) per annum. The shares became saleable on June 30, 2008 and 167,692 additional shares were issued in satisfaction of the accrued interest.</w:t>
      </w:r>
    </w:p>
    <w:p>
      <w:pPr>
        <w:spacing w:after="0" w:line="116"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On June 28, 2008, we completed our merger with SYS Technologies ("SYS"), a San Diego-based company. The merger enhances our position as a premier mid-tier federal, state and local government contractor in the United States in the areas of C5ISR, IT services and public safety and homeland security solutions. The merger creates a broad, complementary set of business offerings, and positions the company to deliver capabilities to a wider spectrum of customers.</w:t>
      </w:r>
    </w:p>
    <w:p>
      <w:pPr>
        <w:spacing w:after="0" w:line="14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issued 25.3 million shares to SYS shareholders in the merger, for a total purchase price of $55.2 million including direct transaction costs of $2.3 million Each share of SYS common stock was converted into the right to receive 1.2582 shares of Kratos common stockin the merger. The value of the Kratos common stock issued in the merger was derived from the number of shares of Kratos common stock issued, or 25.3 million, at a price of $2.022 per share, the average closing price of Kratos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shares of common stock for the two days prior to, including, and two days subsequent to the public announcement of the merger on February 21,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Statement Concepts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28, 2008, we consider the following factors to be important in understanding our financial statements.</w:t>
      </w:r>
    </w:p>
    <w:p>
      <w:pPr>
        <w:spacing w:after="0" w:line="225"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Security and Safety contracts are primarily fixed-price contracts whereby revenue is recognized using the percentage-of-completion method of accounting under the provisions of Statement of Position (SOP) 81-1, "Accounting for Performance of Construction Type and Certain Production Type Contracts." For contracts offered on a time and material basis, we recognize revenues as services are performed.</w:t>
      </w:r>
    </w:p>
    <w:p>
      <w:pPr>
        <w:spacing w:after="0" w:line="15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believe that our Kratos Government Solutions segment will build and expand our customer relationships within the Department of Defense, Department of Homeland Security and other non-DoD state and local agencies by taking advantage of the significant opportunities for companies with substantial expertise in advanced engineering and information technology. We believe we will experience continued growth in revenues and operating income from this operating segment. The acquisitions of Haverstick on December 31, 2007 and SYS on June 28, 2008 resulted in the addition of nearly 900 highly skilled technical professionals and engineers with expertise in the areas of military weapons and target range support as well as targets and missile operations and maintenance.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Balance Sheet Changes September 28, 2008 Compared to December 31, 2007</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Total assets increased from $335.3 million as of December 31, 2007 to $382.8 million as of September 28, 2008. The primary changes are in accounts receivable and goodwill which are directly attributable to the acquisition of SYS. In addition, additional paid-in capital increased $54.1 million, again driven primarily by the SYS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2007 to the Three Months Ended September 28, 2008</w:t>
      </w:r>
    </w:p>
    <w:p>
      <w:pPr>
        <w:spacing w:after="0" w:line="225"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$34.0 million from $47.5 million for the three months ended September 30, 2007 to $81.5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28, 2008. This increase was due to $20.6 million in revenues from Haverstick, which was acquired in December 2007 and $18.9 million in revenues from SYS, which was acquired on June 28, 2008, offset by decreased revenue of $3.1 million as a result of the impact of the conversion of our work as prime to subcontractor on one of our target range projects, which was recently recompeted and awarded to a small business. In addition, revenues in our KGS Segment were also impacted by reductions in lower margin materials and subcontract work. Revenue in our PSS segment increased slightly from $12.7 million in the third quarter of 2007 to $13.0 million in the third quarter of 2008.</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three months ended September 30, 2007 and September 28, 2008 are as follows (in millions):</w:t>
      </w:r>
    </w:p>
    <w:p>
      <w:pPr>
        <w:spacing w:after="0" w:line="208"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161"/>
        </w:trPr>
        <w:tc>
          <w:tcPr>
            <w:tcW w:w="31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$ 34.8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$ 68.5</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$ 33.7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
        </w:trPr>
        <w:tc>
          <w:tcPr>
            <w:tcW w:w="3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$ 47.5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$ 81.5</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$ 34.0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r>
      <w:tr>
        <w:trPr>
          <w:trHeight w:val="27"/>
        </w:trPr>
        <w:tc>
          <w:tcPr>
            <w:tcW w:w="3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right="60" w:firstLine="395"/>
        <w:spacing w:after="0" w:line="25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$39.3 million for the three months ended September 30, 2007 to $63.6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28, 2008, primarily as a result of the increase in revenue related to the acquisitions of Haverstick and SYS. Gross margin increased from 17.3% to 22.0%, for the three months ended September 30, 2007 and September 28, 2008, respectively. The increase in gross margin primarily resulted from higher gross margins in our KGS segment as a result of our Haverstick and SYS acquisitions due to the mix of revenues as well as due to the classification of costs between cost of sales and SG&amp;A in accordance with government accounting standards, as well as improved operational performance in our PSS segment, for which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margins increased from 25.4% to 29.5% for the three month period ended September 30, 2007 and September 28, 2008, respectively.</w:t>
      </w:r>
    </w:p>
    <w:p>
      <w:pPr>
        <w:spacing w:after="0" w:line="225" w:lineRule="exact"/>
        <w:rPr>
          <w:sz w:val="20"/>
          <w:szCs w:val="20"/>
          <w:color w:val="auto"/>
        </w:rPr>
      </w:pPr>
    </w:p>
    <w:p>
      <w:pPr>
        <w:ind w:right="120" w:firstLine="395"/>
        <w:spacing w:after="0" w:line="25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from $8.9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2007 to $14.6 million in the three months ended September 28, 2008. As a percentage of revenues, SG&amp;A decreased from 18.7% to 17.9% for the three month period ended September 30, 2007 and September 28, 2008, respectively, reflecting the impact of leverage from the SG&amp;A infrastructure as revenues increased. The SG&amp;A increase of $5.7 million was primarily a result of the Haverstick and SYS acquisitions. Included in SG&amp;A for the three months ended September 30, 2007 and September 28, 2008 is amortization of purchased intangibles of $0.7 million and $1.3 million, respectively. Excluding the impact of the amortization of purchased intangibles, SG&amp;A decreased from 17.3% to 16.3% for the three months ended September 30, 2007 and September 28, 2008, respectively.</w:t>
      </w:r>
    </w:p>
    <w:p>
      <w:pPr>
        <w:spacing w:after="0" w:line="201" w:lineRule="exact"/>
        <w:rPr>
          <w:sz w:val="20"/>
          <w:szCs w:val="20"/>
          <w:color w:val="auto"/>
        </w:rPr>
      </w:pPr>
    </w:p>
    <w:p>
      <w:pPr>
        <w:ind w:right="100" w:firstLine="395"/>
        <w:spacing w:after="0" w:line="25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from zero for the three months ended September 30, 2007 to $1.0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28, 2008 as a result of the SYS acquisition. These expenses relate to products that address the information connectivity needs of target customers in the information technology (IT) and PSS markets. Research, engineering and development (R&amp;D) expenses include burdened labor and material costs to develop new products as well as maintaining and enhancing our existing product capabilities. These expenses are primarily attributable to research and development as well as sustaining engineering related to network security and management product lines and IP video and data distribution product lines.</w:t>
      </w:r>
    </w:p>
    <w:p>
      <w:pPr>
        <w:spacing w:after="0" w:line="198" w:lineRule="exact"/>
        <w:rPr>
          <w:sz w:val="20"/>
          <w:szCs w:val="20"/>
          <w:color w:val="auto"/>
        </w:rPr>
      </w:pPr>
    </w:p>
    <w:p>
      <w:pPr>
        <w:ind w:left="400"/>
        <w:spacing w:after="0"/>
        <w:tabs>
          <w:tab w:leader="none" w:pos="6140" w:val="left"/>
        </w:tabs>
        <w:rPr>
          <w:sz w:val="20"/>
          <w:szCs w:val="20"/>
          <w:color w:val="auto"/>
        </w:rPr>
      </w:pPr>
      <w:r>
        <w:rPr>
          <w:rFonts w:ascii="Arial" w:cs="Arial" w:eastAsia="Arial" w:hAnsi="Arial"/>
          <w:sz w:val="18"/>
          <w:szCs w:val="18"/>
          <w:i w:val="1"/>
          <w:iCs w:val="1"/>
          <w:color w:val="auto"/>
        </w:rPr>
        <w:t>Impairment of Assets and Adjustments to the Liability for Unused Office Space.</w:t>
      </w:r>
      <w:r>
        <w:rPr>
          <w:sz w:val="20"/>
          <w:szCs w:val="20"/>
          <w:color w:val="auto"/>
        </w:rPr>
        <w:tab/>
      </w:r>
      <w:r>
        <w:rPr>
          <w:rFonts w:ascii="Arial" w:cs="Arial" w:eastAsia="Arial" w:hAnsi="Arial"/>
          <w:sz w:val="15"/>
          <w:szCs w:val="15"/>
          <w:color w:val="auto"/>
        </w:rPr>
        <w:t>Costs related to the impairment of assets and adjustments to the liability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for unused office space decreased from $1.2 million in the three months ended September 30, 2007 to $0.3 million in the three months ended September 28, 2008.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costs in the third quarter of 2007 of $1.2 million were comprised of $0.8 million for an excess facility accrual for obligations under facility leases that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unfavorably impacted by our divestitures of our wireless network services businesses which resulted in unused office space, $0.2 million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of leasehold improvements for these facilities and $0.2 million related to an impairment of fixed assets. The costs in the third quarter of 2008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are comprised of the write-off of fees related to our withdrawl of our Form S-3 and S-4 shelf registration statements which will no longer be able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 used as a result of a change in regulations, partially offset by a favorable adjustment to our unused office space accrual as the result of a sublease of additional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space at our corporate office.</w:t>
      </w:r>
    </w:p>
    <w:p>
      <w:pPr>
        <w:spacing w:after="0" w:line="219" w:lineRule="exact"/>
        <w:rPr>
          <w:sz w:val="20"/>
          <w:szCs w:val="20"/>
          <w:color w:val="auto"/>
        </w:rPr>
      </w:pPr>
    </w:p>
    <w:p>
      <w:pPr>
        <w:ind w:firstLine="395"/>
        <w:spacing w:after="0" w:line="253" w:lineRule="auto"/>
        <w:rPr>
          <w:sz w:val="20"/>
          <w:szCs w:val="20"/>
          <w:color w:val="auto"/>
        </w:rPr>
      </w:pPr>
      <w:r>
        <w:rPr>
          <w:rFonts w:ascii="Arial" w:cs="Arial" w:eastAsia="Arial" w:hAnsi="Arial"/>
          <w:sz w:val="18"/>
          <w:szCs w:val="18"/>
          <w:i w:val="1"/>
          <w:iCs w:val="1"/>
          <w:color w:val="auto"/>
        </w:rPr>
        <w:t xml:space="preserve">Recovery of Unauthorized Issuance of Stock Options and Stock Option Investigation and Related Fees. </w:t>
      </w:r>
      <w:r>
        <w:rPr>
          <w:rFonts w:ascii="Arial" w:cs="Arial" w:eastAsia="Arial" w:hAnsi="Arial"/>
          <w:sz w:val="18"/>
          <w:szCs w:val="18"/>
          <w:color w:val="auto"/>
        </w:rPr>
        <w:t>Costs related to the recovery of unauthorized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stock options and stock option investigation and related fees decreased from an expense of $6.5 million in the three months ended September 30, 2007 to a benefit of $1.0 million in the three months ended September 28, 2008. The costs in the third quarter of 2007 of $6.5 million were comprised of legal, accountant and other professional fees related to our equity award review, which was completed in September 2007, and the government inquiries by the Department of Justice and recently completed inquiries by the SEC. In September 2008, the Company's directors' and officers' liability insurers agreed to reimburse us for $1.0 million related to fees previously incurred on the ongoing investigation by the U.S. Attorney's Office which has been recorded as a credit in the three month period ended September 28, 2008.</w:t>
      </w:r>
    </w:p>
    <w:p>
      <w:pPr>
        <w:spacing w:after="0" w:line="201" w:lineRule="exact"/>
        <w:rPr>
          <w:sz w:val="20"/>
          <w:szCs w:val="20"/>
          <w:color w:val="auto"/>
        </w:rPr>
      </w:pPr>
    </w:p>
    <w:p>
      <w:pPr>
        <w:ind w:right="20" w:firstLine="395"/>
        <w:spacing w:after="0" w:line="268"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(expense) decreased from income of $0.1 million to an expense of $2.9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and September 28, 2008, respectively.</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Other income for the three months ended September 30, 2007 was primarily related to the sale of assets. Total interest expense related to our prior credit facility for the three months ended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 xml:space="preserve">September 30, 2007 was $0.1 million.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interest expense on the debt of</w:t>
      </w:r>
    </w:p>
    <w:p>
      <w:pPr>
        <w:spacing w:after="0" w:line="38"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$0.1 million for the three months ended September 30, 2007 that was required to be repaid as a result of the sales of our Wireless Network Services business was allocated to discontinued operations for the periods presented. See Note 6 to the financial statements included elsewhere herein.</w:t>
      </w:r>
    </w:p>
    <w:p>
      <w:pPr>
        <w:spacing w:after="0" w:line="14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the three months ended September 29, 2008, we incurred interest expense of $2.7 million primarily as a result of borrowings on our credit facility for the Haverstick acquisition. In addition, other expense of $0.2 million was recorded to reflect primarily marking to market our $70 million derivative financial instruments we entered into to reduce our exposure to variable rates on our outstanding debt.</w:t>
      </w:r>
    </w:p>
    <w:p>
      <w:pPr>
        <w:spacing w:after="0" w:line="194" w:lineRule="exact"/>
        <w:rPr>
          <w:sz w:val="20"/>
          <w:szCs w:val="20"/>
          <w:color w:val="auto"/>
        </w:rPr>
      </w:pPr>
    </w:p>
    <w:p>
      <w:pPr>
        <w:ind w:firstLine="395"/>
        <w:spacing w:after="0" w:line="29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increased from a provision of $0.4 million or a negative 4.8% rate on a loss before income taxes of</w:t>
      </w:r>
      <w:r>
        <w:rPr>
          <w:rFonts w:ascii="Arial" w:cs="Arial" w:eastAsia="Arial" w:hAnsi="Arial"/>
          <w:sz w:val="16"/>
          <w:szCs w:val="16"/>
          <w:i w:val="1"/>
          <w:iCs w:val="1"/>
          <w:color w:val="auto"/>
        </w:rPr>
        <w:t xml:space="preserve"> </w:t>
      </w:r>
      <w:r>
        <w:rPr>
          <w:rFonts w:ascii="Arial" w:cs="Arial" w:eastAsia="Arial" w:hAnsi="Arial"/>
          <w:sz w:val="16"/>
          <w:szCs w:val="16"/>
          <w:color w:val="auto"/>
        </w:rPr>
        <w:t>$8.3 million in the third quarter of 2007, to a provision of $0.5 million, or 500% on income before income taxes of $0.1 million. The tax provision in the third quarter of 2007 and 2008 were primarily due to an increase in the deferred tax liability related to temporary differences on indefinite life intangibles that were not offset by deferred tax assets due to the full valuation allowance we have recorded on these assets, plus certain state taxes.</w:t>
      </w:r>
    </w:p>
    <w:p>
      <w:pPr>
        <w:spacing w:after="0" w:line="167" w:lineRule="exact"/>
        <w:rPr>
          <w:sz w:val="20"/>
          <w:szCs w:val="20"/>
          <w:color w:val="auto"/>
        </w:rPr>
      </w:pPr>
    </w:p>
    <w:p>
      <w:pPr>
        <w:ind w:left="400"/>
        <w:spacing w:after="0"/>
        <w:tabs>
          <w:tab w:leader="none" w:pos="3740" w:val="left"/>
        </w:tabs>
        <w:rPr>
          <w:sz w:val="20"/>
          <w:szCs w:val="20"/>
          <w:color w:val="auto"/>
        </w:rPr>
      </w:pPr>
      <w:r>
        <w:rPr>
          <w:rFonts w:ascii="Arial" w:cs="Arial" w:eastAsia="Arial" w:hAnsi="Arial"/>
          <w:sz w:val="18"/>
          <w:szCs w:val="18"/>
          <w:i w:val="1"/>
          <w:iCs w:val="1"/>
          <w:color w:val="auto"/>
        </w:rPr>
        <w:t>Income (loss) from Discontinued Operations.</w:t>
      </w:r>
      <w:r>
        <w:rPr>
          <w:sz w:val="20"/>
          <w:szCs w:val="20"/>
          <w:color w:val="auto"/>
        </w:rPr>
        <w:tab/>
      </w:r>
      <w:r>
        <w:rPr>
          <w:rFonts w:ascii="Arial" w:cs="Arial" w:eastAsia="Arial" w:hAnsi="Arial"/>
          <w:sz w:val="15"/>
          <w:szCs w:val="15"/>
          <w:color w:val="auto"/>
        </w:rPr>
        <w:t>Loss from discontinued operations decreased from $4.7 million for the three months ended September 30,</w:t>
      </w:r>
    </w:p>
    <w:p>
      <w:pPr>
        <w:spacing w:after="0" w:line="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2007 to income $0.2 million for the three months ended September 28, 2008. The loss in 2007 was primarily due to a loss on disposal of $1.9 million on the sale of the Wireless Deployment Services business operations in the third quarter of 2007 as well as a charge for excess facility accrual of approximately $1.1 million related to certain facility leases of Deployment field offices that were not assumed by the buyer. Revenues and operating income (loss) generated by these businesses in the third quarter of 2007, excluding the loss on sale of deployment and the charge for the excess facility accrual, through the date of divestiture and quarter end, were approximately $6.1 million and operating loss of $1.4 million, respectively. For the three months ended September 28, 2008, we had no income before tax and a tax benefit of $0.2 million related to foreign exchange adjustments netted with interest accrued for certain foreign tax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30, 2007 to the Nine Months Ended September 28, 2008</w:t>
      </w:r>
    </w:p>
    <w:p>
      <w:pPr>
        <w:spacing w:after="0" w:line="225" w:lineRule="exact"/>
        <w:rPr>
          <w:sz w:val="20"/>
          <w:szCs w:val="20"/>
          <w:color w:val="auto"/>
        </w:rPr>
      </w:pPr>
    </w:p>
    <w:p>
      <w:pPr>
        <w:ind w:right="60" w:firstLine="395"/>
        <w:spacing w:after="0" w:line="294"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53.8% from $144.3 million for the nine months ended September 30, 2007 to $222.0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28, 2008, offset by decreased revenue of $3.1 million as a result of the impact of the conversion of our work as prime to subcontractor on one of our target range projects, which was recently recompeted and awarded to a small business. In addition, revenues in our Government Solutions segment were also impacted by reductions in lower margin materials and subcontract work. Revenue growth in our PSS segment of $2.5 million was primarily related to an increase in facility automation and security projects performed over the prior year in our mid-atlantic and southwest markets.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nine months ended September 30, 2007 and September 28, 2008 are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61"/>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change</w:t>
            </w: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10"/>
        </w:trPr>
        <w:tc>
          <w:tcPr>
            <w:tcW w:w="28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$ 107.4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$ 182.6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$ 75.2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2780" w:type="dxa"/>
            <w:vAlign w:val="bottom"/>
          </w:tcPr>
          <w:p>
            <w:pPr>
              <w:spacing w:after="0"/>
              <w:rPr>
                <w:sz w:val="18"/>
                <w:szCs w:val="18"/>
                <w:color w:val="auto"/>
              </w:rPr>
            </w:pPr>
          </w:p>
        </w:tc>
      </w:tr>
      <w:tr>
        <w:trPr>
          <w:trHeight w:val="222"/>
        </w:trPr>
        <w:tc>
          <w:tcPr>
            <w:tcW w:w="280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36.9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2780" w:type="dxa"/>
            <w:vAlign w:val="bottom"/>
          </w:tcPr>
          <w:p>
            <w:pPr>
              <w:spacing w:after="0"/>
              <w:rPr>
                <w:sz w:val="19"/>
                <w:szCs w:val="19"/>
                <w:color w:val="auto"/>
              </w:rPr>
            </w:pPr>
          </w:p>
        </w:tc>
      </w:tr>
      <w:tr>
        <w:trPr>
          <w:trHeight w:val="21"/>
        </w:trPr>
        <w:tc>
          <w:tcPr>
            <w:tcW w:w="2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10"/>
        </w:trPr>
        <w:tc>
          <w:tcPr>
            <w:tcW w:w="2800" w:type="dxa"/>
            <w:vAlign w:val="bottom"/>
          </w:tcPr>
          <w:p>
            <w:pPr>
              <w:spacing w:after="0"/>
              <w:rPr>
                <w:sz w:val="18"/>
                <w:szCs w:val="18"/>
                <w:color w:val="auto"/>
              </w:rPr>
            </w:pPr>
          </w:p>
        </w:tc>
        <w:tc>
          <w:tcPr>
            <w:tcW w:w="2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$ 144.3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$ 222.0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$ 77.7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2780" w:type="dxa"/>
            <w:vAlign w:val="bottom"/>
          </w:tcPr>
          <w:p>
            <w:pPr>
              <w:spacing w:after="0"/>
              <w:rPr>
                <w:sz w:val="18"/>
                <w:szCs w:val="18"/>
                <w:color w:val="auto"/>
              </w:rPr>
            </w:pPr>
          </w:p>
        </w:tc>
      </w:tr>
      <w:tr>
        <w:trPr>
          <w:trHeight w:val="27"/>
        </w:trPr>
        <w:tc>
          <w:tcPr>
            <w:tcW w:w="2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0"/>
        </w:trPr>
        <w:tc>
          <w:tcPr>
            <w:tcW w:w="2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11"/>
        </w:trPr>
        <w:tc>
          <w:tcPr>
            <w:tcW w:w="2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60" w:type="dxa"/>
            <w:vAlign w:val="bottom"/>
            <w:gridSpan w:val="2"/>
          </w:tcPr>
          <w:p>
            <w:pPr>
              <w:jc w:val="right"/>
              <w:ind w:right="472"/>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8"/>
        </w:trPr>
        <w:tc>
          <w:tcPr>
            <w:tcW w:w="28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ind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firstLine="395"/>
        <w:spacing w:after="0" w:line="253"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$121.3 million for the nine months ended September 30, 2007 to $178.6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28, 2008, primarily due to the corresponding aforementioned increase in total revenues related to the Haverstick and SYS acquisitions. Gross margin increased from 15.9% of total revenues for the nine months ended September 30, 2007 to 19.5% for the same period in 2008. The increase in gross margin resulted primarily from increased margins in the Government Solutions segment from our Haverstick and SYS acquisitions due to the mix of revenues as well as due to the classification of costs between cost of sales and SG&amp;A in accordance with government accounting standards, as well as improved operational performance in our PSS segment, for which margins increased from 21.1% to 27.2% for the nine month periods ended September 30, 2007 and September 28, 2008, respectively.</w:t>
      </w:r>
    </w:p>
    <w:p>
      <w:pPr>
        <w:spacing w:after="0" w:line="201" w:lineRule="exact"/>
        <w:rPr>
          <w:sz w:val="20"/>
          <w:szCs w:val="20"/>
          <w:color w:val="auto"/>
        </w:rPr>
      </w:pPr>
    </w:p>
    <w:p>
      <w:pPr>
        <w:ind w:firstLine="395"/>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from $28.8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2007 to $37.7 million for the nine months ended September 28, 2008, primarily reflecting SG&amp;A of $15.5 million incurred by Haverstick and SYS offset by a reduction of $6.6 million related to cost reductions that occurred after the sale of our legacy wireless business in 2007. Included in the SG&amp;A for the nine months of 2007 and 2008 is amortization of purchased intangibles of $2.1 million and $3.6 million, respectively. The increase in amortization year over year is primarily a result of the Haverstick and SYS acquisitions. As a percentage of revenues, SG&amp;A decreased from 20.0% in the first nine months of 2007 to 17.0% in the first nine months of 2008, reflecting the leverage of our SG&amp;A infrastructure with increased revenues. Excluding the impact of the amortization of purchased intangibles, SG&amp;A decreased from 18.5% to 15.4% of revenues for the first nine months of 2007 and 2008, respectively.</w:t>
      </w:r>
    </w:p>
    <w:p>
      <w:pPr>
        <w:spacing w:after="0" w:line="172" w:lineRule="exact"/>
        <w:rPr>
          <w:sz w:val="20"/>
          <w:szCs w:val="20"/>
          <w:color w:val="auto"/>
        </w:rPr>
      </w:pPr>
    </w:p>
    <w:p>
      <w:pPr>
        <w:ind w:right="160" w:firstLine="395"/>
        <w:spacing w:after="0" w:line="294"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from zero for the nine months ended September 30, 2007 to $1.0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28, 2008 as a result of the SYS acquisition. These expenses relate to products that address the information connectivity needs of target customers in the IT and PSS markets. Research, engineering and development (R&amp;D) expenses include burdened labor and material costs to develop new products as well as maintaining and enhancing our existing product capabilities. These expenses are primarily attributable to research and development as well as sustaining engineering related to network security and management product lines and IP video and data distribution product lines.</w:t>
      </w:r>
    </w:p>
    <w:p>
      <w:pPr>
        <w:spacing w:after="0" w:line="170" w:lineRule="exact"/>
        <w:rPr>
          <w:sz w:val="20"/>
          <w:szCs w:val="20"/>
          <w:color w:val="auto"/>
        </w:rPr>
      </w:pPr>
    </w:p>
    <w:p>
      <w:pPr>
        <w:ind w:right="180" w:firstLine="395"/>
        <w:spacing w:after="0" w:line="256" w:lineRule="auto"/>
        <w:rPr>
          <w:sz w:val="20"/>
          <w:szCs w:val="20"/>
          <w:color w:val="auto"/>
        </w:rPr>
      </w:pPr>
      <w:r>
        <w:rPr>
          <w:rFonts w:ascii="Arial" w:cs="Arial" w:eastAsia="Arial" w:hAnsi="Arial"/>
          <w:sz w:val="18"/>
          <w:szCs w:val="18"/>
          <w:i w:val="1"/>
          <w:iCs w:val="1"/>
          <w:color w:val="auto"/>
        </w:rPr>
        <w:t xml:space="preserve">Impairment of Assets and Adjustments to the Liability for Unused Office Space. </w:t>
      </w:r>
      <w:r>
        <w:rPr>
          <w:rFonts w:ascii="Arial" w:cs="Arial" w:eastAsia="Arial" w:hAnsi="Arial"/>
          <w:sz w:val="18"/>
          <w:szCs w:val="18"/>
          <w:color w:val="auto"/>
        </w:rPr>
        <w:t>Costs related to the impairment of assets and adjustments to the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unused office space decreased from $1.2 million in the nine months ended September 30, 2007 to a benefit $0.3 million in the nine months ended September 28, 2008. The costs in the nine months ended September 30, 2007 of $1.2 million were comprised of $0.8 million for an excess facility accrual for obligations under facility leases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right="220"/>
        <w:spacing w:after="0" w:line="294" w:lineRule="auto"/>
        <w:rPr>
          <w:sz w:val="20"/>
          <w:szCs w:val="20"/>
          <w:color w:val="auto"/>
        </w:rPr>
      </w:pPr>
      <w:r>
        <w:rPr>
          <w:rFonts w:ascii="Arial" w:cs="Arial" w:eastAsia="Arial" w:hAnsi="Arial"/>
          <w:sz w:val="16"/>
          <w:szCs w:val="16"/>
          <w:color w:val="auto"/>
        </w:rPr>
        <w:t>were unfavorably impacted by our divestitures of our Wireless Network Services business which resulted in unused office space, $0.2 million related to the impairment of leasehold improvements for these facilities and $0.2 million related to an impairment of fixed assets. The benefit in the nine months ended September 28, 2008 of $0.3 million is primarily a result of a change in estimate of our excess facility accrual for obligations under facility leases. As a result of the SYS acquisition, we determined that a portion of our corporate facility will be used commencing in the third quarter of 2008. This was partially offset by a write-off of fees related to our withdrawl of S-3 and S-4 registration statements which will no longer be able to be used as a result of the change in regulations.</w:t>
      </w:r>
    </w:p>
    <w:p>
      <w:pPr>
        <w:spacing w:after="0" w:line="170" w:lineRule="exact"/>
        <w:rPr>
          <w:sz w:val="20"/>
          <w:szCs w:val="20"/>
          <w:color w:val="auto"/>
        </w:rPr>
      </w:pPr>
    </w:p>
    <w:p>
      <w:pPr>
        <w:ind w:right="20" w:firstLine="395"/>
        <w:spacing w:after="0" w:line="289" w:lineRule="auto"/>
        <w:rPr>
          <w:sz w:val="20"/>
          <w:szCs w:val="20"/>
          <w:color w:val="auto"/>
        </w:rPr>
      </w:pPr>
      <w:r>
        <w:rPr>
          <w:rFonts w:ascii="Arial" w:cs="Arial" w:eastAsia="Arial" w:hAnsi="Arial"/>
          <w:sz w:val="16"/>
          <w:szCs w:val="16"/>
          <w:i w:val="1"/>
          <w:iCs w:val="1"/>
          <w:color w:val="auto"/>
        </w:rPr>
        <w:t xml:space="preserve">Recovery of Unauthorized Issuance of Stock Options and Stock Option Investigation and Related Fees. </w:t>
      </w:r>
      <w:r>
        <w:rPr>
          <w:rFonts w:ascii="Arial" w:cs="Arial" w:eastAsia="Arial" w:hAnsi="Arial"/>
          <w:sz w:val="16"/>
          <w:szCs w:val="16"/>
          <w:color w:val="auto"/>
        </w:rPr>
        <w:t>Costs related to the recovery of unauthorized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stock options and stock option investigation and related fees decreased from an expense of $13.0 million in the nine months ended September 30, 2007 to a benefit of $1.6 million in the nine months ended September 28, 2008. The costs in the nine months ended September 30, 2007 of $13.0 million were comprised of legal, accountant and other professional fees related to our equity award review which was completed in September 2007 and the government inquiries by the Department of Justice and recently completed inquiries by the SEC. The benefit of $1.6 million in the nine months ended September 28, 2008 is a result of insurance carriers agreeing to reimburse us for costs previously expensed. In June 2008, our insurance carrier agreed to reimburse us for $0.6 million related to the theft of stock options. In September 2008, our directors' and officers' liability insurers agreed to reimburse the us for $1.0 million related to fees previously incurred on the ongoing investigation by the U.S. Attorney's Office.</w:t>
      </w:r>
    </w:p>
    <w:p>
      <w:pPr>
        <w:spacing w:after="0" w:line="172" w:lineRule="exact"/>
        <w:rPr>
          <w:sz w:val="20"/>
          <w:szCs w:val="20"/>
          <w:color w:val="auto"/>
        </w:rPr>
      </w:pPr>
    </w:p>
    <w:p>
      <w:pPr>
        <w:ind w:right="40" w:firstLine="395"/>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(expense) decreased from $0.8 million of income to $6.7 million of expense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and September 28, 2008, respectively. The year over year change from income to expense was primarily driven by increased interest expense for the nine months ended September 28, 2008.</w:t>
      </w:r>
    </w:p>
    <w:p>
      <w:pPr>
        <w:spacing w:after="0" w:line="194"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 xml:space="preserve">Other income for the nine months ended September 30, 2007 was primarily related to the sale of assets. Total interest expense related to our prior credit facility for the nine months ended September 30, 2007 was $2.2 million.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interest expense on the debt of $2.2 million for the nine months ended September 30, 2007 that was required to be repaid as a result of the sales of our wireless network services business was allocated to discontinued operations for the periods presented. See Note 6, Significant Transactions.</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nine months ended September 28, 2008, we incurred interest expense of $7.5 million primarily as a result of borrowings on our Credit Facility for the Haverstick acquisition. This was partially offset by other income of $0.8 million. The other income was related to $0.4 million in income as a result of marking to market our $70 million derivative financial instruments we entered into to reduce our exposure to variable rates on our outstanding debt and $0.4 million related to the sale of assets.</w:t>
      </w:r>
    </w:p>
    <w:p>
      <w:pPr>
        <w:spacing w:after="0" w:line="197" w:lineRule="exact"/>
        <w:rPr>
          <w:sz w:val="20"/>
          <w:szCs w:val="20"/>
          <w:color w:val="auto"/>
        </w:rPr>
      </w:pPr>
    </w:p>
    <w:p>
      <w:pPr>
        <w:ind w:right="60" w:firstLine="395"/>
        <w:spacing w:after="0" w:line="290"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Our effective income tax rate for the nine months ended September 30, 2007 was a negative 4.7% provision rate, or</w:t>
      </w:r>
      <w:r>
        <w:rPr>
          <w:rFonts w:ascii="Arial" w:cs="Arial" w:eastAsia="Arial" w:hAnsi="Arial"/>
          <w:sz w:val="16"/>
          <w:szCs w:val="16"/>
          <w:i w:val="1"/>
          <w:iCs w:val="1"/>
          <w:color w:val="auto"/>
        </w:rPr>
        <w:t xml:space="preserve"> </w:t>
      </w:r>
      <w:r>
        <w:rPr>
          <w:rFonts w:ascii="Arial" w:cs="Arial" w:eastAsia="Arial" w:hAnsi="Arial"/>
          <w:sz w:val="16"/>
          <w:szCs w:val="16"/>
          <w:color w:val="auto"/>
        </w:rPr>
        <w:t>a $0.9 million provision on a loss before taxes of $19.2 million, compared to a negative 1,400% provision rate for the nine months ended September 28, 2008, or a $1.4 million provision on a loss before taxes of $0.1 million. The tax provisions in 2007 and 2008 were primarily due to an increase in the deferred tax liability related to temporary differences on indefinite life intangibles that were not offset by deferred tax assets due to the full valuation allowance we have recorded on these assets, plus certain state taxes. The negative tax provision of 1,400% in the nine months ended September 28, 2008 is a function of the relationship between certain minimum taxes that we are subject to regardless of our reported book income. It is anticipated that as pretax income increases, the tax rate will decrease substantially as these minimum taxes become a smaller percentage of pretax income.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ind w:right="20" w:firstLine="395"/>
        <w:spacing w:after="0" w:line="287"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Loss from discontinued operations changed from a loss of $9.2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2007 to $0.2 million of income for the nine months ended September 28, 2008. In 2007, the loss was primarily due to impairment of assets related to the Wireless Deployment business of $13.4 million and an impairment of goodwill related to this business of $7.2 million recorded in the first quarter of 2007 and the $1.9 million loss from disposal of our deployment business and the $1.1 million excess facility accrual recorded in the third quarter of 2007, all partially offset by a gain of $14.8 million on the sale of the Wireless Engineering Services business operations in the second quarter of 2007 and a gain of $3.3 million on the sale of the EMEA business in the first quarter of 2007. Revenues and operating income (loss) generated by these businesses in the first nine months of 2007, through the date of divestiture for these businesses, excluding the impairment of assets and gains on sales were approximately $85.7 million and an operating loss of $4.5 million, respectively. In 2008, we recognized a tax benefit of $1.1 million primarily related to the expiration of the statute of limitations for certain foreign tax contingencies. This benefit was offset partially by an impairment charge related to retained assets and liabilities from the sale and discontinuance of these operations as well as the settlement of the working capital adjustment with Platinum on the sale of our deployment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As of September 28, 2008, our backlog was approximately $500.0 million, of which $156.0 million was funded.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of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(GWAC) contracts, or General Services Administration, or (GSA), schedules beyond awarded or funded task orders, but our unfunded backlog does include estimates of revenue beyond awarded or funded task orders for other types of indefinite delivery, indefinite quantity, or (ID/IQ),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of new contracts are awarded. Additionally, all United States government contracts included in backlog, whether or not funded, may be terminated at the convenience of the United States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sources of liquidity include cash and cash equivalents, cash from operations, our credit facility and other external sources of funds. As of September 28, 2008, we had cash and cash equivalents totaling $2.5 million and restricted cash of $1.5 million primarily related to the requirement of our credit facility that we set aside 50% the proceeds of the recovery amounts from the theft of stock options by our former stock option administrator to fund settlement amounts for our 2004 and 2007 securities litigation.</w:t>
      </w:r>
    </w:p>
    <w:p>
      <w:pPr>
        <w:spacing w:after="0" w:line="197"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Our operating cash flow is used to finance trade accounts receivable, fund litigation settlements, fund capital expenditures and make strategic acquisitions. Financing trade accounts receivable is necessary because, on average, the customers and payers for our services do not pay us as quickly as we pay our vendors and employees for their goods and services primarily due to contractual billing milestones that must be achieved to enable us to bill our customers. Capital expenditures consist primarily of investment in computer hardware and software and improvement of our physical properties in order to maintain suitable conditions to conduct our business.</w:t>
      </w:r>
    </w:p>
    <w:p>
      <w:pPr>
        <w:spacing w:after="0" w:line="197"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Cash from continuing operations is primarily derived from our customer contracts in progress and associated changes in working capital components. Cash used by continuing operations was $5.7 million for the nine months ended September 28, 2008 and provided by operations was $4.9 million for the nine months ended September 30, 2007. The change in cash used by continuing operations for the nine months ended September 28, 2008, is primarily the result of the funding requirements of the securities litigation settlements and the timing of payments to our subcontractors on projects for which we collect receivables on a milestone basis.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provided by investing activities from continuing operations was $51.4 million for the nine months ended September 30, 2007 compared to cash used by investing activities of $3.4 million for the nine months ended September 28, 2008.</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During the nine months ended September 30, 2007, investing activities included proceeds of $57.7 million from the disposition of discontinued operations, offset by capital expenditures of $1.1 million and cash paid of $6.2 million for contingent consideration of prior acquisitions.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nine months ended September 28, 2008, investing activities included the following:</w:t>
      </w:r>
    </w:p>
    <w:p>
      <w:pPr>
        <w:spacing w:after="0" w:line="239" w:lineRule="exact"/>
        <w:rPr>
          <w:sz w:val="20"/>
          <w:szCs w:val="20"/>
          <w:color w:val="auto"/>
        </w:rPr>
      </w:pPr>
    </w:p>
    <w:p>
      <w:pPr>
        <w:ind w:left="10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Proceeds received of $2.3 million from the settlement of the working capital amount owed by LCC on the sale of our domestic engineering operations which was partially offset by cash paid of $2.0 million to Platinum Equity in partial settlement of the working capital adjustment for the sale of our Wireless Deployment business.</w:t>
      </w:r>
    </w:p>
    <w:p>
      <w:pPr>
        <w:spacing w:after="0" w:line="221" w:lineRule="exact"/>
        <w:rPr>
          <w:rFonts w:ascii="Arial" w:cs="Arial" w:eastAsia="Arial" w:hAnsi="Arial"/>
          <w:sz w:val="18"/>
          <w:szCs w:val="18"/>
          <w:color w:val="auto"/>
        </w:rPr>
      </w:pPr>
    </w:p>
    <w:p>
      <w:pPr>
        <w:jc w:val="both"/>
        <w:ind w:left="1080" w:right="70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Payments of $1.8 million, net of cash acquired, related to our Haverstick and SYS acquisitions consisting of primarily transaction related expenses. Additional transaction costs related to our SYS acquisition will be paid in the last quarter of this year. See Notes 6 and 7 to our unaudited consolidated financial statements for further discussion of our acquisitions and divestitures.</w:t>
      </w:r>
    </w:p>
    <w:p>
      <w:pPr>
        <w:spacing w:after="0" w:line="174"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payments of $1.5 million in our restricted cash accounts. As a result of the first amendment to our credit facility in March 2008, we were required to set aside proceeds from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left="1080" w:right="140"/>
        <w:spacing w:after="0" w:line="294" w:lineRule="auto"/>
        <w:rPr>
          <w:sz w:val="20"/>
          <w:szCs w:val="20"/>
          <w:color w:val="auto"/>
        </w:rPr>
      </w:pPr>
      <w:r>
        <w:rPr>
          <w:rFonts w:ascii="Arial" w:cs="Arial" w:eastAsia="Arial" w:hAnsi="Arial"/>
          <w:sz w:val="16"/>
          <w:szCs w:val="16"/>
          <w:color w:val="auto"/>
        </w:rPr>
        <w:t>the recovery of the theft of stock options in a restricted account to fund the legal settlements related to our securities litigations. During 2008, we funded this account with $2.2 million related to recoveries on the theft and in July 2008, we used $1.2 million of these funds to pay a portion of the $1.8 million related to the 2007 securities litigation settlement. The balance of the increase in restricted cash of $0.5 million is related to cash we are required to maintain in a restricted account related to our worker's compensation self insurance and employee travel card programs. See Note 8 to our unaudited consolidated financial statements for further discussion of our first amendment to our Credit Facility.</w:t>
      </w:r>
    </w:p>
    <w:p>
      <w:pPr>
        <w:spacing w:after="0" w:line="18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of $0.7 million and proceeds of the sale of investments $0.3 million.</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Cash used in financing activities from continuing operations was $50.4 million for the nine months ended September 30, 2007 and cash provided by financing activities from continuing operations was $3.8 million for the nine months ended September 28, 2008. In 2007, borrowings of $8.0 million under the line of credit were offset by payments of $58.0 million under the line of credit as a result of cash received from the sale of our wireless businesses that was required to be used to reduce our debt on our prior credit facility. The positive cash flow from financing activities for the 2008 period consisted primarily of $6.0 million of borrowings from our revolver offset by required repayments on our term notes of $2.0 million.</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Cash used by discontinued operations was $5.1 million and $0.8 million for the nine months ended September 30, 2007 and 2008, respectively. The decrease was primarily a result of the sale of these operations in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our business acquisitions, we have agreed to make additional future payments to sellers based on final purchase price adjustments and the expiration of certain indemnification obligations. Pursuant to the provisions of SFAS No. 141, such amounts are accrued, and therefore, recorded by the Company when the contingency is resolved beyond a reasonable doubt and, hence, the additional consideration becomes payable. As of September 30, 2008, we have approximately $3.6 million of cash holdback amounts which include accrued interest and $8.2 million of common stock holdback due for the MRC and Haverstick acquisitions; these will be released subject to indemnity rights. The MRC holdback of approximately $2.4 million was originally due in April 2008 and this date has been extended to provide additional time to resolve outstanding indemnification obligations. We expect to make this payment in the fourth quarter of this year or the beginning of 2009. The remaining amounts for Haverstick of $1.2 million in cash and $8.2 million in common stock are due in equal payments in December 2008 and September 2009. The holdback arrangements accrue interest in accordance with the terms of the purchase agreements.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the indemnity holdback, the Haverstick agreement also called for a post closing working capital adjustment. In February 2008, we and Haverstick agreed on the working capital calculation called for in the agreement. The calculation resulted in a working capital adjustment due to Haverstick in an amount of $1.5 million. The working capital adjustment was paid in April 2008 with the issuance of 697,315 common shares of our stock valued at $1.3 million and cash of $0.2 million.</w:t>
      </w:r>
    </w:p>
    <w:p>
      <w:pPr>
        <w:spacing w:after="0" w:line="197" w:lineRule="exact"/>
        <w:rPr>
          <w:sz w:val="20"/>
          <w:szCs w:val="20"/>
          <w:color w:val="auto"/>
        </w:rPr>
      </w:pPr>
    </w:p>
    <w:p>
      <w:pPr>
        <w:ind w:right="260" w:firstLine="351"/>
        <w:spacing w:after="0" w:line="283" w:lineRule="auto"/>
        <w:rPr>
          <w:sz w:val="20"/>
          <w:szCs w:val="20"/>
          <w:color w:val="auto"/>
        </w:rPr>
      </w:pPr>
      <w:r>
        <w:rPr>
          <w:rFonts w:ascii="Arial" w:cs="Arial" w:eastAsia="Arial" w:hAnsi="Arial"/>
          <w:sz w:val="16"/>
          <w:szCs w:val="16"/>
          <w:color w:val="auto"/>
        </w:rPr>
        <w:t>On December 31, 2007, we entered into a new credit facility of $85.0 million with KeyBanc Capital Markets which replaced the October 2, 2006 credit agreement with Key Bank. This credit facility provides for two term loans consisting of a first lien term note of $50.0 million and a second lien term note of $10.0 million, as well as a first lien $25 million revolving line of credit. The $10.0 million term loan has a five and one half year term with principal payments required quarterly beginning on March 31, 2008 of $25,000 through March 31, 2013 with the final balance of $9.5 million due on June 30, 2013. The</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$50.0 million term loan has a five year term with principal payments required quarterly beginning on March 31, 2008 of $0.6 million in 2008, $1.3 million in 2009, $2.5 million 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ind w:right="100"/>
        <w:spacing w:after="0" w:line="303" w:lineRule="auto"/>
        <w:rPr>
          <w:sz w:val="20"/>
          <w:szCs w:val="20"/>
          <w:color w:val="auto"/>
        </w:rPr>
      </w:pPr>
      <w:r>
        <w:rPr>
          <w:rFonts w:ascii="Arial" w:cs="Arial" w:eastAsia="Arial" w:hAnsi="Arial"/>
          <w:sz w:val="15"/>
          <w:szCs w:val="15"/>
          <w:color w:val="auto"/>
        </w:rPr>
        <w:t>2110, and $4.1 million in 2011 and 2012. The term loans have a provision which states that once the full amount of the note has been borrowed, the notes cannot be paid down and reborrowed again. The revolving line of credit has a four year term which expires on December 31, 2011 and contains provisions typical in such arrangements. All loans under the new credit facility have an interest rate equal to a base rate defined as a fluctuating rate per annum equal to the higher of</w:t>
      </w:r>
    </w:p>
    <w:p>
      <w:pPr>
        <w:spacing w:after="0" w:line="1" w:lineRule="exact"/>
        <w:rPr>
          <w:sz w:val="20"/>
          <w:szCs w:val="20"/>
          <w:color w:val="auto"/>
        </w:rPr>
      </w:pPr>
    </w:p>
    <w:p>
      <w:pPr>
        <w:ind w:firstLine="8"/>
        <w:spacing w:after="0" w:line="252"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our aggregate debt to our EBITDA for the previous four fiscal quarters. We used the credit facility to fund the acquisition of Haverstick and to retire outstanding debt under our October 2006 credit facility with Key Bank. The terms of the new credit agreement require us to provide certain customary covenants for a credit agreement, including certain financial covenants which vary by quarter. See Schedules 7.12(a) through (e) to both the First Lien Credit Agreement and the Second Lien Credit Agreement, which were filed as Exhibits 10.1 and 10.2 respectively, to our Current Report on Form 8-K filed with the SEC on January 7, 2008. As of September 28, 2008, our outstanding balance on the facility was $79.5 million and we had availability under the revolver of $2.0 million.</w:t>
      </w:r>
    </w:p>
    <w:p>
      <w:pPr>
        <w:spacing w:after="0" w:line="20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February 11, 2008, we entered into three interest swap agreements with Key Bank, to fix our LIBOR rate to an average of 3.16% for the term of the swap agreements. The effective date of the swaps was February 14, 2008. The notional amounts and expiration dates of the swap agreements are $15 million and March 31, 2010; $22.5 million and March 31, 2011; and $32.5 million and March 31, 2011. The net benefit of the swap agreements entered into by us on February 11, 2008 has been reduced by the LIBOR floor included in the amendment and waiver discussed below.</w:t>
      </w:r>
    </w:p>
    <w:p>
      <w:pPr>
        <w:spacing w:after="0" w:line="167"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In March 2008, we entered into a tentative agreement to settle the 2004 and 2007 securities class action litigation actions (described in Part II, Item 1 Legal Proceedings), and as a result, we recorded a $4.9 million charge in the quarter ended December 31, 2007 to accrue our share of the settlement amounts, and an estimate for a contingent liability associated with legal proceedings related to the derivative actions, net of the amounts to be covered by our insurance carriers. As a consequence of recording this legal settlement, we did not meet certain of the financial covenants in accordance with the credit agreement. Accordingly, on March 27, 2008, we obtained an amendment and waiver from our lenders to waive the impact of the legal settlement amounts on our financial covenants as of December 31, 2007 and the affected future periods. The amendment also amended the credit agreement to provide for an increase in the LIBOR floor rate to</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4.25% and to require that we set aside in a restricted account approximately 50% of the proceeds of the recovery from the theft of stock options by our former stock option administrator, or approximately $1.7 million, to fund these settlement amounts. In April 2008, we transferred $1.7 million to a restricted cash account and in July 2008, we transferred an additional $0.6 million that we received from the insurance carriers as settlement on the theft of stock options to this restricted account. The lenders have also reserved the right to require us to utilize the entire amount of the $3.4 million in proceeds received from the theft of stock options to permanently pay down indebtedness. This right can be exercised no earlier than 60 days from March 27, 2008 and expires upon our compliance with financial covenants under the credit agreement for the four consecutive quarters commencing after January 1, 2008. The cost related to this amendment was recorded as deferred financing costs.</w:t>
      </w:r>
    </w:p>
    <w:p>
      <w:pPr>
        <w:spacing w:after="0" w:line="17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June 26, 2008, we entered into a second amendment to our credit facility in order to obtain changes necessary to complete the merger with SYS. The amendment specifically approves our assumption of the unsecured subordinated convertible notes issued by SYS as subordinated debt under the credit facility provided that a subordination agreement is obtained from the note holders representing no less than 95% of the aggregate principal amount of all subordinated notes. This condition was satisfied in July 2008. In addition, the amendment provides for an add-back for amounts representing actual transaction costs incurred by an acquired entity in the computation of Consolidated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EBITDA, as defined in the credit agreement, in any acquisition in which 100% of the purchase price is paid by our equity securities.</w:t>
      </w:r>
    </w:p>
    <w:p>
      <w:pPr>
        <w:spacing w:after="0" w:line="225"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 of September 28, 2008, we had outstanding convertible notes payable which were acquired as the result of the SYS acquisition totaling $3.1 million, of which $0.8 million was payable to related parties. The convertible notes payable are unsecured and subordinate to our bank debt and bear interest at 10% per annum payable quarterly. Principal is due February 14, 2009 and the notes are convertible at any time into shares of common stock at a conversion rate of $2.86 per share.</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third quarter of 2008, we paid $1.8 million related to the 2007 securities litigation settlement. This amount was partially funded with $1.2 million of the funds placed in the restricted account. In October 2008 we funded $1.0 million related to the 2004 securities litigation settlement from our restricted cash account, and we expect to pay an additional $2.0 million plus interest accrued from October 2008 at 10% per annum from our operating cash, in the fourth quarter of this year. We expect to be reimbursed for $0.6 million of the payment related to the 2004 securities litigation settlement by our insurance carrier by the final settlement date of the litigation, which is anticipated by the end of the fourth quarter of this year or the first quarter of 2009.</w:t>
      </w:r>
    </w:p>
    <w:p>
      <w:pPr>
        <w:spacing w:after="0" w:line="17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July 16, 2008, we came to an agreement with Platinum Equity on a working capital adjustment of $5.0 million. The adjustment is to be paid in installments with the first amount of $2.5 million due on July 31, 2008 and payments of $0.5 million monthly thereafter until paid in full in December 2008. We did not make the scheduled $2.5 million payment due as of July 31, 2008; payments of $1.0 million were made in August and September of 2008, respectively. As of September 28, 2008, the balance of $3.0 million, plus accrued interest on the payments outstanding, has been reflected in other current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fund our cash requirements with cash flows from operating activities, and borrowings under our current credit facilities and potential future credit facilities. We believe these sources should be sufficient to meet our cash needs for at least the next 12 months. However, we expect to pay for the remaining settlement of our shareholder litigation in the fourth quarter of 2008 as discussed in Note 13—Legal Matters to the unaudited consolidated financial statements included in Item 1 of Part I of this Quarterly Report, and we may need to raise additional funds to pay for this settlement. In addition, if we become subject to significant judgments, settlements, or fines related to the matters discussed in Note 13 Legal Matters, or any other matters, or incur legal fees in excess of our current expectations, we could be required to make significant payments that could materially and adversely affect our financial condition, potentially impacting our ability to access the capital markets and our compliance with our debt covenants.</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discussed in Part II, Item 1A, "Risk Factors"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or if there is a real likelihood of continuing resolutions in 2009 for civilian and DoD agencies,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 As of September 28, 2008, we were in compliance with all financial covenants under the credit agreements.</w:t>
      </w:r>
    </w:p>
    <w:p>
      <w:pPr>
        <w:spacing w:after="0" w:line="174"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We currently carry a significant amount of debt and as such, our ability to execute on additional business opportunities may be limited due to existing borrowing capacity. In addition, given the relatively highly leveraged liquidity position, any down-turn in our operating earnings could impair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9" w:name="page50"/>
    <w:bookmarkEnd w:id="49"/>
    <w:p>
      <w:pPr>
        <w:ind w:right="160"/>
        <w:spacing w:after="0" w:line="255" w:lineRule="auto"/>
        <w:rPr>
          <w:sz w:val="20"/>
          <w:szCs w:val="20"/>
          <w:color w:val="auto"/>
        </w:rPr>
      </w:pPr>
      <w:r>
        <w:rPr>
          <w:rFonts w:ascii="Arial" w:cs="Arial" w:eastAsia="Arial" w:hAnsi="Arial"/>
          <w:sz w:val="18"/>
          <w:szCs w:val="18"/>
          <w:color w:val="auto"/>
        </w:rPr>
        <w:t>ability to comply with the financial covenants of our existing credit facility. If we believe a covenant violation is more than likely to occur in the near future, we would seek relief from our lenders. This relief would have some cost to us and such relief might not be on terms as favorable as those in its existing credit agreement. If we were to actually default due to our failure to meet the financial covenants of our credit agreement and inability to obtain a waiver from the lenders, our credit agreement could require us to immediately repay all amounts then outstanding under the credit agreement and/or require us to pay interest at default rates per the credit agreement.</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the event we were required to repay the amount outstanding under the existing credit facility, we would need to obtain alternative sources of financing to continue our operating activities at existing levels. There can be no assurance that alternative financing would be available on acceptable terms or at all.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There have been no significant changes to our Critical Accounting Policies or Estimates during 2008. Refer to our Critical Accounting Policies and Estimates in Form 10-K for the year ended December 31, 2007, as filed with the Securities and Exchange Commission on March 27,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proposed 157-c.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157-c clarifies the principles in SFAS 157 on the fair value measurement of liabilities. We adopted SFAS 157 as of January 1, 2008, with the exception of the application of the statement to non-recurring nonfinancial assets and nonfinancial liabilities. Refer to Note 9 to the Condensed Consolidated Financial Statements for additional discussion on fair value measurements.</w:t>
      </w:r>
    </w:p>
    <w:p>
      <w:pPr>
        <w:spacing w:after="0" w:line="18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The Company has adopted SFAS 159 as of January 1, 2008 and has elected not to measure any additional financial instruments or other items at fair value.</w:t>
      </w:r>
    </w:p>
    <w:p>
      <w:pPr>
        <w:spacing w:after="0" w:line="174"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December 2007, the FASB issued SFAS No. 141 (revised 2007), "Business Combinations" (SFAS 141(R)), which replaces SFAS No. 141, "Business Combinations." SFAS 141(R) retains the underlying concepts of SFAS 141 in that all business combinations are still required to be accounted for at fair value under the acquisition method of accounting, but SFAS 141(R) changed the method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ind w:right="20"/>
        <w:spacing w:after="0" w:line="283" w:lineRule="auto"/>
        <w:rPr>
          <w:sz w:val="20"/>
          <w:szCs w:val="20"/>
          <w:color w:val="auto"/>
        </w:rPr>
      </w:pPr>
      <w:r>
        <w:rPr>
          <w:rFonts w:ascii="Arial" w:cs="Arial" w:eastAsia="Arial" w:hAnsi="Arial"/>
          <w:sz w:val="16"/>
          <w:szCs w:val="16"/>
          <w:color w:val="auto"/>
        </w:rPr>
        <w:t>applying the acquisition method in a number of significant aspects. Acquisition costs will generally be expensed as incurred; noncontrolling interests will be valued at fair value at the acquisition date; in-process research and development will be recorded at fair value as an indefinite-lived intangible asset at the acquisition date; restructuring costs associated with a business combination will generally be expensed subsequent to the acquisition date; and any adjustments to an entity's deferred tax assets and uncertain tax positions that occur after the measurement period be recorded as a component of income tax expense.</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SFAS 141(R) is effective on a prospective basis for all business combinations for which the acquisition date is on or after the beginning of the first annual period subsequent to December 15, 2008. Additionally, SFAS 141 (R) is effective for changes to valuation allowances or acquired uncertain tax positions occurring after the effective date of SFAS 141 (R), where the acquisition date occurs prior to the effective date for SFAS 141 (R). Early adoption is not permitted. The Company is currently evaluating the effects, if any, that SFAS 141(R) may have on its financial statements; however, since the Company has significant acquired deferred tax assets for which full valuation allowances were recorded at the acquisition date, SFAS 141(R) could significantly affect the results of operations if changes in the valuation allowances occur subsequent to adoption. For additional discussion on deferred tax valuation allowances, refer to Note 10 to the Consolidated Financial Statements in our 2007 Annual Report filed on Form 10-K.</w:t>
      </w:r>
    </w:p>
    <w:p>
      <w:pPr>
        <w:spacing w:after="0" w:line="17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The Company is currently evaluating this new statement and anticipates that the statement will not have a significant impact on the Company's results of operations, financial condition or liquidity.</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 No. 99-19, "Reporting Revenue Gross as a Principal versus Net as an Agent." This Issue also includes enhanced disclosure requirements regarding the nature and purpose of the arrangement, rights and obligations under the arrangement, accounting policy, mount and income statement classification of collaboration transactions between the parties. The Company is currently evaluating this new statement and anticipates that the statement will not have a significant impact on the Company's results of operations, financial condition or liquidity.</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1" w:name="page52"/>
    <w:bookmarkEnd w:id="51"/>
    <w:p>
      <w:pPr>
        <w:ind w:right="200"/>
        <w:spacing w:after="0" w:line="259" w:lineRule="auto"/>
        <w:rPr>
          <w:sz w:val="20"/>
          <w:szCs w:val="20"/>
          <w:color w:val="auto"/>
        </w:rPr>
      </w:pPr>
      <w:r>
        <w:rPr>
          <w:rFonts w:ascii="Arial" w:cs="Arial" w:eastAsia="Arial" w:hAnsi="Arial"/>
          <w:sz w:val="18"/>
          <w:szCs w:val="18"/>
          <w:color w:val="auto"/>
        </w:rPr>
        <w:t>financial statements issued for fiscal years and interim periods beginning after November 15, 2008, with early application permitted. The Company is currently evaluating the disclosure implications of this statement and anticipates that the statement will not have a significant impact on the Company's results of operations, financial condition or liquidity.</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April 2008, the FASB issued FSP FAS No. 142-3, which amends the factors that must be considered in developing renewal or extension assumptions used to determine the useful life over which to amortize the cost of a recognized intangible asset under FAS No. 142, "Goodwill and Other Intangible Assets." The FSP requires an entity to consider its own assumptions about renewal or extension of the term of the arrangement, consistent with its expected use of the asset, and is an attempt to improve consistency between the useful life of a recognized intangible asset under FAS No. 142 and the period of expected cash flows used to measure the fair value of the asset under FAS No. 141, "Business Combinations." The FSP is effective for fiscal years beginning after December 15, 2008, and the guidance for determining the useful life of a recognized intangible asset must be applied prospectively to intangible assets acquired after the effective date. The FSP is not expected to have a significant impact on the Company's results of operations, financial condition or liquidity.</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May 2008, the FASB issued Financial Accounting Standard (FAS) No. 162, "The Hierarchy of Generally Accepted Accounting Principles." The statement is intended to improve financial reporting by identifying a consistent hierarchy for selecting accounting principles to be used in preparing financial statements that are prepared in conformance with generally accepted accounting principles. Unlike Statement on Auditing Standards (SAS) No. 69, "The Meaning of Present in Conformity With GAAP," FAS No. 162 is directed to the entity rather than the auditor. The statement is effective 60 days following the SEC's approval of the Public Company Accounting Oversight Board (PCAOB) amendments to AU Section 411, "The Meaning of Present Fairly in Conformity with GAAP," and is not expected to have any impact on the Company's results of operations, financial condition or liquidity.</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June 2008, the Financial Accounting Standards Board (FASB) issued FASB Staff Position (FSP) Emerging Issues Task Force (EITF) No. 03-6-1, "Determining Whether Instruments Granted in Share-Based Payment Transactions Are Participating Securities." Under the FSP, unvested share-based payment awards that contain rights to receive nonforfeitable dividends (whether paid or unpaid) are participating securities, and should be included in the two-class method of computing EPS. The FSP is effective for fiscal years beginning after December 15, 2008, and interim periods within those years, and is not expected to have a significant impact on the Company's results of operations, financial condition or liquidity.</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 is exposed to market risk in connection with changes in interest rates, primarily in connection with outstanding balances under its credit facility with KeyBank National Association. Based on the Company's average outstanding balances during the nine months ended September 28, 2008 a 1% change in the LIBOR rate would not impact the Company's financial position and results of operations as a result of the 4.25% LIBOR floor rate on our credit facility.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are contracted with investment grade counterparties to reduce exposure to nonperformance on such instruments.</w:t>
      </w:r>
    </w:p>
    <w:p>
      <w:pPr>
        <w:spacing w:after="0" w:line="17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Cash and cash equivalents as of September 28, 2008 were $2.5 million and are primarily invested in money market interest bearing accounts. A hypothetical 10% adverse change in the average interest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2" w:name="page53"/>
    <w:bookmarkEnd w:id="52"/>
    <w:p>
      <w:pPr>
        <w:ind w:right="1000"/>
        <w:spacing w:after="0" w:line="268" w:lineRule="auto"/>
        <w:rPr>
          <w:sz w:val="20"/>
          <w:szCs w:val="20"/>
          <w:color w:val="auto"/>
        </w:rPr>
      </w:pPr>
      <w:r>
        <w:rPr>
          <w:rFonts w:ascii="Arial" w:cs="Arial" w:eastAsia="Arial" w:hAnsi="Arial"/>
          <w:sz w:val="18"/>
          <w:szCs w:val="18"/>
          <w:color w:val="auto"/>
        </w:rPr>
        <w:t>rate on our money market cash investments and short-term investments would have had no material effect on net income for the nine months ended September 28, 2008.</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September 28, 2008.</w:t>
      </w:r>
    </w:p>
    <w:p>
      <w:pPr>
        <w:spacing w:after="0" w:line="16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28, 2008 that has materially affected, or is reasonably likely to materially affect, our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20"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No.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settlement was terminated pursuant to stipulation and will not receive final approval.</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amended complaints in the six focus cases in August 2007. The Company is not one of the focus case issuers. In September 2007, the Company's named officers and directors again extended the tolling agreement with plaintiffs. In September 2007, plaintiffs moved to certify the classes alleged in the focus cases and to appoint class representatives and class counsel in those cases. The focus case issuers filed motions to dismiss the claims against them in November 2007 and an opposition to plaintiffs' motion for class certification in December 2007. The Court denied the motions to dismiss on March 16, 2008. On October 2, 2008, the plaintiffs withdrew their class certification motion. Due to the inherent uncertainties of litigation, the ultimate outcome of this matter cannot be predicted. In accordance with FASB No. 5, "Accounting for Contingencies," the Company believes any contingent liability related to this claim is not probable or estimable and therefore no amounts have been accrued in regards to this matter.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right="100" w:firstLine="351"/>
        <w:spacing w:after="0" w:line="301" w:lineRule="auto"/>
        <w:rPr>
          <w:sz w:val="20"/>
          <w:szCs w:val="20"/>
          <w:color w:val="auto"/>
        </w:rPr>
      </w:pPr>
      <w:r>
        <w:rPr>
          <w:rFonts w:ascii="Arial" w:cs="Arial" w:eastAsia="Arial" w:hAnsi="Arial"/>
          <w:sz w:val="15"/>
          <w:szCs w:val="15"/>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action—In re Wireless Facilities, Inc. Securities Litigation, Master File</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w:t>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Under the tentative settlement, plaintiffs and the class will dismiss all claims, with prejudice, in exchange for a cash payment in the total amount of $12 million. The Company's directors' and officers' liability insurers will pay the settlement amount in accordance with the Company's insurance policies, less any applicable retention or co-insurance obligations that are expected to be paid directly by the Company. The Company estimates that the amount of its payment toward the settlement will be approximately $2.4 million. The Company has accrued approximately $2.4 million as of September 28, 2008 related to this matter and paid $1.0 million in October 2008 from its restricted cash account. The Company expects to fund the remaining $2.0 million towards the settlement in the fourth quarter of 2008 and expects to receive $0.6 million from the insurance carriers for this payment in the first half of 2009.</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June, the parties executed a Memorandum of Understanding documenting the essential terms of the proposed settlement and on August 8, 2008, the parties filed their joint motions for preliminary approval of the proposed settlement with the Court. The Company makes no assurances at this time that the Court will grant final approval of the proposed settlement terms or that the matter ultimately will be settled. Despite the pending settlement reached in this action, the Company believes that the allegations lack merit.</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No. 04CV1663; and Roth v. Wireless Facilities, Inc., Case No.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right="20"/>
        <w:spacing w:after="0" w:line="284" w:lineRule="auto"/>
        <w:rPr>
          <w:sz w:val="20"/>
          <w:szCs w:val="20"/>
          <w:color w:val="auto"/>
        </w:rPr>
      </w:pPr>
      <w:r>
        <w:rPr>
          <w:rFonts w:ascii="Arial" w:cs="Arial" w:eastAsia="Arial" w:hAnsi="Arial"/>
          <w:sz w:val="16"/>
          <w:szCs w:val="16"/>
          <w:color w:val="auto"/>
        </w:rPr>
        <w:t>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Plaintiff's opening brief on the matter is due on or before December 2, 2008, and Defendant's response is due January 2, 2009. A hearing date on the matter has not been set. The parties have conferred and discussed the Court's personal jurisdictional order and notice of appeal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December 5,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85" w:lineRule="exact"/>
        <w:rPr>
          <w:sz w:val="20"/>
          <w:szCs w:val="20"/>
          <w:color w:val="auto"/>
        </w:rPr>
      </w:pPr>
    </w:p>
    <w:p>
      <w:pPr>
        <w:ind w:right="260" w:firstLine="351"/>
        <w:spacing w:after="0" w:line="289"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No.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 The Company believes that the allegations lacked merit and intended to vigorously defend all claims asserted.</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ind w:right="20"/>
        <w:spacing w:after="0" w:line="294" w:lineRule="auto"/>
        <w:rPr>
          <w:sz w:val="20"/>
          <w:szCs w:val="20"/>
          <w:color w:val="auto"/>
        </w:rPr>
      </w:pPr>
      <w:r>
        <w:rPr>
          <w:rFonts w:ascii="Arial" w:cs="Arial" w:eastAsia="Arial" w:hAnsi="Arial"/>
          <w:sz w:val="16"/>
          <w:szCs w:val="16"/>
          <w:color w:val="auto"/>
        </w:rPr>
        <w:t>California Superior Court, San Diego County, Lead Case No. GIC 834253. The plaintiffs filed a Consolidated Shareholder Derivative Complaint on October 14, 2004. This action has been stayed pending a decision in federal court on a motion to dismiss the federal derivative lawsuits. In October 2008, the parties notified the Court of the status of the federal action and the court continued the stay for an additional six months. The Court also ordered the parties to file an updated status report in April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$0.7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right="60" w:firstLine="351"/>
        <w:spacing w:after="0" w:line="282"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The consolidated class action complaint was filed on November 19, 2007. In March 2008, following a voluntary mediation of the matter, the parties reached a tentative agreement to settle the class action. Under the settlement proposal, plaintiffs and the class will dismiss all claims, with prejudice, in exchange for a cash payment in the amount of $4.5 million. The Company's directors' and officers' liability insurers will pay the settlement amount, less any applicable retention or co-insurance obligations and contributions that are expected to be paid directly by the Company. In May 2008, the parties executed a Memorandum of Understanding documenting the essential terms of the proposed settlement and August 8, 2008, the parties filed their joint motions for preliminary approval of the proposed settlement with the Court. In July 2008, the Company paid</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$1.8 million related to the settlement of this litigation. The final fairness hearing on the proposed settlement is set for December 3, 2008. The Company makes no assurances at this time that the Court will grant final approval of the proposed settlement terms or that the matter ultimately will be settled. Despite the pending settlement reached in this action, the Company believes that the allegations lack merit.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$0.6 million for his back wages, vacation pay and certain other benefits. The Company filed an appeal in the matter on July 20, 2006 and is challenging the basis for the award on several theories. The Company has accrued approximately $0.6 million as of September 28, 2008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March 28, 2007, three plaintiffs, on behalf of a purported class of similarly situated employees and contractors, filed a lawsuit against the Company in the Superior Court of the State of California,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7" w:name="page58"/>
    <w:bookmarkEnd w:id="57"/>
    <w:p>
      <w:pPr>
        <w:ind w:right="20"/>
        <w:spacing w:after="0" w:line="254" w:lineRule="auto"/>
        <w:rPr>
          <w:sz w:val="20"/>
          <w:szCs w:val="20"/>
          <w:color w:val="auto"/>
        </w:rPr>
      </w:pPr>
      <w:r>
        <w:rPr>
          <w:rFonts w:ascii="Arial" w:cs="Arial" w:eastAsia="Arial" w:hAnsi="Arial"/>
          <w:sz w:val="18"/>
          <w:szCs w:val="18"/>
          <w:color w:val="auto"/>
        </w:rPr>
        <w:t>Alameda County. The suit alleges various violations of the California Labor Code and seeks payments for allegedly unpaid straight time and overtime, meal period pay and associated penalties. The Company and the plaintiffs agreed to venue for the suit in San Diego County. Although the Company believes that the allegations lack merit, it has agreed with the plaintiffs to settle their claims for an aggregate amount in the range of $0.3 million to $0.5 million, to include individual and incentive awards, attorneys' fees and administrative costs, subject to court approval. The actual amount paid by the Company will depend upon the number of responses received from members of the purported class of plaintiffs. The Company has recorded an accrual for a contingent liability associated with this legal proceeding in the amount of $0.3 million.</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investigation and that it did not intend to recommend any enforcement action by the SEC against the Company. Kratos has cooperated with, and continues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is in the process of liquidating the remaining assets which approximate $0.1 million in value.</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Quarterly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8" w:name="page59"/>
    <w:bookmarkEnd w:id="58"/>
    <w:p>
      <w:pPr>
        <w:ind w:left="360"/>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180" w:lineRule="exact"/>
        <w:rPr>
          <w:sz w:val="20"/>
          <w:szCs w:val="20"/>
          <w:color w:val="auto"/>
        </w:rPr>
      </w:pPr>
    </w:p>
    <w:p>
      <w:pPr>
        <w:ind w:left="1080" w:right="2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66"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4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b w:val="1"/>
          <w:bCs w:val="1"/>
          <w:i w:val="1"/>
          <w:iCs w:val="1"/>
          <w:color w:val="auto"/>
        </w:rPr>
        <w:t>Recent acquisitions and potential future acquisitions could prove difficult to integrate, disrupt our business, dilute stockholder value and strain our resources.</w:t>
      </w:r>
    </w:p>
    <w:p>
      <w:pPr>
        <w:spacing w:after="0" w:line="186" w:lineRule="exact"/>
        <w:rPr>
          <w:sz w:val="20"/>
          <w:szCs w:val="20"/>
          <w:color w:val="auto"/>
        </w:rPr>
      </w:pPr>
    </w:p>
    <w:p>
      <w:pPr>
        <w:ind w:right="700" w:firstLine="348"/>
        <w:spacing w:after="0" w:line="259" w:lineRule="auto"/>
        <w:rPr>
          <w:sz w:val="20"/>
          <w:szCs w:val="20"/>
          <w:color w:val="auto"/>
        </w:rPr>
      </w:pPr>
      <w:r>
        <w:rPr>
          <w:rFonts w:ascii="Arial" w:cs="Arial" w:eastAsia="Arial" w:hAnsi="Arial"/>
          <w:sz w:val="18"/>
          <w:szCs w:val="18"/>
          <w:color w:val="auto"/>
        </w:rPr>
        <w:t>We have completed several acquisitions of complementary businesses in recent years, including our December 2007 acquisition of Haverstick Consulting, Inc. and our June 2008 acquisition of SYS. The success of these acquisitions will depend in part on the success in integrating the operations, technologies and personnel of Haverstick and SYS into the Company. The failure to successfully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0" w:name="page61"/>
    <w:bookmarkEnd w:id="60"/>
    <w:p>
      <w:pPr>
        <w:ind w:right="680"/>
        <w:spacing w:after="0" w:line="268" w:lineRule="auto"/>
        <w:rPr>
          <w:sz w:val="20"/>
          <w:szCs w:val="20"/>
          <w:color w:val="auto"/>
        </w:rPr>
      </w:pPr>
      <w:r>
        <w:rPr>
          <w:rFonts w:ascii="Arial" w:cs="Arial" w:eastAsia="Arial" w:hAnsi="Arial"/>
          <w:sz w:val="18"/>
          <w:szCs w:val="18"/>
          <w:color w:val="auto"/>
        </w:rPr>
        <w:t>integrate the operations of the two companies or otherwise to realize any of the anticipated benefits of the acquisition could seriously harm our results of operations.</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5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notifying and obtaining approval from agencies from which import and export licenses have been issued;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impairments in the future that could harm our financial results. In addition, if we finance acquisitions by issuing convertible debt or equity securities, our existing stockholders may be diluted, which could affect the market price of our stock. As a result, if we fail to properly evaluate acquisitions or investments, we may not achieve the anticipated benefits of any such acquisitions, and we may incur costs in excess of what we anticipate.</w:t>
      </w:r>
    </w:p>
    <w:p>
      <w:pPr>
        <w:spacing w:after="0" w:line="172"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b w:val="1"/>
          <w:bCs w:val="1"/>
          <w:i w:val="1"/>
          <w:iCs w:val="1"/>
          <w:color w:val="auto"/>
        </w:rPr>
        <w:t>We agreed to indemnify acquirers of our divested operations against specified losses in connection with the sale of these operations, and any demands for indemnification may result in expenses we do not anticipate and distract the attention of our management from our continuing businesses.</w:t>
      </w:r>
    </w:p>
    <w:p>
      <w:pPr>
        <w:spacing w:after="0" w:line="11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agreed to indemnify acquirers of our divested operations against specified losses in connection with their sale and generally retain responsibility for various legal liabilities that accrued prior to closing. We also made representations and warranties to these acquirers about the condition of the divested businesses and agreed to working capital adjustment provisions that could obligate us to make substantial payments to some of these acquirers. If any acquirer makes an indemnification claim because it has suffered a loss or a third party has commenced an action against the divested business, or if we are required to make payments in settlement of working capital adjustments, we may incur substantial expenses resolving such claims or defending against the third party action, which would harm our operating results. In addition, our ability to defend ourselves may be impaired because our former employees are now employees of the acquirer or other companies, and our management may have to devote a substantial amount of time to resolving the claim. In addition, these indemnity claims may divert management attention from responsibilities related to the daily ongoing concerns of the business. In addition, we may be required to expend substantial resources trying to determine which party has responsibility for the claim, even if we are ultimately found to be not responsible.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ind w:left="360"/>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variable purchasing patterns under the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jc w:val="both"/>
        <w:ind w:right="8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nine month period ended September 28, 2008, two customers comprised approximately 66.5% and 50.4% of our federal business revenues and total revenues, respectively, and our five largest customers accounted for approximately 81.8% and 62.0%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20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39.5% and 35.3%, respectively, of our federal business revenues for the period ended September 28, 2008.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line="255" w:lineRule="auto"/>
        <w:rPr>
          <w:sz w:val="20"/>
          <w:szCs w:val="20"/>
          <w:color w:val="auto"/>
        </w:rPr>
      </w:pPr>
      <w:r>
        <w:rPr>
          <w:rFonts w:ascii="Arial" w:cs="Arial" w:eastAsia="Arial" w:hAnsi="Arial"/>
          <w:sz w:val="18"/>
          <w:szCs w:val="18"/>
          <w:color w:val="auto"/>
        </w:rPr>
        <w:t>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schedule contracts.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The loss of any member of our senior management could impair our ability to identify and secure new contracts, to maintain good client relations and to otherwise manage our business.</w:t>
      </w:r>
    </w:p>
    <w:p>
      <w:pPr>
        <w:spacing w:after="0" w:line="170"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4" w:name="page65"/>
    <w:bookmarkEnd w:id="64"/>
    <w:p>
      <w:pPr>
        <w:ind w:right="120"/>
        <w:spacing w:after="0" w:line="306" w:lineRule="auto"/>
        <w:rPr>
          <w:sz w:val="20"/>
          <w:szCs w:val="20"/>
          <w:color w:val="auto"/>
        </w:rPr>
      </w:pPr>
      <w:r>
        <w:rPr>
          <w:rFonts w:ascii="Arial" w:cs="Arial" w:eastAsia="Arial" w:hAnsi="Arial"/>
          <w:sz w:val="16"/>
          <w:szCs w:val="16"/>
          <w:color w:val="auto"/>
        </w:rPr>
        <w:t>employees involves a lengthy process, and it is difficult to identify, recruit and retain employees who 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16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federal government contracts, which affect how we do business with our clients and may impose added costs on us. In addition, 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Other than the technical skills required in our commercial business, the barriers to entry in this area are relatively low. We do not have any intellectual property rights in this segment of our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5" w:name="page66"/>
    <w:bookmarkEnd w:id="65"/>
    <w:p>
      <w:pPr>
        <w:ind w:right="320"/>
        <w:spacing w:after="0" w:line="259" w:lineRule="auto"/>
        <w:rPr>
          <w:sz w:val="20"/>
          <w:szCs w:val="20"/>
          <w:color w:val="auto"/>
        </w:rPr>
      </w:pPr>
      <w:r>
        <w:rPr>
          <w:rFonts w:ascii="Arial" w:cs="Arial" w:eastAsia="Arial" w:hAnsi="Arial"/>
          <w:sz w:val="18"/>
          <w:szCs w:val="18"/>
          <w:color w:val="auto"/>
        </w:rPr>
        <w:t>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If our commercial customers do not invest in security systems and other new in-building technologies such as wireless local area networks and/or IP-based networks, our business will suffer.</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intend to devote significant resources to developing our enterprise-based wireless local area networks (WLAN),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clients could assert claims against us for damages or refunds.</w:t>
      </w:r>
    </w:p>
    <w:p>
      <w:pPr>
        <w:spacing w:after="0" w:line="260"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assure you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6" w:name="page67"/>
    <w:bookmarkEnd w:id="66"/>
    <w:p>
      <w:pPr>
        <w:ind w:left="360"/>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jc w:val="both"/>
        <w:ind w:right="60"/>
        <w:spacing w:after="0" w:line="259" w:lineRule="auto"/>
        <w:rPr>
          <w:sz w:val="20"/>
          <w:szCs w:val="20"/>
          <w:color w:val="auto"/>
        </w:rPr>
      </w:pPr>
      <w:r>
        <w:rPr>
          <w:rFonts w:ascii="Arial" w:cs="Arial" w:eastAsia="Arial" w:hAnsi="Arial"/>
          <w:sz w:val="18"/>
          <w:szCs w:val="18"/>
          <w:color w:val="auto"/>
        </w:rPr>
        <w:t>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that could have a material adverse effect on us.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summer of 2006, our current executive management team, which has been in place since 2004, initiated an investigation of our past stock option granting practices (the "Equity Award Review") in reaction to media reports regarding stock option granting practices of public companies. The Equity Award Review was conducted with oversight from the Board and assistance from our outside counsel.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and FTI Consulting.</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20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light of the Equity Award Review, the Audit Committee of our Board concluded that our prior financial statements for periods from 1998 through our filing of interim financial statements for the period ended September 30, 2006, could no longer be relied upon and must be restated. Our management 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 Our Annual Report on Form 10-K filed on September 11, 2007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superseded and replaced in their entirety all of our previously issued financial statements and related reports filed with the Securities and Exchange Commission.</w:t>
      </w:r>
    </w:p>
    <w:p>
      <w:pPr>
        <w:spacing w:after="0" w:line="248"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II, Item 1, "Legal Proceedings," several derivative complaints have been filed in state and federal courts against our current directors, some of our former directors and some of our current and former executive officers pertaining to allegations relating to stock option grants. The SEC initiated an inquiry into our historical stock option granting practices and we received a subpoena from the United States Attorney's Office for the Southern District of California for the production of documents relating to our historical stock option granting practices. On April 1, 2008, the SEC notified us that it had completed its investigation and that it did not intend to recommend any enforcement action by the SEC against us. We are cooperating with the United States Attorney's Office for the Southern District of California, and expect to continue to do so.</w:t>
      </w:r>
    </w:p>
    <w:p>
      <w:pPr>
        <w:spacing w:after="0" w:line="199"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period of time necessary to resolve the U.S. Attorneys Office inquiry is uncertain, and we cannot predict the outcome of the inquiry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 pending DOJ and recently concluded SEC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20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 federal government investigation uncovers improper or illegal activities, including any potential improper or illegal activities related to our stock option review or related matters,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31, 2007.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ind w:right="520"/>
        <w:spacing w:after="0" w:line="268" w:lineRule="auto"/>
        <w:rPr>
          <w:sz w:val="20"/>
          <w:szCs w:val="20"/>
          <w:color w:val="auto"/>
        </w:rPr>
      </w:pPr>
      <w:r>
        <w:rPr>
          <w:rFonts w:ascii="Arial" w:cs="Arial" w:eastAsia="Arial" w:hAnsi="Arial"/>
          <w:sz w:val="18"/>
          <w:szCs w:val="18"/>
          <w:color w:val="auto"/>
        </w:rPr>
        <w:t>controls. Performing assessments of internal controls, implementing necessary changes, and maintaining an effective internal controls process is costly and requires considerable management attention, particularly in the case of newly acquired entities.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or the expenses associated with the ongoing litigation, litigation settlements and government inquiries. In particular, we may experience a negative operating cash flow due to billing milestones and project timelines in certain of our contracts.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our credit facility to fund future acquisitions and for general corporate purposes. However, due to the current challenges in the lending markets, we can provide no assurance that the lender would agree to extend additional or continuing credit under that facility. We could fall out of compliance with financial and other covenants contained in our credit facility which, if not waived, would restrict our access to capital and could require us to pay down our existing debt under the credit facility. Any new financing or offerings would likely dilute our stockholders' equity ownership. In addition, additional financing may not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of our control.</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Our debt service obligations are estimated to be approximately $11 million to $13 million in 2008, including approximately $2.6 million of principal repayments. This debt service may have an adverse impact on our earnings and cash flow, which could in turn negatively impact our stock price.</w:t>
      </w:r>
    </w:p>
    <w:p>
      <w:pPr>
        <w:spacing w:after="0" w:line="139"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 control. The degree to which we are leveraged could have other important negative consequences, including the following:</w:t>
      </w:r>
    </w:p>
    <w:p>
      <w:pPr>
        <w:spacing w:after="0" w:line="208" w:lineRule="exact"/>
        <w:rPr>
          <w:sz w:val="20"/>
          <w:szCs w:val="20"/>
          <w:color w:val="auto"/>
        </w:rPr>
      </w:pPr>
    </w:p>
    <w:p>
      <w:pPr>
        <w:ind w:left="1080" w:right="40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 in general;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businesses and the industries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 w:name="page71"/>
    <w:bookmarkEnd w:id="70"/>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We may not generate sufficient cash flow from operations and future borrowings may not be available in amounts sufficient to enable us to pay our indebtedness or to fund our other liquidity needs. Moreover, we may need to refinance all or a portion of our indebtedness on or before maturity. In such a case, we cannot make assurances that we will be able to refinance any of our indebtedness on commercially reasonable terms or at all. If we are unable to make scheduled debt payments or comply with the other provisions of our debt instruments, our various lenders may be permitted under certain circumstances to accelerate the maturity of the indebtedness owed to them and exercise other remedies provided for in those instruments and under applicable law.</w:t>
      </w:r>
    </w:p>
    <w:p>
      <w:pPr>
        <w:spacing w:after="0" w:line="15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We are subject to restrictive debt covenants pursuant to our indebtedness. These covenants may restrict our ability to finance our business and, if we do not comply with the covenants or otherwise default under them, we may not have the funds necessary to pay all amounts that could become due and the lenders could foreclose on substantially all of our assets.</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indebtedness contains covenants that, among other things, significantly restricts and, in some cases, effectively eliminates our ability and the ability of our subsidiaries to:</w:t>
      </w:r>
    </w:p>
    <w:p>
      <w:pPr>
        <w:spacing w:after="0" w:line="21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secure performance bonds by letters of credit, thereby limiting the amount of work we may bid on or perform;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 a merger or consolidation, or sell all or substantially all of our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raise capital via equity securities.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addition, we must comply with certain financial covenants. In the event we failed to meet any of such covenants and were unable to cure such breach or otherwise renegotiate such covenants, our lenders would have significant rights to deny future access to liquidity and/or seize control of substantially all of our assets. The material financial covenants with which we must comply include a maximum first lien leverage ratio, a maximum total leverage ratio, a minimum liquidity ratio, a minimum fixed charge coverage ratio, and a minimum consolidated EBITDA.</w:t>
      </w:r>
    </w:p>
    <w:p>
      <w:pPr>
        <w:spacing w:after="0" w:line="167"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covenants contained in our indebtedness and any credit agreement governing future debt may significantly restrict our future operations. Furthermore, upon the occurrence of any event of default, our lenders could elect to declare all amounts outstanding under such agreements, together with accrued interest, to be immediately due and payable. If those lenders were to accelerate the payment of those amounts, our assets may not be sufficient to repay those amounts in full.</w:t>
      </w:r>
    </w:p>
    <w:p>
      <w:pPr>
        <w:spacing w:after="0" w:line="14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are also subject to interest rate risk due to our indebtedness at variable interest rates, based on a base rate or LIBOR plus an applicable margin. Shifts in interest rates could have a material adverse effect on us.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71" w:name="page72"/>
    <w:bookmarkEnd w:id="71"/>
    <w:p>
      <w:pPr>
        <w:ind w:left="360"/>
        <w:spacing w:after="0"/>
        <w:rPr>
          <w:sz w:val="20"/>
          <w:szCs w:val="20"/>
          <w:color w:val="auto"/>
        </w:rPr>
      </w:pPr>
      <w:r>
        <w:rPr>
          <w:rFonts w:ascii="Arial" w:cs="Arial" w:eastAsia="Arial" w:hAnsi="Arial"/>
          <w:sz w:val="16"/>
          <w:szCs w:val="16"/>
          <w:b w:val="1"/>
          <w:bCs w:val="1"/>
          <w:i w:val="1"/>
          <w:iCs w:val="1"/>
          <w:color w:val="auto"/>
        </w:rPr>
        <w:t>We may be required to prepay our indebtedness prior to its stated maturity, which may limit our ability to pursue business opportunities.</w:t>
      </w:r>
    </w:p>
    <w:p>
      <w:pPr>
        <w:spacing w:after="0" w:line="24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Pursuant to the terms of certain of our indebtedness, in certain instances we are required to prepay outstanding indebtedness prior to its stated maturity date. Specifically, certain non-recurring cash inflows such as proceeds from asset sales, insurance recoveries, and equity offerings may have to be used to pay down indebtedness and may not be reborrowed. These prepayment provisions may limit our ability to utilize this cash flow to pursue business opportunities.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of litigation and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subjects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have a stockholder rights plan that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goodwill impairment charges in our reporting entities which could harm our profitability.</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significant portion of our net assets come from goodwill and other intangible assets. In accordance with Statement of Financial Accounting Standards, or SFAS, No. 142, "Goodwill and Other Intangible Assets,"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Uses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8"/>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6.</w:t>
            </w:r>
          </w:p>
        </w:tc>
        <w:tc>
          <w:tcPr>
            <w:tcW w:w="852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6"/>
              </w:rPr>
              <w:t>Incorporated by Reference</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Period End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8320" w:type="dxa"/>
            <w:vAlign w:val="bottom"/>
            <w:gridSpan w:val="2"/>
          </w:tcPr>
          <w:p>
            <w:pPr>
              <w:ind w:left="3520"/>
              <w:spacing w:after="0"/>
              <w:rPr>
                <w:sz w:val="20"/>
                <w:szCs w:val="20"/>
                <w:color w:val="auto"/>
              </w:rPr>
            </w:pPr>
            <w:r>
              <w:rPr>
                <w:rFonts w:ascii="Arial" w:cs="Arial" w:eastAsia="Arial" w:hAnsi="Arial"/>
                <w:sz w:val="14"/>
                <w:szCs w:val="14"/>
                <w:b w:val="1"/>
                <w:bCs w:val="1"/>
                <w:color w:val="auto"/>
              </w:rPr>
              <w:t>Exhibit Description</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8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Agreement, dated as of March 9, 2007, by and between LCC Wireless Engineering Services Limited and the</w:t>
            </w:r>
          </w:p>
        </w:tc>
        <w:tc>
          <w:tcPr>
            <w:tcW w:w="160" w:type="dxa"/>
            <w:vAlign w:val="bottom"/>
          </w:tcPr>
          <w:p>
            <w:pPr>
              <w:spacing w:after="0"/>
              <w:rPr>
                <w:sz w:val="17"/>
                <w:szCs w:val="17"/>
                <w:color w:val="auto"/>
              </w:rPr>
            </w:pP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10K</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12/31/06</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5"/>
              </w:rPr>
              <w:t>Asset Purchase Agreement, dated May 29, 2007, by and between the Company and LCC International, Inc.**</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05/30/07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9"/>
              </w:rPr>
              <w:t>Asset Purchase Agreement, dated July 7, 2007, by and between the Company and Burgundy Acquisition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07/12/07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7"/>
              </w:rPr>
              <w:t>Agreement and Plan of Merger dated November 2, 2007, by and among the Company, Kratos Government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11/7/07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Solutions, Haverstick Acquisition Corp. and Haverstick Consulting, Inc.**</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2"/>
              </w:rPr>
              <w:t>Agreement and Plan of Merger and Reorganization, dated February 20, 2008 by and among the Company, White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2/21/08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Shadow, Inc. and SYS**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09/30/01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5"/>
              </w:rPr>
              <w:t>Certificate of Ownership and Merger of Kratos Defense &amp; Security Solutions, Inc. into Wireless Facilities, Inc.</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9/12/07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10K/A</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4/29/08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Certificate of Designations, Preferences and Rights of Series A Preferred Stock</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09/30/01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Certificate of Designations, Preferences and Rights of Series B Preferred Stock</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8-K/A</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06/05/02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Certificate of Designation of Series C Preferred Stock</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12/17/04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Reference is made to Exhibits 3.1 and 3.2</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08/18/99</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Rights Agreement, dated as of December 16, 2004, between the Company and Wells Fargo, N.A.</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12/17/04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1"/>
              </w:rPr>
              <w:t>Amended and Restated Executive Employment Agreement dated as of August 4, 2008 between the Company and</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8/6/08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Eric DeMarco</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1"/>
              </w:rPr>
              <w:t>Amended and Restated Executive Employment Agreement dated as of August 4, 2008 between the Company and</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8/6/08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Deanna Lund</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1"/>
              </w:rPr>
              <w:t>Amended and Restated Executive Employment Agreement dated as of August 4, 2008 between the Company and</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8/6/08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Laura Siegal</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60" w:type="dxa"/>
            <w:vAlign w:val="bottom"/>
            <w:gridSpan w:val="2"/>
          </w:tcPr>
          <w:p>
            <w:pPr>
              <w:jc w:val="right"/>
              <w:ind w:right="3013"/>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32"/>
              <w:spacing w:after="0"/>
              <w:rPr>
                <w:sz w:val="20"/>
                <w:szCs w:val="20"/>
                <w:color w:val="auto"/>
              </w:rPr>
            </w:pPr>
            <w:r>
              <w:rPr>
                <w:rFonts w:ascii="Arial" w:cs="Arial" w:eastAsia="Arial" w:hAnsi="Arial"/>
                <w:sz w:val="14"/>
                <w:szCs w:val="14"/>
                <w:b w:val="1"/>
                <w:bCs w:val="1"/>
                <w:color w:val="auto"/>
                <w:w w:val="82"/>
              </w:rPr>
              <w:t>Reference</w:t>
            </w:r>
          </w:p>
        </w:tc>
        <w:tc>
          <w:tcPr>
            <w:tcW w:w="20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20" w:type="dxa"/>
            <w:vAlign w:val="bottom"/>
            <w:gridSpan w:val="2"/>
          </w:tcPr>
          <w:p>
            <w:pPr>
              <w:ind w:left="1340"/>
              <w:spacing w:after="0"/>
              <w:rPr>
                <w:sz w:val="20"/>
                <w:szCs w:val="20"/>
                <w:color w:val="auto"/>
              </w:rPr>
            </w:pPr>
            <w:r>
              <w:rPr>
                <w:rFonts w:ascii="Arial" w:cs="Arial" w:eastAsia="Arial" w:hAnsi="Arial"/>
                <w:sz w:val="14"/>
                <w:szCs w:val="14"/>
                <w:b w:val="1"/>
                <w:bCs w:val="1"/>
                <w:color w:val="auto"/>
              </w:rPr>
              <w:t>Exhibit Description</w:t>
            </w: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8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1"/>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2002</w:t>
            </w:r>
          </w:p>
        </w:tc>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2002</w:t>
            </w:r>
          </w:p>
        </w:tc>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6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Filed-Furnished Herewith</w:t>
      </w:r>
    </w:p>
    <w:p>
      <w:pPr>
        <w:spacing w:after="0" w:line="252" w:lineRule="exact"/>
        <w:rPr>
          <w:sz w:val="20"/>
          <w:szCs w:val="20"/>
          <w:color w:val="auto"/>
        </w:rPr>
      </w:pPr>
    </w:p>
    <w:p>
      <w:pPr>
        <w:ind w:left="540" w:right="300" w:hanging="532"/>
        <w:spacing w:after="0" w:line="26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schedules and exhibits referenced in the merger agreement have been omitted in accordance with Item 601(b)(2) of Regulation S-K. A copy of any omitted schedules and/or exhibits will be furnished supplementally to the SEC upon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p>
      <w:pPr>
        <w:jc w:val="center"/>
        <w:ind w:right="-8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8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534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71120</wp:posOffset>
            </wp:positionV>
            <wp:extent cx="22980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78" w:lineRule="exact"/>
        <w:rPr>
          <w:sz w:val="20"/>
          <w:szCs w:val="20"/>
          <w:color w:val="auto"/>
        </w:rPr>
      </w:pPr>
    </w:p>
    <w:p>
      <w:pPr>
        <w:jc w:val="center"/>
        <w:ind w:left="374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jc w:val="center"/>
        <w:ind w:left="3740"/>
        <w:spacing w:after="0"/>
        <w:rPr>
          <w:sz w:val="20"/>
          <w:szCs w:val="20"/>
          <w:color w:val="auto"/>
        </w:rPr>
      </w:pPr>
      <w:r>
        <w:rPr>
          <w:rFonts w:ascii="Arial" w:cs="Arial" w:eastAsia="Arial" w:hAnsi="Arial"/>
          <w:sz w:val="18"/>
          <w:szCs w:val="18"/>
          <w:i w:val="1"/>
          <w:iCs w:val="1"/>
          <w:color w:val="auto"/>
        </w:rPr>
        <w:t>Chief Executive Officer, President</w:t>
      </w:r>
    </w:p>
    <w:p>
      <w:pPr>
        <w:spacing w:after="0" w:line="246" w:lineRule="exact"/>
        <w:rPr>
          <w:sz w:val="20"/>
          <w:szCs w:val="20"/>
          <w:color w:val="auto"/>
        </w:rPr>
      </w:pPr>
    </w:p>
    <w:p>
      <w:pPr>
        <w:ind w:left="534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71120</wp:posOffset>
            </wp:positionV>
            <wp:extent cx="22980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78" w:lineRule="exact"/>
        <w:rPr>
          <w:sz w:val="20"/>
          <w:szCs w:val="20"/>
          <w:color w:val="auto"/>
        </w:rPr>
      </w:pPr>
    </w:p>
    <w:p>
      <w:pPr>
        <w:jc w:val="center"/>
        <w:ind w:left="3740"/>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jc w:val="center"/>
        <w:ind w:left="3740"/>
        <w:spacing w:after="0"/>
        <w:rPr>
          <w:sz w:val="20"/>
          <w:szCs w:val="20"/>
          <w:color w:val="auto"/>
        </w:rPr>
      </w:pPr>
      <w:r>
        <w:rPr>
          <w:rFonts w:ascii="Arial" w:cs="Arial" w:eastAsia="Arial" w:hAnsi="Arial"/>
          <w:sz w:val="18"/>
          <w:szCs w:val="18"/>
          <w:i w:val="1"/>
          <w:iCs w:val="1"/>
          <w:color w:val="auto"/>
        </w:rPr>
        <w:t>Senior Vice President, Chief Financial Officer</w:t>
      </w:r>
    </w:p>
    <w:p>
      <w:pPr>
        <w:spacing w:after="0" w:line="246" w:lineRule="exact"/>
        <w:rPr>
          <w:sz w:val="20"/>
          <w:szCs w:val="20"/>
          <w:color w:val="auto"/>
        </w:rPr>
      </w:pPr>
    </w:p>
    <w:p>
      <w:pPr>
        <w:ind w:left="534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L. SIEGAL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71120</wp:posOffset>
            </wp:positionV>
            <wp:extent cx="22980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78" w:lineRule="exact"/>
        <w:rPr>
          <w:sz w:val="20"/>
          <w:szCs w:val="20"/>
          <w:color w:val="auto"/>
        </w:rPr>
      </w:pPr>
    </w:p>
    <w:p>
      <w:pPr>
        <w:jc w:val="center"/>
        <w:ind w:left="3740"/>
        <w:spacing w:after="0"/>
        <w:rPr>
          <w:sz w:val="20"/>
          <w:szCs w:val="20"/>
          <w:color w:val="auto"/>
        </w:rPr>
      </w:pPr>
      <w:r>
        <w:rPr>
          <w:rFonts w:ascii="Arial" w:cs="Arial" w:eastAsia="Arial" w:hAnsi="Arial"/>
          <w:sz w:val="18"/>
          <w:szCs w:val="18"/>
          <w:color w:val="auto"/>
        </w:rPr>
        <w:t>Laura L. Siegal</w:t>
      </w:r>
    </w:p>
    <w:p>
      <w:pPr>
        <w:spacing w:after="0" w:line="15" w:lineRule="exact"/>
        <w:rPr>
          <w:sz w:val="20"/>
          <w:szCs w:val="20"/>
          <w:color w:val="auto"/>
        </w:rPr>
      </w:pPr>
    </w:p>
    <w:p>
      <w:pPr>
        <w:jc w:val="center"/>
        <w:ind w:left="3740"/>
        <w:spacing w:after="0"/>
        <w:rPr>
          <w:sz w:val="20"/>
          <w:szCs w:val="20"/>
          <w:color w:val="auto"/>
        </w:rPr>
      </w:pPr>
      <w:r>
        <w:rPr>
          <w:rFonts w:ascii="Arial" w:cs="Arial" w:eastAsia="Arial" w:hAnsi="Arial"/>
          <w:sz w:val="18"/>
          <w:szCs w:val="18"/>
          <w:i w:val="1"/>
          <w:iCs w:val="1"/>
          <w:color w:val="auto"/>
        </w:rPr>
        <w:t>Vice President, Corporate Controller and</w:t>
      </w:r>
    </w:p>
    <w:p>
      <w:pPr>
        <w:spacing w:after="0" w:line="9" w:lineRule="exact"/>
        <w:rPr>
          <w:sz w:val="20"/>
          <w:szCs w:val="20"/>
          <w:color w:val="auto"/>
        </w:rPr>
      </w:pPr>
    </w:p>
    <w:p>
      <w:pPr>
        <w:jc w:val="center"/>
        <w:ind w:left="374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2008</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341" w:right="109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280"/>
        <w:spacing w:after="0" w:line="268"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KRATOS DEFENSE &amp; SECURITY SOLUTIONS, INC. FORM 10-Q FOR THE QUARTERLY PERIOD ENDED SEPTEMBER 28, 2008 INDEX</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PART I. FINANCIAL INFORMATION</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KRATOS DEFENSE &amp; SECURITY SOLUTIONS, INC. CONSOLIDATED BALANCE SHEETS (in millions, except par value and number of shares)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KRATOS DEFENSE &amp; SECURITY SOLUTIONS, INC. CONSOLIDATED STATEMENTS OF OPERATIONS (in millions,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KRATOS DEFENSE &amp; SECURITY SOLUTIONS, INC. CONSOLIDATED STATEMENTS OF CASH FLOWS (in millions)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KRATOS DEFENSE &amp; SECURITY SOLUTIONS, INC. NOTES TO CONSOLIDATED FINANCIAL STATEMENTS (Unaudited)</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3.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4. Controls and Procedures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PART II. OTHER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1A. Risk Factors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2. Unregistered Sales of Equity Securities and Uses of Proceeds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3. Defaults Upon Senior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4. Submission of Matters to a Vote of Security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5. Other Information</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6. Exhibits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SIGNATURE</w:t>
        </w:r>
      </w:hyperlink>
    </w:p>
    <w:p>
      <w:pPr>
        <w:sectPr>
          <w:pgSz w:w="11900" w:h="16838" w:orient="portrait"/>
          <w:cols w:equalWidth="0" w:num="1">
            <w:col w:w="10740"/>
          </w:cols>
          <w:pgMar w:left="240" w:top="820" w:right="919" w:bottom="1440" w:gutter="0" w:footer="0" w:header="0"/>
        </w:sectPr>
      </w:pPr>
    </w:p>
    <w:bookmarkStart w:id="77" w:name="page78"/>
    <w:bookmarkEnd w:id="77"/>
    <w:p>
      <w:pPr>
        <w:spacing w:after="0"/>
        <w:rPr>
          <w:rFonts w:ascii="Arial" w:cs="Arial" w:eastAsia="Arial" w:hAnsi="Arial"/>
          <w:sz w:val="22"/>
          <w:szCs w:val="22"/>
          <w:color w:val="0000EE"/>
        </w:rPr>
      </w:pPr>
      <w:hyperlink w:anchor="page7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72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220" w:firstLine="359"/>
        <w:spacing w:after="0" w:line="332" w:lineRule="auto"/>
        <w:tabs>
          <w:tab w:leader="none" w:pos="1228"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right="180" w:firstLine="359"/>
        <w:spacing w:after="0" w:line="268" w:lineRule="auto"/>
        <w:tabs>
          <w:tab w:leader="none" w:pos="6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0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929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79" w:name="page80"/>
    <w:bookmarkEnd w:id="79"/>
    <w:p>
      <w:pPr>
        <w:spacing w:after="0"/>
        <w:rPr>
          <w:rFonts w:ascii="Arial" w:cs="Arial" w:eastAsia="Arial" w:hAnsi="Arial"/>
          <w:sz w:val="22"/>
          <w:szCs w:val="22"/>
          <w:color w:val="0000EE"/>
        </w:rPr>
      </w:pPr>
      <w:hyperlink w:anchor="page8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720" w:hanging="361"/>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420" w:firstLine="359"/>
        <w:spacing w:after="0" w:line="259" w:lineRule="auto"/>
        <w:tabs>
          <w:tab w:leader="none" w:pos="6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220" w:firstLine="359"/>
        <w:spacing w:after="0" w:line="332" w:lineRule="auto"/>
        <w:tabs>
          <w:tab w:leader="none" w:pos="1228"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rFonts w:ascii="Arial" w:cs="Arial" w:eastAsia="Arial" w:hAnsi="Arial"/>
          <w:sz w:val="16"/>
          <w:szCs w:val="16"/>
          <w:color w:val="auto"/>
        </w:rPr>
      </w:pPr>
    </w:p>
    <w:p>
      <w:pPr>
        <w:ind w:right="180" w:firstLine="359"/>
        <w:spacing w:after="0" w:line="268" w:lineRule="auto"/>
        <w:tabs>
          <w:tab w:leader="none" w:pos="6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929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81" w:name="page82"/>
    <w:bookmarkEnd w:id="81"/>
    <w:p>
      <w:pPr>
        <w:spacing w:after="0"/>
        <w:rPr>
          <w:rFonts w:ascii="Arial" w:cs="Arial" w:eastAsia="Arial" w:hAnsi="Arial"/>
          <w:sz w:val="22"/>
          <w:szCs w:val="22"/>
          <w:color w:val="0000EE"/>
        </w:rPr>
      </w:pPr>
      <w:hyperlink w:anchor="page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28, 2008 (the "Report"), I, Eric M. DeMarco, Chief Executive Officer of the Company, certify, pursuant to 18 U.S.C. Section 1350, as adopted pursuant to Section 906 of the Sarbanes-Oxley Act of 2002, that:</w:t>
      </w:r>
    </w:p>
    <w:p>
      <w:pPr>
        <w:spacing w:after="0" w:line="194" w:lineRule="exact"/>
        <w:rPr>
          <w:sz w:val="20"/>
          <w:szCs w:val="20"/>
          <w:color w:val="auto"/>
        </w:rPr>
      </w:pPr>
    </w:p>
    <w:p>
      <w:pPr>
        <w:ind w:left="1240" w:hanging="341"/>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right="720" w:firstLine="359"/>
        <w:spacing w:after="0" w:line="268" w:lineRule="auto"/>
        <w:tabs>
          <w:tab w:leader="none" w:pos="12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929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CERTIFICATION PURSUANT TO SECTION 906 OF THE SARBANES-OXLEY ACT OF 2002 (18 U.S.C. SECTION 1350)</w:t>
        </w:r>
      </w:hyperlink>
    </w:p>
    <w:p>
      <w:pPr>
        <w:sectPr>
          <w:pgSz w:w="11900" w:h="16838" w:orient="portrait"/>
          <w:cols w:equalWidth="0" w:num="1">
            <w:col w:w="10219"/>
          </w:cols>
          <w:pgMar w:left="240" w:top="820" w:right="1440" w:bottom="1440" w:gutter="0" w:footer="0" w:header="0"/>
        </w:sectPr>
      </w:pPr>
    </w:p>
    <w:bookmarkStart w:id="83" w:name="page84"/>
    <w:bookmarkEnd w:id="83"/>
    <w:p>
      <w:pPr>
        <w:spacing w:after="0"/>
        <w:rPr>
          <w:rFonts w:ascii="Arial" w:cs="Arial" w:eastAsia="Arial" w:hAnsi="Arial"/>
          <w:sz w:val="22"/>
          <w:szCs w:val="22"/>
          <w:color w:val="0000EE"/>
        </w:rPr>
      </w:pPr>
      <w:hyperlink w:anchor="page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28, 2008 (the "Report"), I, Deanna H. Lund, Chief Financial Officer of the Company, certify, pursuant to 18 U.S.C. Section 1350, as adopted pursuant to Section 906 of the Sarbanes-Oxley Act of 2002, that:</w:t>
      </w:r>
    </w:p>
    <w:p>
      <w:pPr>
        <w:spacing w:after="0" w:line="194" w:lineRule="exact"/>
        <w:rPr>
          <w:sz w:val="20"/>
          <w:szCs w:val="20"/>
          <w:color w:val="auto"/>
        </w:rPr>
      </w:pPr>
    </w:p>
    <w:p>
      <w:pPr>
        <w:ind w:left="1240" w:hanging="341"/>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right="720" w:firstLine="359"/>
        <w:spacing w:after="0" w:line="268" w:lineRule="auto"/>
        <w:tabs>
          <w:tab w:leader="none" w:pos="12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929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CERTIFICATION PURSUANT TO SECTION 906 OF THE SARBANES-OXLEY ACT OF 2002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2"/>
    </w:lvl>
  </w:abstractNum>
  <w:abstractNum w:abstractNumId="4">
    <w:nsid w:val="257130A3"/>
    <w:multiLevelType w:val="hybridMultilevel"/>
    <w:lvl w:ilvl="0">
      <w:lvlJc w:val="left"/>
      <w:lvlText w:val="(%1)"/>
      <w:numFmt w:val="lowerLetter"/>
      <w:start w:val="3"/>
    </w:lvl>
  </w:abstractNum>
  <w:abstractNum w:abstractNumId="5">
    <w:nsid w:val="62BBD95A"/>
    <w:multiLevelType w:val="hybridMultilevel"/>
    <w:lvl w:ilvl="0">
      <w:lvlJc w:val="left"/>
      <w:lvlText w:val="(%1)"/>
      <w:numFmt w:val="lowerLetter"/>
      <w:start w:val="4"/>
    </w:lvl>
  </w:abstractNum>
  <w:abstractNum w:abstractNumId="6">
    <w:nsid w:val="436C6125"/>
    <w:multiLevelType w:val="hybridMultilevel"/>
    <w:lvl w:ilvl="0">
      <w:lvlJc w:val="left"/>
      <w:lvlText w:val="(%1)"/>
      <w:numFmt w:val="lowerLetter"/>
      <w:start w:val="5"/>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lowerLetter"/>
      <w:start w:val="6"/>
    </w:lvl>
  </w:abstractNum>
  <w:abstractNum w:abstractNumId="9">
    <w:nsid w:val="721DA317"/>
    <w:multiLevelType w:val="hybridMultilevel"/>
    <w:lvl w:ilvl="0">
      <w:lvlJc w:val="left"/>
      <w:lvlText w:val="(%1)"/>
      <w:numFmt w:val="lowerLetter"/>
      <w:start w:val="7"/>
    </w:lvl>
  </w:abstractNum>
  <w:abstractNum w:abstractNumId="10">
    <w:nsid w:val="2443A858"/>
    <w:multiLevelType w:val="hybridMultilevel"/>
    <w:lvl w:ilvl="0">
      <w:lvlJc w:val="left"/>
      <w:lvlText w:val="(%1)"/>
      <w:numFmt w:val="lowerLetter"/>
      <w:start w:val="8"/>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2019-12-14T20:50:12Z</dcterms:created>
  <dcterms:modified xsi:type="dcterms:W3CDTF">2019-12-14T20:50:12Z</dcterms:modified>
</cp:coreProperties>
</file>