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253365</wp:posOffset>
            </wp:positionV>
            <wp:extent cx="72586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635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266065</wp:posOffset>
            </wp:positionV>
            <wp:extent cx="72586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635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UNITED STATES</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1750695</wp:posOffset>
            </wp:positionH>
            <wp:positionV relativeFrom="paragraph">
              <wp:posOffset>127635</wp:posOffset>
            </wp:positionV>
            <wp:extent cx="37871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87140" cy="6350"/>
                    </a:xfrm>
                    <a:prstGeom prst="rect">
                      <a:avLst/>
                    </a:prstGeom>
                    <a:noFill/>
                  </pic:spPr>
                </pic:pic>
              </a:graphicData>
            </a:graphic>
          </wp:anchor>
        </w:drawing>
      </w:r>
    </w:p>
    <w:p>
      <w:pPr>
        <w:spacing w:after="0" w:line="222"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1750695</wp:posOffset>
            </wp:positionH>
            <wp:positionV relativeFrom="paragraph">
              <wp:posOffset>73025</wp:posOffset>
            </wp:positionV>
            <wp:extent cx="37871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87140" cy="6350"/>
                    </a:xfrm>
                    <a:prstGeom prst="rect">
                      <a:avLst/>
                    </a:prstGeom>
                    <a:noFill/>
                  </pic:spPr>
                </pic:pic>
              </a:graphicData>
            </a:graphic>
          </wp:anchor>
        </w:drawing>
      </w:r>
    </w:p>
    <w:p>
      <w:pPr>
        <w:spacing w:after="0" w:line="358" w:lineRule="exact"/>
        <w:rPr>
          <w:sz w:val="24"/>
          <w:szCs w:val="24"/>
          <w:color w:val="auto"/>
        </w:rPr>
      </w:pPr>
    </w:p>
    <w:p>
      <w:pPr>
        <w:ind w:left="1400"/>
        <w:spacing w:after="0"/>
        <w:rPr>
          <w:sz w:val="20"/>
          <w:szCs w:val="20"/>
          <w:color w:val="auto"/>
        </w:rPr>
      </w:pPr>
      <w:r>
        <w:rPr>
          <w:rFonts w:ascii="Arial" w:cs="Arial" w:eastAsia="Arial" w:hAnsi="Arial"/>
          <w:sz w:val="11"/>
          <w:szCs w:val="11"/>
          <w:b w:val="1"/>
          <w:bCs w:val="1"/>
          <w:color w:val="auto"/>
        </w:rPr>
        <w:t>(Mark One)</w:t>
      </w:r>
    </w:p>
    <w:p>
      <w:pPr>
        <w:spacing w:after="0" w:line="35" w:lineRule="exact"/>
        <w:rPr>
          <w:sz w:val="24"/>
          <w:szCs w:val="24"/>
          <w:color w:val="auto"/>
        </w:rPr>
      </w:pPr>
    </w:p>
    <w:p>
      <w:pPr>
        <w:ind w:left="2220"/>
        <w:spacing w:after="0"/>
        <w:rPr>
          <w:sz w:val="20"/>
          <w:szCs w:val="20"/>
          <w:color w:val="auto"/>
        </w:rPr>
      </w:pPr>
      <w:r>
        <w:rPr>
          <w:rFonts w:ascii="Arial" w:cs="Arial" w:eastAsia="Arial" w:hAnsi="Arial"/>
          <w:sz w:val="12"/>
          <w:szCs w:val="12"/>
          <w:b w:val="1"/>
          <w:bCs w:val="1"/>
          <w:color w:val="auto"/>
        </w:rPr>
        <w:t>ANNUAL REPORT PURSUANT TO SECTION 13 OR 15(d) OF THE SECURITIES EXCHANGE ACT OF 1934 FOR THE FISCAL YEAR ENDED</w:t>
      </w:r>
    </w:p>
    <w:p>
      <w:pPr>
        <w:spacing w:after="0" w:line="17" w:lineRule="exact"/>
        <w:rPr>
          <w:sz w:val="24"/>
          <w:szCs w:val="24"/>
          <w:color w:val="auto"/>
        </w:rPr>
      </w:pPr>
    </w:p>
    <w:p>
      <w:pPr>
        <w:ind w:left="2220" w:hanging="1032"/>
        <w:spacing w:after="0"/>
        <w:tabs>
          <w:tab w:leader="none" w:pos="2220" w:val="left"/>
        </w:tabs>
        <w:numPr>
          <w:ilvl w:val="0"/>
          <w:numId w:val="1"/>
        </w:numPr>
        <w:rPr>
          <w:rFonts w:ascii="MS PGothic" w:cs="MS PGothic" w:eastAsia="MS PGothic" w:hAnsi="MS PGothic"/>
          <w:sz w:val="14"/>
          <w:szCs w:val="14"/>
          <w:color w:val="auto"/>
        </w:rPr>
      </w:pPr>
      <w:r>
        <w:rPr>
          <w:rFonts w:ascii="Arial" w:cs="Arial" w:eastAsia="Arial" w:hAnsi="Arial"/>
          <w:sz w:val="12"/>
          <w:szCs w:val="12"/>
          <w:b w:val="1"/>
          <w:bCs w:val="1"/>
          <w:color w:val="auto"/>
        </w:rPr>
        <w:t>DECEMBER 25, 2016</w:t>
      </w:r>
    </w:p>
    <w:p>
      <w:pPr>
        <w:spacing w:after="0" w:line="61" w:lineRule="exact"/>
        <w:rPr>
          <w:sz w:val="24"/>
          <w:szCs w:val="24"/>
          <w:color w:val="auto"/>
        </w:rPr>
      </w:pPr>
    </w:p>
    <w:p>
      <w:pPr>
        <w:ind w:left="2220" w:hanging="1032"/>
        <w:spacing w:after="0"/>
        <w:tabs>
          <w:tab w:leader="none" w:pos="2220" w:val="left"/>
        </w:tabs>
        <w:numPr>
          <w:ilvl w:val="0"/>
          <w:numId w:val="2"/>
        </w:numPr>
        <w:rPr>
          <w:rFonts w:ascii="MS PGothic" w:cs="MS PGothic" w:eastAsia="MS PGothic" w:hAnsi="MS PGothic"/>
          <w:sz w:val="14"/>
          <w:szCs w:val="14"/>
          <w:color w:val="auto"/>
        </w:rPr>
      </w:pPr>
      <w:r>
        <w:rPr>
          <w:rFonts w:ascii="Arial" w:cs="Arial" w:eastAsia="Arial" w:hAnsi="Arial"/>
          <w:sz w:val="12"/>
          <w:szCs w:val="12"/>
          <w:b w:val="1"/>
          <w:bCs w:val="1"/>
          <w:color w:val="auto"/>
        </w:rPr>
        <w:t>TRANSITION REPORT PURSUANT TO SECTION 13 OR 15(d) OF THE SECURITIES AND EXCHANGE ACT OF 1934</w:t>
      </w:r>
    </w:p>
    <w:p>
      <w:pPr>
        <w:spacing w:after="0" w:line="106" w:lineRule="exact"/>
        <w:rPr>
          <w:rFonts w:ascii="MS PGothic" w:cs="MS PGothic" w:eastAsia="MS PGothic" w:hAnsi="MS PGothic"/>
          <w:sz w:val="14"/>
          <w:szCs w:val="14"/>
          <w:color w:val="auto"/>
        </w:rPr>
      </w:pPr>
    </w:p>
    <w:p>
      <w:pPr>
        <w:ind w:left="4900"/>
        <w:spacing w:after="0"/>
        <w:rPr>
          <w:rFonts w:ascii="MS PGothic" w:cs="MS PGothic" w:eastAsia="MS PGothic" w:hAnsi="MS PGothic"/>
          <w:sz w:val="14"/>
          <w:szCs w:val="14"/>
          <w:color w:val="auto"/>
        </w:rPr>
      </w:pPr>
      <w:r>
        <w:rPr>
          <w:rFonts w:ascii="Arial" w:cs="Arial" w:eastAsia="Arial" w:hAnsi="Arial"/>
          <w:sz w:val="11"/>
          <w:szCs w:val="11"/>
          <w:b w:val="1"/>
          <w:bCs w:val="1"/>
          <w:color w:val="auto"/>
        </w:rPr>
        <w:t>Commission file number 001-34460</w:t>
      </w:r>
    </w:p>
    <w:p>
      <w:pPr>
        <w:spacing w:after="0" w:line="8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KRATOS DEFENSE &amp; SECURITY SOLUTIONS, INC.</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11"/>
          <w:szCs w:val="11"/>
          <w:color w:val="auto"/>
        </w:rPr>
        <w:t>(Exact name of Registrant as specified in its charter</w:t>
      </w:r>
      <w:r>
        <w:rPr>
          <w:rFonts w:ascii="Arial" w:cs="Arial" w:eastAsia="Arial" w:hAnsi="Arial"/>
          <w:sz w:val="13"/>
          <w:szCs w:val="13"/>
          <w:color w:val="auto"/>
        </w:rPr>
        <w:t>)</w:t>
      </w:r>
    </w:p>
    <w:p>
      <w:pPr>
        <w:spacing w:after="0" w:line="135" w:lineRule="exact"/>
        <w:rPr>
          <w:sz w:val="24"/>
          <w:szCs w:val="24"/>
          <w:color w:val="auto"/>
        </w:rPr>
      </w:pPr>
    </w:p>
    <w:tbl>
      <w:tblPr>
        <w:tblLayout w:type="fixed"/>
        <w:tblInd w:w="2600" w:type="dxa"/>
        <w:tblCellMar>
          <w:top w:w="0" w:type="dxa"/>
          <w:left w:w="0" w:type="dxa"/>
          <w:bottom w:w="0" w:type="dxa"/>
          <w:right w:w="0" w:type="dxa"/>
        </w:tblCellMar>
      </w:tblPr>
      <w:tr>
        <w:trPr>
          <w:trHeight w:val="179"/>
        </w:trPr>
        <w:tc>
          <w:tcPr>
            <w:tcW w:w="30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Delaware</w:t>
            </w:r>
          </w:p>
        </w:tc>
        <w:tc>
          <w:tcPr>
            <w:tcW w:w="4840" w:type="dxa"/>
            <w:vAlign w:val="bottom"/>
            <w:gridSpan w:val="2"/>
          </w:tcPr>
          <w:p>
            <w:pPr>
              <w:jc w:val="center"/>
              <w:ind w:left="2677"/>
              <w:spacing w:after="0"/>
              <w:rPr>
                <w:sz w:val="20"/>
                <w:szCs w:val="20"/>
                <w:color w:val="auto"/>
              </w:rPr>
            </w:pPr>
            <w:r>
              <w:rPr>
                <w:rFonts w:ascii="Arial" w:cs="Arial" w:eastAsia="Arial" w:hAnsi="Arial"/>
                <w:sz w:val="14"/>
                <w:szCs w:val="14"/>
                <w:b w:val="1"/>
                <w:bCs w:val="1"/>
                <w:color w:val="auto"/>
                <w:w w:val="88"/>
              </w:rPr>
              <w:t>13-3818604</w:t>
            </w:r>
          </w:p>
        </w:tc>
      </w:tr>
      <w:tr>
        <w:trPr>
          <w:trHeight w:val="144"/>
        </w:trPr>
        <w:tc>
          <w:tcPr>
            <w:tcW w:w="1620" w:type="dxa"/>
            <w:vAlign w:val="bottom"/>
            <w:gridSpan w:val="3"/>
          </w:tcPr>
          <w:p>
            <w:pPr>
              <w:jc w:val="center"/>
              <w:ind w:right="180"/>
              <w:spacing w:after="0"/>
              <w:rPr>
                <w:sz w:val="20"/>
                <w:szCs w:val="20"/>
                <w:color w:val="auto"/>
              </w:rPr>
            </w:pPr>
            <w:r>
              <w:rPr>
                <w:rFonts w:ascii="Arial" w:cs="Arial" w:eastAsia="Arial" w:hAnsi="Arial"/>
                <w:sz w:val="11"/>
                <w:szCs w:val="11"/>
                <w:color w:val="auto"/>
                <w:w w:val="93"/>
              </w:rPr>
              <w:t>(State or other jurisdiction of</w:t>
            </w:r>
          </w:p>
        </w:tc>
        <w:tc>
          <w:tcPr>
            <w:tcW w:w="278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1"/>
                <w:szCs w:val="11"/>
                <w:color w:val="auto"/>
                <w:w w:val="94"/>
              </w:rPr>
              <w:t>(I.R.S. Employer Identification No.)</w:t>
            </w:r>
          </w:p>
        </w:tc>
      </w:tr>
      <w:tr>
        <w:trPr>
          <w:trHeight w:val="138"/>
        </w:trPr>
        <w:tc>
          <w:tcPr>
            <w:tcW w:w="1620" w:type="dxa"/>
            <w:vAlign w:val="bottom"/>
            <w:gridSpan w:val="3"/>
          </w:tcPr>
          <w:p>
            <w:pPr>
              <w:jc w:val="center"/>
              <w:ind w:right="160"/>
              <w:spacing w:after="0"/>
              <w:rPr>
                <w:sz w:val="20"/>
                <w:szCs w:val="20"/>
                <w:color w:val="auto"/>
              </w:rPr>
            </w:pPr>
            <w:r>
              <w:rPr>
                <w:rFonts w:ascii="Arial" w:cs="Arial" w:eastAsia="Arial" w:hAnsi="Arial"/>
                <w:sz w:val="11"/>
                <w:szCs w:val="11"/>
                <w:color w:val="auto"/>
                <w:w w:val="93"/>
              </w:rPr>
              <w:t>incorporation or organization)</w:t>
            </w:r>
          </w:p>
        </w:tc>
        <w:tc>
          <w:tcPr>
            <w:tcW w:w="278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243"/>
        </w:trPr>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40" w:type="dxa"/>
            <w:vAlign w:val="bottom"/>
            <w:gridSpan w:val="2"/>
          </w:tcPr>
          <w:p>
            <w:pPr>
              <w:jc w:val="center"/>
              <w:ind w:right="1765"/>
              <w:spacing w:after="0"/>
              <w:rPr>
                <w:sz w:val="20"/>
                <w:szCs w:val="20"/>
                <w:color w:val="auto"/>
              </w:rPr>
            </w:pPr>
            <w:r>
              <w:rPr>
                <w:rFonts w:ascii="Arial" w:cs="Arial" w:eastAsia="Arial" w:hAnsi="Arial"/>
                <w:sz w:val="14"/>
                <w:szCs w:val="14"/>
                <w:b w:val="1"/>
                <w:bCs w:val="1"/>
                <w:color w:val="auto"/>
                <w:w w:val="89"/>
              </w:rPr>
              <w:t>4820 Eastgate Mall, Suite 200</w:t>
            </w:r>
          </w:p>
        </w:tc>
      </w:tr>
      <w:tr>
        <w:trPr>
          <w:trHeight w:val="166"/>
        </w:trPr>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40" w:type="dxa"/>
            <w:vAlign w:val="bottom"/>
            <w:gridSpan w:val="2"/>
          </w:tcPr>
          <w:p>
            <w:pPr>
              <w:jc w:val="center"/>
              <w:ind w:right="1745"/>
              <w:spacing w:after="0"/>
              <w:rPr>
                <w:sz w:val="20"/>
                <w:szCs w:val="20"/>
                <w:color w:val="auto"/>
              </w:rPr>
            </w:pPr>
            <w:r>
              <w:rPr>
                <w:rFonts w:ascii="Arial" w:cs="Arial" w:eastAsia="Arial" w:hAnsi="Arial"/>
                <w:sz w:val="14"/>
                <w:szCs w:val="14"/>
                <w:b w:val="1"/>
                <w:bCs w:val="1"/>
                <w:color w:val="auto"/>
                <w:w w:val="89"/>
              </w:rPr>
              <w:t>San Diego, CA 92121</w:t>
            </w:r>
          </w:p>
        </w:tc>
      </w:tr>
      <w:tr>
        <w:trPr>
          <w:trHeight w:val="167"/>
        </w:trPr>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tcPr>
          <w:p>
            <w:pPr>
              <w:jc w:val="center"/>
              <w:ind w:left="177"/>
              <w:spacing w:after="0"/>
              <w:rPr>
                <w:sz w:val="20"/>
                <w:szCs w:val="20"/>
                <w:color w:val="auto"/>
              </w:rPr>
            </w:pPr>
            <w:r>
              <w:rPr>
                <w:rFonts w:ascii="Arial" w:cs="Arial" w:eastAsia="Arial" w:hAnsi="Arial"/>
                <w:sz w:val="14"/>
                <w:szCs w:val="14"/>
                <w:b w:val="1"/>
                <w:bCs w:val="1"/>
                <w:color w:val="auto"/>
                <w:w w:val="89"/>
              </w:rPr>
              <w:t>(858) 812-7300</w:t>
            </w:r>
          </w:p>
        </w:tc>
        <w:tc>
          <w:tcPr>
            <w:tcW w:w="2060" w:type="dxa"/>
            <w:vAlign w:val="bottom"/>
          </w:tcPr>
          <w:p>
            <w:pPr>
              <w:spacing w:after="0"/>
              <w:rPr>
                <w:sz w:val="14"/>
                <w:szCs w:val="14"/>
                <w:color w:val="auto"/>
              </w:rPr>
            </w:pPr>
          </w:p>
        </w:tc>
      </w:tr>
      <w:tr>
        <w:trPr>
          <w:trHeight w:val="124"/>
        </w:trPr>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40" w:type="dxa"/>
            <w:vAlign w:val="bottom"/>
            <w:gridSpan w:val="2"/>
          </w:tcPr>
          <w:p>
            <w:pPr>
              <w:jc w:val="center"/>
              <w:ind w:right="1765"/>
              <w:spacing w:after="0" w:line="124" w:lineRule="exact"/>
              <w:rPr>
                <w:sz w:val="20"/>
                <w:szCs w:val="20"/>
                <w:color w:val="auto"/>
              </w:rPr>
            </w:pPr>
            <w:r>
              <w:rPr>
                <w:rFonts w:ascii="Arial" w:cs="Arial" w:eastAsia="Arial" w:hAnsi="Arial"/>
                <w:sz w:val="11"/>
                <w:szCs w:val="11"/>
                <w:color w:val="auto"/>
                <w:w w:val="91"/>
              </w:rPr>
              <w:t>(Address, including zip code, and telephone number, including</w:t>
            </w:r>
          </w:p>
        </w:tc>
      </w:tr>
      <w:tr>
        <w:trPr>
          <w:trHeight w:val="138"/>
        </w:trPr>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40" w:type="dxa"/>
            <w:vAlign w:val="bottom"/>
            <w:gridSpan w:val="2"/>
          </w:tcPr>
          <w:p>
            <w:pPr>
              <w:jc w:val="center"/>
              <w:ind w:right="1745"/>
              <w:spacing w:after="0"/>
              <w:rPr>
                <w:sz w:val="20"/>
                <w:szCs w:val="20"/>
                <w:color w:val="auto"/>
              </w:rPr>
            </w:pPr>
            <w:r>
              <w:rPr>
                <w:rFonts w:ascii="Arial" w:cs="Arial" w:eastAsia="Arial" w:hAnsi="Arial"/>
                <w:sz w:val="11"/>
                <w:szCs w:val="11"/>
                <w:color w:val="auto"/>
                <w:w w:val="91"/>
              </w:rPr>
              <w:t>area code, of Registrant’s principal executive offices)</w:t>
            </w:r>
          </w:p>
        </w:tc>
      </w:tr>
      <w:tr>
        <w:trPr>
          <w:trHeight w:val="370"/>
        </w:trPr>
        <w:tc>
          <w:tcPr>
            <w:tcW w:w="300" w:type="dxa"/>
            <w:vAlign w:val="bottom"/>
          </w:tcPr>
          <w:p>
            <w:pPr>
              <w:spacing w:after="0"/>
              <w:rPr>
                <w:sz w:val="24"/>
                <w:szCs w:val="24"/>
                <w:color w:val="auto"/>
              </w:rPr>
            </w:pPr>
          </w:p>
        </w:tc>
        <w:tc>
          <w:tcPr>
            <w:tcW w:w="6160" w:type="dxa"/>
            <w:vAlign w:val="bottom"/>
            <w:gridSpan w:val="4"/>
          </w:tcPr>
          <w:p>
            <w:pPr>
              <w:jc w:val="center"/>
              <w:ind w:right="445"/>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81"/>
        </w:trPr>
        <w:tc>
          <w:tcPr>
            <w:tcW w:w="30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9"/>
              </w:rPr>
              <w:t>Title of Each Class</w:t>
            </w:r>
          </w:p>
        </w:tc>
        <w:tc>
          <w:tcPr>
            <w:tcW w:w="4840" w:type="dxa"/>
            <w:vAlign w:val="bottom"/>
            <w:gridSpan w:val="2"/>
          </w:tcPr>
          <w:p>
            <w:pPr>
              <w:jc w:val="center"/>
              <w:ind w:left="2717"/>
              <w:spacing w:after="0"/>
              <w:rPr>
                <w:sz w:val="20"/>
                <w:szCs w:val="20"/>
                <w:color w:val="auto"/>
              </w:rPr>
            </w:pPr>
            <w:r>
              <w:rPr>
                <w:rFonts w:ascii="Arial" w:cs="Arial" w:eastAsia="Arial" w:hAnsi="Arial"/>
                <w:sz w:val="11"/>
                <w:szCs w:val="11"/>
                <w:b w:val="1"/>
                <w:bCs w:val="1"/>
                <w:color w:val="auto"/>
                <w:w w:val="88"/>
              </w:rPr>
              <w:t>Name of each exchange on which registered</w:t>
            </w:r>
          </w:p>
        </w:tc>
      </w:tr>
      <w:tr>
        <w:trPr>
          <w:trHeight w:val="20"/>
        </w:trPr>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r>
        <w:trPr>
          <w:trHeight w:val="209"/>
        </w:trPr>
        <w:tc>
          <w:tcPr>
            <w:tcW w:w="1620" w:type="dxa"/>
            <w:vAlign w:val="bottom"/>
            <w:gridSpan w:val="3"/>
          </w:tcPr>
          <w:p>
            <w:pPr>
              <w:jc w:val="center"/>
              <w:ind w:right="140"/>
              <w:spacing w:after="0"/>
              <w:rPr>
                <w:sz w:val="20"/>
                <w:szCs w:val="20"/>
                <w:color w:val="auto"/>
              </w:rPr>
            </w:pPr>
            <w:r>
              <w:rPr>
                <w:rFonts w:ascii="Arial" w:cs="Arial" w:eastAsia="Arial" w:hAnsi="Arial"/>
                <w:sz w:val="11"/>
                <w:szCs w:val="11"/>
                <w:color w:val="auto"/>
                <w:w w:val="90"/>
              </w:rPr>
              <w:t>Common Stock, par value $0.001</w:t>
            </w:r>
          </w:p>
        </w:tc>
        <w:tc>
          <w:tcPr>
            <w:tcW w:w="27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1"/>
                <w:szCs w:val="11"/>
                <w:color w:val="auto"/>
                <w:w w:val="93"/>
              </w:rPr>
              <w:t>The NASDAQ Global Select Market</w:t>
            </w:r>
          </w:p>
        </w:tc>
      </w:tr>
    </w:tbl>
    <w:p>
      <w:pPr>
        <w:spacing w:after="0" w:line="82"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None</w:t>
      </w:r>
    </w:p>
    <w:p>
      <w:pPr>
        <w:ind w:left="260" w:right="5200"/>
        <w:spacing w:after="0" w:line="177"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58" w:lineRule="exact"/>
        <w:rPr>
          <w:sz w:val="24"/>
          <w:szCs w:val="24"/>
          <w:color w:val="auto"/>
        </w:rPr>
      </w:pPr>
    </w:p>
    <w:p>
      <w:pPr>
        <w:ind w:right="60" w:firstLine="249"/>
        <w:spacing w:after="0" w:line="13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57" w:lineRule="exact"/>
        <w:rPr>
          <w:sz w:val="24"/>
          <w:szCs w:val="24"/>
          <w:color w:val="auto"/>
        </w:rPr>
      </w:pPr>
    </w:p>
    <w:p>
      <w:pPr>
        <w:ind w:right="180" w:firstLine="249"/>
        <w:spacing w:after="0" w:line="138"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57" w:lineRule="exact"/>
        <w:rPr>
          <w:sz w:val="24"/>
          <w:szCs w:val="24"/>
          <w:color w:val="auto"/>
        </w:rPr>
      </w:pPr>
    </w:p>
    <w:p>
      <w:pPr>
        <w:ind w:right="220" w:firstLine="249"/>
        <w:spacing w:after="0" w:line="258" w:lineRule="auto"/>
        <w:rPr>
          <w:sz w:val="20"/>
          <w:szCs w:val="20"/>
          <w:color w:val="auto"/>
        </w:rPr>
      </w:pPr>
      <w:r>
        <w:rPr>
          <w:rFonts w:ascii="Arial" w:cs="Arial" w:eastAsia="Arial" w:hAnsi="Arial"/>
          <w:sz w:val="11"/>
          <w:szCs w:val="11"/>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4"/>
          <w:szCs w:val="24"/>
          <w:color w:val="auto"/>
        </w:rPr>
      </w:pPr>
    </w:p>
    <w:p>
      <w:pPr>
        <w:ind w:left="26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7" w:lineRule="exact"/>
        <w:rPr>
          <w:sz w:val="24"/>
          <w:szCs w:val="24"/>
          <w:color w:val="auto"/>
        </w:rPr>
      </w:pPr>
    </w:p>
    <w:p>
      <w:pPr>
        <w:spacing w:after="0"/>
        <w:rPr>
          <w:sz w:val="20"/>
          <w:szCs w:val="20"/>
          <w:color w:val="auto"/>
        </w:rPr>
      </w:pPr>
      <w:r>
        <w:rPr>
          <w:rFonts w:ascii="Arial" w:cs="Arial" w:eastAsia="Arial" w:hAnsi="Arial"/>
          <w:sz w:val="11"/>
          <w:szCs w:val="11"/>
          <w:color w:val="auto"/>
        </w:rPr>
        <w:t>Rule 12b-2 of the Exchange Act:</w:t>
      </w:r>
    </w:p>
    <w:p>
      <w:pPr>
        <w:spacing w:after="0" w:line="133" w:lineRule="exact"/>
        <w:rPr>
          <w:sz w:val="24"/>
          <w:szCs w:val="24"/>
          <w:color w:val="auto"/>
        </w:rPr>
      </w:pPr>
    </w:p>
    <w:tbl>
      <w:tblPr>
        <w:tblLayout w:type="fixed"/>
        <w:tblInd w:w="2300" w:type="dxa"/>
        <w:tblCellMar>
          <w:top w:w="0" w:type="dxa"/>
          <w:left w:w="0" w:type="dxa"/>
          <w:bottom w:w="0" w:type="dxa"/>
          <w:right w:w="0" w:type="dxa"/>
        </w:tblCellMar>
      </w:tblPr>
      <w:tr>
        <w:trPr>
          <w:trHeight w:val="172"/>
        </w:trPr>
        <w:tc>
          <w:tcPr>
            <w:tcW w:w="3560" w:type="dxa"/>
            <w:vAlign w:val="bottom"/>
          </w:tcPr>
          <w:p>
            <w:pPr>
              <w:jc w:val="center"/>
              <w:ind w:right="1445"/>
              <w:spacing w:after="0"/>
              <w:rPr>
                <w:sz w:val="20"/>
                <w:szCs w:val="20"/>
                <w:color w:val="auto"/>
              </w:rPr>
            </w:pPr>
            <w:r>
              <w:rPr>
                <w:rFonts w:ascii="Arial" w:cs="Arial" w:eastAsia="Arial" w:hAnsi="Arial"/>
                <w:sz w:val="11"/>
                <w:szCs w:val="11"/>
                <w:color w:val="auto"/>
                <w:w w:val="89"/>
              </w:rPr>
              <w:t>Large accelerated filer o</w:t>
            </w:r>
          </w:p>
        </w:tc>
        <w:tc>
          <w:tcPr>
            <w:tcW w:w="2800" w:type="dxa"/>
            <w:vAlign w:val="bottom"/>
          </w:tcPr>
          <w:p>
            <w:pPr>
              <w:jc w:val="center"/>
              <w:ind w:left="1445"/>
              <w:spacing w:after="0" w:line="127" w:lineRule="exact"/>
              <w:rPr>
                <w:sz w:val="20"/>
                <w:szCs w:val="20"/>
                <w:color w:val="auto"/>
              </w:rPr>
            </w:pPr>
            <w:r>
              <w:rPr>
                <w:rFonts w:ascii="Arial" w:cs="Arial" w:eastAsia="Arial" w:hAnsi="Arial"/>
                <w:sz w:val="11"/>
                <w:szCs w:val="11"/>
                <w:color w:val="auto"/>
                <w:w w:val="92"/>
              </w:rPr>
              <w:t xml:space="preserve">Accelerated filer </w:t>
            </w:r>
            <w:r>
              <w:rPr>
                <w:rFonts w:ascii="MS PGothic" w:cs="MS PGothic" w:eastAsia="MS PGothic" w:hAnsi="MS PGothic"/>
                <w:sz w:val="11"/>
                <w:szCs w:val="11"/>
                <w:color w:val="auto"/>
                <w:w w:val="92"/>
              </w:rPr>
              <w:t>☒</w:t>
            </w:r>
          </w:p>
        </w:tc>
      </w:tr>
      <w:tr>
        <w:trPr>
          <w:trHeight w:val="205"/>
        </w:trPr>
        <w:tc>
          <w:tcPr>
            <w:tcW w:w="3560" w:type="dxa"/>
            <w:vAlign w:val="bottom"/>
          </w:tcPr>
          <w:p>
            <w:pPr>
              <w:jc w:val="center"/>
              <w:ind w:right="1445"/>
              <w:spacing w:after="0"/>
              <w:rPr>
                <w:sz w:val="20"/>
                <w:szCs w:val="20"/>
                <w:color w:val="auto"/>
              </w:rPr>
            </w:pPr>
            <w:r>
              <w:rPr>
                <w:rFonts w:ascii="Arial" w:cs="Arial" w:eastAsia="Arial" w:hAnsi="Arial"/>
                <w:sz w:val="11"/>
                <w:szCs w:val="11"/>
                <w:color w:val="auto"/>
                <w:w w:val="92"/>
              </w:rPr>
              <w:t>Non-accelerated filer o</w:t>
            </w:r>
          </w:p>
        </w:tc>
        <w:tc>
          <w:tcPr>
            <w:tcW w:w="2800" w:type="dxa"/>
            <w:vAlign w:val="bottom"/>
          </w:tcPr>
          <w:p>
            <w:pPr>
              <w:jc w:val="center"/>
              <w:ind w:left="1445"/>
              <w:spacing w:after="0"/>
              <w:rPr>
                <w:sz w:val="20"/>
                <w:szCs w:val="20"/>
                <w:color w:val="auto"/>
              </w:rPr>
            </w:pPr>
            <w:r>
              <w:rPr>
                <w:rFonts w:ascii="Arial" w:cs="Arial" w:eastAsia="Arial" w:hAnsi="Arial"/>
                <w:sz w:val="11"/>
                <w:szCs w:val="11"/>
                <w:color w:val="auto"/>
                <w:w w:val="92"/>
              </w:rPr>
              <w:t>Smaller reporting company o</w:t>
            </w:r>
          </w:p>
        </w:tc>
      </w:tr>
      <w:tr>
        <w:trPr>
          <w:trHeight w:val="155"/>
        </w:trPr>
        <w:tc>
          <w:tcPr>
            <w:tcW w:w="3560" w:type="dxa"/>
            <w:vAlign w:val="bottom"/>
          </w:tcPr>
          <w:p>
            <w:pPr>
              <w:jc w:val="center"/>
              <w:ind w:right="1445"/>
              <w:spacing w:after="0"/>
              <w:rPr>
                <w:sz w:val="20"/>
                <w:szCs w:val="20"/>
                <w:color w:val="auto"/>
              </w:rPr>
            </w:pPr>
            <w:r>
              <w:rPr>
                <w:rFonts w:ascii="Arial" w:cs="Arial" w:eastAsia="Arial" w:hAnsi="Arial"/>
                <w:sz w:val="11"/>
                <w:szCs w:val="11"/>
                <w:color w:val="auto"/>
                <w:w w:val="92"/>
              </w:rPr>
              <w:t>(Do not check if a smaller reporting company)</w:t>
            </w:r>
          </w:p>
        </w:tc>
        <w:tc>
          <w:tcPr>
            <w:tcW w:w="2800" w:type="dxa"/>
            <w:vAlign w:val="bottom"/>
          </w:tcPr>
          <w:p>
            <w:pPr>
              <w:spacing w:after="0"/>
              <w:rPr>
                <w:sz w:val="13"/>
                <w:szCs w:val="13"/>
                <w:color w:val="auto"/>
              </w:rPr>
            </w:pPr>
          </w:p>
        </w:tc>
      </w:tr>
    </w:tbl>
    <w:p>
      <w:pPr>
        <w:spacing w:after="0" w:line="109" w:lineRule="exact"/>
        <w:rPr>
          <w:sz w:val="24"/>
          <w:szCs w:val="24"/>
          <w:color w:val="auto"/>
        </w:rPr>
      </w:pPr>
    </w:p>
    <w:p>
      <w:pPr>
        <w:ind w:left="26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o No </w:t>
      </w:r>
      <w:r>
        <w:rPr>
          <w:rFonts w:ascii="MS PGothic" w:cs="MS PGothic" w:eastAsia="MS PGothic" w:hAnsi="MS PGothic"/>
          <w:sz w:val="11"/>
          <w:szCs w:val="11"/>
          <w:color w:val="auto"/>
        </w:rPr>
        <w:t>☒</w:t>
      </w:r>
    </w:p>
    <w:p>
      <w:pPr>
        <w:spacing w:after="0" w:line="103" w:lineRule="exact"/>
        <w:rPr>
          <w:sz w:val="24"/>
          <w:szCs w:val="24"/>
          <w:color w:val="auto"/>
        </w:rPr>
      </w:pPr>
    </w:p>
    <w:p>
      <w:pPr>
        <w:ind w:right="120" w:firstLine="249"/>
        <w:spacing w:after="0" w:line="283" w:lineRule="auto"/>
        <w:rPr>
          <w:sz w:val="20"/>
          <w:szCs w:val="20"/>
          <w:color w:val="auto"/>
        </w:rPr>
      </w:pPr>
      <w:r>
        <w:rPr>
          <w:rFonts w:ascii="Arial" w:cs="Arial" w:eastAsia="Arial" w:hAnsi="Arial"/>
          <w:sz w:val="10"/>
          <w:szCs w:val="10"/>
          <w:color w:val="auto"/>
        </w:rPr>
        <w:t>The aggregate market value of the registrant’s voting and non-voting common stock held by non-affiliates as of June 26, 2016, the last business day of the registrant’s most recently completed second fiscal quarter, was approximately $182.6 million, based on the closing sale price for shares of the registrant’s common stock as reported by the NASDAQ Global Select Market on such date. This disclosure excludes shares of common stock held by executive officers, directors and stockholders whose individual ownership exceeds 10% of the common stock outstanding on June 26, 2016 because such persons may be deemed to be affiliates. This determination of affiliate status is not necessarily a conclusive determination for any other purpose.</w:t>
      </w:r>
    </w:p>
    <w:p>
      <w:pPr>
        <w:spacing w:after="0" w:line="49" w:lineRule="exact"/>
        <w:rPr>
          <w:sz w:val="24"/>
          <w:szCs w:val="24"/>
          <w:color w:val="auto"/>
        </w:rPr>
      </w:pPr>
    </w:p>
    <w:p>
      <w:pPr>
        <w:spacing w:after="0"/>
        <w:rPr>
          <w:sz w:val="20"/>
          <w:szCs w:val="20"/>
          <w:color w:val="auto"/>
        </w:rPr>
      </w:pPr>
      <w:r>
        <w:rPr>
          <w:rFonts w:ascii="Arial" w:cs="Arial" w:eastAsia="Arial" w:hAnsi="Arial"/>
          <w:sz w:val="11"/>
          <w:szCs w:val="11"/>
          <w:color w:val="auto"/>
        </w:rPr>
        <w:t>As of February 24, 2017, 74,533,342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2586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685" cy="635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197485</wp:posOffset>
            </wp:positionV>
            <wp:extent cx="72586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6350"/>
                    </a:xfrm>
                    <a:prstGeom prst="rect">
                      <a:avLst/>
                    </a:prstGeom>
                    <a:noFill/>
                  </pic:spPr>
                </pic:pic>
              </a:graphicData>
            </a:graphic>
          </wp:anchor>
        </w:drawing>
      </w:r>
    </w:p>
    <w:p>
      <w:pPr>
        <w:sectPr>
          <w:pgSz w:w="11900" w:h="16838" w:orient="portrait"/>
          <w:cols w:equalWidth="0" w:num="1">
            <w:col w:w="11340"/>
          </w:cols>
          <w:pgMar w:left="220" w:top="212" w:right="3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4" w:lineRule="exact"/>
        <w:rPr>
          <w:sz w:val="20"/>
          <w:szCs w:val="20"/>
          <w:color w:val="auto"/>
        </w:rPr>
      </w:pPr>
    </w:p>
    <w:p>
      <w:pPr>
        <w:ind w:firstLine="497"/>
        <w:spacing w:after="0" w:line="257" w:lineRule="auto"/>
        <w:rPr>
          <w:sz w:val="20"/>
          <w:szCs w:val="20"/>
          <w:color w:val="auto"/>
        </w:rPr>
      </w:pPr>
      <w:r>
        <w:rPr>
          <w:rFonts w:ascii="Arial" w:cs="Arial" w:eastAsia="Arial" w:hAnsi="Arial"/>
          <w:sz w:val="14"/>
          <w:szCs w:val="14"/>
          <w:color w:val="auto"/>
        </w:rPr>
        <w:t>Items 10, 11, 12, 13 and 14 of Part III of this annual report on Form 10-K incorporate information by reference from the registrant’s definitive proxy statement filed pursuant to Regulation 14A in connection with the registrant’s 2017 Annual Meeting of Stockholders or an amendment to this annual report on Form 10-K to be filed with the Securities and Exchange Commission within 120 days after the close of the fiscal year covered by this annual report on Form 10-K.</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129"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60" w:type="dxa"/>
            <w:vAlign w:val="bottom"/>
            <w:gridSpan w:val="9"/>
          </w:tcPr>
          <w:p>
            <w:pPr>
              <w:spacing w:after="0"/>
              <w:rPr>
                <w:rFonts w:ascii="Arial" w:cs="Arial" w:eastAsia="Arial" w:hAnsi="Arial"/>
                <w:sz w:val="14"/>
                <w:szCs w:val="14"/>
                <w:color w:val="0000EE"/>
                <w:w w:val="94"/>
              </w:rPr>
            </w:pPr>
            <w:hyperlink w:anchor="page3">
              <w:r>
                <w:rPr>
                  <w:rFonts w:ascii="Arial" w:cs="Arial" w:eastAsia="Arial" w:hAnsi="Arial"/>
                  <w:sz w:val="14"/>
                  <w:szCs w:val="14"/>
                  <w:color w:val="0000EE"/>
                  <w:w w:val="94"/>
                </w:rPr>
                <w:t>Table of Contents</w:t>
              </w:r>
            </w:hyperlink>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60" w:type="dxa"/>
            <w:vAlign w:val="bottom"/>
            <w:gridSpan w:val="7"/>
          </w:tcPr>
          <w:p>
            <w:pPr>
              <w:jc w:val="center"/>
              <w:ind w:right="2140"/>
              <w:spacing w:after="0"/>
              <w:rPr>
                <w:sz w:val="20"/>
                <w:szCs w:val="20"/>
                <w:color w:val="auto"/>
              </w:rPr>
            </w:pPr>
            <w:r>
              <w:rPr>
                <w:rFonts w:ascii="Arial" w:cs="Arial" w:eastAsia="Arial" w:hAnsi="Arial"/>
                <w:sz w:val="14"/>
                <w:szCs w:val="14"/>
                <w:b w:val="1"/>
                <w:bCs w:val="1"/>
                <w:color w:val="auto"/>
                <w:w w:val="98"/>
              </w:rPr>
              <w:t>KRATOS DEFENSE &amp; SECURITY SOLUTIONS, INC.</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40" w:type="dxa"/>
            <w:vAlign w:val="bottom"/>
            <w:gridSpan w:val="4"/>
          </w:tcPr>
          <w:p>
            <w:pPr>
              <w:jc w:val="center"/>
              <w:ind w:right="3720"/>
              <w:spacing w:after="0"/>
              <w:rPr>
                <w:sz w:val="20"/>
                <w:szCs w:val="20"/>
                <w:color w:val="auto"/>
              </w:rPr>
            </w:pPr>
            <w:r>
              <w:rPr>
                <w:rFonts w:ascii="Arial" w:cs="Arial" w:eastAsia="Arial" w:hAnsi="Arial"/>
                <w:sz w:val="14"/>
                <w:szCs w:val="14"/>
                <w:b w:val="1"/>
                <w:bCs w:val="1"/>
                <w:color w:val="auto"/>
                <w:w w:val="98"/>
              </w:rPr>
              <w:t>FORM 10-K</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360" w:type="dxa"/>
            <w:vAlign w:val="bottom"/>
            <w:gridSpan w:val="7"/>
          </w:tcPr>
          <w:p>
            <w:pPr>
              <w:jc w:val="center"/>
              <w:ind w:right="2100"/>
              <w:spacing w:after="0"/>
              <w:rPr>
                <w:sz w:val="20"/>
                <w:szCs w:val="20"/>
                <w:color w:val="auto"/>
              </w:rPr>
            </w:pPr>
            <w:r>
              <w:rPr>
                <w:rFonts w:ascii="Arial" w:cs="Arial" w:eastAsia="Arial" w:hAnsi="Arial"/>
                <w:sz w:val="14"/>
                <w:szCs w:val="14"/>
                <w:b w:val="1"/>
                <w:bCs w:val="1"/>
                <w:color w:val="auto"/>
                <w:w w:val="97"/>
              </w:rPr>
              <w:t>FOR THE FISCAL YEAR ENDED DECEMBER 25, 2016</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gridSpan w:val="5"/>
          </w:tcPr>
          <w:p>
            <w:pPr>
              <w:jc w:val="center"/>
              <w:ind w:right="2900"/>
              <w:spacing w:after="0"/>
              <w:rPr>
                <w:sz w:val="20"/>
                <w:szCs w:val="20"/>
                <w:color w:val="auto"/>
              </w:rPr>
            </w:pPr>
            <w:r>
              <w:rPr>
                <w:rFonts w:ascii="Arial" w:cs="Arial" w:eastAsia="Arial" w:hAnsi="Arial"/>
                <w:sz w:val="14"/>
                <w:szCs w:val="14"/>
                <w:b w:val="1"/>
                <w:bCs w:val="1"/>
                <w:color w:val="auto"/>
                <w:w w:val="98"/>
              </w:rPr>
              <w:t>TABLE OF CONTENTS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60" w:type="dxa"/>
            <w:vAlign w:val="bottom"/>
            <w:gridSpan w:val="2"/>
            <w:vMerge w:val="restart"/>
          </w:tcPr>
          <w:p>
            <w:pPr>
              <w:spacing w:after="0"/>
              <w:rPr>
                <w:rFonts w:ascii="Arial" w:cs="Arial" w:eastAsia="Arial" w:hAnsi="Arial"/>
                <w:sz w:val="14"/>
                <w:szCs w:val="14"/>
                <w:b w:val="1"/>
                <w:bCs w:val="1"/>
                <w:color w:val="0000EE"/>
                <w:w w:val="91"/>
              </w:rPr>
            </w:pPr>
            <w:hyperlink w:anchor="page4">
              <w:r>
                <w:rPr>
                  <w:rFonts w:ascii="Arial" w:cs="Arial" w:eastAsia="Arial" w:hAnsi="Arial"/>
                  <w:sz w:val="14"/>
                  <w:szCs w:val="14"/>
                  <w:b w:val="1"/>
                  <w:bCs w:val="1"/>
                  <w:color w:val="0000EE"/>
                  <w:w w:val="91"/>
                </w:rPr>
                <w:t>PART I</w:t>
              </w:r>
            </w:hyperlink>
          </w:p>
        </w:tc>
        <w:tc>
          <w:tcPr>
            <w:tcW w:w="580" w:type="dxa"/>
            <w:vAlign w:val="bottom"/>
            <w:gridSpan w:val="6"/>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460" w:type="dxa"/>
            <w:vAlign w:val="bottom"/>
            <w:tcBorders>
              <w:bottom w:val="single" w:sz="8" w:color="0000EE"/>
            </w:tcBorders>
            <w:gridSpan w:val="2"/>
            <w:vMerge w:val="continue"/>
          </w:tcPr>
          <w:p>
            <w:pPr>
              <w:spacing w:after="0"/>
              <w:rPr>
                <w:sz w:val="12"/>
                <w:szCs w:val="12"/>
                <w:color w:val="auto"/>
              </w:rPr>
            </w:pPr>
          </w:p>
        </w:tc>
        <w:tc>
          <w:tcPr>
            <w:tcW w:w="580" w:type="dxa"/>
            <w:vAlign w:val="bottom"/>
            <w:gridSpan w:val="6"/>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rFonts w:ascii="Arial" w:cs="Arial" w:eastAsia="Arial" w:hAnsi="Arial"/>
                <w:sz w:val="14"/>
                <w:szCs w:val="14"/>
                <w:color w:val="0000EE"/>
                <w:w w:val="88"/>
              </w:rPr>
            </w:pPr>
            <w:hyperlink w:anchor="page4">
              <w:r>
                <w:rPr>
                  <w:rFonts w:ascii="Arial" w:cs="Arial" w:eastAsia="Arial" w:hAnsi="Arial"/>
                  <w:sz w:val="14"/>
                  <w:szCs w:val="14"/>
                  <w:color w:val="0000EE"/>
                  <w:w w:val="88"/>
                </w:rPr>
                <w:t>Item 1.</w:t>
              </w:r>
            </w:hyperlink>
          </w:p>
        </w:tc>
        <w:tc>
          <w:tcPr>
            <w:tcW w:w="640" w:type="dxa"/>
            <w:vAlign w:val="bottom"/>
            <w:gridSpan w:val="7"/>
          </w:tcPr>
          <w:p>
            <w:pPr>
              <w:spacing w:after="0"/>
              <w:rPr>
                <w:sz w:val="16"/>
                <w:szCs w:val="16"/>
                <w:color w:val="auto"/>
              </w:rPr>
            </w:pPr>
          </w:p>
        </w:tc>
        <w:tc>
          <w:tcPr>
            <w:tcW w:w="8920" w:type="dxa"/>
            <w:vAlign w:val="bottom"/>
            <w:gridSpan w:val="19"/>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Business</w:t>
              </w:r>
            </w:hyperlink>
          </w:p>
        </w:tc>
        <w:tc>
          <w:tcPr>
            <w:tcW w:w="1480" w:type="dxa"/>
            <w:vAlign w:val="bottom"/>
            <w:gridSpan w:val="3"/>
          </w:tcPr>
          <w:p>
            <w:pPr>
              <w:jc w:val="right"/>
              <w:ind w:right="20"/>
              <w:spacing w:after="0"/>
              <w:rPr>
                <w:rFonts w:ascii="Arial" w:cs="Arial" w:eastAsia="Arial" w:hAnsi="Arial"/>
                <w:sz w:val="14"/>
                <w:szCs w:val="14"/>
                <w:color w:val="0000EE"/>
              </w:rPr>
            </w:pPr>
            <w:hyperlink w:anchor="page4">
              <w:r>
                <w:rPr>
                  <w:rFonts w:ascii="Arial" w:cs="Arial" w:eastAsia="Arial" w:hAnsi="Arial"/>
                  <w:sz w:val="14"/>
                  <w:szCs w:val="14"/>
                  <w:color w:val="0000EE"/>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00" w:type="dxa"/>
            <w:vAlign w:val="bottom"/>
            <w:tcBorders>
              <w:bottom w:val="single" w:sz="8" w:color="0000EE"/>
            </w:tcBorders>
            <w:gridSpan w:val="3"/>
          </w:tcPr>
          <w:p>
            <w:pPr>
              <w:spacing w:after="0"/>
              <w:rPr>
                <w:rFonts w:ascii="Arial" w:cs="Arial" w:eastAsia="Arial" w:hAnsi="Arial"/>
                <w:sz w:val="14"/>
                <w:szCs w:val="14"/>
                <w:color w:val="0000EE"/>
                <w:w w:val="91"/>
              </w:rPr>
            </w:pPr>
            <w:hyperlink w:anchor="page11">
              <w:r>
                <w:rPr>
                  <w:rFonts w:ascii="Arial" w:cs="Arial" w:eastAsia="Arial" w:hAnsi="Arial"/>
                  <w:sz w:val="14"/>
                  <w:szCs w:val="14"/>
                  <w:color w:val="0000EE"/>
                  <w:w w:val="91"/>
                </w:rPr>
                <w:t>Item 1A.</w:t>
              </w:r>
            </w:hyperlink>
          </w:p>
        </w:tc>
        <w:tc>
          <w:tcPr>
            <w:tcW w:w="540" w:type="dxa"/>
            <w:vAlign w:val="bottom"/>
            <w:gridSpan w:val="5"/>
          </w:tcPr>
          <w:p>
            <w:pPr>
              <w:spacing w:after="0"/>
              <w:rPr>
                <w:sz w:val="16"/>
                <w:szCs w:val="16"/>
                <w:color w:val="auto"/>
              </w:rPr>
            </w:pPr>
          </w:p>
        </w:tc>
        <w:tc>
          <w:tcPr>
            <w:tcW w:w="700" w:type="dxa"/>
            <w:vAlign w:val="bottom"/>
            <w:tcBorders>
              <w:bottom w:val="single" w:sz="8" w:color="0000EE"/>
            </w:tcBorders>
            <w:gridSpan w:val="3"/>
          </w:tcPr>
          <w:p>
            <w:pPr>
              <w:spacing w:after="0"/>
              <w:rPr>
                <w:rFonts w:ascii="Arial" w:cs="Arial" w:eastAsia="Arial" w:hAnsi="Arial"/>
                <w:sz w:val="14"/>
                <w:szCs w:val="14"/>
                <w:color w:val="0000EE"/>
                <w:w w:val="87"/>
              </w:rPr>
            </w:pPr>
            <w:hyperlink w:anchor="page11">
              <w:r>
                <w:rPr>
                  <w:rFonts w:ascii="Arial" w:cs="Arial" w:eastAsia="Arial" w:hAnsi="Arial"/>
                  <w:sz w:val="14"/>
                  <w:szCs w:val="14"/>
                  <w:color w:val="0000EE"/>
                  <w:w w:val="87"/>
                </w:rPr>
                <w:t>Risk Factors</w:t>
              </w:r>
            </w:hyperlink>
          </w:p>
        </w:tc>
        <w:tc>
          <w:tcPr>
            <w:tcW w:w="8220" w:type="dxa"/>
            <w:vAlign w:val="bottom"/>
            <w:gridSpan w:val="16"/>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11">
              <w:r>
                <w:rPr>
                  <w:rFonts w:ascii="Arial" w:cs="Arial" w:eastAsia="Arial" w:hAnsi="Arial"/>
                  <w:sz w:val="14"/>
                  <w:szCs w:val="14"/>
                  <w:color w:val="0000EE"/>
                  <w:w w:val="76"/>
                </w:rPr>
                <w:t>10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gridSpan w:val="8"/>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Item 1B.</w:t>
              </w:r>
            </w:hyperlink>
          </w:p>
        </w:tc>
        <w:tc>
          <w:tcPr>
            <w:tcW w:w="8920" w:type="dxa"/>
            <w:vAlign w:val="bottom"/>
            <w:gridSpan w:val="19"/>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Unresolved Staff Comments</w:t>
              </w:r>
            </w:hyperlink>
          </w:p>
        </w:tc>
        <w:tc>
          <w:tcPr>
            <w:tcW w:w="1460" w:type="dxa"/>
            <w:vAlign w:val="bottom"/>
            <w:gridSpan w:val="2"/>
          </w:tcPr>
          <w:p>
            <w:pPr>
              <w:jc w:val="right"/>
              <w:spacing w:after="0"/>
              <w:rPr>
                <w:rFonts w:ascii="Arial" w:cs="Arial" w:eastAsia="Arial" w:hAnsi="Arial"/>
                <w:sz w:val="14"/>
                <w:szCs w:val="14"/>
                <w:color w:val="0000EE"/>
              </w:rPr>
            </w:pPr>
            <w:hyperlink w:anchor="page29">
              <w:r>
                <w:rPr>
                  <w:rFonts w:ascii="Arial" w:cs="Arial" w:eastAsia="Arial" w:hAnsi="Arial"/>
                  <w:sz w:val="14"/>
                  <w:szCs w:val="14"/>
                  <w:color w:val="0000EE"/>
                </w:rPr>
                <w:t>28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rPr>
                <w:rFonts w:ascii="Arial" w:cs="Arial" w:eastAsia="Arial" w:hAnsi="Arial"/>
                <w:sz w:val="14"/>
                <w:szCs w:val="14"/>
                <w:color w:val="0000EE"/>
                <w:w w:val="88"/>
              </w:rPr>
            </w:pPr>
            <w:hyperlink w:anchor="page29">
              <w:r>
                <w:rPr>
                  <w:rFonts w:ascii="Arial" w:cs="Arial" w:eastAsia="Arial" w:hAnsi="Arial"/>
                  <w:sz w:val="14"/>
                  <w:szCs w:val="14"/>
                  <w:color w:val="0000EE"/>
                  <w:w w:val="88"/>
                </w:rPr>
                <w:t>Item 2.</w:t>
              </w:r>
            </w:hyperlink>
          </w:p>
        </w:tc>
        <w:tc>
          <w:tcPr>
            <w:tcW w:w="60" w:type="dxa"/>
            <w:vAlign w:val="bottom"/>
            <w:tcBorders>
              <w:top w:val="single" w:sz="8" w:color="0000EE"/>
            </w:tcBorders>
          </w:tcPr>
          <w:p>
            <w:pPr>
              <w:spacing w:after="0"/>
              <w:rPr>
                <w:sz w:val="16"/>
                <w:szCs w:val="16"/>
                <w:color w:val="auto"/>
              </w:rPr>
            </w:pPr>
          </w:p>
        </w:tc>
        <w:tc>
          <w:tcPr>
            <w:tcW w:w="580" w:type="dxa"/>
            <w:vAlign w:val="bottom"/>
            <w:gridSpan w:val="6"/>
          </w:tcPr>
          <w:p>
            <w:pPr>
              <w:spacing w:after="0"/>
              <w:rPr>
                <w:sz w:val="16"/>
                <w:szCs w:val="16"/>
                <w:color w:val="auto"/>
              </w:rPr>
            </w:pPr>
          </w:p>
        </w:tc>
        <w:tc>
          <w:tcPr>
            <w:tcW w:w="5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84"/>
              </w:rPr>
            </w:pPr>
            <w:hyperlink w:anchor="page29">
              <w:r>
                <w:rPr>
                  <w:rFonts w:ascii="Arial" w:cs="Arial" w:eastAsia="Arial" w:hAnsi="Arial"/>
                  <w:sz w:val="14"/>
                  <w:szCs w:val="14"/>
                  <w:color w:val="0000EE"/>
                  <w:w w:val="84"/>
                </w:rPr>
                <w:t>Properties</w:t>
              </w:r>
            </w:hyperlink>
          </w:p>
        </w:tc>
        <w:tc>
          <w:tcPr>
            <w:tcW w:w="1000" w:type="dxa"/>
            <w:vAlign w:val="bottom"/>
            <w:tcBorders>
              <w:top w:val="single" w:sz="8" w:color="0000EE"/>
            </w:tcBorders>
            <w:gridSpan w:val="7"/>
          </w:tcPr>
          <w:p>
            <w:pPr>
              <w:spacing w:after="0"/>
              <w:rPr>
                <w:sz w:val="16"/>
                <w:szCs w:val="16"/>
                <w:color w:val="auto"/>
              </w:rPr>
            </w:pPr>
          </w:p>
        </w:tc>
        <w:tc>
          <w:tcPr>
            <w:tcW w:w="7360" w:type="dxa"/>
            <w:vAlign w:val="bottom"/>
            <w:gridSpan w:val="10"/>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top w:val="single" w:sz="8" w:color="0000EE"/>
              <w:bottom w:val="single" w:sz="8" w:color="0000EE"/>
            </w:tcBorders>
          </w:tcPr>
          <w:p>
            <w:pPr>
              <w:jc w:val="right"/>
              <w:spacing w:after="0"/>
              <w:rPr>
                <w:rFonts w:ascii="Arial" w:cs="Arial" w:eastAsia="Arial" w:hAnsi="Arial"/>
                <w:sz w:val="14"/>
                <w:szCs w:val="14"/>
                <w:color w:val="0000EE"/>
                <w:w w:val="76"/>
              </w:rPr>
            </w:pPr>
            <w:hyperlink w:anchor="page29">
              <w:r>
                <w:rPr>
                  <w:rFonts w:ascii="Arial" w:cs="Arial" w:eastAsia="Arial" w:hAnsi="Arial"/>
                  <w:sz w:val="14"/>
                  <w:szCs w:val="14"/>
                  <w:color w:val="0000EE"/>
                  <w:w w:val="76"/>
                </w:rPr>
                <w:t>28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rFonts w:ascii="Arial" w:cs="Arial" w:eastAsia="Arial" w:hAnsi="Arial"/>
                <w:sz w:val="14"/>
                <w:szCs w:val="14"/>
                <w:color w:val="0000EE"/>
                <w:w w:val="88"/>
              </w:rPr>
            </w:pPr>
            <w:hyperlink w:anchor="page30">
              <w:r>
                <w:rPr>
                  <w:rFonts w:ascii="Arial" w:cs="Arial" w:eastAsia="Arial" w:hAnsi="Arial"/>
                  <w:sz w:val="14"/>
                  <w:szCs w:val="14"/>
                  <w:color w:val="0000EE"/>
                  <w:w w:val="88"/>
                </w:rPr>
                <w:t>Item 3.</w:t>
              </w:r>
            </w:hyperlink>
          </w:p>
        </w:tc>
        <w:tc>
          <w:tcPr>
            <w:tcW w:w="640" w:type="dxa"/>
            <w:vAlign w:val="bottom"/>
            <w:gridSpan w:val="7"/>
          </w:tcPr>
          <w:p>
            <w:pPr>
              <w:spacing w:after="0"/>
              <w:rPr>
                <w:sz w:val="16"/>
                <w:szCs w:val="16"/>
                <w:color w:val="auto"/>
              </w:rPr>
            </w:pPr>
          </w:p>
        </w:tc>
        <w:tc>
          <w:tcPr>
            <w:tcW w:w="8920" w:type="dxa"/>
            <w:vAlign w:val="bottom"/>
            <w:gridSpan w:val="19"/>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Legal Proceedings</w:t>
              </w:r>
            </w:hyperlink>
          </w:p>
        </w:tc>
        <w:tc>
          <w:tcPr>
            <w:tcW w:w="1460" w:type="dxa"/>
            <w:vAlign w:val="bottom"/>
            <w:gridSpan w:val="2"/>
          </w:tcPr>
          <w:p>
            <w:pPr>
              <w:jc w:val="right"/>
              <w:spacing w:after="0"/>
              <w:rPr>
                <w:rFonts w:ascii="Arial" w:cs="Arial" w:eastAsia="Arial" w:hAnsi="Arial"/>
                <w:sz w:val="14"/>
                <w:szCs w:val="14"/>
                <w:color w:val="0000EE"/>
              </w:rPr>
            </w:pPr>
            <w:hyperlink w:anchor="page30">
              <w:r>
                <w:rPr>
                  <w:rFonts w:ascii="Arial" w:cs="Arial" w:eastAsia="Arial" w:hAnsi="Arial"/>
                  <w:sz w:val="14"/>
                  <w:szCs w:val="14"/>
                  <w:color w:val="0000EE"/>
                </w:rPr>
                <w:t>29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Borders>
              <w:bottom w:val="single" w:sz="8" w:color="0000EE"/>
            </w:tcBorders>
          </w:tcPr>
          <w:p>
            <w:pPr>
              <w:spacing w:after="0"/>
              <w:rPr>
                <w:rFonts w:ascii="Arial" w:cs="Arial" w:eastAsia="Arial" w:hAnsi="Arial"/>
                <w:sz w:val="14"/>
                <w:szCs w:val="14"/>
                <w:color w:val="0000EE"/>
                <w:w w:val="88"/>
              </w:rPr>
            </w:pPr>
            <w:hyperlink w:anchor="page30">
              <w:r>
                <w:rPr>
                  <w:rFonts w:ascii="Arial" w:cs="Arial" w:eastAsia="Arial" w:hAnsi="Arial"/>
                  <w:sz w:val="14"/>
                  <w:szCs w:val="14"/>
                  <w:color w:val="0000EE"/>
                  <w:w w:val="88"/>
                </w:rPr>
                <w:t>Item 4.</w:t>
              </w:r>
            </w:hyperlink>
          </w:p>
        </w:tc>
        <w:tc>
          <w:tcPr>
            <w:tcW w:w="640" w:type="dxa"/>
            <w:vAlign w:val="bottom"/>
            <w:gridSpan w:val="7"/>
          </w:tcPr>
          <w:p>
            <w:pPr>
              <w:spacing w:after="0"/>
              <w:rPr>
                <w:sz w:val="16"/>
                <w:szCs w:val="16"/>
                <w:color w:val="auto"/>
              </w:rPr>
            </w:pPr>
          </w:p>
        </w:tc>
        <w:tc>
          <w:tcPr>
            <w:tcW w:w="1360" w:type="dxa"/>
            <w:vAlign w:val="bottom"/>
            <w:tcBorders>
              <w:bottom w:val="single" w:sz="8" w:color="0000EE"/>
            </w:tcBorders>
            <w:gridSpan w:val="7"/>
          </w:tcPr>
          <w:p>
            <w:pPr>
              <w:spacing w:after="0"/>
              <w:rPr>
                <w:rFonts w:ascii="Arial" w:cs="Arial" w:eastAsia="Arial" w:hAnsi="Arial"/>
                <w:sz w:val="14"/>
                <w:szCs w:val="14"/>
                <w:color w:val="0000EE"/>
                <w:w w:val="89"/>
              </w:rPr>
            </w:pPr>
            <w:hyperlink w:anchor="page30">
              <w:r>
                <w:rPr>
                  <w:rFonts w:ascii="Arial" w:cs="Arial" w:eastAsia="Arial" w:hAnsi="Arial"/>
                  <w:sz w:val="14"/>
                  <w:szCs w:val="14"/>
                  <w:color w:val="0000EE"/>
                  <w:w w:val="89"/>
                </w:rPr>
                <w:t>Mine Safety Disclosures</w:t>
              </w:r>
            </w:hyperlink>
          </w:p>
        </w:tc>
        <w:tc>
          <w:tcPr>
            <w:tcW w:w="7560" w:type="dxa"/>
            <w:vAlign w:val="bottom"/>
            <w:gridSpan w:val="12"/>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30">
              <w:r>
                <w:rPr>
                  <w:rFonts w:ascii="Arial" w:cs="Arial" w:eastAsia="Arial" w:hAnsi="Arial"/>
                  <w:sz w:val="14"/>
                  <w:szCs w:val="14"/>
                  <w:color w:val="0000EE"/>
                  <w:w w:val="76"/>
                </w:rPr>
                <w:t>29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0" w:type="dxa"/>
            <w:vAlign w:val="bottom"/>
            <w:tcBorders>
              <w:bottom w:val="single" w:sz="8" w:color="0000EE"/>
            </w:tcBorders>
            <w:gridSpan w:val="4"/>
          </w:tcPr>
          <w:p>
            <w:pPr>
              <w:spacing w:after="0"/>
              <w:rPr>
                <w:rFonts w:ascii="Arial" w:cs="Arial" w:eastAsia="Arial" w:hAnsi="Arial"/>
                <w:sz w:val="14"/>
                <w:szCs w:val="14"/>
                <w:b w:val="1"/>
                <w:bCs w:val="1"/>
                <w:color w:val="0000EE"/>
              </w:rPr>
            </w:pPr>
            <w:hyperlink w:anchor="page30">
              <w:r>
                <w:rPr>
                  <w:rFonts w:ascii="Arial" w:cs="Arial" w:eastAsia="Arial" w:hAnsi="Arial"/>
                  <w:sz w:val="14"/>
                  <w:szCs w:val="14"/>
                  <w:b w:val="1"/>
                  <w:bCs w:val="1"/>
                  <w:color w:val="0000EE"/>
                </w:rPr>
                <w:t>PART II</w:t>
              </w:r>
            </w:hyperlink>
          </w:p>
        </w:tc>
        <w:tc>
          <w:tcPr>
            <w:tcW w:w="520" w:type="dxa"/>
            <w:vAlign w:val="bottom"/>
            <w:gridSpan w:val="4"/>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Borders>
              <w:bottom w:val="single" w:sz="8" w:color="0000EE"/>
            </w:tcBorders>
          </w:tcPr>
          <w:p>
            <w:pPr>
              <w:spacing w:after="0"/>
              <w:rPr>
                <w:rFonts w:ascii="Arial" w:cs="Arial" w:eastAsia="Arial" w:hAnsi="Arial"/>
                <w:sz w:val="14"/>
                <w:szCs w:val="14"/>
                <w:color w:val="0000EE"/>
                <w:w w:val="88"/>
              </w:rPr>
            </w:pPr>
            <w:hyperlink w:anchor="page30">
              <w:r>
                <w:rPr>
                  <w:rFonts w:ascii="Arial" w:cs="Arial" w:eastAsia="Arial" w:hAnsi="Arial"/>
                  <w:sz w:val="14"/>
                  <w:szCs w:val="14"/>
                  <w:color w:val="0000EE"/>
                  <w:w w:val="88"/>
                </w:rPr>
                <w:t>Item 5.</w:t>
              </w:r>
            </w:hyperlink>
          </w:p>
        </w:tc>
        <w:tc>
          <w:tcPr>
            <w:tcW w:w="640" w:type="dxa"/>
            <w:vAlign w:val="bottom"/>
            <w:gridSpan w:val="7"/>
          </w:tcPr>
          <w:p>
            <w:pPr>
              <w:spacing w:after="0"/>
              <w:rPr>
                <w:sz w:val="16"/>
                <w:szCs w:val="16"/>
                <w:color w:val="auto"/>
              </w:rPr>
            </w:pPr>
          </w:p>
        </w:tc>
        <w:tc>
          <w:tcPr>
            <w:tcW w:w="6400" w:type="dxa"/>
            <w:vAlign w:val="bottom"/>
            <w:tcBorders>
              <w:bottom w:val="single" w:sz="8" w:color="0000EE"/>
            </w:tcBorders>
            <w:gridSpan w:val="18"/>
          </w:tcPr>
          <w:p>
            <w:pPr>
              <w:spacing w:after="0"/>
              <w:rPr>
                <w:rFonts w:ascii="Arial" w:cs="Arial" w:eastAsia="Arial" w:hAnsi="Arial"/>
                <w:sz w:val="14"/>
                <w:szCs w:val="14"/>
                <w:color w:val="0000EE"/>
                <w:w w:val="89"/>
              </w:rPr>
            </w:pPr>
            <w:hyperlink w:anchor="page30">
              <w:r>
                <w:rPr>
                  <w:rFonts w:ascii="Arial" w:cs="Arial" w:eastAsia="Arial" w:hAnsi="Arial"/>
                  <w:sz w:val="14"/>
                  <w:szCs w:val="14"/>
                  <w:color w:val="0000EE"/>
                  <w:w w:val="89"/>
                </w:rPr>
                <w:t>Market for the Registrant’s Common Equity, Related Stockholder Matters and Issuer Purchases of Equity Securities</w:t>
              </w:r>
            </w:hyperlink>
          </w:p>
        </w:tc>
        <w:tc>
          <w:tcPr>
            <w:tcW w:w="2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30">
              <w:r>
                <w:rPr>
                  <w:rFonts w:ascii="Arial" w:cs="Arial" w:eastAsia="Arial" w:hAnsi="Arial"/>
                  <w:sz w:val="14"/>
                  <w:szCs w:val="14"/>
                  <w:color w:val="0000EE"/>
                  <w:w w:val="76"/>
                </w:rPr>
                <w:t>29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rFonts w:ascii="Arial" w:cs="Arial" w:eastAsia="Arial" w:hAnsi="Arial"/>
                <w:sz w:val="14"/>
                <w:szCs w:val="14"/>
                <w:color w:val="0000EE"/>
                <w:w w:val="88"/>
              </w:rPr>
            </w:pPr>
            <w:hyperlink w:anchor="page33">
              <w:r>
                <w:rPr>
                  <w:rFonts w:ascii="Arial" w:cs="Arial" w:eastAsia="Arial" w:hAnsi="Arial"/>
                  <w:sz w:val="14"/>
                  <w:szCs w:val="14"/>
                  <w:color w:val="0000EE"/>
                  <w:w w:val="88"/>
                </w:rPr>
                <w:t>Item 6.</w:t>
              </w:r>
            </w:hyperlink>
          </w:p>
        </w:tc>
        <w:tc>
          <w:tcPr>
            <w:tcW w:w="640" w:type="dxa"/>
            <w:vAlign w:val="bottom"/>
            <w:gridSpan w:val="7"/>
          </w:tcPr>
          <w:p>
            <w:pPr>
              <w:spacing w:after="0"/>
              <w:rPr>
                <w:sz w:val="16"/>
                <w:szCs w:val="16"/>
                <w:color w:val="auto"/>
              </w:rPr>
            </w:pPr>
          </w:p>
        </w:tc>
        <w:tc>
          <w:tcPr>
            <w:tcW w:w="8920" w:type="dxa"/>
            <w:vAlign w:val="bottom"/>
            <w:gridSpan w:val="19"/>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Selected Financial Data</w:t>
              </w:r>
            </w:hyperlink>
          </w:p>
        </w:tc>
        <w:tc>
          <w:tcPr>
            <w:tcW w:w="1460" w:type="dxa"/>
            <w:vAlign w:val="bottom"/>
            <w:gridSpan w:val="2"/>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32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Borders>
              <w:bottom w:val="single" w:sz="8" w:color="0000EE"/>
            </w:tcBorders>
          </w:tcPr>
          <w:p>
            <w:pPr>
              <w:spacing w:after="0"/>
              <w:rPr>
                <w:rFonts w:ascii="Arial" w:cs="Arial" w:eastAsia="Arial" w:hAnsi="Arial"/>
                <w:sz w:val="14"/>
                <w:szCs w:val="14"/>
                <w:color w:val="0000EE"/>
                <w:w w:val="88"/>
              </w:rPr>
            </w:pPr>
            <w:hyperlink w:anchor="page34">
              <w:r>
                <w:rPr>
                  <w:rFonts w:ascii="Arial" w:cs="Arial" w:eastAsia="Arial" w:hAnsi="Arial"/>
                  <w:sz w:val="14"/>
                  <w:szCs w:val="14"/>
                  <w:color w:val="0000EE"/>
                  <w:w w:val="88"/>
                </w:rPr>
                <w:t>Item 7.</w:t>
              </w:r>
            </w:hyperlink>
          </w:p>
        </w:tc>
        <w:tc>
          <w:tcPr>
            <w:tcW w:w="640" w:type="dxa"/>
            <w:vAlign w:val="bottom"/>
            <w:gridSpan w:val="7"/>
          </w:tcPr>
          <w:p>
            <w:pPr>
              <w:spacing w:after="0"/>
              <w:rPr>
                <w:sz w:val="16"/>
                <w:szCs w:val="16"/>
                <w:color w:val="auto"/>
              </w:rPr>
            </w:pPr>
          </w:p>
        </w:tc>
        <w:tc>
          <w:tcPr>
            <w:tcW w:w="4960" w:type="dxa"/>
            <w:vAlign w:val="bottom"/>
            <w:tcBorders>
              <w:bottom w:val="single" w:sz="8" w:color="0000EE"/>
            </w:tcBorders>
            <w:gridSpan w:val="16"/>
          </w:tcPr>
          <w:p>
            <w:pPr>
              <w:spacing w:after="0"/>
              <w:rPr>
                <w:rFonts w:ascii="Arial" w:cs="Arial" w:eastAsia="Arial" w:hAnsi="Arial"/>
                <w:sz w:val="14"/>
                <w:szCs w:val="14"/>
                <w:color w:val="0000EE"/>
                <w:w w:val="89"/>
              </w:rPr>
            </w:pPr>
            <w:hyperlink w:anchor="page34">
              <w:r>
                <w:rPr>
                  <w:rFonts w:ascii="Arial" w:cs="Arial" w:eastAsia="Arial" w:hAnsi="Arial"/>
                  <w:sz w:val="14"/>
                  <w:szCs w:val="14"/>
                  <w:color w:val="0000EE"/>
                  <w:w w:val="89"/>
                </w:rPr>
                <w:t>Management’s Discussion and Analysis of Financial Condition and Results of Operations</w:t>
              </w:r>
            </w:hyperlink>
          </w:p>
        </w:tc>
        <w:tc>
          <w:tcPr>
            <w:tcW w:w="3960" w:type="dxa"/>
            <w:vAlign w:val="bottom"/>
            <w:gridSpan w:val="3"/>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34">
              <w:r>
                <w:rPr>
                  <w:rFonts w:ascii="Arial" w:cs="Arial" w:eastAsia="Arial" w:hAnsi="Arial"/>
                  <w:sz w:val="14"/>
                  <w:szCs w:val="14"/>
                  <w:color w:val="0000EE"/>
                  <w:w w:val="76"/>
                </w:rPr>
                <w:t>33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0" w:type="dxa"/>
            <w:vAlign w:val="bottom"/>
            <w:gridSpan w:val="3"/>
          </w:tcPr>
          <w:p>
            <w:pPr>
              <w:spacing w:after="0"/>
              <w:rPr>
                <w:rFonts w:ascii="Arial" w:cs="Arial" w:eastAsia="Arial" w:hAnsi="Arial"/>
                <w:sz w:val="14"/>
                <w:szCs w:val="14"/>
                <w:color w:val="0000EE"/>
                <w:w w:val="91"/>
              </w:rPr>
            </w:pPr>
            <w:hyperlink w:anchor="page53">
              <w:r>
                <w:rPr>
                  <w:rFonts w:ascii="Arial" w:cs="Arial" w:eastAsia="Arial" w:hAnsi="Arial"/>
                  <w:sz w:val="14"/>
                  <w:szCs w:val="14"/>
                  <w:color w:val="0000EE"/>
                  <w:w w:val="91"/>
                </w:rPr>
                <w:t>Item 7A.</w:t>
              </w:r>
            </w:hyperlink>
          </w:p>
        </w:tc>
        <w:tc>
          <w:tcPr>
            <w:tcW w:w="540" w:type="dxa"/>
            <w:vAlign w:val="bottom"/>
            <w:gridSpan w:val="5"/>
          </w:tcPr>
          <w:p>
            <w:pPr>
              <w:spacing w:after="0"/>
              <w:rPr>
                <w:sz w:val="16"/>
                <w:szCs w:val="16"/>
                <w:color w:val="auto"/>
              </w:rPr>
            </w:pPr>
          </w:p>
        </w:tc>
        <w:tc>
          <w:tcPr>
            <w:tcW w:w="8920" w:type="dxa"/>
            <w:vAlign w:val="bottom"/>
            <w:gridSpan w:val="19"/>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Quantitative and Qualitative Disclosures About Market Risk</w:t>
              </w:r>
            </w:hyperlink>
          </w:p>
        </w:tc>
        <w:tc>
          <w:tcPr>
            <w:tcW w:w="1460" w:type="dxa"/>
            <w:vAlign w:val="bottom"/>
            <w:gridSpan w:val="2"/>
          </w:tcPr>
          <w:p>
            <w:pPr>
              <w:jc w:val="right"/>
              <w:spacing w:after="0"/>
              <w:rPr>
                <w:rFonts w:ascii="Arial" w:cs="Arial" w:eastAsia="Arial" w:hAnsi="Arial"/>
                <w:sz w:val="14"/>
                <w:szCs w:val="14"/>
                <w:color w:val="0000EE"/>
              </w:rPr>
            </w:pPr>
            <w:hyperlink w:anchor="page53">
              <w:r>
                <w:rPr>
                  <w:rFonts w:ascii="Arial" w:cs="Arial" w:eastAsia="Arial" w:hAnsi="Arial"/>
                  <w:sz w:val="14"/>
                  <w:szCs w:val="14"/>
                  <w:color w:val="0000EE"/>
                </w:rPr>
                <w:t>52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rPr>
                <w:rFonts w:ascii="Arial" w:cs="Arial" w:eastAsia="Arial" w:hAnsi="Arial"/>
                <w:sz w:val="14"/>
                <w:szCs w:val="14"/>
                <w:color w:val="0000EE"/>
                <w:w w:val="88"/>
              </w:rPr>
            </w:pPr>
            <w:hyperlink w:anchor="page53">
              <w:r>
                <w:rPr>
                  <w:rFonts w:ascii="Arial" w:cs="Arial" w:eastAsia="Arial" w:hAnsi="Arial"/>
                  <w:sz w:val="14"/>
                  <w:szCs w:val="14"/>
                  <w:color w:val="0000EE"/>
                  <w:w w:val="88"/>
                </w:rPr>
                <w:t>Item 8.</w:t>
              </w:r>
            </w:hyperlink>
          </w:p>
        </w:tc>
        <w:tc>
          <w:tcPr>
            <w:tcW w:w="100" w:type="dxa"/>
            <w:vAlign w:val="bottom"/>
            <w:tcBorders>
              <w:top w:val="single" w:sz="8" w:color="0000EE"/>
            </w:tcBorders>
            <w:gridSpan w:val="2"/>
          </w:tcPr>
          <w:p>
            <w:pPr>
              <w:spacing w:after="0"/>
              <w:rPr>
                <w:sz w:val="16"/>
                <w:szCs w:val="16"/>
                <w:color w:val="auto"/>
              </w:rPr>
            </w:pPr>
          </w:p>
        </w:tc>
        <w:tc>
          <w:tcPr>
            <w:tcW w:w="540" w:type="dxa"/>
            <w:vAlign w:val="bottom"/>
            <w:gridSpan w:val="5"/>
          </w:tcPr>
          <w:p>
            <w:pPr>
              <w:spacing w:after="0"/>
              <w:rPr>
                <w:sz w:val="16"/>
                <w:szCs w:val="16"/>
                <w:color w:val="auto"/>
              </w:rPr>
            </w:pPr>
          </w:p>
        </w:tc>
        <w:tc>
          <w:tcPr>
            <w:tcW w:w="2560" w:type="dxa"/>
            <w:vAlign w:val="bottom"/>
            <w:tcBorders>
              <w:top w:val="single" w:sz="8" w:color="0000EE"/>
              <w:bottom w:val="single" w:sz="8" w:color="0000EE"/>
            </w:tcBorders>
            <w:gridSpan w:val="12"/>
          </w:tcPr>
          <w:p>
            <w:pPr>
              <w:spacing w:after="0"/>
              <w:rPr>
                <w:rFonts w:ascii="Arial" w:cs="Arial" w:eastAsia="Arial" w:hAnsi="Arial"/>
                <w:sz w:val="14"/>
                <w:szCs w:val="14"/>
                <w:color w:val="0000EE"/>
                <w:w w:val="87"/>
              </w:rPr>
            </w:pPr>
            <w:hyperlink w:anchor="page53">
              <w:r>
                <w:rPr>
                  <w:rFonts w:ascii="Arial" w:cs="Arial" w:eastAsia="Arial" w:hAnsi="Arial"/>
                  <w:sz w:val="14"/>
                  <w:szCs w:val="14"/>
                  <w:color w:val="0000EE"/>
                  <w:w w:val="87"/>
                </w:rPr>
                <w:t>Financial Statements and Supplementary Data</w:t>
              </w:r>
            </w:hyperlink>
          </w:p>
        </w:tc>
        <w:tc>
          <w:tcPr>
            <w:tcW w:w="780" w:type="dxa"/>
            <w:vAlign w:val="bottom"/>
            <w:tcBorders>
              <w:top w:val="single" w:sz="8" w:color="0000EE"/>
            </w:tcBorders>
            <w:gridSpan w:val="2"/>
          </w:tcPr>
          <w:p>
            <w:pPr>
              <w:spacing w:after="0"/>
              <w:rPr>
                <w:sz w:val="16"/>
                <w:szCs w:val="16"/>
                <w:color w:val="auto"/>
              </w:rPr>
            </w:pPr>
          </w:p>
        </w:tc>
        <w:tc>
          <w:tcPr>
            <w:tcW w:w="5580" w:type="dxa"/>
            <w:vAlign w:val="bottom"/>
            <w:gridSpan w:val="5"/>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top w:val="single" w:sz="8" w:color="0000EE"/>
              <w:bottom w:val="single" w:sz="8" w:color="0000EE"/>
            </w:tcBorders>
          </w:tcPr>
          <w:p>
            <w:pPr>
              <w:jc w:val="right"/>
              <w:spacing w:after="0"/>
              <w:rPr>
                <w:rFonts w:ascii="Arial" w:cs="Arial" w:eastAsia="Arial" w:hAnsi="Arial"/>
                <w:sz w:val="14"/>
                <w:szCs w:val="14"/>
                <w:color w:val="0000EE"/>
                <w:w w:val="76"/>
              </w:rPr>
            </w:pPr>
            <w:hyperlink w:anchor="page53">
              <w:r>
                <w:rPr>
                  <w:rFonts w:ascii="Arial" w:cs="Arial" w:eastAsia="Arial" w:hAnsi="Arial"/>
                  <w:sz w:val="14"/>
                  <w:szCs w:val="14"/>
                  <w:color w:val="0000EE"/>
                  <w:w w:val="76"/>
                </w:rPr>
                <w:t>52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rFonts w:ascii="Arial" w:cs="Arial" w:eastAsia="Arial" w:hAnsi="Arial"/>
                <w:sz w:val="14"/>
                <w:szCs w:val="14"/>
                <w:color w:val="0000EE"/>
                <w:w w:val="88"/>
              </w:rPr>
            </w:pPr>
            <w:hyperlink w:anchor="page53">
              <w:r>
                <w:rPr>
                  <w:rFonts w:ascii="Arial" w:cs="Arial" w:eastAsia="Arial" w:hAnsi="Arial"/>
                  <w:sz w:val="14"/>
                  <w:szCs w:val="14"/>
                  <w:color w:val="0000EE"/>
                  <w:w w:val="88"/>
                </w:rPr>
                <w:t>Item 9.</w:t>
              </w:r>
            </w:hyperlink>
          </w:p>
        </w:tc>
        <w:tc>
          <w:tcPr>
            <w:tcW w:w="640" w:type="dxa"/>
            <w:vAlign w:val="bottom"/>
            <w:gridSpan w:val="7"/>
          </w:tcPr>
          <w:p>
            <w:pPr>
              <w:spacing w:after="0"/>
              <w:rPr>
                <w:sz w:val="16"/>
                <w:szCs w:val="16"/>
                <w:color w:val="auto"/>
              </w:rPr>
            </w:pPr>
          </w:p>
        </w:tc>
        <w:tc>
          <w:tcPr>
            <w:tcW w:w="8920" w:type="dxa"/>
            <w:vAlign w:val="bottom"/>
            <w:gridSpan w:val="19"/>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Changes in and Disagreements with Accountants on Accounting and Financial Disclosure</w:t>
              </w:r>
            </w:hyperlink>
          </w:p>
        </w:tc>
        <w:tc>
          <w:tcPr>
            <w:tcW w:w="1460" w:type="dxa"/>
            <w:vAlign w:val="bottom"/>
            <w:gridSpan w:val="2"/>
          </w:tcPr>
          <w:p>
            <w:pPr>
              <w:jc w:val="right"/>
              <w:spacing w:after="0"/>
              <w:rPr>
                <w:rFonts w:ascii="Arial" w:cs="Arial" w:eastAsia="Arial" w:hAnsi="Arial"/>
                <w:sz w:val="14"/>
                <w:szCs w:val="14"/>
                <w:color w:val="0000EE"/>
              </w:rPr>
            </w:pPr>
            <w:hyperlink w:anchor="page53">
              <w:r>
                <w:rPr>
                  <w:rFonts w:ascii="Arial" w:cs="Arial" w:eastAsia="Arial" w:hAnsi="Arial"/>
                  <w:sz w:val="14"/>
                  <w:szCs w:val="14"/>
                  <w:color w:val="0000EE"/>
                </w:rPr>
                <w:t>52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00" w:type="dxa"/>
            <w:vAlign w:val="bottom"/>
            <w:tcBorders>
              <w:bottom w:val="single" w:sz="8" w:color="0000EE"/>
            </w:tcBorders>
            <w:gridSpan w:val="3"/>
          </w:tcPr>
          <w:p>
            <w:pPr>
              <w:spacing w:after="0"/>
              <w:rPr>
                <w:rFonts w:ascii="Arial" w:cs="Arial" w:eastAsia="Arial" w:hAnsi="Arial"/>
                <w:sz w:val="14"/>
                <w:szCs w:val="14"/>
                <w:color w:val="0000EE"/>
                <w:w w:val="91"/>
              </w:rPr>
            </w:pPr>
            <w:hyperlink w:anchor="page53">
              <w:r>
                <w:rPr>
                  <w:rFonts w:ascii="Arial" w:cs="Arial" w:eastAsia="Arial" w:hAnsi="Arial"/>
                  <w:sz w:val="14"/>
                  <w:szCs w:val="14"/>
                  <w:color w:val="0000EE"/>
                  <w:w w:val="91"/>
                </w:rPr>
                <w:t>Item 9A.</w:t>
              </w:r>
            </w:hyperlink>
          </w:p>
        </w:tc>
        <w:tc>
          <w:tcPr>
            <w:tcW w:w="540" w:type="dxa"/>
            <w:vAlign w:val="bottom"/>
            <w:gridSpan w:val="5"/>
          </w:tcPr>
          <w:p>
            <w:pPr>
              <w:spacing w:after="0"/>
              <w:rPr>
                <w:sz w:val="16"/>
                <w:szCs w:val="16"/>
                <w:color w:val="auto"/>
              </w:rPr>
            </w:pPr>
          </w:p>
        </w:tc>
        <w:tc>
          <w:tcPr>
            <w:tcW w:w="1360" w:type="dxa"/>
            <w:vAlign w:val="bottom"/>
            <w:tcBorders>
              <w:bottom w:val="single" w:sz="8" w:color="0000EE"/>
            </w:tcBorders>
            <w:gridSpan w:val="7"/>
          </w:tcPr>
          <w:p>
            <w:pPr>
              <w:spacing w:after="0"/>
              <w:rPr>
                <w:rFonts w:ascii="Arial" w:cs="Arial" w:eastAsia="Arial" w:hAnsi="Arial"/>
                <w:sz w:val="14"/>
                <w:szCs w:val="14"/>
                <w:color w:val="0000EE"/>
                <w:w w:val="86"/>
              </w:rPr>
            </w:pPr>
            <w:hyperlink w:anchor="page53">
              <w:r>
                <w:rPr>
                  <w:rFonts w:ascii="Arial" w:cs="Arial" w:eastAsia="Arial" w:hAnsi="Arial"/>
                  <w:sz w:val="14"/>
                  <w:szCs w:val="14"/>
                  <w:color w:val="0000EE"/>
                  <w:w w:val="86"/>
                </w:rPr>
                <w:t>Controls and Procedures</w:t>
              </w:r>
            </w:hyperlink>
          </w:p>
        </w:tc>
        <w:tc>
          <w:tcPr>
            <w:tcW w:w="7560" w:type="dxa"/>
            <w:vAlign w:val="bottom"/>
            <w:gridSpan w:val="12"/>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53">
              <w:r>
                <w:rPr>
                  <w:rFonts w:ascii="Arial" w:cs="Arial" w:eastAsia="Arial" w:hAnsi="Arial"/>
                  <w:sz w:val="14"/>
                  <w:szCs w:val="14"/>
                  <w:color w:val="0000EE"/>
                  <w:w w:val="76"/>
                </w:rPr>
                <w:t>52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gridSpan w:val="8"/>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Item 9B.</w:t>
              </w:r>
            </w:hyperlink>
          </w:p>
        </w:tc>
        <w:tc>
          <w:tcPr>
            <w:tcW w:w="8920" w:type="dxa"/>
            <w:vAlign w:val="bottom"/>
            <w:gridSpan w:val="19"/>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Other Information</w:t>
              </w:r>
            </w:hyperlink>
          </w:p>
        </w:tc>
        <w:tc>
          <w:tcPr>
            <w:tcW w:w="1460" w:type="dxa"/>
            <w:vAlign w:val="bottom"/>
            <w:gridSpan w:val="2"/>
          </w:tcPr>
          <w:p>
            <w:pPr>
              <w:jc w:val="right"/>
              <w:spacing w:after="0"/>
              <w:rPr>
                <w:rFonts w:ascii="Arial" w:cs="Arial" w:eastAsia="Arial" w:hAnsi="Arial"/>
                <w:sz w:val="14"/>
                <w:szCs w:val="14"/>
                <w:color w:val="0000EE"/>
              </w:rPr>
            </w:pPr>
            <w:hyperlink w:anchor="page54">
              <w:r>
                <w:rPr>
                  <w:rFonts w:ascii="Arial" w:cs="Arial" w:eastAsia="Arial" w:hAnsi="Arial"/>
                  <w:sz w:val="14"/>
                  <w:szCs w:val="14"/>
                  <w:color w:val="0000EE"/>
                </w:rPr>
                <w:t>53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80" w:type="dxa"/>
            <w:vAlign w:val="bottom"/>
            <w:tcBorders>
              <w:bottom w:val="single" w:sz="8" w:color="0000EE"/>
            </w:tcBorders>
            <w:gridSpan w:val="6"/>
          </w:tcPr>
          <w:p>
            <w:pPr>
              <w:spacing w:after="0"/>
              <w:rPr>
                <w:rFonts w:ascii="Arial" w:cs="Arial" w:eastAsia="Arial" w:hAnsi="Arial"/>
                <w:sz w:val="14"/>
                <w:szCs w:val="14"/>
                <w:b w:val="1"/>
                <w:bCs w:val="1"/>
                <w:color w:val="0000EE"/>
              </w:rPr>
            </w:pPr>
            <w:hyperlink w:anchor="page54">
              <w:r>
                <w:rPr>
                  <w:rFonts w:ascii="Arial" w:cs="Arial" w:eastAsia="Arial" w:hAnsi="Arial"/>
                  <w:sz w:val="14"/>
                  <w:szCs w:val="14"/>
                  <w:b w:val="1"/>
                  <w:bCs w:val="1"/>
                  <w:color w:val="0000EE"/>
                </w:rPr>
                <w:t>PART III</w:t>
              </w:r>
            </w:hyperlink>
          </w:p>
        </w:tc>
        <w:tc>
          <w:tcPr>
            <w:tcW w:w="46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gridSpan w:val="8"/>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Item 10.</w:t>
              </w:r>
            </w:hyperlink>
          </w:p>
        </w:tc>
        <w:tc>
          <w:tcPr>
            <w:tcW w:w="8920" w:type="dxa"/>
            <w:vAlign w:val="bottom"/>
            <w:gridSpan w:val="19"/>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Directors, Executive Officers and Corporate Governance</w:t>
              </w:r>
            </w:hyperlink>
          </w:p>
        </w:tc>
        <w:tc>
          <w:tcPr>
            <w:tcW w:w="1460" w:type="dxa"/>
            <w:vAlign w:val="bottom"/>
            <w:gridSpan w:val="2"/>
          </w:tcPr>
          <w:p>
            <w:pPr>
              <w:jc w:val="right"/>
              <w:spacing w:after="0"/>
              <w:rPr>
                <w:rFonts w:ascii="Arial" w:cs="Arial" w:eastAsia="Arial" w:hAnsi="Arial"/>
                <w:sz w:val="14"/>
                <w:szCs w:val="14"/>
                <w:color w:val="0000EE"/>
              </w:rPr>
            </w:pPr>
            <w:hyperlink w:anchor="page54">
              <w:r>
                <w:rPr>
                  <w:rFonts w:ascii="Arial" w:cs="Arial" w:eastAsia="Arial" w:hAnsi="Arial"/>
                  <w:sz w:val="14"/>
                  <w:szCs w:val="14"/>
                  <w:color w:val="0000EE"/>
                </w:rPr>
                <w:t>53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0" w:type="dxa"/>
            <w:vAlign w:val="bottom"/>
            <w:tcBorders>
              <w:top w:val="single" w:sz="8" w:color="0000EE"/>
            </w:tcBorders>
            <w:gridSpan w:val="2"/>
          </w:tcPr>
          <w:p>
            <w:pPr>
              <w:spacing w:after="0"/>
              <w:rPr>
                <w:rFonts w:ascii="Arial" w:cs="Arial" w:eastAsia="Arial" w:hAnsi="Arial"/>
                <w:sz w:val="14"/>
                <w:szCs w:val="14"/>
                <w:color w:val="0000EE"/>
                <w:w w:val="82"/>
              </w:rPr>
            </w:pPr>
            <w:hyperlink w:anchor="page54">
              <w:r>
                <w:rPr>
                  <w:rFonts w:ascii="Arial" w:cs="Arial" w:eastAsia="Arial" w:hAnsi="Arial"/>
                  <w:sz w:val="14"/>
                  <w:szCs w:val="14"/>
                  <w:color w:val="0000EE"/>
                  <w:w w:val="82"/>
                </w:rPr>
                <w:t>Item 11.</w:t>
              </w:r>
            </w:hyperlink>
          </w:p>
        </w:tc>
        <w:tc>
          <w:tcPr>
            <w:tcW w:w="580" w:type="dxa"/>
            <w:vAlign w:val="bottom"/>
            <w:gridSpan w:val="6"/>
          </w:tcPr>
          <w:p>
            <w:pPr>
              <w:spacing w:after="0"/>
              <w:rPr>
                <w:sz w:val="16"/>
                <w:szCs w:val="16"/>
                <w:color w:val="auto"/>
              </w:rPr>
            </w:pPr>
          </w:p>
        </w:tc>
        <w:tc>
          <w:tcPr>
            <w:tcW w:w="3140" w:type="dxa"/>
            <w:vAlign w:val="bottom"/>
            <w:tcBorders>
              <w:top w:val="single" w:sz="8" w:color="0000EE"/>
            </w:tcBorders>
            <w:gridSpan w:val="13"/>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Executive Compensation</w:t>
              </w:r>
            </w:hyperlink>
          </w:p>
        </w:tc>
        <w:tc>
          <w:tcPr>
            <w:tcW w:w="5780" w:type="dxa"/>
            <w:vAlign w:val="bottom"/>
            <w:gridSpan w:val="6"/>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top w:val="single" w:sz="8" w:color="0000EE"/>
            </w:tcBorders>
          </w:tcPr>
          <w:p>
            <w:pPr>
              <w:jc w:val="right"/>
              <w:spacing w:after="0"/>
              <w:rPr>
                <w:rFonts w:ascii="Arial" w:cs="Arial" w:eastAsia="Arial" w:hAnsi="Arial"/>
                <w:sz w:val="14"/>
                <w:szCs w:val="14"/>
                <w:color w:val="0000EE"/>
                <w:w w:val="76"/>
              </w:rPr>
            </w:pPr>
            <w:hyperlink w:anchor="page54">
              <w:r>
                <w:rPr>
                  <w:rFonts w:ascii="Arial" w:cs="Arial" w:eastAsia="Arial" w:hAnsi="Arial"/>
                  <w:sz w:val="14"/>
                  <w:szCs w:val="14"/>
                  <w:color w:val="0000EE"/>
                  <w:w w:val="76"/>
                </w:rPr>
                <w:t>53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gridSpan w:val="8"/>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Item 12.</w:t>
              </w:r>
            </w:hyperlink>
          </w:p>
        </w:tc>
        <w:tc>
          <w:tcPr>
            <w:tcW w:w="8920" w:type="dxa"/>
            <w:vAlign w:val="bottom"/>
            <w:gridSpan w:val="19"/>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Security Ownership of Certain Beneficial Owners and Management and Related Stockholder Matters</w:t>
              </w:r>
            </w:hyperlink>
          </w:p>
        </w:tc>
        <w:tc>
          <w:tcPr>
            <w:tcW w:w="1460" w:type="dxa"/>
            <w:vAlign w:val="bottom"/>
            <w:gridSpan w:val="2"/>
          </w:tcPr>
          <w:p>
            <w:pPr>
              <w:jc w:val="right"/>
              <w:spacing w:after="0"/>
              <w:rPr>
                <w:rFonts w:ascii="Arial" w:cs="Arial" w:eastAsia="Arial" w:hAnsi="Arial"/>
                <w:sz w:val="14"/>
                <w:szCs w:val="14"/>
                <w:color w:val="0000EE"/>
              </w:rPr>
            </w:pPr>
            <w:hyperlink w:anchor="page55">
              <w:r>
                <w:rPr>
                  <w:rFonts w:ascii="Arial" w:cs="Arial" w:eastAsia="Arial" w:hAnsi="Arial"/>
                  <w:sz w:val="14"/>
                  <w:szCs w:val="14"/>
                  <w:color w:val="0000EE"/>
                </w:rPr>
                <w:t>54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gridSpan w:val="8"/>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Item 13.</w:t>
              </w:r>
            </w:hyperlink>
          </w:p>
        </w:tc>
        <w:tc>
          <w:tcPr>
            <w:tcW w:w="8920" w:type="dxa"/>
            <w:vAlign w:val="bottom"/>
            <w:gridSpan w:val="19"/>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Certain Relationships and Related Transactions, and Director Independence</w:t>
              </w:r>
            </w:hyperlink>
          </w:p>
        </w:tc>
        <w:tc>
          <w:tcPr>
            <w:tcW w:w="1460" w:type="dxa"/>
            <w:vAlign w:val="bottom"/>
            <w:gridSpan w:val="2"/>
          </w:tcPr>
          <w:p>
            <w:pPr>
              <w:jc w:val="right"/>
              <w:spacing w:after="0"/>
              <w:rPr>
                <w:rFonts w:ascii="Arial" w:cs="Arial" w:eastAsia="Arial" w:hAnsi="Arial"/>
                <w:sz w:val="14"/>
                <w:szCs w:val="14"/>
                <w:color w:val="0000EE"/>
              </w:rPr>
            </w:pPr>
            <w:hyperlink w:anchor="page55">
              <w:r>
                <w:rPr>
                  <w:rFonts w:ascii="Arial" w:cs="Arial" w:eastAsia="Arial" w:hAnsi="Arial"/>
                  <w:sz w:val="14"/>
                  <w:szCs w:val="14"/>
                  <w:color w:val="0000EE"/>
                </w:rPr>
                <w:t>54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gridSpan w:val="8"/>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Item 14.</w:t>
              </w:r>
            </w:hyperlink>
          </w:p>
        </w:tc>
        <w:tc>
          <w:tcPr>
            <w:tcW w:w="8920" w:type="dxa"/>
            <w:vAlign w:val="bottom"/>
            <w:gridSpan w:val="19"/>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Principal Accounting Fees and Services</w:t>
              </w:r>
            </w:hyperlink>
          </w:p>
        </w:tc>
        <w:tc>
          <w:tcPr>
            <w:tcW w:w="1460" w:type="dxa"/>
            <w:vAlign w:val="bottom"/>
            <w:gridSpan w:val="2"/>
          </w:tcPr>
          <w:p>
            <w:pPr>
              <w:jc w:val="right"/>
              <w:spacing w:after="0"/>
              <w:rPr>
                <w:rFonts w:ascii="Arial" w:cs="Arial" w:eastAsia="Arial" w:hAnsi="Arial"/>
                <w:sz w:val="14"/>
                <w:szCs w:val="14"/>
                <w:color w:val="0000EE"/>
              </w:rPr>
            </w:pPr>
            <w:hyperlink w:anchor="page55">
              <w:r>
                <w:rPr>
                  <w:rFonts w:ascii="Arial" w:cs="Arial" w:eastAsia="Arial" w:hAnsi="Arial"/>
                  <w:sz w:val="14"/>
                  <w:szCs w:val="14"/>
                  <w:color w:val="0000EE"/>
                </w:rPr>
                <w:t>54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0" w:type="dxa"/>
            <w:vAlign w:val="bottom"/>
            <w:tcBorders>
              <w:bottom w:val="single" w:sz="8" w:color="0000EE"/>
            </w:tcBorders>
            <w:gridSpan w:val="5"/>
          </w:tcPr>
          <w:p>
            <w:pPr>
              <w:spacing w:after="0"/>
              <w:rPr>
                <w:rFonts w:ascii="Arial" w:cs="Arial" w:eastAsia="Arial" w:hAnsi="Arial"/>
                <w:sz w:val="14"/>
                <w:szCs w:val="14"/>
                <w:b w:val="1"/>
                <w:bCs w:val="1"/>
                <w:color w:val="0000EE"/>
                <w:w w:val="97"/>
              </w:rPr>
            </w:pPr>
            <w:hyperlink w:anchor="page55">
              <w:r>
                <w:rPr>
                  <w:rFonts w:ascii="Arial" w:cs="Arial" w:eastAsia="Arial" w:hAnsi="Arial"/>
                  <w:sz w:val="14"/>
                  <w:szCs w:val="14"/>
                  <w:b w:val="1"/>
                  <w:bCs w:val="1"/>
                  <w:color w:val="0000EE"/>
                  <w:w w:val="97"/>
                </w:rPr>
                <w:t>PART IV</w:t>
              </w:r>
            </w:hyperlink>
          </w:p>
        </w:tc>
        <w:tc>
          <w:tcPr>
            <w:tcW w:w="480" w:type="dxa"/>
            <w:vAlign w:val="bottom"/>
            <w:gridSpan w:val="3"/>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gridSpan w:val="8"/>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Item 15.</w:t>
              </w:r>
            </w:hyperlink>
          </w:p>
        </w:tc>
        <w:tc>
          <w:tcPr>
            <w:tcW w:w="8920" w:type="dxa"/>
            <w:vAlign w:val="bottom"/>
            <w:gridSpan w:val="19"/>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Exhibits, Financial Statement Schedules</w:t>
              </w:r>
            </w:hyperlink>
          </w:p>
        </w:tc>
        <w:tc>
          <w:tcPr>
            <w:tcW w:w="1460" w:type="dxa"/>
            <w:vAlign w:val="bottom"/>
            <w:gridSpan w:val="2"/>
          </w:tcPr>
          <w:p>
            <w:pPr>
              <w:jc w:val="right"/>
              <w:spacing w:after="0"/>
              <w:rPr>
                <w:rFonts w:ascii="Arial" w:cs="Arial" w:eastAsia="Arial" w:hAnsi="Arial"/>
                <w:sz w:val="14"/>
                <w:szCs w:val="14"/>
                <w:color w:val="0000EE"/>
              </w:rPr>
            </w:pPr>
            <w:hyperlink w:anchor="page55">
              <w:r>
                <w:rPr>
                  <w:rFonts w:ascii="Arial" w:cs="Arial" w:eastAsia="Arial" w:hAnsi="Arial"/>
                  <w:sz w:val="14"/>
                  <w:szCs w:val="14"/>
                  <w:color w:val="0000EE"/>
                </w:rPr>
                <w:t>54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67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gridSpan w:val="8"/>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16.</w:t>
              </w:r>
            </w:hyperlink>
          </w:p>
        </w:tc>
        <w:tc>
          <w:tcPr>
            <w:tcW w:w="8920" w:type="dxa"/>
            <w:vAlign w:val="bottom"/>
            <w:gridSpan w:val="19"/>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Form 10-K Summary</w:t>
              </w:r>
            </w:hyperlink>
          </w:p>
        </w:tc>
        <w:tc>
          <w:tcPr>
            <w:tcW w:w="1460" w:type="dxa"/>
            <w:vAlign w:val="bottom"/>
            <w:gridSpan w:val="2"/>
          </w:tcPr>
          <w:p>
            <w:pPr>
              <w:jc w:val="right"/>
              <w:spacing w:after="0"/>
              <w:rPr>
                <w:rFonts w:ascii="Arial" w:cs="Arial" w:eastAsia="Arial" w:hAnsi="Arial"/>
                <w:sz w:val="14"/>
                <w:szCs w:val="14"/>
                <w:color w:val="0000EE"/>
              </w:rPr>
            </w:pPr>
            <w:hyperlink w:anchor="page59">
              <w:r>
                <w:rPr>
                  <w:rFonts w:ascii="Arial" w:cs="Arial" w:eastAsia="Arial" w:hAnsi="Arial"/>
                  <w:sz w:val="14"/>
                  <w:szCs w:val="14"/>
                  <w:color w:val="0000EE"/>
                </w:rPr>
                <w:t>58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0000EE"/>
            </w:tcBorders>
            <w:gridSpan w:val="5"/>
          </w:tcPr>
          <w:p>
            <w:pPr>
              <w:spacing w:after="0"/>
              <w:rPr>
                <w:sz w:val="24"/>
                <w:szCs w:val="24"/>
                <w:color w:val="auto"/>
              </w:rPr>
            </w:pPr>
          </w:p>
        </w:tc>
        <w:tc>
          <w:tcPr>
            <w:tcW w:w="3780" w:type="dxa"/>
            <w:vAlign w:val="bottom"/>
            <w:gridSpan w:val="11"/>
          </w:tcPr>
          <w:p>
            <w:pPr>
              <w:jc w:val="center"/>
              <w:ind w:left="3131"/>
              <w:spacing w:after="0"/>
              <w:rPr>
                <w:sz w:val="20"/>
                <w:szCs w:val="20"/>
                <w:color w:val="auto"/>
              </w:rPr>
            </w:pPr>
            <w:r>
              <w:rPr>
                <w:rFonts w:ascii="Arial" w:cs="Arial" w:eastAsia="Arial" w:hAnsi="Arial"/>
                <w:sz w:val="14"/>
                <w:szCs w:val="14"/>
                <w:color w:val="auto"/>
                <w:w w:val="76"/>
              </w:rPr>
              <w:t>2</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13" w:right="2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FORWARD</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LOOKING STATEMENTS</w:t>
      </w:r>
    </w:p>
    <w:p>
      <w:pPr>
        <w:spacing w:after="0" w:line="174" w:lineRule="exact"/>
        <w:rPr>
          <w:sz w:val="20"/>
          <w:szCs w:val="20"/>
          <w:color w:val="auto"/>
        </w:rPr>
      </w:pPr>
    </w:p>
    <w:p>
      <w:pPr>
        <w:ind w:right="20" w:firstLine="497"/>
        <w:spacing w:after="0" w:line="271" w:lineRule="auto"/>
        <w:rPr>
          <w:sz w:val="20"/>
          <w:szCs w:val="20"/>
          <w:color w:val="auto"/>
        </w:rPr>
      </w:pPr>
      <w:r>
        <w:rPr>
          <w:rFonts w:ascii="Arial" w:cs="Arial" w:eastAsia="Arial" w:hAnsi="Arial"/>
          <w:sz w:val="13"/>
          <w:szCs w:val="13"/>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Business.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74" w:lineRule="exact"/>
        <w:rPr>
          <w:sz w:val="20"/>
          <w:szCs w:val="20"/>
          <w:color w:val="auto"/>
        </w:rPr>
      </w:pPr>
    </w:p>
    <w:p>
      <w:pPr>
        <w:ind w:right="60" w:firstLine="497"/>
        <w:spacing w:after="0" w:line="276" w:lineRule="auto"/>
        <w:rPr>
          <w:sz w:val="20"/>
          <w:szCs w:val="20"/>
          <w:color w:val="auto"/>
        </w:rPr>
      </w:pPr>
      <w:r>
        <w:rPr>
          <w:rFonts w:ascii="Arial" w:cs="Arial" w:eastAsia="Arial" w:hAnsi="Arial"/>
          <w:sz w:val="13"/>
          <w:szCs w:val="13"/>
          <w:color w:val="auto"/>
        </w:rPr>
        <w:t>Kratos is a mid-tier government contractor at the forefront of the U.S. Department of Defense’s (the “DoD”) Third Offset Strategy. Kratos is a leading technology, intellectual property and proprietary product and solution company focused on the U.S. and its allies’ national security. Kratos’ primary focus areas are unmanned systems, satellite communications, microwave electronics, cyber security/warfare, missile defense and combat systems. We believe that our technology, intellectual property, proprietary products and designed-in positions on our customers’ platforms and systems is a competitive advantage and high barrier to entry into our markets. Our work force is primarily technically oriented and highly skilled with a significant number holding national security clearances. Our entire organization is focused on executing our strategy of becoming the leading technology and intellectual property based company in our industry.</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Update</w:t>
      </w:r>
    </w:p>
    <w:p>
      <w:pPr>
        <w:spacing w:after="0" w:line="174" w:lineRule="exact"/>
        <w:rPr>
          <w:sz w:val="20"/>
          <w:szCs w:val="20"/>
          <w:color w:val="auto"/>
        </w:rPr>
      </w:pPr>
    </w:p>
    <w:p>
      <w:pPr>
        <w:jc w:val="both"/>
        <w:ind w:firstLine="497"/>
        <w:spacing w:after="0" w:line="276" w:lineRule="auto"/>
        <w:rPr>
          <w:sz w:val="20"/>
          <w:szCs w:val="20"/>
          <w:color w:val="auto"/>
        </w:rPr>
      </w:pPr>
      <w:r>
        <w:rPr>
          <w:rFonts w:ascii="Arial" w:cs="Arial" w:eastAsia="Arial" w:hAnsi="Arial"/>
          <w:sz w:val="13"/>
          <w:szCs w:val="13"/>
          <w:color w:val="auto"/>
        </w:rPr>
        <w:t>Faced with significant budget pressures, in recent years the U.S. Government has implemented reductions in government spending, including reductions in appropriations for the DoD and other federal agencies, pursuant to the Budget Control Act of 2011 (“BCA”), as amended by the American Taxpayer Relief Act of 2012 and the Bipartisan Budget Act of 2013. Pursuant to the terms of the BCA, a sequestration went into effect in March 2013 resulting in a 7.8% reduction to the DoD budget for fiscal year (the period running from October 1st to September 30th, a “FY”) 2013 to $495.5 billion, excluding funding for military personnel. The DoD budget was approximately $496.0 billion in FY 2014 and remained at a similar level in FY 2015. The DoD base budget excludes funding for overseas contingency operations, such as those in Afghanistan, Iraq and Syria, which are appropriated separately and are not currently subject to the BCA.</w:t>
      </w:r>
    </w:p>
    <w:p>
      <w:pPr>
        <w:spacing w:after="0" w:line="134"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On November 2, 2015, Barack Obama signed the Bipartisan Budget Act of 2015, formalizing the terms of a two-year budget agreement which raised the U.S. debt ceiling and lifted the sequestration spending caps by $80.0 billion. Under the budget agreement, the total federal spending increase over the BCA topline funding caps was $50.0 billion in FY 2016 and $30.0 billion in FY 2017, with the amounts divided equally between defense and domestic priorities. The overall discretionary budget was set at $1.067 trillion in FY 2016 and $1.07 trillion in FY 2017. The FY 2016 discretionary defense budget was $548.1 billion, a $25.0 billion increase over the BCA topline funding caps.</w:t>
      </w:r>
    </w:p>
    <w:p>
      <w:pPr>
        <w:spacing w:after="0" w:line="149" w:lineRule="exact"/>
        <w:rPr>
          <w:sz w:val="20"/>
          <w:szCs w:val="20"/>
          <w:color w:val="auto"/>
        </w:rPr>
      </w:pPr>
    </w:p>
    <w:p>
      <w:pPr>
        <w:ind w:right="340" w:firstLine="497"/>
        <w:spacing w:after="0" w:line="267" w:lineRule="auto"/>
        <w:rPr>
          <w:sz w:val="20"/>
          <w:szCs w:val="20"/>
          <w:color w:val="auto"/>
        </w:rPr>
      </w:pPr>
      <w:r>
        <w:rPr>
          <w:rFonts w:ascii="Arial" w:cs="Arial" w:eastAsia="Arial" w:hAnsi="Arial"/>
          <w:sz w:val="14"/>
          <w:szCs w:val="14"/>
          <w:color w:val="auto"/>
        </w:rPr>
        <w:t>Under the Bipartisan Budget Act of 2015, the Obama Administration received $33.0 billion of the $38.0 billion national defense spending increase it sought in FY 2016. In summary the budget agreement:</w:t>
      </w:r>
    </w:p>
    <w:p>
      <w:pPr>
        <w:spacing w:after="0" w:line="139" w:lineRule="exact"/>
        <w:rPr>
          <w:sz w:val="20"/>
          <w:szCs w:val="20"/>
          <w:color w:val="auto"/>
        </w:rPr>
      </w:pPr>
    </w:p>
    <w:p>
      <w:pPr>
        <w:ind w:left="1000" w:hanging="252"/>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extended the BCA out to 2025;</w:t>
      </w:r>
    </w:p>
    <w:p>
      <w:pPr>
        <w:spacing w:after="0" w:line="13" w:lineRule="exact"/>
        <w:rPr>
          <w:rFonts w:ascii="Arial" w:cs="Arial" w:eastAsia="Arial" w:hAnsi="Arial"/>
          <w:sz w:val="14"/>
          <w:szCs w:val="14"/>
          <w:color w:val="auto"/>
        </w:rPr>
      </w:pPr>
    </w:p>
    <w:p>
      <w:pPr>
        <w:ind w:left="1000" w:hanging="252"/>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suspended the U.S. debt limit/ceiling until March 2017;</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129" w:right="2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1000" w:right="120" w:hanging="252"/>
        <w:spacing w:after="0" w:line="253" w:lineRule="auto"/>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spending caps for FY 2016 and FY 2017 by $80.0 billion, including $50.0 billion in FY 2016 and $30.0 billion in FY 2017, split evenly between defense and domestic priorities; and</w:t>
      </w:r>
    </w:p>
    <w:p>
      <w:pPr>
        <w:spacing w:after="0" w:line="1" w:lineRule="exact"/>
        <w:rPr>
          <w:rFonts w:ascii="Arial" w:cs="Arial" w:eastAsia="Arial" w:hAnsi="Arial"/>
          <w:sz w:val="14"/>
          <w:szCs w:val="14"/>
          <w:color w:val="auto"/>
        </w:rPr>
      </w:pPr>
    </w:p>
    <w:p>
      <w:pPr>
        <w:ind w:left="1000" w:hanging="252"/>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 FY 2016 DoD base budget of $548.0 billion and a FY 2016 overseas contingency operation budget of $59.0 billion.</w:t>
      </w:r>
    </w:p>
    <w:p>
      <w:pPr>
        <w:spacing w:after="0" w:line="161" w:lineRule="exact"/>
        <w:rPr>
          <w:sz w:val="20"/>
          <w:szCs w:val="20"/>
          <w:color w:val="auto"/>
        </w:rPr>
      </w:pPr>
    </w:p>
    <w:p>
      <w:pPr>
        <w:ind w:right="60" w:firstLine="497"/>
        <w:spacing w:after="0" w:line="257" w:lineRule="auto"/>
        <w:rPr>
          <w:sz w:val="20"/>
          <w:szCs w:val="20"/>
          <w:color w:val="auto"/>
        </w:rPr>
      </w:pPr>
      <w:r>
        <w:rPr>
          <w:rFonts w:ascii="Arial" w:cs="Arial" w:eastAsia="Arial" w:hAnsi="Arial"/>
          <w:sz w:val="14"/>
          <w:szCs w:val="14"/>
          <w:color w:val="auto"/>
        </w:rPr>
        <w:t>On December 18, 2015, Congress passed and Mr. Obama signed the Consolidated Appropriations Act of 2016, which provided funding for the U.S. Government for FY 2016, providing $1.1 trillion in discretionary funding for federal agencies through September 2016. Mr. Obama signed a continuing resolution in September 2016, which was extended in December 2016, and provides funding for the U.S. Government at FY 2016 levels through April 28, 2017.</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Reporting Segments</w:t>
      </w:r>
    </w:p>
    <w:p>
      <w:pPr>
        <w:spacing w:after="0" w:line="174" w:lineRule="exact"/>
        <w:rPr>
          <w:sz w:val="20"/>
          <w:szCs w:val="20"/>
          <w:color w:val="auto"/>
        </w:rPr>
      </w:pPr>
    </w:p>
    <w:p>
      <w:pPr>
        <w:ind w:firstLine="497"/>
        <w:spacing w:after="0" w:line="272" w:lineRule="auto"/>
        <w:rPr>
          <w:sz w:val="20"/>
          <w:szCs w:val="20"/>
          <w:color w:val="auto"/>
        </w:rPr>
      </w:pPr>
      <w:r>
        <w:rPr>
          <w:rFonts w:ascii="Arial" w:cs="Arial" w:eastAsia="Arial" w:hAnsi="Arial"/>
          <w:sz w:val="13"/>
          <w:szCs w:val="13"/>
          <w:color w:val="auto"/>
        </w:rPr>
        <w:t>The Company operates in three reportable segments. The Kratos Government Solutions (“KGS”) reportable segment is comprised of an aggregation of KGS operating segments, including our microwave electronic products, satellite communications, modular systems and rocket support operating segments. The Unmanned Systems (“US”) reportable segment consists of our unmanned aerial system and unmanned ground and seaborne system businesses. The Public Safety &amp; Security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13 of the Notes to Consolidated Financial Statements. From a customer and solutions perspective, we view our business as an integrated whole, leveraging skills and assets wherever possible.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Strengths</w:t>
      </w:r>
    </w:p>
    <w:p>
      <w:pPr>
        <w:spacing w:after="0" w:line="174" w:lineRule="exact"/>
        <w:rPr>
          <w:sz w:val="20"/>
          <w:szCs w:val="20"/>
          <w:color w:val="auto"/>
        </w:rPr>
      </w:pPr>
    </w:p>
    <w:p>
      <w:pPr>
        <w:ind w:right="320" w:firstLine="497"/>
        <w:spacing w:after="0" w:line="267" w:lineRule="auto"/>
        <w:rPr>
          <w:sz w:val="20"/>
          <w:szCs w:val="20"/>
          <w:color w:val="auto"/>
        </w:rPr>
      </w:pPr>
      <w:r>
        <w:rPr>
          <w:rFonts w:ascii="Arial" w:cs="Arial" w:eastAsia="Arial" w:hAnsi="Arial"/>
          <w:sz w:val="14"/>
          <w:szCs w:val="14"/>
          <w:color w:val="auto"/>
        </w:rPr>
        <w:t>Kratos’ primary competitive strengths are our intellectual property, proprietary products, customer relationships and the designed-in position of our technology and products into our customers’ platforms and systems.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 xml:space="preserve">Highly specialized experience. </w:t>
      </w:r>
      <w:r>
        <w:rPr>
          <w:rFonts w:ascii="Arial" w:cs="Arial" w:eastAsia="Arial" w:hAnsi="Arial"/>
          <w:sz w:val="14"/>
          <w:szCs w:val="14"/>
          <w:color w:val="auto"/>
        </w:rPr>
        <w:t>Kratos and our work force have years of experience working on and with the U.S. and its allies’ national security platforms and systems.</w:t>
      </w:r>
    </w:p>
    <w:p>
      <w:pPr>
        <w:spacing w:after="0" w:line="170" w:lineRule="exact"/>
        <w:rPr>
          <w:sz w:val="20"/>
          <w:szCs w:val="20"/>
          <w:color w:val="auto"/>
        </w:rPr>
      </w:pPr>
    </w:p>
    <w:p>
      <w:pPr>
        <w:ind w:right="320" w:firstLine="497"/>
        <w:spacing w:after="0" w:line="267" w:lineRule="auto"/>
        <w:rPr>
          <w:sz w:val="20"/>
          <w:szCs w:val="20"/>
          <w:color w:val="auto"/>
        </w:rPr>
      </w:pPr>
      <w:r>
        <w:rPr>
          <w:rFonts w:ascii="Arial" w:cs="Arial" w:eastAsia="Arial" w:hAnsi="Arial"/>
          <w:sz w:val="14"/>
          <w:szCs w:val="14"/>
          <w:color w:val="auto"/>
        </w:rPr>
        <w:t>We believe that Kratos is one of the industry leaders in our core business areas including, unmanned systems, satellite communications, microwave products, missile systems and radars, missile defense, directed energy weapons, cyber security and warfare, and training systems.</w:t>
      </w:r>
    </w:p>
    <w:p>
      <w:pPr>
        <w:spacing w:after="0" w:line="139" w:lineRule="exact"/>
        <w:rPr>
          <w:sz w:val="20"/>
          <w:szCs w:val="20"/>
          <w:color w:val="auto"/>
        </w:rPr>
      </w:pPr>
    </w:p>
    <w:p>
      <w:pPr>
        <w:ind w:right="260" w:firstLine="497"/>
        <w:spacing w:after="0" w:line="267" w:lineRule="auto"/>
        <w:rPr>
          <w:sz w:val="20"/>
          <w:szCs w:val="20"/>
          <w:color w:val="auto"/>
        </w:rPr>
      </w:pPr>
      <w:r>
        <w:rPr>
          <w:rFonts w:ascii="Arial" w:cs="Arial" w:eastAsia="Arial" w:hAnsi="Arial"/>
          <w:sz w:val="14"/>
          <w:szCs w:val="14"/>
          <w:color w:val="auto"/>
        </w:rPr>
        <w:t>Kratos’ work force of approximately 2,900 employees have specialized national security related experience with the majority performing their duties at customer locations, secure manufacturing facilities or critical infrastructure sites.</w:t>
      </w:r>
    </w:p>
    <w:p>
      <w:pPr>
        <w:spacing w:after="0" w:line="139" w:lineRule="exact"/>
        <w:rPr>
          <w:sz w:val="20"/>
          <w:szCs w:val="20"/>
          <w:color w:val="auto"/>
        </w:rPr>
      </w:pPr>
    </w:p>
    <w:p>
      <w:pPr>
        <w:jc w:val="both"/>
        <w:ind w:right="100" w:firstLine="497"/>
        <w:spacing w:after="0" w:line="320" w:lineRule="auto"/>
        <w:rPr>
          <w:sz w:val="20"/>
          <w:szCs w:val="20"/>
          <w:color w:val="auto"/>
        </w:rPr>
      </w:pPr>
      <w:r>
        <w:rPr>
          <w:rFonts w:ascii="Arial" w:cs="Arial" w:eastAsia="Arial" w:hAnsi="Arial"/>
          <w:sz w:val="12"/>
          <w:szCs w:val="12"/>
          <w:i w:val="1"/>
          <w:iCs w:val="1"/>
          <w:color w:val="auto"/>
        </w:rPr>
        <w:t xml:space="preserve">Specialized national security focus aligned with mission-critical national security priorities. </w:t>
      </w:r>
      <w:r>
        <w:rPr>
          <w:rFonts w:ascii="Arial" w:cs="Arial" w:eastAsia="Arial" w:hAnsi="Arial"/>
          <w:sz w:val="12"/>
          <w:szCs w:val="12"/>
          <w:color w:val="auto"/>
        </w:rPr>
        <w:t>Continued concerns related to the threats posed by certain foreign nations and terrorists have caused the</w:t>
      </w:r>
      <w:r>
        <w:rPr>
          <w:rFonts w:ascii="Arial" w:cs="Arial" w:eastAsia="Arial" w:hAnsi="Arial"/>
          <w:sz w:val="12"/>
          <w:szCs w:val="12"/>
          <w:i w:val="1"/>
          <w:iCs w:val="1"/>
          <w:color w:val="auto"/>
        </w:rPr>
        <w:t xml:space="preserve"> </w:t>
      </w:r>
      <w:r>
        <w:rPr>
          <w:rFonts w:ascii="Arial" w:cs="Arial" w:eastAsia="Arial" w:hAnsi="Arial"/>
          <w:sz w:val="12"/>
          <w:szCs w:val="12"/>
          <w:color w:val="auto"/>
        </w:rPr>
        <w:t>U.S. Government to identify national security as an area of functional and spending priority. Budget pressures, particularly related to DoD spending, have placed a premium on developing and fielding low-cost, high-technology solutions to assist in national security missions. Our primary capabilities and areas of focus, listed below, are strongly aligned with the objectives of the U.S. Government:</w:t>
      </w:r>
    </w:p>
    <w:p>
      <w:pPr>
        <w:spacing w:after="0" w:line="111" w:lineRule="exact"/>
        <w:rPr>
          <w:sz w:val="20"/>
          <w:szCs w:val="20"/>
          <w:color w:val="auto"/>
        </w:rPr>
      </w:pPr>
    </w:p>
    <w:p>
      <w:pPr>
        <w:ind w:left="1240" w:hanging="243"/>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Unmanned systems</w:t>
      </w:r>
    </w:p>
    <w:p>
      <w:pPr>
        <w:spacing w:after="0" w:line="13" w:lineRule="exact"/>
        <w:rPr>
          <w:rFonts w:ascii="Arial" w:cs="Arial" w:eastAsia="Arial" w:hAnsi="Arial"/>
          <w:sz w:val="14"/>
          <w:szCs w:val="14"/>
          <w:color w:val="auto"/>
        </w:rPr>
      </w:pPr>
    </w:p>
    <w:p>
      <w:pPr>
        <w:ind w:left="1240" w:hanging="243"/>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Satellite communications and radio frequency detection</w:t>
      </w:r>
    </w:p>
    <w:p>
      <w:pPr>
        <w:spacing w:after="0" w:line="4" w:lineRule="exact"/>
        <w:rPr>
          <w:rFonts w:ascii="Arial" w:cs="Arial" w:eastAsia="Arial" w:hAnsi="Arial"/>
          <w:sz w:val="14"/>
          <w:szCs w:val="14"/>
          <w:color w:val="auto"/>
        </w:rPr>
      </w:pPr>
    </w:p>
    <w:p>
      <w:pPr>
        <w:ind w:left="1240" w:hanging="243"/>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Electronic warfare, attack, missile, and radar systems</w:t>
      </w:r>
    </w:p>
    <w:p>
      <w:pPr>
        <w:spacing w:after="0" w:line="4" w:lineRule="exact"/>
        <w:rPr>
          <w:rFonts w:ascii="Arial" w:cs="Arial" w:eastAsia="Arial" w:hAnsi="Arial"/>
          <w:sz w:val="14"/>
          <w:szCs w:val="14"/>
          <w:color w:val="auto"/>
        </w:rPr>
      </w:pPr>
    </w:p>
    <w:p>
      <w:pPr>
        <w:ind w:left="1240" w:hanging="243"/>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Intelligence, surveillance and reconnaissance</w:t>
      </w:r>
    </w:p>
    <w:p>
      <w:pPr>
        <w:spacing w:after="0" w:line="4" w:lineRule="exact"/>
        <w:rPr>
          <w:rFonts w:ascii="Arial" w:cs="Arial" w:eastAsia="Arial" w:hAnsi="Arial"/>
          <w:sz w:val="14"/>
          <w:szCs w:val="14"/>
          <w:color w:val="auto"/>
        </w:rPr>
      </w:pPr>
    </w:p>
    <w:p>
      <w:pPr>
        <w:ind w:left="1240" w:hanging="243"/>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Ballistic missile defense</w:t>
      </w:r>
    </w:p>
    <w:p>
      <w:pPr>
        <w:spacing w:after="0" w:line="4" w:lineRule="exact"/>
        <w:rPr>
          <w:rFonts w:ascii="Arial" w:cs="Arial" w:eastAsia="Arial" w:hAnsi="Arial"/>
          <w:sz w:val="14"/>
          <w:szCs w:val="14"/>
          <w:color w:val="auto"/>
        </w:rPr>
      </w:pPr>
    </w:p>
    <w:p>
      <w:pPr>
        <w:ind w:left="1240" w:hanging="243"/>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Command, control and combat systems</w:t>
      </w:r>
    </w:p>
    <w:p>
      <w:pPr>
        <w:spacing w:after="0" w:line="4" w:lineRule="exact"/>
        <w:rPr>
          <w:rFonts w:ascii="Arial" w:cs="Arial" w:eastAsia="Arial" w:hAnsi="Arial"/>
          <w:sz w:val="14"/>
          <w:szCs w:val="14"/>
          <w:color w:val="auto"/>
        </w:rPr>
      </w:pPr>
    </w:p>
    <w:p>
      <w:pPr>
        <w:ind w:left="1240" w:hanging="243"/>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Cybersecurity and information assurance</w:t>
      </w:r>
    </w:p>
    <w:p>
      <w:pPr>
        <w:spacing w:after="0" w:line="4" w:lineRule="exact"/>
        <w:rPr>
          <w:rFonts w:ascii="Arial" w:cs="Arial" w:eastAsia="Arial" w:hAnsi="Arial"/>
          <w:sz w:val="14"/>
          <w:szCs w:val="14"/>
          <w:color w:val="auto"/>
        </w:rPr>
      </w:pPr>
    </w:p>
    <w:p>
      <w:pPr>
        <w:ind w:left="1240" w:hanging="243"/>
        <w:spacing w:after="0"/>
        <w:tabs>
          <w:tab w:leader="none" w:pos="1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Specialized training systems</w:t>
      </w:r>
    </w:p>
    <w:p>
      <w:pPr>
        <w:spacing w:after="0" w:line="161" w:lineRule="exact"/>
        <w:rPr>
          <w:sz w:val="20"/>
          <w:szCs w:val="20"/>
          <w:color w:val="auto"/>
        </w:rPr>
      </w:pPr>
    </w:p>
    <w:p>
      <w:pPr>
        <w:ind w:right="40" w:firstLine="435"/>
        <w:spacing w:after="0" w:line="253" w:lineRule="auto"/>
        <w:rPr>
          <w:sz w:val="20"/>
          <w:szCs w:val="20"/>
          <w:color w:val="auto"/>
        </w:rPr>
      </w:pPr>
      <w:r>
        <w:rPr>
          <w:rFonts w:ascii="Arial" w:cs="Arial" w:eastAsia="Arial" w:hAnsi="Arial"/>
          <w:sz w:val="14"/>
          <w:szCs w:val="14"/>
          <w:i w:val="1"/>
          <w:iCs w:val="1"/>
          <w:color w:val="auto"/>
        </w:rPr>
        <w:t xml:space="preserve">Diverse base of key contracts with low concentration. </w:t>
      </w:r>
      <w:r>
        <w:rPr>
          <w:rFonts w:ascii="Arial" w:cs="Arial" w:eastAsia="Arial" w:hAnsi="Arial"/>
          <w:sz w:val="14"/>
          <w:szCs w:val="14"/>
          <w:color w:val="auto"/>
        </w:rPr>
        <w:t>Many of our contracts are single-award and or sole source in nature, where Kratos is the only awardee by the customer. In many cases, our</w:t>
      </w:r>
      <w:r>
        <w:rPr>
          <w:rFonts w:ascii="Arial" w:cs="Arial" w:eastAsia="Arial" w:hAnsi="Arial"/>
          <w:sz w:val="14"/>
          <w:szCs w:val="14"/>
          <w:i w:val="1"/>
          <w:iCs w:val="1"/>
          <w:color w:val="auto"/>
        </w:rPr>
        <w:t xml:space="preserve"> </w:t>
      </w:r>
      <w:r>
        <w:rPr>
          <w:rFonts w:ascii="Arial" w:cs="Arial" w:eastAsia="Arial" w:hAnsi="Arial"/>
          <w:sz w:val="14"/>
          <w:szCs w:val="14"/>
          <w:color w:val="auto"/>
        </w:rPr>
        <w:t>ability to obtain single award, sole source contracts is due to our intellectual property, proprietary products, past performance qualifications and relative experience. We have a highly diverse base of contracts with no contract representing more than 5% of 2016 revenue. Our fixed-price contracts, the vast majority of which are production contracts, represent approximately 83% of our 2016 revenue. Our cost-plus-fee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29" w:right="21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contracts and time and materials contracts represent approximately 12% and 5%, respectively, of our 2016 revenue. We believe our diverse base of key contracts and low reliance on any one contract provides us with a stable, balanced revenue stream.</w:t>
      </w:r>
    </w:p>
    <w:p>
      <w:pPr>
        <w:spacing w:after="0" w:line="139"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i w:val="1"/>
          <w:iCs w:val="1"/>
          <w:color w:val="auto"/>
        </w:rPr>
        <w:t xml:space="preserve">In-depth understanding of customer missions. </w:t>
      </w:r>
      <w:r>
        <w:rPr>
          <w:rFonts w:ascii="Arial" w:cs="Arial" w:eastAsia="Arial" w:hAnsi="Arial"/>
          <w:sz w:val="14"/>
          <w:szCs w:val="14"/>
          <w:color w:val="auto"/>
        </w:rPr>
        <w:t>We have a reputation for successfully providing mission-critical products, solutions and services to our customers. Our long-term relationships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U.S. Air Force, U.S. Army, U.S. Navy and other national security related customers and agencies enable us to develop an in-depth understanding of their missions and technical requirements. In addition, the majority of our employees are located at our customer locations, at secure manufacturing facilities or at critical infrastructure locations, all of which provides Kratos with valuable strategic insight into our customers’ ongoing missions and future program requirements. This understanding of our customers’ missions, requirements and needs, in conjunction with the strategic location of our employees, enables us to offer technical solutions tailored to our customers’ specific requirements and evolving mission objectives. In addition, once we are on-site with a customer, we have historically been successful in winning new and recompete business.</w:t>
      </w:r>
    </w:p>
    <w:p>
      <w:pPr>
        <w:spacing w:after="0" w:line="149" w:lineRule="exact"/>
        <w:rPr>
          <w:sz w:val="20"/>
          <w:szCs w:val="20"/>
          <w:color w:val="auto"/>
        </w:rPr>
      </w:pPr>
    </w:p>
    <w:p>
      <w:pPr>
        <w:jc w:val="both"/>
        <w:ind w:right="20" w:firstLine="497"/>
        <w:spacing w:after="0" w:line="257" w:lineRule="auto"/>
        <w:rPr>
          <w:sz w:val="20"/>
          <w:szCs w:val="20"/>
          <w:color w:val="auto"/>
        </w:rPr>
      </w:pPr>
      <w:r>
        <w:rPr>
          <w:rFonts w:ascii="Arial" w:cs="Arial" w:eastAsia="Arial" w:hAnsi="Arial"/>
          <w:sz w:val="14"/>
          <w:szCs w:val="14"/>
          <w:i w:val="1"/>
          <w:iCs w:val="1"/>
          <w:color w:val="auto"/>
        </w:rPr>
        <w:t xml:space="preserve">Significant cash flow visibility driven by stable backlog. </w:t>
      </w:r>
      <w:r>
        <w:rPr>
          <w:rFonts w:ascii="Arial" w:cs="Arial" w:eastAsia="Arial" w:hAnsi="Arial"/>
          <w:sz w:val="14"/>
          <w:szCs w:val="14"/>
          <w:color w:val="auto"/>
        </w:rPr>
        <w:t>As of December 25, 2016, our total backlog (see Backlog below) was approximately $899.7 million, of which approximately $626.1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was funded backlog. The majority of our sales are from orders issued under long-term contracts, typically three to five years in duration. Our contract backlog provides visibility into stable future revenue and cash flow over a diverse set of contracts.</w:t>
      </w:r>
    </w:p>
    <w:p>
      <w:pPr>
        <w:spacing w:after="0" w:line="145" w:lineRule="exact"/>
        <w:rPr>
          <w:sz w:val="20"/>
          <w:szCs w:val="20"/>
          <w:color w:val="auto"/>
        </w:rPr>
      </w:pPr>
    </w:p>
    <w:p>
      <w:pPr>
        <w:ind w:right="160" w:firstLine="497"/>
        <w:spacing w:after="0" w:line="279" w:lineRule="auto"/>
        <w:rPr>
          <w:sz w:val="20"/>
          <w:szCs w:val="20"/>
          <w:color w:val="auto"/>
        </w:rPr>
      </w:pPr>
      <w:r>
        <w:rPr>
          <w:rFonts w:ascii="Arial" w:cs="Arial" w:eastAsia="Arial" w:hAnsi="Arial"/>
          <w:sz w:val="13"/>
          <w:szCs w:val="13"/>
          <w:i w:val="1"/>
          <w:iCs w:val="1"/>
          <w:color w:val="auto"/>
        </w:rPr>
        <w:t xml:space="preserve">Highly skilled employees and an experienced management team. </w:t>
      </w:r>
      <w:r>
        <w:rPr>
          <w:rFonts w:ascii="Arial" w:cs="Arial" w:eastAsia="Arial" w:hAnsi="Arial"/>
          <w:sz w:val="13"/>
          <w:szCs w:val="13"/>
          <w:color w:val="auto"/>
        </w:rPr>
        <w:t>We deliver our services through a skilled and primarily technically oriented workforce of approximately 2,900 employees. Our</w:t>
      </w:r>
      <w:r>
        <w:rPr>
          <w:rFonts w:ascii="Arial" w:cs="Arial" w:eastAsia="Arial" w:hAnsi="Arial"/>
          <w:sz w:val="13"/>
          <w:szCs w:val="13"/>
          <w:i w:val="1"/>
          <w:iCs w:val="1"/>
          <w:color w:val="auto"/>
        </w:rPr>
        <w:t xml:space="preserve"> </w:t>
      </w:r>
      <w:r>
        <w:rPr>
          <w:rFonts w:ascii="Arial" w:cs="Arial" w:eastAsia="Arial" w:hAnsi="Arial"/>
          <w:sz w:val="13"/>
          <w:szCs w:val="13"/>
          <w:color w:val="auto"/>
        </w:rPr>
        <w:t>senior managers have significant experience with U.S. Government agencies, the U.S. military and U.S. Government contractors. Many of our employees hold national security clearances. Members of our management team have experience growing businesses both organically and through acquisitions. We believe that the cumulative experience and differentiated expertise of our personnel in our core focus areas, coupled with our sizable employee base, allow us to qualify for and bid on larger projects in a prime contracting role.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12" w:lineRule="exact"/>
        <w:rPr>
          <w:sz w:val="20"/>
          <w:szCs w:val="20"/>
          <w:color w:val="auto"/>
        </w:rPr>
      </w:pPr>
    </w:p>
    <w:p>
      <w:pPr>
        <w:jc w:val="both"/>
        <w:ind w:right="340" w:firstLine="497"/>
        <w:spacing w:after="0" w:line="257" w:lineRule="auto"/>
        <w:rPr>
          <w:sz w:val="20"/>
          <w:szCs w:val="20"/>
          <w:color w:val="auto"/>
        </w:rPr>
      </w:pPr>
      <w:r>
        <w:rPr>
          <w:rFonts w:ascii="Arial" w:cs="Arial" w:eastAsia="Arial" w:hAnsi="Arial"/>
          <w:sz w:val="14"/>
          <w:szCs w:val="14"/>
          <w:color w:val="auto"/>
        </w:rPr>
        <w:t>Our strategy is to focus on our core business areas, including Unmanned Systems, Satellite Communications, Cyber Security, Microwave Electronics and Training Systems. We will continue to invest in differentiating technology and intellectual property ownership for our products and systems. We intend to be the leader in designing, developing, demonstrating and delivering to the warfighter leading technology systems very rapidly, for a low cost.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Growth</w:t>
      </w:r>
    </w:p>
    <w:p>
      <w:pPr>
        <w:spacing w:after="0" w:line="112" w:lineRule="exact"/>
        <w:rPr>
          <w:sz w:val="20"/>
          <w:szCs w:val="20"/>
          <w:color w:val="auto"/>
        </w:rPr>
      </w:pPr>
    </w:p>
    <w:p>
      <w:pPr>
        <w:jc w:val="both"/>
        <w:ind w:right="80" w:firstLine="497"/>
        <w:spacing w:after="0" w:line="257" w:lineRule="auto"/>
        <w:rPr>
          <w:sz w:val="20"/>
          <w:szCs w:val="20"/>
          <w:color w:val="auto"/>
        </w:rPr>
      </w:pPr>
      <w:r>
        <w:rPr>
          <w:rFonts w:ascii="Arial" w:cs="Arial" w:eastAsia="Arial" w:hAnsi="Arial"/>
          <w:sz w:val="14"/>
          <w:szCs w:val="14"/>
          <w:color w:val="auto"/>
        </w:rPr>
        <w:t>We are focused on generating internal growth by capitalizing on our intellectual property, proprietary products, current contract base and customer relationships. We will make targeted discretionary investments in strategic growth areas including; unmanned systems, satellite communications, microwave electronics, cyber security and training systems, which have the highest potential for growth and in which we will retain the intellectual property rights.</w:t>
      </w:r>
    </w:p>
    <w:p>
      <w:pPr>
        <w:spacing w:after="0" w:line="145" w:lineRule="exact"/>
        <w:rPr>
          <w:sz w:val="20"/>
          <w:szCs w:val="20"/>
          <w:color w:val="auto"/>
        </w:rPr>
      </w:pPr>
    </w:p>
    <w:p>
      <w:pPr>
        <w:ind w:firstLine="497"/>
        <w:spacing w:after="0" w:line="304" w:lineRule="auto"/>
        <w:rPr>
          <w:sz w:val="20"/>
          <w:szCs w:val="20"/>
          <w:color w:val="auto"/>
        </w:rPr>
      </w:pPr>
      <w:r>
        <w:rPr>
          <w:rFonts w:ascii="Arial" w:cs="Arial" w:eastAsia="Arial" w:hAnsi="Arial"/>
          <w:sz w:val="12"/>
          <w:szCs w:val="12"/>
          <w:i w:val="1"/>
          <w:iCs w:val="1"/>
          <w:color w:val="auto"/>
        </w:rPr>
        <w:t xml:space="preserve">Expand technology product, solution and service offerings provided to existing customers. </w:t>
      </w:r>
      <w:r>
        <w:rPr>
          <w:rFonts w:ascii="Arial" w:cs="Arial" w:eastAsia="Arial" w:hAnsi="Arial"/>
          <w:sz w:val="12"/>
          <w:szCs w:val="12"/>
          <w:color w:val="auto"/>
        </w:rPr>
        <w:t>We are focused on expanding the technology, products and solutions we provide to our current customers</w:t>
      </w:r>
      <w:r>
        <w:rPr>
          <w:rFonts w:ascii="Arial" w:cs="Arial" w:eastAsia="Arial" w:hAnsi="Arial"/>
          <w:sz w:val="12"/>
          <w:szCs w:val="12"/>
          <w:i w:val="1"/>
          <w:iCs w:val="1"/>
          <w:color w:val="auto"/>
        </w:rPr>
        <w:t xml:space="preserve"> </w:t>
      </w:r>
      <w:r>
        <w:rPr>
          <w:rFonts w:ascii="Arial" w:cs="Arial" w:eastAsia="Arial" w:hAnsi="Arial"/>
          <w:sz w:val="12"/>
          <w:szCs w:val="12"/>
          <w:color w:val="auto"/>
        </w:rPr>
        <w:t>by leveraging our strong relationships, technical capabilities, intellectual property and past performance record and by offering a wider range of comprehensive low-cost technology rich products and solutions. In regard to areas of specialization, our product and solution offerings include manufacturing of specialized defense electronics products, integrated technology solutions for satellite communications and specialized high performance unmanned aerial aircraft, targets, Unmanned Aerial Systems (“UAS”) and Unmanned Ground Systems (“UGS”). We believe our understanding of customer missions, processes, needs and requirements, and our ability to rapidly deliver low cost, technology leading products and solutions, position us well for success in the current constrained budget environment.</w:t>
      </w:r>
    </w:p>
    <w:p>
      <w:pPr>
        <w:spacing w:after="0" w:line="58"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i w:val="1"/>
          <w:iCs w:val="1"/>
          <w:color w:val="auto"/>
        </w:rPr>
        <w:t xml:space="preserve">Capitalize on current contract base. </w:t>
      </w:r>
      <w:r>
        <w:rPr>
          <w:rFonts w:ascii="Arial" w:cs="Arial" w:eastAsia="Arial" w:hAnsi="Arial"/>
          <w:sz w:val="13"/>
          <w:szCs w:val="13"/>
          <w:color w:val="auto"/>
        </w:rPr>
        <w:t>We are pursuing new program and contract opportunities and awards as we build the business with our expanding technology base, intellectual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ownership, contract portfolio, and product, solution and service offerings. We are also aggressively pursuing several new national security priority areas, including high performance unmanned aerial systems, satellite communications command, control and signal monitoring products, microwave electronics for missiles, radars, electronic warfare and communications, cyber security solutions, specialized training systems, autonomy, artificial intelligence, robotics, directed energy systems, hypersonic systems, electromagnetic rail gun systems and next generation ballistic missile targets. We are also assessing new tactical program areas and platforms to pursue that are consistent with our core capabilities, technology and intellectual property.</w:t>
      </w:r>
    </w:p>
    <w:p>
      <w:pPr>
        <w:spacing w:after="0" w:line="72" w:lineRule="exact"/>
        <w:rPr>
          <w:sz w:val="20"/>
          <w:szCs w:val="20"/>
          <w:color w:val="auto"/>
        </w:rPr>
      </w:pPr>
    </w:p>
    <w:p>
      <w:pPr>
        <w:ind w:right="80" w:firstLine="497"/>
        <w:spacing w:after="0" w:line="267" w:lineRule="auto"/>
        <w:rPr>
          <w:sz w:val="20"/>
          <w:szCs w:val="20"/>
          <w:color w:val="auto"/>
        </w:rPr>
      </w:pPr>
      <w:r>
        <w:rPr>
          <w:rFonts w:ascii="Arial" w:cs="Arial" w:eastAsia="Arial" w:hAnsi="Arial"/>
          <w:sz w:val="14"/>
          <w:szCs w:val="14"/>
          <w:i w:val="1"/>
          <w:iCs w:val="1"/>
          <w:color w:val="auto"/>
        </w:rPr>
        <w:t xml:space="preserve">Expand customer and contract base. </w:t>
      </w:r>
      <w:r>
        <w:rPr>
          <w:rFonts w:ascii="Arial" w:cs="Arial" w:eastAsia="Arial" w:hAnsi="Arial"/>
          <w:sz w:val="14"/>
          <w:szCs w:val="14"/>
          <w:color w:val="auto"/>
        </w:rPr>
        <w:t>We are focused on expanding our customer base into areas with significant growth opportunities by leveraging our technology, intellectual property, proprietary</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capabilities, industry reputation,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9"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long-term customer relationships and diverse contract base. We anticipate that this expansion will enable us both to pursue larger program opportunities, higher value work and to further diversify our revenue base across additional U.S. Government, international and commercial customers.</w:t>
      </w:r>
    </w:p>
    <w:p>
      <w:pPr>
        <w:spacing w:after="0" w:line="77" w:lineRule="exact"/>
        <w:rPr>
          <w:sz w:val="20"/>
          <w:szCs w:val="20"/>
          <w:color w:val="auto"/>
        </w:rPr>
      </w:pPr>
    </w:p>
    <w:p>
      <w:pPr>
        <w:ind w:right="340" w:firstLine="497"/>
        <w:spacing w:after="0" w:line="306" w:lineRule="auto"/>
        <w:rPr>
          <w:sz w:val="20"/>
          <w:szCs w:val="20"/>
          <w:color w:val="auto"/>
        </w:rPr>
      </w:pPr>
      <w:r>
        <w:rPr>
          <w:rFonts w:ascii="Arial" w:cs="Arial" w:eastAsia="Arial" w:hAnsi="Arial"/>
          <w:sz w:val="13"/>
          <w:szCs w:val="13"/>
          <w:i w:val="1"/>
          <w:iCs w:val="1"/>
          <w:color w:val="auto"/>
        </w:rPr>
        <w:t xml:space="preserve">Improve operating margins. </w:t>
      </w:r>
      <w:r>
        <w:rPr>
          <w:rFonts w:ascii="Arial" w:cs="Arial" w:eastAsia="Arial" w:hAnsi="Arial"/>
          <w:sz w:val="13"/>
          <w:szCs w:val="13"/>
          <w:color w:val="auto"/>
        </w:rPr>
        <w:t>We believe that we have opportunities to increase our operating margins and improve profitability by capitalizing on our corporate infrastructure investments as our</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grows and revenues increase. We are proactively focused on improving efficiencies, reducing costs, and concentrating our efforts on operational excellence.</w:t>
      </w:r>
    </w:p>
    <w:p>
      <w:pPr>
        <w:spacing w:after="0" w:line="54"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i w:val="1"/>
          <w:iCs w:val="1"/>
          <w:color w:val="auto"/>
        </w:rPr>
        <w:t xml:space="preserve">Invest in strategic growth areas. </w:t>
      </w:r>
      <w:r>
        <w:rPr>
          <w:rFonts w:ascii="Arial" w:cs="Arial" w:eastAsia="Arial" w:hAnsi="Arial"/>
          <w:sz w:val="14"/>
          <w:szCs w:val="14"/>
          <w:color w:val="auto"/>
        </w:rPr>
        <w:t>Over the past several years, we have made significant investments in strategic growth areas including the unmanned tactical aircraft systems area. Specifically, we</w:t>
      </w:r>
      <w:r>
        <w:rPr>
          <w:rFonts w:ascii="Arial" w:cs="Arial" w:eastAsia="Arial" w:hAnsi="Arial"/>
          <w:sz w:val="14"/>
          <w:szCs w:val="14"/>
          <w:i w:val="1"/>
          <w:iCs w:val="1"/>
          <w:color w:val="auto"/>
        </w:rPr>
        <w:t xml:space="preserve"> </w:t>
      </w:r>
      <w:r>
        <w:rPr>
          <w:rFonts w:ascii="Arial" w:cs="Arial" w:eastAsia="Arial" w:hAnsi="Arial"/>
          <w:sz w:val="14"/>
          <w:szCs w:val="14"/>
          <w:color w:val="auto"/>
        </w:rPr>
        <w:t>have increased internally funded research and development, capital expenditures and infrastructure investments, including executive management, bid, proposal and new business capture and pursuit expenses. We have made these investments with the intention of designing and demonstrating high performance jet powered unmanned combat aerial systems. These investments also allow us to retain the intellectual property rights and design packages for these platforms, and to ultimately secure sole source production positions in these strategic growth areas. Specifically, we have invested over $50 million in our UAS through internally funded research and development, contract design retrofit costs for new platforms under development and capital expenditures for aircraft and related equipment related to this strategic growth area.</w:t>
      </w:r>
    </w:p>
    <w:p>
      <w:pPr>
        <w:spacing w:after="0" w:line="87" w:lineRule="exact"/>
        <w:rPr>
          <w:sz w:val="20"/>
          <w:szCs w:val="20"/>
          <w:color w:val="auto"/>
        </w:rPr>
      </w:pPr>
    </w:p>
    <w:p>
      <w:pPr>
        <w:ind w:firstLine="497"/>
        <w:spacing w:after="0" w:line="296" w:lineRule="auto"/>
        <w:rPr>
          <w:sz w:val="20"/>
          <w:szCs w:val="20"/>
          <w:color w:val="auto"/>
        </w:rPr>
      </w:pPr>
      <w:r>
        <w:rPr>
          <w:rFonts w:ascii="Arial" w:cs="Arial" w:eastAsia="Arial" w:hAnsi="Arial"/>
          <w:sz w:val="12"/>
          <w:szCs w:val="12"/>
          <w:color w:val="auto"/>
        </w:rPr>
        <w:t>We invested in internally funded research and development and capital expenditures to build our own UTAP-22 UAS from 2012 to 2015, and demonstrated the capabilities of the UTAP-22 in a flight demonstration in the fall of 2015. As a result, we were awarded a $12.6 million award prime contract from the Defense Innovation Unit Experimental (DIUx) for sensor integration into our UTAP-22 unmanned aerial system the following year. Under this effort, we will integrate certain sensors into our UTAP-22 and will participate in a large, complex flight exercise in 2017. Additionally, we received a $40.8 million single award, cost-share contract from the Air Force Research Laboratory (AFRL) for the Low Cost Attritable Unmanned Aerial System Demonstration (“LCASD”). Under the LCASD contract award, we will design, develop, deliver, demonstrate and test a technical baseline for a high-speed long-range, low-cost limited life-strike UAS. For our investment, we will retain hard and other assets, and important intellectual property, software, data, platform and system rights, which we believe will be critically important and valuable over the expected long-term life of this platform, including with respect to future production opportunities. We also were awarded one of four prime contract awards from the Defense Advanced Research Project Agency (DARPA) for the Gremlins program. Under the Gremlins program, DARPA envisions a swarm of approximately 20 high performance UAVs that are deployed by an inflight aircraft, and are later recovered, inflight, by an aircraft. The approximate $3.9 million Phase 1 contracts were awarded to four competing companies, with the intent to ultimately down select to one finalist company over a period of approximately 36 months.</w:t>
      </w:r>
    </w:p>
    <w:p>
      <w:pPr>
        <w:spacing w:after="0" w:line="125" w:lineRule="exact"/>
        <w:rPr>
          <w:sz w:val="20"/>
          <w:szCs w:val="20"/>
          <w:color w:val="auto"/>
        </w:rPr>
      </w:pPr>
    </w:p>
    <w:p>
      <w:pPr>
        <w:ind w:right="20" w:firstLine="497"/>
        <w:spacing w:after="0" w:line="251" w:lineRule="auto"/>
        <w:rPr>
          <w:sz w:val="20"/>
          <w:szCs w:val="20"/>
          <w:color w:val="auto"/>
        </w:rPr>
      </w:pPr>
      <w:r>
        <w:rPr>
          <w:rFonts w:ascii="Arial" w:cs="Arial" w:eastAsia="Arial" w:hAnsi="Arial"/>
          <w:sz w:val="14"/>
          <w:szCs w:val="14"/>
          <w:i w:val="1"/>
          <w:iCs w:val="1"/>
          <w:color w:val="auto"/>
        </w:rPr>
        <w:t xml:space="preserve">Capitalize on corporate infrastructure investments. </w:t>
      </w:r>
      <w:r>
        <w:rPr>
          <w:rFonts w:ascii="Arial" w:cs="Arial" w:eastAsia="Arial" w:hAnsi="Arial"/>
          <w:sz w:val="14"/>
          <w:szCs w:val="14"/>
          <w:color w:val="auto"/>
        </w:rPr>
        <w:t>In recent periods, we have made significant investments in our senior management and corporate infrastructure related to cyber security threats to</w:t>
      </w:r>
      <w:r>
        <w:rPr>
          <w:rFonts w:ascii="Arial" w:cs="Arial" w:eastAsia="Arial" w:hAnsi="Arial"/>
          <w:sz w:val="14"/>
          <w:szCs w:val="14"/>
          <w:i w:val="1"/>
          <w:iCs w:val="1"/>
          <w:color w:val="auto"/>
        </w:rPr>
        <w:t xml:space="preserve"> </w:t>
      </w:r>
      <w:r>
        <w:rPr>
          <w:rFonts w:ascii="Arial" w:cs="Arial" w:eastAsia="Arial" w:hAnsi="Arial"/>
          <w:sz w:val="14"/>
          <w:szCs w:val="14"/>
          <w:color w:val="auto"/>
        </w:rPr>
        <w:t>our Company, increased and changing regulations we are subject to, and the changing national security environment. These investments also included hiring senior executives with significant experience in the national security industry, strengthening our internal controls over financial reporting and accounting staff in support of public company reporting requirements, and expanding our backlog and bid and proposal pipeline. We expect to be allocating additional resources in our pursuit of new, larger and highly technical contract opportunities. We believe our management experience and corporate infrastructure can support a company with a much larger revenue base than ours. Accordingly, we believe that, to the extent our revenue grows, we will be able to leverage this infrastructure base and increase our operating margins.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12" w:lineRule="exact"/>
        <w:rPr>
          <w:sz w:val="20"/>
          <w:szCs w:val="20"/>
          <w:color w:val="auto"/>
        </w:rPr>
      </w:pPr>
    </w:p>
    <w:p>
      <w:pPr>
        <w:ind w:right="80" w:firstLine="497"/>
        <w:spacing w:after="0" w:line="251" w:lineRule="auto"/>
        <w:rPr>
          <w:sz w:val="20"/>
          <w:szCs w:val="20"/>
          <w:color w:val="auto"/>
        </w:rPr>
      </w:pPr>
      <w:r>
        <w:rPr>
          <w:rFonts w:ascii="Arial" w:cs="Arial" w:eastAsia="Arial" w:hAnsi="Arial"/>
          <w:sz w:val="14"/>
          <w:szCs w:val="14"/>
          <w:color w:val="auto"/>
        </w:rPr>
        <w:t>A representative list of our customers in our KGS and US segments during 2016 included the U.S. Air Force, U.S. Army, U.S. Navy, U.S. Marines, Missile Defense Agency, Space Command, the Department of Homeland Security, the National Aeronautics and Space Administration, Foreign Military Sales (“FMS”), the U.S. Southern Command, Defense Innovation Unit Experimental, Strategic Command (STRATCOM), Special Capabilities Office (SCO), U.S. intelligence community and certain classified customers. In 2016, representative customers in the PSS segment included Metropolitan Transportation Authority of New York, Prince George’s County Public Schools, Children’s Hospital of Philadelphia, JP Morgan Chase, Alamo Colleges, City of Galveston, Texas Orthopedic Hospital, Port Authority of New York &amp; New Jersey, Fidelity, Scripps Clinic, PNC Bank, Halliburton, AT&amp;T, Chevron, Exxon, Calpine Power Plants, DuPont Fabros, BP America, Houston Community College, Siemens, San Francisco Municipal Transportation Agency, and New Flyer.</w:t>
      </w:r>
    </w:p>
    <w:p>
      <w:pPr>
        <w:spacing w:after="0" w:line="87" w:lineRule="exact"/>
        <w:rPr>
          <w:sz w:val="20"/>
          <w:szCs w:val="20"/>
          <w:color w:val="auto"/>
        </w:rPr>
      </w:pPr>
    </w:p>
    <w:p>
      <w:pPr>
        <w:jc w:val="both"/>
        <w:ind w:right="120" w:firstLine="497"/>
        <w:spacing w:after="0" w:line="352" w:lineRule="auto"/>
        <w:rPr>
          <w:sz w:val="20"/>
          <w:szCs w:val="20"/>
          <w:color w:val="auto"/>
        </w:rPr>
      </w:pPr>
      <w:r>
        <w:rPr>
          <w:rFonts w:ascii="Arial" w:cs="Arial" w:eastAsia="Arial" w:hAnsi="Arial"/>
          <w:sz w:val="12"/>
          <w:szCs w:val="12"/>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60%, 61% and 57% of total revenues in 2016, 2015, and 2014,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29" w:right="21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40" w:firstLine="497"/>
        <w:spacing w:after="0" w:line="267" w:lineRule="auto"/>
        <w:rPr>
          <w:sz w:val="20"/>
          <w:szCs w:val="20"/>
          <w:color w:val="auto"/>
        </w:rPr>
      </w:pPr>
      <w:r>
        <w:rPr>
          <w:rFonts w:ascii="Arial" w:cs="Arial" w:eastAsia="Arial" w:hAnsi="Arial"/>
          <w:sz w:val="14"/>
          <w:szCs w:val="14"/>
          <w:color w:val="auto"/>
        </w:rPr>
        <w:t>Revenues from foreign customers were approximately $80.1 million or 12%, $73.2 million or 11%, and $89.0 million or 12% of total revenue for the years ended December 25, 2016, December 27, 2015, and December 28, 2014,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74" w:lineRule="exact"/>
        <w:rPr>
          <w:sz w:val="20"/>
          <w:szCs w:val="20"/>
          <w:color w:val="auto"/>
        </w:rPr>
      </w:pPr>
    </w:p>
    <w:p>
      <w:pPr>
        <w:ind w:right="80" w:firstLine="497"/>
        <w:spacing w:after="0" w:line="298" w:lineRule="auto"/>
        <w:rPr>
          <w:sz w:val="20"/>
          <w:szCs w:val="20"/>
          <w:color w:val="auto"/>
        </w:rPr>
      </w:pPr>
      <w:r>
        <w:rPr>
          <w:rFonts w:ascii="Arial" w:cs="Arial" w:eastAsia="Arial" w:hAnsi="Arial"/>
          <w:sz w:val="12"/>
          <w:szCs w:val="12"/>
          <w:color w:val="auto"/>
        </w:rPr>
        <w:t>As of December 25, 2016 and December 27, 2015, our backlog was approximately $899.7 million and $913.8 million, respectively, of which $626.1 million was funded in 2016 and $528.7 million was funded in 2015.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26" w:lineRule="exact"/>
        <w:rPr>
          <w:sz w:val="20"/>
          <w:szCs w:val="20"/>
          <w:color w:val="auto"/>
        </w:rPr>
      </w:pPr>
    </w:p>
    <w:p>
      <w:pPr>
        <w:ind w:right="60" w:firstLine="497"/>
        <w:spacing w:after="0" w:line="252" w:lineRule="auto"/>
        <w:rPr>
          <w:sz w:val="20"/>
          <w:szCs w:val="20"/>
          <w:color w:val="auto"/>
        </w:rPr>
      </w:pPr>
      <w:r>
        <w:rPr>
          <w:rFonts w:ascii="Arial" w:cs="Arial" w:eastAsia="Arial" w:hAnsi="Arial"/>
          <w:sz w:val="14"/>
          <w:szCs w:val="14"/>
          <w:color w:val="auto"/>
        </w:rPr>
        <w:t>Unfunded backlog reflects our estimate of future revenue under awarded government contracts and task orders for which either funding has not yet been appropriated or the expenditure has not yet been authorized. Our total backlog does not include estimates of revenue from government wide acquisition contracts (“GWACs”) or General Services Administration (“GSA”) schedules beyond awarded or funded task orders, but our unfunded backlog does include estimates of revenue beyond awarded or funded task orders for other types of indefinite delivery or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49" w:lineRule="exact"/>
        <w:rPr>
          <w:sz w:val="20"/>
          <w:szCs w:val="20"/>
          <w:color w:val="auto"/>
        </w:rPr>
      </w:pPr>
    </w:p>
    <w:p>
      <w:pPr>
        <w:ind w:right="20" w:firstLine="497"/>
        <w:spacing w:after="0" w:line="253" w:lineRule="auto"/>
        <w:rPr>
          <w:sz w:val="20"/>
          <w:szCs w:val="20"/>
          <w:color w:val="auto"/>
        </w:rPr>
      </w:pPr>
      <w:r>
        <w:rPr>
          <w:rFonts w:ascii="Arial" w:cs="Arial" w:eastAsia="Arial" w:hAnsi="Arial"/>
          <w:sz w:val="14"/>
          <w:szCs w:val="14"/>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49" w:lineRule="exact"/>
        <w:rPr>
          <w:sz w:val="20"/>
          <w:szCs w:val="20"/>
          <w:color w:val="auto"/>
        </w:rPr>
      </w:pPr>
    </w:p>
    <w:p>
      <w:pPr>
        <w:ind w:right="80" w:firstLine="497"/>
        <w:spacing w:after="0" w:line="253" w:lineRule="auto"/>
        <w:rPr>
          <w:sz w:val="20"/>
          <w:szCs w:val="20"/>
          <w:color w:val="auto"/>
        </w:rPr>
      </w:pPr>
      <w:r>
        <w:rPr>
          <w:rFonts w:ascii="Arial" w:cs="Arial" w:eastAsia="Arial" w:hAnsi="Arial"/>
          <w:sz w:val="14"/>
          <w:szCs w:val="14"/>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of December 25, 2016, we had a work force of approximately 2,900 full-time, part-time and on-call employees.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12" w:lineRule="exact"/>
        <w:rPr>
          <w:sz w:val="20"/>
          <w:szCs w:val="20"/>
          <w:color w:val="auto"/>
        </w:rPr>
      </w:pPr>
    </w:p>
    <w:p>
      <w:pPr>
        <w:ind w:firstLine="497"/>
        <w:spacing w:after="0" w:line="271" w:lineRule="auto"/>
        <w:rPr>
          <w:sz w:val="20"/>
          <w:szCs w:val="20"/>
          <w:color w:val="auto"/>
        </w:rPr>
      </w:pPr>
      <w:r>
        <w:rPr>
          <w:rFonts w:ascii="Arial" w:cs="Arial" w:eastAsia="Arial" w:hAnsi="Arial"/>
          <w:sz w:val="13"/>
          <w:szCs w:val="13"/>
          <w:color w:val="auto"/>
        </w:rPr>
        <w:t>Our market is competitive and includes a number of companies in the U.S. defense and security system integration industries. Many of the companies that we compete against have significantly greater financial, technical and marketing resources and generate greater revenues than we do. Competition in the KGS and US segments include tier one, large U.S. Government contractors such as Northrop Grumman, Lockheed Martin, General Dynamics, Raytheon, BAE Systems, L3, Orbital/ATK and Boeing. While we view other government contractors as competitors, we also team with these same companies in joint proposals or in the delivery of our products, solutions and services for customers. Tier two competitors include smaller government contractors such as Mercury Computer, Qinetiq, Cobham and AAR. Intense competition and long operating cycles are key characteristics of our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129"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440"/>
        <w:spacing w:after="0" w:line="267" w:lineRule="auto"/>
        <w:rPr>
          <w:sz w:val="20"/>
          <w:szCs w:val="20"/>
          <w:color w:val="auto"/>
        </w:rPr>
      </w:pPr>
      <w:r>
        <w:rPr>
          <w:rFonts w:ascii="Arial" w:cs="Arial" w:eastAsia="Arial" w:hAnsi="Arial"/>
          <w:sz w:val="14"/>
          <w:szCs w:val="14"/>
          <w:color w:val="auto"/>
        </w:rPr>
        <w:t>conducted under binding contracts, allows companies that perform well to benefit from a level of program continuity not frequently found in other industries. Competition in the PSS segment includes Siemens Building Technology, Johnson Controls, and Convergint Technologies, among others.</w:t>
      </w:r>
    </w:p>
    <w:p>
      <w:pPr>
        <w:spacing w:after="0" w:line="77" w:lineRule="exact"/>
        <w:rPr>
          <w:sz w:val="20"/>
          <w:szCs w:val="20"/>
          <w:color w:val="auto"/>
        </w:rPr>
      </w:pPr>
    </w:p>
    <w:p>
      <w:pPr>
        <w:ind w:right="140" w:firstLine="497"/>
        <w:spacing w:after="0" w:line="301" w:lineRule="auto"/>
        <w:rPr>
          <w:sz w:val="20"/>
          <w:szCs w:val="20"/>
          <w:color w:val="auto"/>
        </w:rPr>
      </w:pPr>
      <w:r>
        <w:rPr>
          <w:rFonts w:ascii="Arial" w:cs="Arial" w:eastAsia="Arial" w:hAnsi="Arial"/>
          <w:sz w:val="12"/>
          <w:szCs w:val="12"/>
          <w:color w:val="auto"/>
        </w:rPr>
        <w:t>We believe that the principal competitive factors in our ability to win new business include our intellectual property, proprietary products, technology and ability to rapidly design, demonstrate and deliver systems to the warfighter at a low cost. Also important is our past performance qualifications, customer relationships, domain and technology expertise, the ability to replace contract vehicles, the ability to deliver results within budget (time and cost), reputation, accountability, staffing flexibility, and project management expertise. Additionally, our ability to deliver cost effective products, solutions and services that meet our customers’ requirements is a key differentiator. The current federal procurement environment in the government services area is driven primarily by “low price, technically acceptable” contract award decisions. Accordingly, innovation and the ability for a contractor to quickly deliver a low cost, technically compliant solution or product are critical in the current competitive environment. In addition, competitor bid protests have become more prevalent in the current competitive environment, resulting in further delay of contract procurement activity.</w:t>
      </w:r>
    </w:p>
    <w:p>
      <w:pPr>
        <w:spacing w:after="0" w:line="59"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In the U.S. defense, IT, and services markets, the U.S. Government has stressed competition and affordability in connection with its future procurement of products and services. This has led to fewer sole source awards, as well as more emphasis on cost competitiveness. In addition, the DoD has announced several initiatives to improve efficiency, refocus priorities, modify contract terms, and enhance DoD best practices including those used to procure goods and services from defense contractors. See the Industry Background section in Item 7 “Management’s Discussion and Analysis of Financial Condition and Results of Operations” and the Industry Update section in Item 1 “Business” contained within this Annual Report. These initiatives, when implemented, together with planned reductions in defense spending levels, are likely to result in fewer new opportunities for our industry as a whole with more demanding terms. A reduced opportunity set is likely to intensify competition within the industry as companies compete for a more limited set of new programs.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12"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We believe that our future success depends upon our ability to continue to develop new products and services, and enhancements to and applications for our existing products and services. Our research and development expenses were $13.9 million, $16.2 million and $18.6 million in 2016, 2015, and 2014,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unmanned systems, electronic warfare, satellite communications and signal monitoring.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12" w:lineRule="exact"/>
        <w:rPr>
          <w:sz w:val="20"/>
          <w:szCs w:val="20"/>
          <w:color w:val="auto"/>
        </w:rPr>
      </w:pPr>
    </w:p>
    <w:p>
      <w:pPr>
        <w:ind w:firstLine="497"/>
        <w:spacing w:after="0" w:line="267" w:lineRule="auto"/>
        <w:rPr>
          <w:sz w:val="20"/>
          <w:szCs w:val="20"/>
          <w:color w:val="auto"/>
        </w:rPr>
      </w:pPr>
      <w:r>
        <w:rPr>
          <w:rFonts w:ascii="Arial" w:cs="Arial" w:eastAsia="Arial" w:hAnsi="Arial"/>
          <w:sz w:val="14"/>
          <w:szCs w:val="14"/>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77" w:lineRule="exact"/>
        <w:rPr>
          <w:sz w:val="20"/>
          <w:szCs w:val="20"/>
          <w:color w:val="auto"/>
        </w:rPr>
      </w:pPr>
    </w:p>
    <w:p>
      <w:pPr>
        <w:jc w:val="both"/>
        <w:ind w:right="80" w:firstLine="497"/>
        <w:spacing w:after="0" w:line="257" w:lineRule="auto"/>
        <w:rPr>
          <w:sz w:val="20"/>
          <w:szCs w:val="20"/>
          <w:color w:val="auto"/>
        </w:rPr>
      </w:pPr>
      <w:r>
        <w:rPr>
          <w:rFonts w:ascii="Arial" w:cs="Arial" w:eastAsia="Arial" w:hAnsi="Arial"/>
          <w:sz w:val="14"/>
          <w:szCs w:val="14"/>
          <w:color w:val="auto"/>
        </w:rPr>
        <w:t>As of December 25, 2016, we held a number of U.S. and foreign patents. We do not consider our business to be materially dependent upon any individual patent.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83" w:lineRule="exact"/>
        <w:rPr>
          <w:sz w:val="20"/>
          <w:szCs w:val="20"/>
          <w:color w:val="auto"/>
        </w:rPr>
      </w:pPr>
    </w:p>
    <w:p>
      <w:pPr>
        <w:jc w:val="both"/>
        <w:ind w:right="80" w:firstLine="497"/>
        <w:spacing w:after="0" w:line="267" w:lineRule="auto"/>
        <w:rPr>
          <w:sz w:val="20"/>
          <w:szCs w:val="20"/>
          <w:color w:val="auto"/>
        </w:rPr>
      </w:pPr>
      <w:r>
        <w:rPr>
          <w:rFonts w:ascii="Arial" w:cs="Arial" w:eastAsia="Arial" w:hAnsi="Arial"/>
          <w:sz w:val="14"/>
          <w:szCs w:val="14"/>
          <w:color w:val="auto"/>
        </w:rPr>
        <w:t>We own or have rights to use certain trademarks, service marks and trade names that we use in conjunction with the operation of our business. Certain of our trademarks have also been registered in selected foreign countries.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12" w:lineRule="exact"/>
        <w:rPr>
          <w:sz w:val="20"/>
          <w:szCs w:val="20"/>
          <w:color w:val="auto"/>
        </w:rPr>
      </w:pPr>
    </w:p>
    <w:p>
      <w:pPr>
        <w:ind w:right="480" w:firstLine="497"/>
        <w:spacing w:after="0" w:line="267" w:lineRule="auto"/>
        <w:rPr>
          <w:sz w:val="20"/>
          <w:szCs w:val="20"/>
          <w:color w:val="auto"/>
        </w:rPr>
      </w:pPr>
      <w:r>
        <w:rPr>
          <w:rFonts w:ascii="Arial" w:cs="Arial" w:eastAsia="Arial" w:hAnsi="Arial"/>
          <w:sz w:val="14"/>
          <w:szCs w:val="14"/>
          <w:color w:val="auto"/>
        </w:rPr>
        <w:t>We are subject to various government regulations, including various U.S. Government regulations as a contractor and subcontractor to the agencies of the U.S. Government. Among the most significant U.S. Government regulations affecting our business are:</w:t>
      </w:r>
    </w:p>
    <w:p>
      <w:pPr>
        <w:spacing w:after="0" w:line="77" w:lineRule="exact"/>
        <w:rPr>
          <w:sz w:val="20"/>
          <w:szCs w:val="20"/>
          <w:color w:val="auto"/>
        </w:rPr>
      </w:pPr>
    </w:p>
    <w:p>
      <w:pPr>
        <w:ind w:left="1000" w:hanging="252"/>
        <w:spacing w:after="0"/>
        <w:tabs>
          <w:tab w:leader="none" w:pos="1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Federal Acquisition Regulations and supplemental agency regulations, which comprehensively regulate the formation, administration, and performance under government contracts;</w:t>
      </w:r>
    </w:p>
    <w:p>
      <w:pPr>
        <w:spacing w:after="0" w:line="131" w:lineRule="exact"/>
        <w:rPr>
          <w:rFonts w:ascii="Arial" w:cs="Arial" w:eastAsia="Arial" w:hAnsi="Arial"/>
          <w:sz w:val="12"/>
          <w:szCs w:val="12"/>
          <w:color w:val="auto"/>
        </w:rPr>
      </w:pPr>
    </w:p>
    <w:p>
      <w:pPr>
        <w:ind w:left="1000" w:hanging="252"/>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Truth in Negotiations Act, which requires certification and disclosure of all cost and pricing data in connection with contract negotiations;</w:t>
      </w:r>
    </w:p>
    <w:p>
      <w:pPr>
        <w:spacing w:after="0" w:line="108" w:lineRule="exact"/>
        <w:rPr>
          <w:rFonts w:ascii="Arial" w:cs="Arial" w:eastAsia="Arial" w:hAnsi="Arial"/>
          <w:sz w:val="14"/>
          <w:szCs w:val="14"/>
          <w:color w:val="auto"/>
        </w:rPr>
      </w:pPr>
    </w:p>
    <w:p>
      <w:pPr>
        <w:ind w:left="1000" w:hanging="252"/>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Cost Accounting Standards, which impose accounting requirements that govern our right to reimbursement under cost-based government contracts;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29" w:right="2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1000" w:right="460" w:hanging="252"/>
        <w:spacing w:after="0" w:line="267" w:lineRule="auto"/>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Foreign Corrupt Practices Act, which prohibits U.S. companies from providing anything of value to a foreign official to help obtain, retain or direct business, or obtain any unfair advantages;</w:t>
      </w:r>
    </w:p>
    <w:p>
      <w:pPr>
        <w:spacing w:after="0" w:line="76" w:lineRule="exact"/>
        <w:rPr>
          <w:rFonts w:ascii="Arial" w:cs="Arial" w:eastAsia="Arial" w:hAnsi="Arial"/>
          <w:sz w:val="14"/>
          <w:szCs w:val="14"/>
          <w:color w:val="auto"/>
        </w:rPr>
      </w:pPr>
    </w:p>
    <w:p>
      <w:pPr>
        <w:ind w:left="1000" w:right="100" w:hanging="252"/>
        <w:spacing w:after="0" w:line="267" w:lineRule="auto"/>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76" w:lineRule="exact"/>
        <w:rPr>
          <w:rFonts w:ascii="Arial" w:cs="Arial" w:eastAsia="Arial" w:hAnsi="Arial"/>
          <w:sz w:val="14"/>
          <w:szCs w:val="14"/>
          <w:color w:val="auto"/>
        </w:rPr>
      </w:pPr>
    </w:p>
    <w:p>
      <w:pPr>
        <w:ind w:left="1000" w:hanging="252"/>
        <w:spacing w:after="0"/>
        <w:tabs>
          <w:tab w:leader="none" w:pos="1000" w:val="left"/>
        </w:tabs>
        <w:numPr>
          <w:ilvl w:val="0"/>
          <w:numId w:val="7"/>
        </w:numPr>
        <w:rPr>
          <w:rFonts w:ascii="Arial" w:cs="Arial" w:eastAsia="Arial" w:hAnsi="Arial"/>
          <w:sz w:val="12"/>
          <w:szCs w:val="12"/>
          <w:color w:val="auto"/>
        </w:rPr>
      </w:pPr>
      <w:r>
        <w:rPr>
          <w:rFonts w:ascii="Arial" w:cs="Arial" w:eastAsia="Arial" w:hAnsi="Arial"/>
          <w:sz w:val="12"/>
          <w:szCs w:val="12"/>
          <w:color w:val="auto"/>
        </w:rPr>
        <w:t>laws, regulations and executive orders restricting the use and dissemination of information classified for national security purposes and the exportation of certain products and technical data.</w:t>
      </w:r>
    </w:p>
    <w:p>
      <w:pPr>
        <w:spacing w:after="0" w:line="131" w:lineRule="exact"/>
        <w:rPr>
          <w:sz w:val="20"/>
          <w:szCs w:val="20"/>
          <w:color w:val="auto"/>
        </w:rPr>
      </w:pPr>
    </w:p>
    <w:p>
      <w:pPr>
        <w:ind w:right="280" w:firstLine="497"/>
        <w:spacing w:after="0" w:line="257" w:lineRule="auto"/>
        <w:rPr>
          <w:sz w:val="20"/>
          <w:szCs w:val="20"/>
          <w:color w:val="auto"/>
        </w:rPr>
      </w:pPr>
      <w:r>
        <w:rPr>
          <w:rFonts w:ascii="Arial" w:cs="Arial" w:eastAsia="Arial" w:hAnsi="Arial"/>
          <w:sz w:val="14"/>
          <w:szCs w:val="14"/>
          <w:color w:val="auto"/>
        </w:rPr>
        <w:t>We also need special security clearances to continue working on and advancing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83" w:lineRule="exact"/>
        <w:rPr>
          <w:sz w:val="20"/>
          <w:szCs w:val="20"/>
          <w:color w:val="auto"/>
        </w:rPr>
      </w:pPr>
    </w:p>
    <w:p>
      <w:pPr>
        <w:ind w:right="100" w:firstLine="497"/>
        <w:spacing w:after="0" w:line="252" w:lineRule="auto"/>
        <w:rPr>
          <w:sz w:val="20"/>
          <w:szCs w:val="20"/>
          <w:color w:val="auto"/>
        </w:rPr>
      </w:pPr>
      <w:r>
        <w:rPr>
          <w:rFonts w:ascii="Arial" w:cs="Arial" w:eastAsia="Arial" w:hAnsi="Arial"/>
          <w:sz w:val="14"/>
          <w:szCs w:val="14"/>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87" w:lineRule="exact"/>
        <w:rPr>
          <w:sz w:val="20"/>
          <w:szCs w:val="20"/>
          <w:color w:val="auto"/>
        </w:rPr>
      </w:pPr>
    </w:p>
    <w:p>
      <w:pPr>
        <w:jc w:val="both"/>
        <w:ind w:right="100" w:firstLine="497"/>
        <w:spacing w:after="0" w:line="320" w:lineRule="auto"/>
        <w:rPr>
          <w:sz w:val="20"/>
          <w:szCs w:val="20"/>
          <w:color w:val="auto"/>
        </w:rPr>
      </w:pPr>
      <w:r>
        <w:rPr>
          <w:rFonts w:ascii="Arial" w:cs="Arial" w:eastAsia="Arial" w:hAnsi="Arial"/>
          <w:sz w:val="12"/>
          <w:szCs w:val="12"/>
          <w:color w:val="auto"/>
        </w:rPr>
        <w:t>In addition, the export from the U.S. of certain of our products may require the issuance of a license by the U.S. Department of Commerce under the Export Administration Act, as amended, and its implementing regulations as kept in force 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49" w:lineRule="exact"/>
        <w:rPr>
          <w:sz w:val="20"/>
          <w:szCs w:val="20"/>
          <w:color w:val="auto"/>
        </w:rPr>
      </w:pPr>
    </w:p>
    <w:p>
      <w:pPr>
        <w:ind w:right="600" w:firstLine="497"/>
        <w:spacing w:after="0" w:line="401" w:lineRule="auto"/>
        <w:rPr>
          <w:sz w:val="20"/>
          <w:szCs w:val="20"/>
          <w:color w:val="auto"/>
        </w:rPr>
      </w:pPr>
      <w:r>
        <w:rPr>
          <w:rFonts w:ascii="Arial" w:cs="Arial" w:eastAsia="Arial" w:hAnsi="Arial"/>
          <w:sz w:val="14"/>
          <w:szCs w:val="14"/>
          <w:color w:val="auto"/>
        </w:rPr>
        <w:t xml:space="preserve">Our business may require compliance with state or local laws designed to limit the uses of personal user information gathered online or require online services to establish privacy policies. </w:t>
      </w:r>
      <w:r>
        <w:rPr>
          <w:rFonts w:ascii="Arial" w:cs="Arial" w:eastAsia="Arial" w:hAnsi="Arial"/>
          <w:sz w:val="14"/>
          <w:szCs w:val="14"/>
          <w:b w:val="1"/>
          <w:bCs w:val="1"/>
          <w:color w:val="auto"/>
        </w:rPr>
        <w:t>Material Availability</w:t>
      </w:r>
    </w:p>
    <w:p>
      <w:pPr>
        <w:ind w:right="100" w:firstLine="497"/>
        <w:spacing w:after="0" w:line="286" w:lineRule="auto"/>
        <w:rPr>
          <w:sz w:val="20"/>
          <w:szCs w:val="20"/>
          <w:color w:val="auto"/>
        </w:rPr>
      </w:pPr>
      <w:r>
        <w:rPr>
          <w:rFonts w:ascii="Arial" w:cs="Arial" w:eastAsia="Arial" w:hAnsi="Arial"/>
          <w:sz w:val="13"/>
          <w:szCs w:val="13"/>
          <w:color w:val="auto"/>
        </w:rPr>
        <w:t>We procure critical material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64" w:lineRule="exact"/>
        <w:rPr>
          <w:sz w:val="20"/>
          <w:szCs w:val="20"/>
          <w:color w:val="auto"/>
        </w:rPr>
      </w:pPr>
    </w:p>
    <w:p>
      <w:pPr>
        <w:jc w:val="both"/>
        <w:ind w:right="120" w:firstLine="497"/>
        <w:spacing w:after="0" w:line="273" w:lineRule="auto"/>
        <w:rPr>
          <w:sz w:val="20"/>
          <w:szCs w:val="20"/>
          <w:color w:val="auto"/>
        </w:rPr>
      </w:pPr>
      <w:r>
        <w:rPr>
          <w:rFonts w:ascii="Arial" w:cs="Arial" w:eastAsia="Arial" w:hAnsi="Arial"/>
          <w:sz w:val="15"/>
          <w:szCs w:val="15"/>
          <w:color w:val="auto"/>
        </w:rPr>
        <w:t>D</w:t>
      </w:r>
      <w:r>
        <w:rPr>
          <w:rFonts w:ascii="Arial" w:cs="Arial" w:eastAsia="Arial" w:hAnsi="Arial"/>
          <w:sz w:val="13"/>
          <w:szCs w:val="13"/>
          <w:color w:val="auto"/>
        </w:rPr>
        <w:t>uring fiscal year 2016, the Company paid $1.9 million to one of its suppliers, 5-D Systems, Inc. (“5-D”) for engineering services rendered to its Unmanned Systems business unit. Steve Fendley,</w:t>
      </w:r>
      <w:r>
        <w:rPr>
          <w:rFonts w:ascii="Arial" w:cs="Arial" w:eastAsia="Arial" w:hAnsi="Arial"/>
          <w:sz w:val="15"/>
          <w:szCs w:val="15"/>
          <w:color w:val="auto"/>
        </w:rPr>
        <w:t xml:space="preserve"> </w:t>
      </w:r>
      <w:r>
        <w:rPr>
          <w:rFonts w:ascii="Arial" w:cs="Arial" w:eastAsia="Arial" w:hAnsi="Arial"/>
          <w:sz w:val="13"/>
          <w:szCs w:val="13"/>
          <w:color w:val="auto"/>
        </w:rPr>
        <w:t>who was promoted in January 2017 to President of our Unmanned Systems Division, is a cofounder and owns 33.3% of 5-D. Going forward, transactions with 5-D will be subject to review and approval by our Audit Committee and our board of directors consistent with the Company's policies regarding related party transactions.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w:t>
      </w:r>
    </w:p>
    <w:p>
      <w:pPr>
        <w:spacing w:after="0" w:line="112"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Our manufacturing operations are subject to many requirements under environmental laws.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typically allow citizens to bring private enforcement actions in some situations. Outside the U.S., the environmental laws and their enforcement vary and may be more burdensome. We have management programs and processes in place that are intended to minimize the potential for violations of these laws.</w:t>
      </w:r>
    </w:p>
    <w:p>
      <w:pPr>
        <w:spacing w:after="0" w:line="87" w:lineRule="exact"/>
        <w:rPr>
          <w:sz w:val="20"/>
          <w:szCs w:val="20"/>
          <w:color w:val="auto"/>
        </w:rPr>
      </w:pPr>
    </w:p>
    <w:p>
      <w:pPr>
        <w:ind w:right="120" w:firstLine="497"/>
        <w:spacing w:after="0" w:line="306" w:lineRule="auto"/>
        <w:rPr>
          <w:sz w:val="20"/>
          <w:szCs w:val="20"/>
          <w:color w:val="auto"/>
        </w:rPr>
      </w:pPr>
      <w:r>
        <w:rPr>
          <w:rFonts w:ascii="Arial" w:cs="Arial" w:eastAsia="Arial" w:hAnsi="Arial"/>
          <w:sz w:val="13"/>
          <w:szCs w:val="13"/>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29" w:right="21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12" w:lineRule="exact"/>
        <w:rPr>
          <w:sz w:val="20"/>
          <w:szCs w:val="20"/>
          <w:color w:val="auto"/>
        </w:rPr>
      </w:pPr>
    </w:p>
    <w:p>
      <w:pPr>
        <w:ind w:right="100" w:firstLine="497"/>
        <w:spacing w:after="0" w:line="252" w:lineRule="auto"/>
        <w:rPr>
          <w:sz w:val="20"/>
          <w:szCs w:val="20"/>
          <w:color w:val="auto"/>
        </w:rPr>
      </w:pPr>
      <w:r>
        <w:rPr>
          <w:rFonts w:ascii="Arial" w:cs="Arial" w:eastAsia="Arial" w:hAnsi="Arial"/>
          <w:sz w:val="14"/>
          <w:szCs w:val="14"/>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4"/>
          <w:szCs w:val="14"/>
          <w:i w:val="1"/>
          <w:iCs w:val="1"/>
          <w:color w:val="auto"/>
        </w:rPr>
        <w:t>www.kratosdefense.com</w:t>
      </w:r>
      <w:r>
        <w:rPr>
          <w:rFonts w:ascii="Arial" w:cs="Arial" w:eastAsia="Arial" w:hAnsi="Arial"/>
          <w:sz w:val="14"/>
          <w:szCs w:val="14"/>
          <w:color w:val="auto"/>
        </w:rPr>
        <w:t>. You may read and copy any materials we file with the SEC at the SEC’s Public Reference Room at 100 F Street, NE, Washington, DC 20549. You may obtain information on the operation of the Public Reference Room by calling the SEC at 1-800-SEC-0330. The SEC also maintains an Internet site that contains our reports, proxy and information statements, and other information at www.sec.gov.</w:t>
      </w:r>
    </w:p>
    <w:p>
      <w:pPr>
        <w:spacing w:after="0" w:line="87" w:lineRule="exact"/>
        <w:rPr>
          <w:sz w:val="20"/>
          <w:szCs w:val="20"/>
          <w:color w:val="auto"/>
        </w:rPr>
      </w:pPr>
    </w:p>
    <w:p>
      <w:pPr>
        <w:ind w:right="420" w:firstLine="497"/>
        <w:spacing w:after="0" w:line="352" w:lineRule="auto"/>
        <w:rPr>
          <w:sz w:val="20"/>
          <w:szCs w:val="20"/>
          <w:color w:val="auto"/>
        </w:rPr>
      </w:pPr>
      <w:r>
        <w:rPr>
          <w:rFonts w:ascii="Arial" w:cs="Arial" w:eastAsia="Arial" w:hAnsi="Arial"/>
          <w:sz w:val="12"/>
          <w:szCs w:val="12"/>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1A. </w:t>
      </w:r>
      <w:r>
        <w:rPr>
          <w:rFonts w:ascii="Arial" w:cs="Arial" w:eastAsia="Arial" w:hAnsi="Arial"/>
          <w:sz w:val="14"/>
          <w:szCs w:val="14"/>
          <w:b w:val="1"/>
          <w:bCs w:val="1"/>
          <w:i w:val="1"/>
          <w:iCs w:val="1"/>
          <w:color w:val="auto"/>
        </w:rPr>
        <w:t>Risk Factors.</w:t>
      </w:r>
    </w:p>
    <w:p>
      <w:pPr>
        <w:spacing w:after="0" w:line="174" w:lineRule="exact"/>
        <w:rPr>
          <w:sz w:val="20"/>
          <w:szCs w:val="20"/>
          <w:color w:val="auto"/>
        </w:rPr>
      </w:pPr>
    </w:p>
    <w:p>
      <w:pPr>
        <w:ind w:right="80" w:firstLine="497"/>
        <w:spacing w:after="0" w:line="253" w:lineRule="auto"/>
        <w:rPr>
          <w:sz w:val="20"/>
          <w:szCs w:val="20"/>
          <w:color w:val="auto"/>
        </w:rPr>
      </w:pPr>
      <w:r>
        <w:rPr>
          <w:rFonts w:ascii="Arial" w:cs="Arial" w:eastAsia="Arial" w:hAnsi="Arial"/>
          <w:sz w:val="14"/>
          <w:szCs w:val="14"/>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U.S. Government provides a significant portion of our revenue, and our business could be adversely affected by changes in the fiscal policies of the U.S. Government and governmental entities.</w:t>
      </w:r>
    </w:p>
    <w:p>
      <w:pPr>
        <w:spacing w:after="0" w:line="193" w:lineRule="exact"/>
        <w:rPr>
          <w:sz w:val="20"/>
          <w:szCs w:val="20"/>
          <w:color w:val="auto"/>
        </w:rPr>
      </w:pPr>
    </w:p>
    <w:p>
      <w:pPr>
        <w:ind w:firstLine="497"/>
        <w:spacing w:after="0" w:line="297" w:lineRule="auto"/>
        <w:rPr>
          <w:sz w:val="20"/>
          <w:szCs w:val="20"/>
          <w:color w:val="auto"/>
        </w:rPr>
      </w:pPr>
      <w:r>
        <w:rPr>
          <w:rFonts w:ascii="Arial" w:cs="Arial" w:eastAsia="Arial" w:hAnsi="Arial"/>
          <w:sz w:val="12"/>
          <w:szCs w:val="12"/>
          <w:color w:val="auto"/>
        </w:rPr>
        <w:t>In fiscal 2016 , 2015 and 2014, we generated 60%, 61% and 57%, respectively, of our total revenues from contracts with the U.S. Government (including all branches of the U.S. military and FMS), either as a prime contractor or a 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and legislation enacted to reduce the U.S. federal deficit.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resulting from decreased government spending,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125"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39" w:lineRule="exact"/>
        <w:rPr>
          <w:sz w:val="20"/>
          <w:szCs w:val="20"/>
          <w:color w:val="auto"/>
        </w:rPr>
      </w:pPr>
    </w:p>
    <w:p>
      <w:pPr>
        <w:ind w:firstLine="497"/>
        <w:spacing w:after="0" w:line="304" w:lineRule="auto"/>
        <w:rPr>
          <w:sz w:val="20"/>
          <w:szCs w:val="20"/>
          <w:color w:val="auto"/>
        </w:rPr>
      </w:pPr>
      <w:r>
        <w:rPr>
          <w:rFonts w:ascii="Arial" w:cs="Arial" w:eastAsia="Arial" w:hAnsi="Arial"/>
          <w:sz w:val="12"/>
          <w:szCs w:val="12"/>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40"/>
          </w:cols>
          <w:pgMar w:left="220" w:top="129"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149"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color w:val="auto"/>
        </w:rPr>
        <w:t>The budget environment, including sequestration as currently mandated, and uncertainty surrounding the appropriations processes, remain significant long-term risks. Considerable uncertainty exists regarding how future budget and program decisions will unfold, including the defense spending priorities of the new Administration and Congress, what challenges budget reductions (required by the BCA and otherwise) will present for the defense industry and whether an annual appropriations bill will be enacted for FY 2017. If an annual appropriations bill is not enacted for FY 2017 or beyond, the U.S. Government may continue to operate under a continuing resolution, restricting new contract or program starts, and we may face a government shutdown of unknown duration. It is likely budget and program decisions made in this environment would have long-term implications for our Company and the entire defense industry.</w:t>
      </w:r>
    </w:p>
    <w:p>
      <w:pPr>
        <w:spacing w:after="0" w:line="134" w:lineRule="exact"/>
        <w:rPr>
          <w:sz w:val="20"/>
          <w:szCs w:val="20"/>
          <w:color w:val="auto"/>
        </w:rPr>
      </w:pPr>
    </w:p>
    <w:p>
      <w:pPr>
        <w:ind w:right="40" w:firstLine="497"/>
        <w:spacing w:after="0" w:line="257" w:lineRule="auto"/>
        <w:rPr>
          <w:sz w:val="20"/>
          <w:szCs w:val="20"/>
          <w:color w:val="auto"/>
        </w:rPr>
      </w:pPr>
      <w:r>
        <w:rPr>
          <w:rFonts w:ascii="Arial" w:cs="Arial" w:eastAsia="Arial" w:hAnsi="Arial"/>
          <w:sz w:val="14"/>
          <w:szCs w:val="14"/>
          <w:color w:val="auto"/>
        </w:rPr>
        <w:t>If the debt ceiling is breached, we may be required to continue to perform for some period of time on certain of our U.S. Government contracts even if the U.S. Government is unable to make timely payments. Unforeseen circumstances could cause an extended debt ceiling breach and have significant near and long-term consequences for our Company, our employees, our suppliers and the defense industry.</w:t>
      </w:r>
    </w:p>
    <w:p>
      <w:pPr>
        <w:spacing w:after="0" w:line="145" w:lineRule="exact"/>
        <w:rPr>
          <w:sz w:val="20"/>
          <w:szCs w:val="20"/>
          <w:color w:val="auto"/>
        </w:rPr>
      </w:pPr>
    </w:p>
    <w:p>
      <w:pPr>
        <w:jc w:val="both"/>
        <w:ind w:right="20" w:firstLine="497"/>
        <w:spacing w:after="0" w:line="257" w:lineRule="auto"/>
        <w:rPr>
          <w:sz w:val="20"/>
          <w:szCs w:val="20"/>
          <w:color w:val="auto"/>
        </w:rPr>
      </w:pPr>
      <w:r>
        <w:rPr>
          <w:rFonts w:ascii="Arial" w:cs="Arial" w:eastAsia="Arial" w:hAnsi="Arial"/>
          <w:sz w:val="14"/>
          <w:szCs w:val="14"/>
          <w:color w:val="auto"/>
        </w:rPr>
        <w:t>Long-term funding for certain programs in which we participate may be reduced, delayed or cancelled. In addition,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the debt ceiling and the ongoing fiscal debates remain uncertain.</w:t>
      </w:r>
    </w:p>
    <w:p>
      <w:pPr>
        <w:spacing w:after="0" w:line="145" w:lineRule="exact"/>
        <w:rPr>
          <w:sz w:val="20"/>
          <w:szCs w:val="20"/>
          <w:color w:val="auto"/>
        </w:rPr>
      </w:pPr>
    </w:p>
    <w:p>
      <w:pPr>
        <w:ind w:right="300" w:firstLine="497"/>
        <w:spacing w:after="0" w:line="352" w:lineRule="auto"/>
        <w:rPr>
          <w:sz w:val="20"/>
          <w:szCs w:val="20"/>
          <w:color w:val="auto"/>
        </w:rPr>
      </w:pPr>
      <w:r>
        <w:rPr>
          <w:rFonts w:ascii="Arial" w:cs="Arial" w:eastAsia="Arial" w:hAnsi="Arial"/>
          <w:sz w:val="12"/>
          <w:szCs w:val="12"/>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93" w:lineRule="exact"/>
        <w:rPr>
          <w:sz w:val="20"/>
          <w:szCs w:val="20"/>
          <w:color w:val="auto"/>
        </w:rPr>
      </w:pPr>
    </w:p>
    <w:p>
      <w:pPr>
        <w:ind w:right="100" w:firstLine="497"/>
        <w:spacing w:after="0" w:line="250" w:lineRule="auto"/>
        <w:rPr>
          <w:sz w:val="20"/>
          <w:szCs w:val="20"/>
          <w:color w:val="auto"/>
        </w:rPr>
      </w:pPr>
      <w:r>
        <w:rPr>
          <w:rFonts w:ascii="Arial" w:cs="Arial" w:eastAsia="Arial" w:hAnsi="Arial"/>
          <w:sz w:val="14"/>
          <w:szCs w:val="14"/>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spacing w:after="0" w:line="145" w:lineRule="exact"/>
        <w:rPr>
          <w:sz w:val="20"/>
          <w:szCs w:val="20"/>
          <w:color w:val="auto"/>
        </w:rPr>
      </w:pPr>
    </w:p>
    <w:p>
      <w:pPr>
        <w:ind w:right="120" w:firstLine="497"/>
        <w:spacing w:after="0" w:line="304" w:lineRule="auto"/>
        <w:rPr>
          <w:sz w:val="20"/>
          <w:szCs w:val="20"/>
          <w:color w:val="auto"/>
        </w:rPr>
      </w:pPr>
      <w:r>
        <w:rPr>
          <w:rFonts w:ascii="Arial" w:cs="Arial" w:eastAsia="Arial" w:hAnsi="Arial"/>
          <w:sz w:val="12"/>
          <w:szCs w:val="12"/>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as a result of a material uncured breach by the other. If we breach a contract or fail to perform in accordance with contractual service levels, delivery schedules, performance specifications, or other contractual requirements set forth therein, the other party thereto may terminate such contract for default, and we may be required to refund money previously paid to us by the customer or to pay penalties or other damages. Even if we have not breached, we may deal</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40"/>
          </w:cols>
          <w:pgMar w:left="220" w:top="129"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with various situations from time to time that may result in the amendment or termination of a contract. These steps can result in significant current period charges and/or reductions in current or future revenue.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82" w:lineRule="exact"/>
        <w:rPr>
          <w:sz w:val="20"/>
          <w:szCs w:val="20"/>
          <w:color w:val="auto"/>
        </w:rPr>
      </w:pPr>
    </w:p>
    <w:p>
      <w:pPr>
        <w:ind w:right="60" w:firstLine="497"/>
        <w:spacing w:after="0" w:line="274" w:lineRule="auto"/>
        <w:rPr>
          <w:sz w:val="20"/>
          <w:szCs w:val="20"/>
          <w:color w:val="auto"/>
        </w:rPr>
      </w:pPr>
      <w:r>
        <w:rPr>
          <w:rFonts w:ascii="Arial" w:cs="Arial" w:eastAsia="Arial" w:hAnsi="Arial"/>
          <w:sz w:val="13"/>
          <w:szCs w:val="13"/>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36" w:lineRule="exact"/>
        <w:rPr>
          <w:sz w:val="20"/>
          <w:szCs w:val="20"/>
          <w:color w:val="auto"/>
        </w:rPr>
      </w:pPr>
    </w:p>
    <w:p>
      <w:pPr>
        <w:ind w:right="40" w:firstLine="497"/>
        <w:spacing w:after="0" w:line="267" w:lineRule="auto"/>
        <w:rPr>
          <w:sz w:val="20"/>
          <w:szCs w:val="20"/>
          <w:color w:val="auto"/>
        </w:rPr>
      </w:pPr>
      <w:r>
        <w:rPr>
          <w:rFonts w:ascii="Arial" w:cs="Arial" w:eastAsia="Arial" w:hAnsi="Arial"/>
          <w:sz w:val="14"/>
          <w:szCs w:val="14"/>
          <w:color w:val="auto"/>
        </w:rPr>
        <w:t>We also are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earnings and profitability depend, in part, on subcontractor and supplier performance and product availability.</w:t>
      </w:r>
    </w:p>
    <w:p>
      <w:pPr>
        <w:spacing w:after="0" w:line="170" w:lineRule="exact"/>
        <w:rPr>
          <w:sz w:val="20"/>
          <w:szCs w:val="20"/>
          <w:color w:val="auto"/>
        </w:rPr>
      </w:pPr>
    </w:p>
    <w:p>
      <w:pPr>
        <w:ind w:right="180" w:firstLine="497"/>
        <w:spacing w:after="0" w:line="286" w:lineRule="auto"/>
        <w:rPr>
          <w:sz w:val="20"/>
          <w:szCs w:val="20"/>
          <w:color w:val="auto"/>
        </w:rPr>
      </w:pPr>
      <w:r>
        <w:rPr>
          <w:rFonts w:ascii="Arial" w:cs="Arial" w:eastAsia="Arial" w:hAnsi="Arial"/>
          <w:sz w:val="13"/>
          <w:szCs w:val="13"/>
          <w:color w:val="auto"/>
        </w:rPr>
        <w:t>We rely on other companies to provide major components for our products. For instance, we build the airframe, electronics and flight control systems for our unmanned aerial systems. We rely on our suppliers to provide the engines and parachutes for landing the aircraft. Disruptions or performance problems caused by our subcontractors and suppliers, or a misalignment between our contractual obligations to our customers and our agreements with our subcontractors and suppliers, could have an adverse effect on our ability to meet our commitments to customers.</w:t>
      </w:r>
    </w:p>
    <w:p>
      <w:pPr>
        <w:spacing w:after="0" w:line="128" w:lineRule="exact"/>
        <w:rPr>
          <w:sz w:val="20"/>
          <w:szCs w:val="20"/>
          <w:color w:val="auto"/>
        </w:rPr>
      </w:pPr>
    </w:p>
    <w:p>
      <w:pPr>
        <w:ind w:right="80" w:firstLine="497"/>
        <w:spacing w:after="0" w:line="276" w:lineRule="auto"/>
        <w:rPr>
          <w:sz w:val="20"/>
          <w:szCs w:val="20"/>
          <w:color w:val="auto"/>
        </w:rPr>
      </w:pPr>
      <w:r>
        <w:rPr>
          <w:rFonts w:ascii="Arial" w:cs="Arial" w:eastAsia="Arial" w:hAnsi="Arial"/>
          <w:sz w:val="13"/>
          <w:szCs w:val="13"/>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134" w:lineRule="exact"/>
        <w:rPr>
          <w:sz w:val="20"/>
          <w:szCs w:val="20"/>
          <w:color w:val="auto"/>
        </w:rPr>
      </w:pPr>
    </w:p>
    <w:p>
      <w:pPr>
        <w:jc w:val="both"/>
        <w:ind w:right="120" w:firstLine="497"/>
        <w:spacing w:after="0" w:line="257" w:lineRule="auto"/>
        <w:rPr>
          <w:sz w:val="20"/>
          <w:szCs w:val="20"/>
          <w:color w:val="auto"/>
        </w:rPr>
      </w:pPr>
      <w:r>
        <w:rPr>
          <w:rFonts w:ascii="Arial" w:cs="Arial" w:eastAsia="Arial" w:hAnsi="Arial"/>
          <w:sz w:val="14"/>
          <w:szCs w:val="14"/>
          <w:color w:val="auto"/>
        </w:rPr>
        <w:t>In connection with our U.S. Government contracts, we are required to procure certain materials, components and parts from supply sources approved by the customer. We also are facing increased and changing regulatory requirements,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145" w:lineRule="exact"/>
        <w:rPr>
          <w:sz w:val="20"/>
          <w:szCs w:val="20"/>
          <w:color w:val="auto"/>
        </w:rPr>
      </w:pPr>
    </w:p>
    <w:p>
      <w:pPr>
        <w:jc w:val="both"/>
        <w:ind w:right="200" w:firstLine="497"/>
        <w:spacing w:after="0" w:line="253" w:lineRule="auto"/>
        <w:rPr>
          <w:sz w:val="20"/>
          <w:szCs w:val="20"/>
          <w:color w:val="auto"/>
        </w:rPr>
      </w:pPr>
      <w:r>
        <w:rPr>
          <w:rFonts w:ascii="Arial" w:cs="Arial" w:eastAsia="Arial" w:hAnsi="Arial"/>
          <w:sz w:val="14"/>
          <w:szCs w:val="14"/>
          <w:color w:val="auto"/>
        </w:rPr>
        <w:t>Our procurement practices are intended to reduce the likelihood of our procurement of counterfeit, unauthorized or otherwise non-compliant parts or materials. We rely on our subcontractors and suppliers to comply with applicable laws and regulations, including regarding the parts or materials we procure from them; in some circumstances, we rely on certifications provided by our subcontractors and suppliers regarding their compliance. We also rely on our subcontractors and suppliers to effectively mitigate the risk of cyber and security threats or other disruptions with respect to the products and components they deliver to us and the information entrusted to them by us or our customers.</w:t>
      </w:r>
    </w:p>
    <w:p>
      <w:pPr>
        <w:spacing w:after="0" w:line="149" w:lineRule="exact"/>
        <w:rPr>
          <w:sz w:val="20"/>
          <w:szCs w:val="20"/>
          <w:color w:val="auto"/>
        </w:rPr>
      </w:pPr>
    </w:p>
    <w:p>
      <w:pPr>
        <w:jc w:val="both"/>
        <w:ind w:right="120" w:firstLine="497"/>
        <w:spacing w:after="0" w:line="257" w:lineRule="auto"/>
        <w:rPr>
          <w:sz w:val="20"/>
          <w:szCs w:val="20"/>
          <w:color w:val="auto"/>
        </w:rPr>
      </w:pPr>
      <w:r>
        <w:rPr>
          <w:rFonts w:ascii="Arial" w:cs="Arial" w:eastAsia="Arial" w:hAnsi="Arial"/>
          <w:sz w:val="14"/>
          <w:szCs w:val="14"/>
          <w:color w:val="auto"/>
        </w:rPr>
        <w:t>If we are unable to procure or experience significant delays in subcontractor or supplier deliveries of, needed materials, components, intellectual property or parts; if our subcontractors or suppliers do not comply with all applicable laws and regulations; if the certifications we receive from them are inaccurate; or if what we receive is counterfeit or otherwise improper, it could have a material adverse effect on our financial position, results of operations and/or cash flows.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40"/>
          </w:cols>
          <w:pgMar w:left="220" w:top="129"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intense competition from many competitors that have greater resources than we do, which could result in price reductions, reduced profitability or loss of market share.</w:t>
      </w:r>
    </w:p>
    <w:p>
      <w:pPr>
        <w:spacing w:after="0" w:line="182" w:lineRule="exact"/>
        <w:rPr>
          <w:sz w:val="20"/>
          <w:szCs w:val="20"/>
          <w:color w:val="auto"/>
        </w:rPr>
      </w:pPr>
    </w:p>
    <w:p>
      <w:pPr>
        <w:ind w:right="120" w:firstLine="497"/>
        <w:spacing w:after="0" w:line="251" w:lineRule="auto"/>
        <w:rPr>
          <w:sz w:val="20"/>
          <w:szCs w:val="20"/>
          <w:color w:val="auto"/>
        </w:rPr>
      </w:pPr>
      <w:r>
        <w:rPr>
          <w:rFonts w:ascii="Arial" w:cs="Arial" w:eastAsia="Arial" w:hAnsi="Arial"/>
          <w:sz w:val="14"/>
          <w:szCs w:val="14"/>
          <w:color w:val="auto"/>
        </w:rPr>
        <w:t>We operate in highly competitive markets and generally encounter intense competition to win contracts from many other firms, including mid-tier federal contractors with specialized capabilities, large defense contractors and IT services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Recently, procurement award determinations have been based on lowest price, technically acceptable proposals. In addition, we may face competition from our subcontractors who, from time-to-time, seek to obtain prime contractor status on contracts for which they currently serve as a subcontractor to us.</w:t>
      </w:r>
    </w:p>
    <w:p>
      <w:pPr>
        <w:spacing w:after="0" w:line="149" w:lineRule="exact"/>
        <w:rPr>
          <w:sz w:val="20"/>
          <w:szCs w:val="20"/>
          <w:color w:val="auto"/>
        </w:rPr>
      </w:pPr>
    </w:p>
    <w:p>
      <w:pPr>
        <w:ind w:right="100" w:firstLine="497"/>
        <w:spacing w:after="0" w:line="267" w:lineRule="auto"/>
        <w:rPr>
          <w:sz w:val="20"/>
          <w:szCs w:val="20"/>
          <w:color w:val="auto"/>
        </w:rPr>
      </w:pPr>
      <w:r>
        <w:rPr>
          <w:rFonts w:ascii="Arial" w:cs="Arial" w:eastAsia="Arial" w:hAnsi="Arial"/>
          <w:sz w:val="14"/>
          <w:szCs w:val="14"/>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139" w:lineRule="exact"/>
        <w:rPr>
          <w:sz w:val="20"/>
          <w:szCs w:val="20"/>
          <w:color w:val="auto"/>
        </w:rPr>
      </w:pPr>
    </w:p>
    <w:p>
      <w:pPr>
        <w:ind w:left="1000" w:right="480" w:hanging="252"/>
        <w:spacing w:after="0" w:line="170" w:lineRule="exact"/>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divert sales from us by winning very large</w:t>
      </w:r>
      <w:r>
        <w:rPr>
          <w:rFonts w:ascii="MS PGothic" w:cs="MS PGothic" w:eastAsia="MS PGothic" w:hAnsi="MS PGothic"/>
          <w:sz w:val="14"/>
          <w:szCs w:val="14"/>
          <w:color w:val="auto"/>
        </w:rPr>
        <w:t>‑</w:t>
      </w:r>
      <w:r>
        <w:rPr>
          <w:rFonts w:ascii="Arial" w:cs="Arial" w:eastAsia="Arial" w:hAnsi="Arial"/>
          <w:sz w:val="14"/>
          <w:szCs w:val="14"/>
          <w:color w:val="auto"/>
        </w:rPr>
        <w:t>scale government contracts, a risk that is enhanced by the recent trend in government procurement practices to bundle services into larger contracts and the recent trend of making award determinations on a lowest price, technically acceptable basis;</w:t>
      </w:r>
    </w:p>
    <w:p>
      <w:pPr>
        <w:spacing w:after="0" w:line="1" w:lineRule="exact"/>
        <w:rPr>
          <w:rFonts w:ascii="Arial" w:cs="Arial" w:eastAsia="Arial" w:hAnsi="Arial"/>
          <w:sz w:val="14"/>
          <w:szCs w:val="14"/>
          <w:color w:val="auto"/>
        </w:rPr>
      </w:pPr>
    </w:p>
    <w:p>
      <w:pPr>
        <w:ind w:left="1000" w:hanging="252"/>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divert sales from us by the award of government contracts to our competitors who may be willing to bid at substantially lower prices;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force us to charge lower prices; or</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adversely affect our relationships with current customers, including our ability to continue to win competitively awarded engagements in which we are the incumbent.</w:t>
      </w:r>
    </w:p>
    <w:p>
      <w:pPr>
        <w:spacing w:after="0" w:line="161" w:lineRule="exact"/>
        <w:rPr>
          <w:sz w:val="20"/>
          <w:szCs w:val="20"/>
          <w:color w:val="auto"/>
        </w:rPr>
      </w:pPr>
    </w:p>
    <w:p>
      <w:pPr>
        <w:ind w:right="80" w:firstLine="497"/>
        <w:spacing w:after="0" w:line="252" w:lineRule="auto"/>
        <w:rPr>
          <w:sz w:val="20"/>
          <w:szCs w:val="20"/>
          <w:color w:val="auto"/>
        </w:rPr>
      </w:pPr>
      <w:r>
        <w:rPr>
          <w:rFonts w:ascii="Arial" w:cs="Arial" w:eastAsia="Arial" w:hAnsi="Arial"/>
          <w:sz w:val="14"/>
          <w:szCs w:val="14"/>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dependent upon our ability to keep pace with the latest technological changes.</w:t>
      </w:r>
    </w:p>
    <w:p>
      <w:pPr>
        <w:spacing w:after="0" w:line="170" w:lineRule="exact"/>
        <w:rPr>
          <w:sz w:val="20"/>
          <w:szCs w:val="20"/>
          <w:color w:val="auto"/>
        </w:rPr>
      </w:pPr>
    </w:p>
    <w:p>
      <w:pPr>
        <w:ind w:right="20" w:firstLine="497"/>
        <w:spacing w:after="0" w:line="279" w:lineRule="auto"/>
        <w:rPr>
          <w:sz w:val="20"/>
          <w:szCs w:val="20"/>
          <w:color w:val="auto"/>
        </w:rPr>
      </w:pPr>
      <w:r>
        <w:rPr>
          <w:rFonts w:ascii="Arial" w:cs="Arial" w:eastAsia="Arial" w:hAnsi="Arial"/>
          <w:sz w:val="13"/>
          <w:szCs w:val="13"/>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33" w:lineRule="exact"/>
        <w:rPr>
          <w:sz w:val="20"/>
          <w:szCs w:val="20"/>
          <w:color w:val="auto"/>
        </w:rPr>
      </w:pPr>
    </w:p>
    <w:p>
      <w:pPr>
        <w:ind w:firstLine="497"/>
        <w:spacing w:after="0" w:line="272" w:lineRule="auto"/>
        <w:rPr>
          <w:sz w:val="20"/>
          <w:szCs w:val="20"/>
          <w:color w:val="auto"/>
        </w:rPr>
      </w:pPr>
      <w:r>
        <w:rPr>
          <w:rFonts w:ascii="Arial" w:cs="Arial" w:eastAsia="Arial" w:hAnsi="Arial"/>
          <w:sz w:val="13"/>
          <w:szCs w:val="13"/>
          <w:color w:val="auto"/>
        </w:rPr>
        <w:t>We believe that, in order to remain competitive in the future, we will need to continue to invest significant financial resources to develop new offerings and technologies or to adapt or modify our existing offerings and technologies, including through internal research and development,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139" w:lineRule="exact"/>
        <w:rPr>
          <w:sz w:val="20"/>
          <w:szCs w:val="20"/>
          <w:color w:val="auto"/>
        </w:rPr>
      </w:pPr>
    </w:p>
    <w:p>
      <w:pPr>
        <w:ind w:right="140" w:firstLine="497"/>
        <w:spacing w:after="0" w:line="267" w:lineRule="auto"/>
        <w:rPr>
          <w:sz w:val="20"/>
          <w:szCs w:val="20"/>
          <w:color w:val="auto"/>
        </w:rPr>
      </w:pPr>
      <w:r>
        <w:rPr>
          <w:rFonts w:ascii="Arial" w:cs="Arial" w:eastAsia="Arial" w:hAnsi="Arial"/>
          <w:sz w:val="14"/>
          <w:szCs w:val="14"/>
          <w:color w:val="auto"/>
        </w:rPr>
        <w:t>Additionally, the possibility exists that our competitors might develop new technology or offerings that might cause our existing technology and offerings to become obsolete. If we fail in our new product development efforts or our products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20" w:top="129"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360"/>
        <w:spacing w:after="0" w:line="267" w:lineRule="auto"/>
        <w:rPr>
          <w:sz w:val="20"/>
          <w:szCs w:val="20"/>
          <w:color w:val="auto"/>
        </w:rPr>
      </w:pPr>
      <w:r>
        <w:rPr>
          <w:rFonts w:ascii="Arial" w:cs="Arial" w:eastAsia="Arial" w:hAnsi="Arial"/>
          <w:sz w:val="14"/>
          <w:szCs w:val="14"/>
          <w:color w:val="auto"/>
        </w:rPr>
        <w:t>services fail to achieve market acceptance more rapidly as compared to our competitors, our ability to procure new contracts could be negatively impacted, which could negatively impact our results of operations and financial condition.</w:t>
      </w:r>
    </w:p>
    <w:p>
      <w:pPr>
        <w:spacing w:after="0" w:line="139" w:lineRule="exact"/>
        <w:rPr>
          <w:sz w:val="20"/>
          <w:szCs w:val="20"/>
          <w:color w:val="auto"/>
        </w:rPr>
      </w:pPr>
    </w:p>
    <w:p>
      <w:pPr>
        <w:ind w:right="4840"/>
        <w:spacing w:after="0" w:line="352" w:lineRule="auto"/>
        <w:rPr>
          <w:sz w:val="20"/>
          <w:szCs w:val="20"/>
          <w:color w:val="auto"/>
        </w:rPr>
      </w:pPr>
      <w:r>
        <w:rPr>
          <w:rFonts w:ascii="Arial" w:cs="Arial" w:eastAsia="Arial" w:hAnsi="Arial"/>
          <w:sz w:val="12"/>
          <w:szCs w:val="12"/>
          <w:b w:val="1"/>
          <w:bCs w:val="1"/>
          <w:i w:val="1"/>
          <w:iCs w:val="1"/>
          <w:color w:val="auto"/>
        </w:rPr>
        <w:t>If the UAS and UGS markets do not experience significant growth, if we cannot expand our customer base or if our products do not achieve broad acceptance, then we may not be able to achieve our anticipated level of growth.</w:t>
      </w:r>
    </w:p>
    <w:p>
      <w:pPr>
        <w:spacing w:after="0" w:line="92" w:lineRule="exact"/>
        <w:rPr>
          <w:sz w:val="20"/>
          <w:szCs w:val="20"/>
          <w:color w:val="auto"/>
        </w:rPr>
      </w:pPr>
    </w:p>
    <w:p>
      <w:pPr>
        <w:jc w:val="both"/>
        <w:ind w:right="4540" w:firstLine="497"/>
        <w:spacing w:after="0" w:line="293" w:lineRule="auto"/>
        <w:rPr>
          <w:sz w:val="20"/>
          <w:szCs w:val="20"/>
          <w:color w:val="auto"/>
        </w:rPr>
      </w:pPr>
      <w:r>
        <w:rPr>
          <w:rFonts w:ascii="Arial" w:cs="Arial" w:eastAsia="Arial" w:hAnsi="Arial"/>
          <w:sz w:val="12"/>
          <w:szCs w:val="12"/>
          <w:color w:val="auto"/>
        </w:rPr>
        <w:t>For the fiscal year ended December 25, 2016, our US segment accounted for 11.3% of our total revenue. We cannot accurately predict the future growth rate or size of this market. Demand for our products may not increase, or may decrease, either generally or in specific markets, for particular types of products or during particular time periods. There are only a</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limited number of major programs under which the U.S. military, our primary customer, is currently funding the development or purchase of our UAS and UGS products. Although we are seeking to expand our US customer base to include foreign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governments, domestic non-military agencies and commercial customers, we cannot assure that our efforts will be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successful. The expansion of the UAS and UGS markets in general, and the market for our products in particular, depends on a number of factors, including the following:</w:t>
      </w:r>
    </w:p>
    <w:p>
      <w:pPr>
        <w:spacing w:after="0" w:line="161" w:lineRule="exact"/>
        <w:rPr>
          <w:sz w:val="20"/>
          <w:szCs w:val="20"/>
          <w:color w:val="auto"/>
        </w:rPr>
      </w:pPr>
    </w:p>
    <w:p>
      <w:pPr>
        <w:ind w:left="500" w:hanging="249"/>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customer satisfaction with these types of systems as solutions;</w:t>
      </w:r>
    </w:p>
    <w:p>
      <w:pPr>
        <w:spacing w:after="0" w:line="13" w:lineRule="exact"/>
        <w:rPr>
          <w:rFonts w:ascii="Arial" w:cs="Arial" w:eastAsia="Arial" w:hAnsi="Arial"/>
          <w:sz w:val="14"/>
          <w:szCs w:val="14"/>
          <w:color w:val="auto"/>
        </w:rPr>
      </w:pPr>
    </w:p>
    <w:p>
      <w:pPr>
        <w:ind w:left="500" w:hanging="249"/>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cost, performance and reliability of our products and products offered by our competitors;</w:t>
      </w:r>
    </w:p>
    <w:p>
      <w:pPr>
        <w:spacing w:after="0" w:line="4" w:lineRule="exact"/>
        <w:rPr>
          <w:rFonts w:ascii="Arial" w:cs="Arial" w:eastAsia="Arial" w:hAnsi="Arial"/>
          <w:sz w:val="14"/>
          <w:szCs w:val="14"/>
          <w:color w:val="auto"/>
        </w:rPr>
      </w:pPr>
    </w:p>
    <w:p>
      <w:pPr>
        <w:ind w:left="500" w:hanging="249"/>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customer perceptions regarding the effectiveness and value of these types of systems;</w:t>
      </w:r>
    </w:p>
    <w:p>
      <w:pPr>
        <w:spacing w:after="0" w:line="4" w:lineRule="exact"/>
        <w:rPr>
          <w:rFonts w:ascii="Arial" w:cs="Arial" w:eastAsia="Arial" w:hAnsi="Arial"/>
          <w:sz w:val="14"/>
          <w:szCs w:val="14"/>
          <w:color w:val="auto"/>
        </w:rPr>
      </w:pPr>
    </w:p>
    <w:p>
      <w:pPr>
        <w:ind w:left="500" w:right="5760" w:hanging="249"/>
        <w:spacing w:after="0" w:line="246"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limitations on our ability to market our US products and services outside the U.S. due to U.S. government regulations; and</w:t>
      </w:r>
    </w:p>
    <w:p>
      <w:pPr>
        <w:spacing w:after="0" w:line="1" w:lineRule="exact"/>
        <w:rPr>
          <w:rFonts w:ascii="Arial" w:cs="Arial" w:eastAsia="Arial" w:hAnsi="Arial"/>
          <w:sz w:val="14"/>
          <w:szCs w:val="14"/>
          <w:color w:val="auto"/>
        </w:rPr>
      </w:pPr>
    </w:p>
    <w:p>
      <w:pPr>
        <w:ind w:left="500" w:hanging="249"/>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marketing efforts and publicity regarding these types of systems.</w:t>
      </w:r>
    </w:p>
    <w:p>
      <w:pPr>
        <w:spacing w:after="0" w:line="161" w:lineRule="exact"/>
        <w:rPr>
          <w:sz w:val="20"/>
          <w:szCs w:val="20"/>
          <w:color w:val="auto"/>
        </w:rPr>
      </w:pPr>
    </w:p>
    <w:p>
      <w:pPr>
        <w:ind w:right="100" w:firstLine="497"/>
        <w:spacing w:after="0" w:line="352" w:lineRule="auto"/>
        <w:rPr>
          <w:sz w:val="20"/>
          <w:szCs w:val="20"/>
          <w:color w:val="auto"/>
        </w:rPr>
      </w:pPr>
      <w:r>
        <w:rPr>
          <w:rFonts w:ascii="Arial" w:cs="Arial" w:eastAsia="Arial" w:hAnsi="Arial"/>
          <w:sz w:val="12"/>
          <w:szCs w:val="12"/>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then we may not be able to achieve our anticipated level of growth and our revenue and results of operations may suffer.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our GSA contracts or GWACs could impair our ability to attract new business.</w:t>
      </w:r>
    </w:p>
    <w:p>
      <w:pPr>
        <w:spacing w:after="0" w:line="98" w:lineRule="exact"/>
        <w:rPr>
          <w:sz w:val="20"/>
          <w:szCs w:val="20"/>
          <w:color w:val="auto"/>
        </w:rPr>
      </w:pPr>
    </w:p>
    <w:p>
      <w:pPr>
        <w:ind w:right="60" w:firstLine="497"/>
        <w:spacing w:after="0" w:line="252" w:lineRule="auto"/>
        <w:rPr>
          <w:sz w:val="20"/>
          <w:szCs w:val="20"/>
          <w:color w:val="auto"/>
        </w:rPr>
      </w:pPr>
      <w:r>
        <w:rPr>
          <w:rFonts w:ascii="Arial" w:cs="Arial" w:eastAsia="Arial" w:hAnsi="Arial"/>
          <w:sz w:val="14"/>
          <w:szCs w:val="14"/>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contracts differ materially from standard commercial contracts, involve competitive bidding and may be subject to cancellation or delay without penalty.</w:t>
      </w:r>
    </w:p>
    <w:p>
      <w:pPr>
        <w:spacing w:after="0" w:line="108" w:lineRule="exact"/>
        <w:rPr>
          <w:sz w:val="20"/>
          <w:szCs w:val="20"/>
          <w:color w:val="auto"/>
        </w:rPr>
      </w:pPr>
    </w:p>
    <w:p>
      <w:pPr>
        <w:ind w:right="480" w:firstLine="497"/>
        <w:spacing w:after="0" w:line="267" w:lineRule="auto"/>
        <w:rPr>
          <w:sz w:val="20"/>
          <w:szCs w:val="20"/>
          <w:color w:val="auto"/>
        </w:rPr>
      </w:pPr>
      <w:r>
        <w:rPr>
          <w:rFonts w:ascii="Arial" w:cs="Arial" w:eastAsia="Arial" w:hAnsi="Arial"/>
          <w:sz w:val="14"/>
          <w:szCs w:val="14"/>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66" w:lineRule="exact"/>
        <w:rPr>
          <w:sz w:val="20"/>
          <w:szCs w:val="20"/>
          <w:color w:val="auto"/>
        </w:rPr>
      </w:pPr>
    </w:p>
    <w:p>
      <w:pPr>
        <w:ind w:left="1000" w:hanging="252"/>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terminate our existing contracts;</w:t>
      </w:r>
    </w:p>
    <w:p>
      <w:pPr>
        <w:spacing w:after="0" w:line="13" w:lineRule="exact"/>
        <w:rPr>
          <w:rFonts w:ascii="Arial" w:cs="Arial" w:eastAsia="Arial" w:hAnsi="Arial"/>
          <w:sz w:val="14"/>
          <w:szCs w:val="14"/>
          <w:color w:val="auto"/>
        </w:rPr>
      </w:pPr>
    </w:p>
    <w:p>
      <w:pPr>
        <w:ind w:left="1000" w:hanging="252"/>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reduce potential future income from our existing contracts;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modify some of the terms and conditions in our existing contracts;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suspend or permanently prohibit us from doing business with the U.S. Government or with any specific government agency;</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impose fines and penalties;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subject us to criminal prosecution;</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suspend work under existing multiple year contracts and related task orders if the necessary funds are not appropriated by Congress;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decline to exercise an option to extend an existing multiple year contract; and</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claim rights in technologies and systems invented, developed or produced by us.</w:t>
      </w:r>
    </w:p>
    <w:p>
      <w:pPr>
        <w:spacing w:after="0" w:line="161" w:lineRule="exact"/>
        <w:rPr>
          <w:sz w:val="20"/>
          <w:szCs w:val="20"/>
          <w:color w:val="auto"/>
        </w:rPr>
      </w:pPr>
    </w:p>
    <w:p>
      <w:pPr>
        <w:ind w:firstLine="497"/>
        <w:spacing w:after="0" w:line="257" w:lineRule="auto"/>
        <w:rPr>
          <w:sz w:val="20"/>
          <w:szCs w:val="20"/>
          <w:color w:val="auto"/>
        </w:rPr>
      </w:pPr>
      <w:r>
        <w:rPr>
          <w:rFonts w:ascii="Arial" w:cs="Arial" w:eastAsia="Arial" w:hAnsi="Arial"/>
          <w:sz w:val="14"/>
          <w:szCs w:val="14"/>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20" w:top="129"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40"/>
        <w:spacing w:after="0" w:line="304" w:lineRule="auto"/>
        <w:rPr>
          <w:sz w:val="20"/>
          <w:szCs w:val="20"/>
          <w:color w:val="auto"/>
        </w:rPr>
      </w:pPr>
      <w:r>
        <w:rPr>
          <w:rFonts w:ascii="Arial" w:cs="Arial" w:eastAsia="Arial" w:hAnsi="Arial"/>
          <w:sz w:val="12"/>
          <w:szCs w:val="12"/>
          <w:color w:val="auto"/>
        </w:rPr>
        <w:t>for government contracts are provided the opportunity to formally protest certain contract awards through various agencies, administrative and judicial channels. We have experienced an increase in competitor bid protests on contracts on which we were the successful bidder due to the competitive environment resulting from decreased government spending. In addition, we have formally protested procurement awards in which we were not the initial successful bidder, but believed that the source selection process was flawed.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 We believe that this environment of protracted competitive bidding processes and competitor bid protests will continue.</w:t>
      </w:r>
    </w:p>
    <w:p>
      <w:pPr>
        <w:spacing w:after="0" w:line="120" w:lineRule="exact"/>
        <w:rPr>
          <w:sz w:val="20"/>
          <w:szCs w:val="20"/>
          <w:color w:val="auto"/>
        </w:rPr>
      </w:pPr>
    </w:p>
    <w:p>
      <w:pPr>
        <w:ind w:right="20" w:firstLine="497"/>
        <w:spacing w:after="0" w:line="257" w:lineRule="auto"/>
        <w:rPr>
          <w:sz w:val="20"/>
          <w:szCs w:val="20"/>
          <w:color w:val="auto"/>
        </w:rPr>
      </w:pPr>
      <w:r>
        <w:rPr>
          <w:rFonts w:ascii="Arial" w:cs="Arial" w:eastAsia="Arial" w:hAnsi="Arial"/>
          <w:sz w:val="14"/>
          <w:szCs w:val="14"/>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45" w:lineRule="exact"/>
        <w:rPr>
          <w:sz w:val="20"/>
          <w:szCs w:val="20"/>
          <w:color w:val="auto"/>
        </w:rPr>
      </w:pPr>
    </w:p>
    <w:p>
      <w:pPr>
        <w:ind w:right="380"/>
        <w:spacing w:after="0" w:line="267" w:lineRule="auto"/>
        <w:rPr>
          <w:sz w:val="20"/>
          <w:szCs w:val="20"/>
          <w:color w:val="auto"/>
        </w:rPr>
      </w:pPr>
      <w:r>
        <w:rPr>
          <w:rFonts w:ascii="Arial" w:cs="Arial" w:eastAsia="Arial" w:hAnsi="Arial"/>
          <w:sz w:val="14"/>
          <w:szCs w:val="14"/>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39"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34" w:lineRule="exact"/>
        <w:rPr>
          <w:sz w:val="20"/>
          <w:szCs w:val="20"/>
          <w:color w:val="auto"/>
        </w:rPr>
      </w:pPr>
    </w:p>
    <w:p>
      <w:pPr>
        <w:ind w:right="720"/>
        <w:spacing w:after="0" w:line="267" w:lineRule="auto"/>
        <w:rPr>
          <w:sz w:val="20"/>
          <w:szCs w:val="20"/>
          <w:color w:val="auto"/>
        </w:rPr>
      </w:pPr>
      <w:r>
        <w:rPr>
          <w:rFonts w:ascii="Arial" w:cs="Arial" w:eastAsia="Arial" w:hAnsi="Arial"/>
          <w:sz w:val="14"/>
          <w:szCs w:val="14"/>
          <w:b w:val="1"/>
          <w:bCs w:val="1"/>
          <w:i w:val="1"/>
          <w:iCs w:val="1"/>
          <w:color w:val="auto"/>
        </w:rPr>
        <w:t>A preference for minority-owned, small and small disadvantaged businesses could impact our ability to be a prime contractor and limit our opportunity to work as a subcontractor on certain governmental procurements.</w:t>
      </w:r>
    </w:p>
    <w:p>
      <w:pPr>
        <w:spacing w:after="0" w:line="139"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As a result of the Small Business Administration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Government in-sourcing could result in loss of business opportunities and personnel.</w:t>
      </w:r>
    </w:p>
    <w:p>
      <w:pPr>
        <w:spacing w:after="0" w:line="170" w:lineRule="exact"/>
        <w:rPr>
          <w:sz w:val="20"/>
          <w:szCs w:val="20"/>
          <w:color w:val="auto"/>
        </w:rPr>
      </w:pPr>
    </w:p>
    <w:p>
      <w:pPr>
        <w:ind w:right="20" w:firstLine="497"/>
        <w:spacing w:after="0" w:line="252" w:lineRule="auto"/>
        <w:rPr>
          <w:sz w:val="20"/>
          <w:szCs w:val="20"/>
          <w:color w:val="auto"/>
        </w:rPr>
      </w:pPr>
      <w:r>
        <w:rPr>
          <w:rFonts w:ascii="Arial" w:cs="Arial" w:eastAsia="Arial" w:hAnsi="Arial"/>
          <w:sz w:val="14"/>
          <w:szCs w:val="14"/>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an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could be negatively impacted by security threats, including cybersecurity threats, and other disruptions.</w:t>
      </w:r>
    </w:p>
    <w:p>
      <w:pPr>
        <w:spacing w:after="0" w:line="170" w:lineRule="exact"/>
        <w:rPr>
          <w:sz w:val="20"/>
          <w:szCs w:val="20"/>
          <w:color w:val="auto"/>
        </w:rPr>
      </w:pPr>
    </w:p>
    <w:p>
      <w:pPr>
        <w:ind w:right="40" w:firstLine="497"/>
        <w:spacing w:after="0" w:line="250" w:lineRule="auto"/>
        <w:rPr>
          <w:sz w:val="20"/>
          <w:szCs w:val="20"/>
          <w:color w:val="auto"/>
        </w:rPr>
      </w:pPr>
      <w:r>
        <w:rPr>
          <w:rFonts w:ascii="Arial" w:cs="Arial" w:eastAsia="Arial" w:hAnsi="Arial"/>
          <w:sz w:val="14"/>
          <w:szCs w:val="14"/>
          <w:color w:val="auto"/>
        </w:rPr>
        <w:t>Many of the systems we develop, install and maintain involve managing and protecting information involved in intelligence, national security and other sensitive or classified U.S. Government functions. We face various security threats, including cybersecurity threats, to gain unauthorized access to this sensitive information. Such threats can come from external as well as internal sources. We also face threats to the safety of our directors, officers, and employees; threats to the security of our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the loss of sensitive information, critical infrastructure, personnel or capabilities essential to our operations and prevent us from being eligible for further work on sensitive or classified systems for U.S. Government customers. Further, any losses we incur from such a security breach could exceed the policy limits under our errors and omissions and product liability insurance. Any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9" w:right="2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losses we incur, any damage to our reputation or any limitations on our eligibility for additional work resulting from a security breach could materially reduce our revenue and could have a material adverse effect on our business, financial condition and results of operations.</w:t>
      </w:r>
    </w:p>
    <w:p>
      <w:pPr>
        <w:spacing w:after="0" w:line="139" w:lineRule="exact"/>
        <w:rPr>
          <w:sz w:val="20"/>
          <w:szCs w:val="20"/>
          <w:color w:val="auto"/>
        </w:rPr>
      </w:pPr>
    </w:p>
    <w:p>
      <w:pPr>
        <w:jc w:val="both"/>
        <w:ind w:right="60" w:firstLine="497"/>
        <w:spacing w:after="0" w:line="320" w:lineRule="auto"/>
        <w:rPr>
          <w:sz w:val="20"/>
          <w:szCs w:val="20"/>
          <w:color w:val="auto"/>
        </w:rPr>
      </w:pPr>
      <w:r>
        <w:rPr>
          <w:rFonts w:ascii="Arial" w:cs="Arial" w:eastAsia="Arial" w:hAnsi="Arial"/>
          <w:sz w:val="12"/>
          <w:szCs w:val="12"/>
          <w:color w:val="auto"/>
        </w:rPr>
        <w:t>Cybersecurity attacks in particular are evolving and include, but are not limited to, malicious software, attempts to gain unauthorized access to data, and other electronic security breaches that could lead to disruptions in mission critical systems, unauthorized release of confidential or otherwise protected information and corruption of data. We have experienced cybersecurity attacks and may experience them in the future. These events could damage our reputation and lead to financial losses from remedial actions, loss of business, loss of proprietary and trade secret information or potential liability.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systems or service failure, our reputation could be harmed and our customers could assert claims against us for damages or refunds.</w:t>
      </w:r>
    </w:p>
    <w:p>
      <w:pPr>
        <w:spacing w:after="0" w:line="170" w:lineRule="exact"/>
        <w:rPr>
          <w:sz w:val="20"/>
          <w:szCs w:val="20"/>
          <w:color w:val="auto"/>
        </w:rPr>
      </w:pPr>
    </w:p>
    <w:p>
      <w:pPr>
        <w:ind w:right="380" w:firstLine="497"/>
        <w:spacing w:after="0" w:line="267" w:lineRule="auto"/>
        <w:rPr>
          <w:sz w:val="20"/>
          <w:szCs w:val="20"/>
          <w:color w:val="auto"/>
        </w:rPr>
      </w:pPr>
      <w:r>
        <w:rPr>
          <w:rFonts w:ascii="Arial" w:cs="Arial" w:eastAsia="Arial" w:hAnsi="Arial"/>
          <w:sz w:val="14"/>
          <w:szCs w:val="14"/>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39" w:lineRule="exact"/>
        <w:rPr>
          <w:sz w:val="20"/>
          <w:szCs w:val="20"/>
          <w:color w:val="auto"/>
        </w:rPr>
      </w:pPr>
    </w:p>
    <w:p>
      <w:pPr>
        <w:ind w:left="1000" w:hanging="252"/>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lose revenue due to adverse customer reaction;</w:t>
      </w:r>
    </w:p>
    <w:p>
      <w:pPr>
        <w:spacing w:after="0" w:line="13" w:lineRule="exact"/>
        <w:rPr>
          <w:rFonts w:ascii="Arial" w:cs="Arial" w:eastAsia="Arial" w:hAnsi="Arial"/>
          <w:sz w:val="14"/>
          <w:szCs w:val="14"/>
          <w:color w:val="auto"/>
        </w:rPr>
      </w:pPr>
    </w:p>
    <w:p>
      <w:pPr>
        <w:ind w:left="1000" w:hanging="252"/>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be required to provide additional services to a customer at no charge;</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cause customers to postpone, cancel or fail to renew contracts;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receive negative publicity, which could damage our reputation and adversely affect our ability to attract or retain customers; and</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suffer claims for substantial damages.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cannot ensure that provisions in our customer contracts will be legally sufficient to protect us if we are sued.</w:t>
      </w:r>
    </w:p>
    <w:p>
      <w:pPr>
        <w:spacing w:after="0" w:line="170" w:lineRule="exact"/>
        <w:rPr>
          <w:sz w:val="20"/>
          <w:szCs w:val="20"/>
          <w:color w:val="auto"/>
        </w:rPr>
      </w:pPr>
    </w:p>
    <w:p>
      <w:pPr>
        <w:jc w:val="both"/>
        <w:ind w:right="220" w:firstLine="497"/>
        <w:spacing w:after="0" w:line="257" w:lineRule="auto"/>
        <w:rPr>
          <w:sz w:val="20"/>
          <w:szCs w:val="20"/>
          <w:color w:val="auto"/>
        </w:rPr>
      </w:pPr>
      <w:r>
        <w:rPr>
          <w:rFonts w:ascii="Arial" w:cs="Arial" w:eastAsia="Arial" w:hAnsi="Arial"/>
          <w:sz w:val="14"/>
          <w:szCs w:val="14"/>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45"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Arial" w:cs="Arial" w:eastAsia="Arial" w:hAnsi="Arial"/>
          <w:sz w:val="14"/>
          <w:szCs w:val="14"/>
          <w:b w:val="1"/>
          <w:bCs w:val="1"/>
          <w:color w:val="auto"/>
        </w:rPr>
        <w:t>.</w:t>
      </w:r>
    </w:p>
    <w:p>
      <w:pPr>
        <w:spacing w:after="0" w:line="139" w:lineRule="exact"/>
        <w:rPr>
          <w:sz w:val="20"/>
          <w:szCs w:val="20"/>
          <w:color w:val="auto"/>
        </w:rPr>
      </w:pPr>
    </w:p>
    <w:p>
      <w:pPr>
        <w:ind w:firstLine="497"/>
        <w:spacing w:after="0" w:line="274" w:lineRule="auto"/>
        <w:rPr>
          <w:sz w:val="20"/>
          <w:szCs w:val="20"/>
          <w:color w:val="auto"/>
        </w:rPr>
      </w:pPr>
      <w:r>
        <w:rPr>
          <w:rFonts w:ascii="Arial" w:cs="Arial" w:eastAsia="Arial" w:hAnsi="Arial"/>
          <w:sz w:val="13"/>
          <w:szCs w:val="13"/>
          <w:color w:val="auto"/>
        </w:rPr>
        <w:t>Our products, including but not limited to unmanned vehicles, aerial targets, UAS and ballistic missile targets, are extremely complex and must operate successfully with complex products from other vendors. Despite testing, our products have contained defects and errors and may in the future contain defects or errors, or experience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136" w:lineRule="exact"/>
        <w:rPr>
          <w:sz w:val="20"/>
          <w:szCs w:val="20"/>
          <w:color w:val="auto"/>
        </w:rPr>
      </w:pPr>
    </w:p>
    <w:p>
      <w:pPr>
        <w:ind w:right="360" w:firstLine="497"/>
        <w:spacing w:after="0" w:line="267" w:lineRule="auto"/>
        <w:rPr>
          <w:sz w:val="20"/>
          <w:szCs w:val="20"/>
          <w:color w:val="auto"/>
        </w:rPr>
      </w:pPr>
      <w:r>
        <w:rPr>
          <w:rFonts w:ascii="Arial" w:cs="Arial" w:eastAsia="Arial" w:hAnsi="Arial"/>
          <w:sz w:val="14"/>
          <w:szCs w:val="14"/>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139" w:lineRule="exact"/>
        <w:rPr>
          <w:sz w:val="20"/>
          <w:szCs w:val="20"/>
          <w:color w:val="auto"/>
        </w:rPr>
      </w:pPr>
    </w:p>
    <w:p>
      <w:pPr>
        <w:ind w:firstLine="497"/>
        <w:spacing w:after="0" w:line="320" w:lineRule="auto"/>
        <w:rPr>
          <w:sz w:val="20"/>
          <w:szCs w:val="20"/>
          <w:color w:val="auto"/>
        </w:rPr>
      </w:pPr>
      <w:r>
        <w:rPr>
          <w:rFonts w:ascii="Arial" w:cs="Arial" w:eastAsia="Arial" w:hAnsi="Arial"/>
          <w:sz w:val="12"/>
          <w:szCs w:val="12"/>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to the volatile and flammable nature of certain components of our products and equipment, fires or explosions may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20" w:top="129"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disrupt our business or cause significant injuries, which could adversely affect our financial results.</w:t>
      </w:r>
    </w:p>
    <w:p>
      <w:pPr>
        <w:spacing w:after="0" w:line="170" w:lineRule="exact"/>
        <w:rPr>
          <w:sz w:val="20"/>
          <w:szCs w:val="20"/>
          <w:color w:val="auto"/>
        </w:rPr>
      </w:pPr>
    </w:p>
    <w:p>
      <w:pPr>
        <w:ind w:right="140" w:firstLine="497"/>
        <w:spacing w:after="0" w:line="276" w:lineRule="auto"/>
        <w:rPr>
          <w:sz w:val="20"/>
          <w:szCs w:val="20"/>
          <w:color w:val="auto"/>
        </w:rPr>
      </w:pPr>
      <w:r>
        <w:rPr>
          <w:rFonts w:ascii="Arial" w:cs="Arial" w:eastAsia="Arial" w:hAnsi="Arial"/>
          <w:sz w:val="13"/>
          <w:szCs w:val="13"/>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results may vary significantly from quarter to quarter.</w:t>
      </w:r>
    </w:p>
    <w:p>
      <w:pPr>
        <w:spacing w:after="0" w:line="170" w:lineRule="exact"/>
        <w:rPr>
          <w:sz w:val="20"/>
          <w:szCs w:val="20"/>
          <w:color w:val="auto"/>
        </w:rPr>
      </w:pPr>
    </w:p>
    <w:p>
      <w:pPr>
        <w:ind w:firstLine="497"/>
        <w:spacing w:after="0" w:line="257" w:lineRule="auto"/>
        <w:rPr>
          <w:sz w:val="20"/>
          <w:szCs w:val="20"/>
          <w:color w:val="auto"/>
        </w:rPr>
      </w:pPr>
      <w:r>
        <w:rPr>
          <w:rFonts w:ascii="Arial" w:cs="Arial" w:eastAsia="Arial" w:hAnsi="Arial"/>
          <w:sz w:val="14"/>
          <w:szCs w:val="14"/>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45"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Additional factors that may cause our financial results to fluctuate from quarter to quarter include those addressed elsewhere in this Item 1A “Risk Factors” and the following factors, among others:</w:t>
      </w:r>
    </w:p>
    <w:p>
      <w:pPr>
        <w:spacing w:after="0" w:line="193" w:lineRule="exact"/>
        <w:rPr>
          <w:sz w:val="20"/>
          <w:szCs w:val="20"/>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terms of customer contracts that affect the timing of revenue recognition;</w:t>
      </w:r>
    </w:p>
    <w:p>
      <w:pPr>
        <w:spacing w:after="0" w:line="13"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variability in demand for our services and solutions;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commencement, completion or termination of contracts during any particular quarter;</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timing of shipments and product deliveries;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timing of award or performance incentive fee notices;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timing of significant bid and proposal costs;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costs of remediating unknown defects, errors or performance problems of our product offerings;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variable purchasing patterns under GSA contracts, GWACs, blanket purchase agreements and other indefinite delivery or indefinite quantity contracts;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restrictions on and delays related to the export of defense articles and services;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related to government inquiries;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strategic decisions by us or our competitors, such as acquisitions, divestitures, spin-offs and joint ventures;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strategic investments or changes in business strategy;</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the extent to which we use subcontractors;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seasonal fluctuations in our staff utilization rates;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our effective tax rate, including changes in our judgment as to the necessity of the valuation allowance recorded against our deferred tax assets; and</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length of sales cycles.</w:t>
      </w:r>
    </w:p>
    <w:p>
      <w:pPr>
        <w:spacing w:after="0" w:line="161" w:lineRule="exact"/>
        <w:rPr>
          <w:sz w:val="20"/>
          <w:szCs w:val="20"/>
          <w:color w:val="auto"/>
        </w:rPr>
      </w:pPr>
    </w:p>
    <w:p>
      <w:pPr>
        <w:ind w:right="40" w:firstLine="497"/>
        <w:spacing w:after="0" w:line="304" w:lineRule="auto"/>
        <w:rPr>
          <w:sz w:val="20"/>
          <w:szCs w:val="20"/>
          <w:color w:val="auto"/>
        </w:rPr>
      </w:pPr>
      <w:r>
        <w:rPr>
          <w:rFonts w:ascii="Arial" w:cs="Arial" w:eastAsia="Arial" w:hAnsi="Arial"/>
          <w:sz w:val="12"/>
          <w:szCs w:val="12"/>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 under our $110.0 million Credit and Security Agreement, dated May 14, 2014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In addition, fluctuations in our financial results could cause our stock price to decline. See the risks and uncertainties related to our ability to raise additional capital below in </w:t>
      </w:r>
      <w:r>
        <w:rPr>
          <w:rFonts w:ascii="Arial" w:cs="Arial" w:eastAsia="Arial" w:hAnsi="Arial"/>
          <w:sz w:val="12"/>
          <w:szCs w:val="12"/>
          <w:i w:val="1"/>
          <w:iCs w:val="1"/>
          <w:color w:val="auto"/>
        </w:rPr>
        <w:t>“We may need additional capital to fund the growth of our business, and financing may not be available on favorable terms or at all.”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129" w:right="21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7"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price contracts in our total contract mix.</w:t>
      </w:r>
    </w:p>
    <w:p>
      <w:pPr>
        <w:spacing w:after="0" w:line="170" w:lineRule="exact"/>
        <w:rPr>
          <w:sz w:val="20"/>
          <w:szCs w:val="20"/>
          <w:color w:val="auto"/>
        </w:rPr>
      </w:pPr>
    </w:p>
    <w:p>
      <w:pPr>
        <w:ind w:right="80" w:firstLine="497"/>
        <w:spacing w:after="0" w:line="252" w:lineRule="auto"/>
        <w:rPr>
          <w:sz w:val="20"/>
          <w:szCs w:val="20"/>
          <w:color w:val="auto"/>
        </w:rPr>
      </w:pPr>
      <w:r>
        <w:rPr>
          <w:rFonts w:ascii="Arial" w:cs="Arial" w:eastAsia="Arial" w:hAnsi="Arial"/>
          <w:sz w:val="14"/>
          <w:szCs w:val="14"/>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19% and 74%, respectively, of our federal business revenues for the year ended December 25, 2016. To the extent that we enter into more cost-plus-fee or less fixed-price contracts in proportion to our total contract mix in the future, our margins and operating results may suffer.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cash flow and profitability could be reduced if expenditures are incurred prior to the final receipt of a contract.</w:t>
      </w:r>
    </w:p>
    <w:p>
      <w:pPr>
        <w:spacing w:after="0" w:line="170" w:lineRule="exact"/>
        <w:rPr>
          <w:sz w:val="20"/>
          <w:szCs w:val="20"/>
          <w:color w:val="auto"/>
        </w:rPr>
      </w:pPr>
    </w:p>
    <w:p>
      <w:pPr>
        <w:ind w:right="80" w:firstLine="497"/>
        <w:spacing w:after="0" w:line="276" w:lineRule="auto"/>
        <w:rPr>
          <w:sz w:val="20"/>
          <w:szCs w:val="20"/>
          <w:color w:val="auto"/>
        </w:rPr>
      </w:pPr>
      <w:r>
        <w:rPr>
          <w:rFonts w:ascii="Arial" w:cs="Arial" w:eastAsia="Arial" w:hAnsi="Arial"/>
          <w:sz w:val="13"/>
          <w:szCs w:val="13"/>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another contractor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and negatively affecting our cash flow and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and may continue to incur goodwill impairment charges in our reporting entities, which could harm our profitability.</w:t>
      </w:r>
    </w:p>
    <w:p>
      <w:pPr>
        <w:spacing w:after="0" w:line="170" w:lineRule="exact"/>
        <w:rPr>
          <w:sz w:val="20"/>
          <w:szCs w:val="20"/>
          <w:color w:val="auto"/>
        </w:rPr>
      </w:pPr>
    </w:p>
    <w:p>
      <w:pPr>
        <w:jc w:val="both"/>
        <w:ind w:right="20" w:firstLine="497"/>
        <w:spacing w:after="0" w:line="257" w:lineRule="auto"/>
        <w:rPr>
          <w:sz w:val="20"/>
          <w:szCs w:val="20"/>
          <w:color w:val="auto"/>
        </w:rPr>
      </w:pPr>
      <w:r>
        <w:rPr>
          <w:rFonts w:ascii="Arial" w:cs="Arial" w:eastAsia="Arial" w:hAnsi="Arial"/>
          <w:sz w:val="14"/>
          <w:szCs w:val="14"/>
          <w:color w:val="auto"/>
        </w:rPr>
        <w:t>As of December 25, 2016, goodwill represented approximately 51% of our total assets. We periodically review the carrying values of our goodwill to determine whether such carrying values exceed the fair market value.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45" w:lineRule="exact"/>
        <w:rPr>
          <w:sz w:val="20"/>
          <w:szCs w:val="20"/>
          <w:color w:val="auto"/>
        </w:rPr>
      </w:pPr>
    </w:p>
    <w:p>
      <w:pPr>
        <w:ind w:firstLine="497"/>
        <w:spacing w:after="0" w:line="253" w:lineRule="auto"/>
        <w:rPr>
          <w:sz w:val="20"/>
          <w:szCs w:val="20"/>
          <w:color w:val="auto"/>
        </w:rPr>
      </w:pPr>
      <w:r>
        <w:rPr>
          <w:rFonts w:ascii="Arial" w:cs="Arial" w:eastAsia="Arial" w:hAnsi="Arial"/>
          <w:sz w:val="14"/>
          <w:szCs w:val="14"/>
          <w:color w:val="auto"/>
        </w:rPr>
        <w:t>The identification and measurement of impairment involves the estimation of the fair value of reporting units. Accounting for impairment contains uncertainty because management must use judgment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149" w:lineRule="exact"/>
        <w:rPr>
          <w:sz w:val="20"/>
          <w:szCs w:val="20"/>
          <w:color w:val="auto"/>
        </w:rPr>
      </w:pPr>
    </w:p>
    <w:p>
      <w:pPr>
        <w:ind w:firstLine="497"/>
        <w:spacing w:after="0" w:line="272" w:lineRule="auto"/>
        <w:rPr>
          <w:sz w:val="20"/>
          <w:szCs w:val="20"/>
          <w:color w:val="auto"/>
        </w:rPr>
      </w:pPr>
      <w:r>
        <w:rPr>
          <w:rFonts w:ascii="Arial" w:cs="Arial" w:eastAsia="Arial" w:hAnsi="Arial"/>
          <w:sz w:val="13"/>
          <w:szCs w:val="13"/>
          <w:color w:val="auto"/>
        </w:rPr>
        <w:t>Given the current market conditions and continued economic uncertainty in the U.S. defense industry, including sequestration and issues surrounding the national debt ceiling, our future revenues, profits and cash flows could be substantially lower than our current projections.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market-based inputs to the 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properly manage projects may result in additional costs or claims.</w:t>
      </w:r>
    </w:p>
    <w:p>
      <w:pPr>
        <w:spacing w:after="0" w:line="170" w:lineRule="exact"/>
        <w:rPr>
          <w:sz w:val="20"/>
          <w:szCs w:val="20"/>
          <w:color w:val="auto"/>
        </w:rPr>
      </w:pPr>
    </w:p>
    <w:p>
      <w:pPr>
        <w:ind w:right="380" w:firstLine="497"/>
        <w:spacing w:after="0" w:line="279" w:lineRule="auto"/>
        <w:rPr>
          <w:sz w:val="20"/>
          <w:szCs w:val="20"/>
          <w:color w:val="auto"/>
        </w:rPr>
      </w:pPr>
      <w:r>
        <w:rPr>
          <w:rFonts w:ascii="Arial" w:cs="Arial" w:eastAsia="Arial" w:hAnsi="Arial"/>
          <w:sz w:val="13"/>
          <w:szCs w:val="13"/>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errors, mistakes or omissions in rendering services to our customers. However, we cannot be sure that these contractual provisions will protect us from liability for damages in the event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use estimates when accounting for contracts, and any changes in such estimates could have an adverse effect on our profitability and our overall financial performance.</w:t>
      </w:r>
    </w:p>
    <w:p>
      <w:pPr>
        <w:spacing w:after="0" w:line="182" w:lineRule="exact"/>
        <w:rPr>
          <w:sz w:val="20"/>
          <w:szCs w:val="20"/>
          <w:color w:val="auto"/>
        </w:rPr>
      </w:pPr>
    </w:p>
    <w:p>
      <w:pPr>
        <w:ind w:firstLine="497"/>
        <w:spacing w:after="0" w:line="272" w:lineRule="auto"/>
        <w:rPr>
          <w:sz w:val="20"/>
          <w:szCs w:val="20"/>
          <w:color w:val="auto"/>
        </w:rPr>
      </w:pPr>
      <w:r>
        <w:rPr>
          <w:rFonts w:ascii="Arial" w:cs="Arial" w:eastAsia="Arial" w:hAnsi="Arial"/>
          <w:sz w:val="13"/>
          <w:szCs w:val="13"/>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39" w:lineRule="exact"/>
        <w:rPr>
          <w:sz w:val="20"/>
          <w:szCs w:val="20"/>
          <w:color w:val="auto"/>
        </w:rPr>
      </w:pPr>
    </w:p>
    <w:p>
      <w:pPr>
        <w:jc w:val="both"/>
        <w:ind w:right="160" w:firstLine="497"/>
        <w:spacing w:after="0" w:line="257" w:lineRule="auto"/>
        <w:rPr>
          <w:sz w:val="20"/>
          <w:szCs w:val="20"/>
          <w:color w:val="auto"/>
        </w:rPr>
      </w:pPr>
      <w:r>
        <w:rPr>
          <w:rFonts w:ascii="Arial" w:cs="Arial" w:eastAsia="Arial" w:hAnsi="Arial"/>
          <w:sz w:val="14"/>
          <w:szCs w:val="14"/>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may be limited.</w:t>
      </w:r>
    </w:p>
    <w:p>
      <w:pPr>
        <w:spacing w:after="0" w:line="170" w:lineRule="exact"/>
        <w:rPr>
          <w:sz w:val="20"/>
          <w:szCs w:val="20"/>
          <w:color w:val="auto"/>
        </w:rPr>
      </w:pPr>
    </w:p>
    <w:p>
      <w:pPr>
        <w:ind w:firstLine="497"/>
        <w:spacing w:after="0" w:line="304" w:lineRule="auto"/>
        <w:rPr>
          <w:sz w:val="20"/>
          <w:szCs w:val="20"/>
          <w:color w:val="auto"/>
        </w:rPr>
      </w:pPr>
      <w:r>
        <w:rPr>
          <w:rFonts w:ascii="Arial" w:cs="Arial" w:eastAsia="Arial" w:hAnsi="Arial"/>
          <w:sz w:val="12"/>
          <w:szCs w:val="12"/>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We believe we underwent an ownership change in March 2010 that limited the Company’s federal annual utilization of NOL carryforwards. If the entire limitation amount is not utilized in a year, the excess can be carried forward and utilized in future years. For the year ended December 25, 2016,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20"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b w:val="1"/>
          <w:bCs w:val="1"/>
          <w:i w:val="1"/>
          <w:iCs w:val="1"/>
          <w:color w:val="auto"/>
        </w:rPr>
        <w:t>We expect to incur substantial research and development costs and devote significant resources to identifying and commercializing new products and services, which could significantly reduce our profitability and may never result in revenue to us.</w:t>
      </w:r>
    </w:p>
    <w:p>
      <w:pPr>
        <w:spacing w:after="0" w:line="139" w:lineRule="exact"/>
        <w:rPr>
          <w:sz w:val="20"/>
          <w:szCs w:val="20"/>
          <w:color w:val="auto"/>
        </w:rPr>
      </w:pPr>
    </w:p>
    <w:p>
      <w:pPr>
        <w:ind w:right="100" w:firstLine="497"/>
        <w:spacing w:after="0" w:line="251" w:lineRule="auto"/>
        <w:rPr>
          <w:sz w:val="20"/>
          <w:szCs w:val="20"/>
          <w:color w:val="auto"/>
        </w:rPr>
      </w:pPr>
      <w:r>
        <w:rPr>
          <w:rFonts w:ascii="Arial" w:cs="Arial" w:eastAsia="Arial" w:hAnsi="Arial"/>
          <w:sz w:val="14"/>
          <w:szCs w:val="14"/>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$13.9 million, or 2.1% of our revenue, in our fiscal year ended December 25, 2016 on internally funded research and development activities. We believe that there are significant investment opportunities in a number of business areas. 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additional capital to fund the growth of our business, and financing may not be available on favorable terms or at all.</w:t>
      </w:r>
    </w:p>
    <w:p>
      <w:pPr>
        <w:spacing w:after="0" w:line="170" w:lineRule="exact"/>
        <w:rPr>
          <w:sz w:val="20"/>
          <w:szCs w:val="20"/>
          <w:color w:val="auto"/>
        </w:rPr>
      </w:pPr>
    </w:p>
    <w:p>
      <w:pPr>
        <w:ind w:right="60" w:firstLine="497"/>
        <w:spacing w:after="0" w:line="306" w:lineRule="auto"/>
        <w:rPr>
          <w:sz w:val="20"/>
          <w:szCs w:val="20"/>
          <w:color w:val="auto"/>
        </w:rPr>
      </w:pPr>
      <w:r>
        <w:rPr>
          <w:rFonts w:ascii="Arial" w:cs="Arial" w:eastAsia="Arial" w:hAnsi="Arial"/>
          <w:sz w:val="13"/>
          <w:szCs w:val="13"/>
          <w:color w:val="auto"/>
        </w:rPr>
        <w:t>We currently anticipate that our available capital resources, including the cash we raised in our recent equity offering, amounts available under our Credit Agreement and operating cash flow will be sufficient to meet our expected working capital and capital expenditure requirements for at least the next 12 months. However, these resources may not be sufficient to fund the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40"/>
          </w:cols>
          <w:pgMar w:left="220" w:top="129"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long-term growth of our business. If we determine that it is necessary to raise additional funds, either through an expansion or refinancing of our Credit Agreement or through public or private debt offerings or additional equity financings, additional financing may not be available on terms favorable to us, or at all. Disruptions in the capital and credit markets may continue indefinitely or intensify, which could adversely affect our ability to access these markets. Limitations on our borrowing base contained in our Credit Agreement may limit our access to capital, and we could fall out of compliance with financial and other covenants contained in our Credit Agreement which, if not waived, would restrict our access to capital and could require us to pay down any then-existing debt under the Credit 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Past acquisitions and future acquisitions could prove difficult to integrate, disrupt our business, dilute stockholder value and strain our resources.</w:t>
      </w:r>
    </w:p>
    <w:p>
      <w:pPr>
        <w:spacing w:after="0" w:line="170" w:lineRule="exact"/>
        <w:rPr>
          <w:sz w:val="20"/>
          <w:szCs w:val="20"/>
          <w:color w:val="auto"/>
        </w:rPr>
      </w:pPr>
    </w:p>
    <w:p>
      <w:pPr>
        <w:ind w:right="140" w:firstLine="497"/>
        <w:spacing w:after="0" w:line="309" w:lineRule="auto"/>
        <w:rPr>
          <w:sz w:val="20"/>
          <w:szCs w:val="20"/>
          <w:color w:val="auto"/>
        </w:rPr>
      </w:pPr>
      <w:r>
        <w:rPr>
          <w:rFonts w:ascii="Arial" w:cs="Arial" w:eastAsia="Arial" w:hAnsi="Arial"/>
          <w:sz w:val="12"/>
          <w:szCs w:val="12"/>
          <w:color w:val="auto"/>
        </w:rPr>
        <w:t>We have in the past and may, in the future, acquire additional businesses that we believe could complement or expand our business or increase our customer base.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118" w:lineRule="exact"/>
        <w:rPr>
          <w:sz w:val="20"/>
          <w:szCs w:val="20"/>
          <w:color w:val="auto"/>
        </w:rPr>
      </w:pPr>
    </w:p>
    <w:p>
      <w:pPr>
        <w:ind w:left="1000" w:hanging="252"/>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inability to achieve the operating synergies anticipated in the acquisitions;</w:t>
      </w:r>
    </w:p>
    <w:p>
      <w:pPr>
        <w:spacing w:after="0" w:line="13" w:lineRule="exact"/>
        <w:rPr>
          <w:rFonts w:ascii="Arial" w:cs="Arial" w:eastAsia="Arial" w:hAnsi="Arial"/>
          <w:sz w:val="14"/>
          <w:szCs w:val="14"/>
          <w:color w:val="auto"/>
        </w:rPr>
      </w:pPr>
    </w:p>
    <w:p>
      <w:pPr>
        <w:ind w:left="1000" w:hanging="252"/>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diversion of management attention from ongoing business concerns to integration matters;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difficulties in consolidating and rationalizing IT platforms and administrative infrastructures;</w:t>
      </w:r>
    </w:p>
    <w:p>
      <w:pPr>
        <w:spacing w:after="0" w:line="4" w:lineRule="exact"/>
        <w:rPr>
          <w:rFonts w:ascii="Arial" w:cs="Arial" w:eastAsia="Arial" w:hAnsi="Arial"/>
          <w:sz w:val="14"/>
          <w:szCs w:val="14"/>
          <w:color w:val="auto"/>
        </w:rPr>
      </w:pPr>
    </w:p>
    <w:p>
      <w:pPr>
        <w:ind w:left="1000" w:right="20" w:hanging="252"/>
        <w:spacing w:after="0" w:line="246" w:lineRule="auto"/>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complexities associated with managing the geographic separation of the combined businesses and consolidating multiple physical locations where management may determine consolidation is desirable;</w:t>
      </w:r>
    </w:p>
    <w:p>
      <w:pPr>
        <w:spacing w:after="0" w:line="1" w:lineRule="exact"/>
        <w:rPr>
          <w:rFonts w:ascii="Arial" w:cs="Arial" w:eastAsia="Arial" w:hAnsi="Arial"/>
          <w:sz w:val="14"/>
          <w:szCs w:val="14"/>
          <w:color w:val="auto"/>
        </w:rPr>
      </w:pPr>
    </w:p>
    <w:p>
      <w:pPr>
        <w:ind w:left="1000" w:hanging="252"/>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difficulties in integrating personnel from different corporate cultures while maintaining focus on providing consistent, high quality customer service;</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difficulties or delays in transitioning U.S. Government contracts pursuant to federal acquisition regulations;</w:t>
      </w:r>
    </w:p>
    <w:p>
      <w:pPr>
        <w:spacing w:after="0" w:line="4" w:lineRule="exact"/>
        <w:rPr>
          <w:rFonts w:ascii="Arial" w:cs="Arial" w:eastAsia="Arial" w:hAnsi="Arial"/>
          <w:sz w:val="14"/>
          <w:szCs w:val="14"/>
          <w:color w:val="auto"/>
        </w:rPr>
      </w:pPr>
    </w:p>
    <w:p>
      <w:pPr>
        <w:ind w:left="1000" w:right="100" w:hanging="252"/>
        <w:spacing w:after="0" w:line="246" w:lineRule="auto"/>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challenges in demonstrating to customers of Kratos and to customers of acquired businesses that the acquisition will not result in adverse changes in customer service standards or business focus;</w:t>
      </w:r>
    </w:p>
    <w:p>
      <w:pPr>
        <w:spacing w:after="0" w:line="1" w:lineRule="exact"/>
        <w:rPr>
          <w:rFonts w:ascii="Arial" w:cs="Arial" w:eastAsia="Arial" w:hAnsi="Arial"/>
          <w:sz w:val="14"/>
          <w:szCs w:val="14"/>
          <w:color w:val="auto"/>
        </w:rPr>
      </w:pPr>
    </w:p>
    <w:p>
      <w:pPr>
        <w:ind w:left="1000" w:hanging="252"/>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possible cash flow interruption or loss of revenue as a result of change of ownership transitional matters; and</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inability to generate sufficient revenue to offset acquisition costs.</w:t>
      </w:r>
    </w:p>
    <w:p>
      <w:pPr>
        <w:spacing w:after="0" w:line="161" w:lineRule="exact"/>
        <w:rPr>
          <w:sz w:val="20"/>
          <w:szCs w:val="20"/>
          <w:color w:val="auto"/>
        </w:rPr>
      </w:pPr>
    </w:p>
    <w:p>
      <w:pPr>
        <w:ind w:firstLine="497"/>
        <w:spacing w:after="0" w:line="249" w:lineRule="auto"/>
        <w:rPr>
          <w:sz w:val="20"/>
          <w:szCs w:val="20"/>
          <w:color w:val="auto"/>
        </w:rPr>
      </w:pPr>
      <w:r>
        <w:rPr>
          <w:rFonts w:ascii="Arial" w:cs="Arial" w:eastAsia="Arial" w:hAnsi="Arial"/>
          <w:sz w:val="14"/>
          <w:szCs w:val="14"/>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otherwise to realize any of the anticipated benefits of the acquisition could seriously harm our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manage our growth, our business and financial results could suffer.</w:t>
      </w:r>
    </w:p>
    <w:p>
      <w:pPr>
        <w:spacing w:after="0" w:line="170" w:lineRule="exact"/>
        <w:rPr>
          <w:sz w:val="20"/>
          <w:szCs w:val="20"/>
          <w:color w:val="auto"/>
        </w:rPr>
      </w:pPr>
    </w:p>
    <w:p>
      <w:pPr>
        <w:ind w:right="20" w:firstLine="497"/>
        <w:spacing w:after="0" w:line="252" w:lineRule="auto"/>
        <w:rPr>
          <w:sz w:val="20"/>
          <w:szCs w:val="20"/>
          <w:color w:val="auto"/>
        </w:rPr>
      </w:pPr>
      <w:r>
        <w:rPr>
          <w:rFonts w:ascii="Arial" w:cs="Arial" w:eastAsia="Arial" w:hAnsi="Arial"/>
          <w:sz w:val="14"/>
          <w:szCs w:val="14"/>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9" w:right="2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loss of any member of our senior management could impair our relationships with U.S. Government customers and disrupt the management of our business.</w:t>
      </w:r>
    </w:p>
    <w:p>
      <w:pPr>
        <w:spacing w:after="0" w:line="170" w:lineRule="exact"/>
        <w:rPr>
          <w:sz w:val="20"/>
          <w:szCs w:val="20"/>
          <w:color w:val="auto"/>
        </w:rPr>
      </w:pPr>
    </w:p>
    <w:p>
      <w:pPr>
        <w:jc w:val="both"/>
        <w:ind w:firstLine="497"/>
        <w:spacing w:after="0" w:line="253" w:lineRule="auto"/>
        <w:rPr>
          <w:sz w:val="20"/>
          <w:szCs w:val="20"/>
          <w:color w:val="auto"/>
        </w:rPr>
      </w:pPr>
      <w:r>
        <w:rPr>
          <w:rFonts w:ascii="Arial" w:cs="Arial" w:eastAsia="Arial" w:hAnsi="Arial"/>
          <w:sz w:val="14"/>
          <w:szCs w:val="14"/>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82" w:lineRule="exact"/>
        <w:rPr>
          <w:sz w:val="20"/>
          <w:szCs w:val="20"/>
          <w:color w:val="auto"/>
        </w:rPr>
      </w:pPr>
    </w:p>
    <w:p>
      <w:pPr>
        <w:ind w:firstLine="497"/>
        <w:spacing w:after="0" w:line="274" w:lineRule="auto"/>
        <w:rPr>
          <w:sz w:val="20"/>
          <w:szCs w:val="20"/>
          <w:color w:val="auto"/>
        </w:rPr>
      </w:pPr>
      <w:r>
        <w:rPr>
          <w:rFonts w:ascii="Arial" w:cs="Arial" w:eastAsia="Arial" w:hAnsi="Arial"/>
          <w:sz w:val="13"/>
          <w:szCs w:val="13"/>
          <w:color w:val="auto"/>
        </w:rPr>
        <w:t>The growth of our business and revenue depends in large part upon our ability to attract and retain sufficient numbers of highly qualified individuals who have advanced technical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36" w:lineRule="exact"/>
        <w:rPr>
          <w:sz w:val="20"/>
          <w:szCs w:val="20"/>
          <w:color w:val="auto"/>
        </w:rPr>
      </w:pPr>
    </w:p>
    <w:p>
      <w:pPr>
        <w:jc w:val="both"/>
        <w:ind w:right="280" w:firstLine="497"/>
        <w:spacing w:after="0" w:line="257" w:lineRule="auto"/>
        <w:rPr>
          <w:sz w:val="20"/>
          <w:szCs w:val="20"/>
          <w:color w:val="auto"/>
        </w:rPr>
      </w:pPr>
      <w:r>
        <w:rPr>
          <w:rFonts w:ascii="Arial" w:cs="Arial" w:eastAsia="Arial" w:hAnsi="Arial"/>
          <w:sz w:val="14"/>
          <w:szCs w:val="14"/>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45" w:lineRule="exact"/>
        <w:rPr>
          <w:sz w:val="20"/>
          <w:szCs w:val="20"/>
          <w:color w:val="auto"/>
        </w:rPr>
      </w:pPr>
    </w:p>
    <w:p>
      <w:pPr>
        <w:ind w:right="440"/>
        <w:spacing w:after="0" w:line="267" w:lineRule="auto"/>
        <w:rPr>
          <w:sz w:val="20"/>
          <w:szCs w:val="20"/>
          <w:color w:val="auto"/>
        </w:rPr>
      </w:pPr>
      <w:r>
        <w:rPr>
          <w:rFonts w:ascii="Arial" w:cs="Arial" w:eastAsia="Arial" w:hAnsi="Arial"/>
          <w:sz w:val="14"/>
          <w:szCs w:val="14"/>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08" w:lineRule="exact"/>
        <w:rPr>
          <w:sz w:val="20"/>
          <w:szCs w:val="20"/>
          <w:color w:val="auto"/>
        </w:rPr>
      </w:pPr>
    </w:p>
    <w:p>
      <w:pPr>
        <w:ind w:right="300" w:firstLine="497"/>
        <w:spacing w:after="0" w:line="257" w:lineRule="auto"/>
        <w:rPr>
          <w:sz w:val="20"/>
          <w:szCs w:val="20"/>
          <w:color w:val="auto"/>
        </w:rPr>
      </w:pPr>
      <w:r>
        <w:rPr>
          <w:rFonts w:ascii="Arial" w:cs="Arial" w:eastAsia="Arial" w:hAnsi="Arial"/>
          <w:sz w:val="14"/>
          <w:szCs w:val="14"/>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in connection with classified U.S. Government contracts.</w:t>
      </w:r>
    </w:p>
    <w:p>
      <w:pPr>
        <w:spacing w:after="0" w:line="114" w:lineRule="exact"/>
        <w:rPr>
          <w:sz w:val="20"/>
          <w:szCs w:val="20"/>
          <w:color w:val="auto"/>
        </w:rPr>
      </w:pPr>
    </w:p>
    <w:p>
      <w:pPr>
        <w:ind w:right="120" w:firstLine="497"/>
        <w:spacing w:after="0" w:line="274" w:lineRule="auto"/>
        <w:rPr>
          <w:sz w:val="20"/>
          <w:szCs w:val="20"/>
          <w:color w:val="auto"/>
        </w:rPr>
      </w:pPr>
      <w:r>
        <w:rPr>
          <w:rFonts w:ascii="Arial" w:cs="Arial" w:eastAsia="Arial" w:hAnsi="Arial"/>
          <w:sz w:val="13"/>
          <w:szCs w:val="13"/>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realize any benefit from our cost reduction and restructuring efforts and our profitability may be hurt or our business otherwise might be adversely affected</w:t>
      </w:r>
      <w:r>
        <w:rPr>
          <w:rFonts w:ascii="Arial" w:cs="Arial" w:eastAsia="Arial" w:hAnsi="Arial"/>
          <w:sz w:val="13"/>
          <w:szCs w:val="13"/>
          <w:color w:val="auto"/>
        </w:rPr>
        <w:t>.</w:t>
      </w:r>
    </w:p>
    <w:p>
      <w:pPr>
        <w:spacing w:after="0" w:line="182" w:lineRule="exact"/>
        <w:rPr>
          <w:sz w:val="20"/>
          <w:szCs w:val="20"/>
          <w:color w:val="auto"/>
        </w:rPr>
      </w:pPr>
    </w:p>
    <w:p>
      <w:pPr>
        <w:ind w:firstLine="497"/>
        <w:spacing w:after="0" w:line="309" w:lineRule="auto"/>
        <w:rPr>
          <w:sz w:val="20"/>
          <w:szCs w:val="20"/>
          <w:color w:val="auto"/>
        </w:rPr>
      </w:pPr>
      <w:r>
        <w:rPr>
          <w:rFonts w:ascii="Arial" w:cs="Arial" w:eastAsia="Arial" w:hAnsi="Arial"/>
          <w:sz w:val="12"/>
          <w:szCs w:val="12"/>
          <w:color w:val="auto"/>
        </w:rPr>
        <w:t>We have engaged in cost reduction and restructuring activities in the past, including the recent restructuring actions in the Modular Systems and Public Safety businesses, and we may engage in other cost reduction restructuring activities in the future. These types of cost reduction and restructuring activities are complex. If we do not successfully manage our current cost reduction and restructuring activities, or any other cost reduction and restructuring activities that we may take in the future, any expected efficiencies and benefits might be delayed or not realized, and our operations and business could be disrupted. In addition, the costs associated with implementing cost reduction and restructuring activities might exceed expectations, which could result in additional future charges.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9" w:right="2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International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 derived from our international business could be subject to global economic downturn and hardship.</w:t>
      </w:r>
    </w:p>
    <w:p>
      <w:pPr>
        <w:spacing w:after="0" w:line="170" w:lineRule="exact"/>
        <w:rPr>
          <w:sz w:val="20"/>
          <w:szCs w:val="20"/>
          <w:color w:val="auto"/>
        </w:rPr>
      </w:pPr>
    </w:p>
    <w:p>
      <w:pPr>
        <w:ind w:left="60" w:firstLine="497"/>
        <w:spacing w:after="0" w:line="252" w:lineRule="auto"/>
        <w:rPr>
          <w:sz w:val="20"/>
          <w:szCs w:val="20"/>
          <w:color w:val="auto"/>
        </w:rPr>
      </w:pPr>
      <w:r>
        <w:rPr>
          <w:rFonts w:ascii="Arial" w:cs="Arial" w:eastAsia="Arial" w:hAnsi="Arial"/>
          <w:sz w:val="14"/>
          <w:szCs w:val="14"/>
          <w:color w:val="auto"/>
        </w:rPr>
        <w:t>Our international business represents 12% of our total revenue for the year ended December 25, 2016,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 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international business exposes us to additional risks.</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operations outside of the U.S. are subject to risks that are inherent in conducting business under non-U.S. laws, regulations and customs, including those related to:</w:t>
      </w:r>
    </w:p>
    <w:p>
      <w:pPr>
        <w:spacing w:after="0" w:line="232" w:lineRule="exact"/>
        <w:rPr>
          <w:sz w:val="20"/>
          <w:szCs w:val="20"/>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foreign currency exchange rate fluctuations, potentially reducing the U.S. dollars we receive for sales denominated in foreign currency;</w:t>
      </w:r>
    </w:p>
    <w:p>
      <w:pPr>
        <w:spacing w:after="0" w:line="13"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possibility that unfriendly nations or groups could boycott our solutions;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political conditions in the markets in which we operate;</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potential increased costs associated with overlapping tax structures;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import-export control;</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more limited protection for intellectual property rights in some countries;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difficulties and costs associated with staffing and managing foreign operations;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unexpected changes in regulatory requirements;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difficulties of compliance with a wide variety of foreign laws and regulations;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longer accounts receivable cycles in certain foreign countries, whether due to cultural differences, exchange rate fluctuation or other factors;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technology transfer restrictions;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changes to our distribution networks; and</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employees.</w:t>
      </w:r>
    </w:p>
    <w:p>
      <w:pPr>
        <w:spacing w:after="0" w:line="161" w:lineRule="exact"/>
        <w:rPr>
          <w:sz w:val="20"/>
          <w:szCs w:val="20"/>
          <w:color w:val="auto"/>
        </w:rPr>
      </w:pPr>
    </w:p>
    <w:p>
      <w:pPr>
        <w:ind w:left="60" w:right="120" w:firstLine="497"/>
        <w:spacing w:after="0" w:line="272" w:lineRule="auto"/>
        <w:rPr>
          <w:sz w:val="20"/>
          <w:szCs w:val="20"/>
          <w:color w:val="auto"/>
        </w:rPr>
      </w:pPr>
      <w:r>
        <w:rPr>
          <w:rFonts w:ascii="Arial" w:cs="Arial" w:eastAsia="Arial" w:hAnsi="Arial"/>
          <w:sz w:val="13"/>
          <w:szCs w:val="13"/>
          <w:color w:val="auto"/>
        </w:rPr>
        <w:t>These risks, individually or in the aggregate, could have an adverse effect on our results of operations and financial condition. For example, we are subject to compliance with the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The impact of these factors is difficult to predict, but one or more of them could adversely affect our financial position, results of operations, or cash flows.</w:t>
      </w:r>
    </w:p>
    <w:p>
      <w:pPr>
        <w:spacing w:after="0" w:line="139" w:lineRule="exact"/>
        <w:rPr>
          <w:sz w:val="20"/>
          <w:szCs w:val="20"/>
          <w:color w:val="auto"/>
        </w:rPr>
      </w:pPr>
    </w:p>
    <w:p>
      <w:pPr>
        <w:ind w:right="100" w:firstLine="497"/>
        <w:spacing w:after="0" w:line="257" w:lineRule="auto"/>
        <w:rPr>
          <w:sz w:val="20"/>
          <w:szCs w:val="20"/>
          <w:color w:val="auto"/>
        </w:rPr>
      </w:pPr>
      <w:r>
        <w:rPr>
          <w:rFonts w:ascii="Arial" w:cs="Arial" w:eastAsia="Arial" w:hAnsi="Arial"/>
          <w:sz w:val="14"/>
          <w:szCs w:val="14"/>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materially adversely affect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Outstanding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substantial indebtedness, which could adversely affect our cash flow, financial condition and business.</w:t>
      </w:r>
    </w:p>
    <w:p>
      <w:pPr>
        <w:spacing w:after="0" w:line="170" w:lineRule="exact"/>
        <w:rPr>
          <w:sz w:val="20"/>
          <w:szCs w:val="20"/>
          <w:color w:val="auto"/>
        </w:rPr>
      </w:pPr>
    </w:p>
    <w:p>
      <w:pPr>
        <w:ind w:right="60" w:firstLine="497"/>
        <w:spacing w:after="0" w:line="257" w:lineRule="auto"/>
        <w:rPr>
          <w:sz w:val="20"/>
          <w:szCs w:val="20"/>
          <w:color w:val="auto"/>
        </w:rPr>
      </w:pPr>
      <w:r>
        <w:rPr>
          <w:rFonts w:ascii="Arial" w:cs="Arial" w:eastAsia="Arial" w:hAnsi="Arial"/>
          <w:sz w:val="14"/>
          <w:szCs w:val="14"/>
          <w:color w:val="auto"/>
        </w:rPr>
        <w:t>As of December 25, 2016, we had approximately $432.0 million of total indebtedness outstanding, which includes $2.4 million of unamortized original issue discount and $2.9 million of unamortized debt issuance costs. As a result of this indebtedness, our interest payment obligations are significant. The degree to which we are leveraged could have adverse effects on our business, including the following:</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40"/>
          </w:cols>
          <w:pgMar w:left="220" w:top="129"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1000" w:hanging="252"/>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may limit our flexibility in planning for, or reacting to, changes in our business and the industries in which we operate;</w:t>
      </w:r>
    </w:p>
    <w:p>
      <w:pPr>
        <w:spacing w:after="0" w:line="13" w:lineRule="exact"/>
        <w:rPr>
          <w:rFonts w:ascii="Arial" w:cs="Arial" w:eastAsia="Arial" w:hAnsi="Arial"/>
          <w:sz w:val="14"/>
          <w:szCs w:val="14"/>
          <w:color w:val="auto"/>
        </w:rPr>
      </w:pPr>
    </w:p>
    <w:p>
      <w:pPr>
        <w:ind w:left="1000" w:right="280" w:hanging="252"/>
        <w:spacing w:after="0" w:line="246" w:lineRule="auto"/>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1" w:lineRule="exact"/>
        <w:rPr>
          <w:rFonts w:ascii="Arial" w:cs="Arial" w:eastAsia="Arial" w:hAnsi="Arial"/>
          <w:sz w:val="14"/>
          <w:szCs w:val="14"/>
          <w:color w:val="auto"/>
        </w:rPr>
      </w:pPr>
    </w:p>
    <w:p>
      <w:pPr>
        <w:ind w:left="1000" w:hanging="252"/>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may restrict us from making strategic acquisitions or exploiting business opportunities;</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may place us at a competitive disadvantage compared to our competitors that have less debt;</w:t>
      </w:r>
    </w:p>
    <w:p>
      <w:pPr>
        <w:spacing w:after="0" w:line="4" w:lineRule="exact"/>
        <w:rPr>
          <w:rFonts w:ascii="Arial" w:cs="Arial" w:eastAsia="Arial" w:hAnsi="Arial"/>
          <w:sz w:val="14"/>
          <w:szCs w:val="14"/>
          <w:color w:val="auto"/>
        </w:rPr>
      </w:pPr>
    </w:p>
    <w:p>
      <w:pPr>
        <w:ind w:left="1000" w:hanging="252"/>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may limit our ability to borrow additional funds;</w:t>
      </w:r>
    </w:p>
    <w:p>
      <w:pPr>
        <w:spacing w:after="0" w:line="4" w:lineRule="exact"/>
        <w:rPr>
          <w:rFonts w:ascii="Arial" w:cs="Arial" w:eastAsia="Arial" w:hAnsi="Arial"/>
          <w:sz w:val="14"/>
          <w:szCs w:val="14"/>
          <w:color w:val="auto"/>
        </w:rPr>
      </w:pPr>
    </w:p>
    <w:p>
      <w:pPr>
        <w:ind w:left="1000" w:right="200" w:hanging="252"/>
        <w:spacing w:after="0" w:line="246" w:lineRule="auto"/>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may prevent us from raising the funds necessary to repurchase our outstanding Notes (as defined below) tendered to us if there is a change of control, which would constitute a default under the Indenture (as defined below) governing such Notes and under our Credit Agreement; and</w:t>
      </w:r>
    </w:p>
    <w:p>
      <w:pPr>
        <w:spacing w:after="0" w:line="1" w:lineRule="exact"/>
        <w:rPr>
          <w:rFonts w:ascii="Arial" w:cs="Arial" w:eastAsia="Arial" w:hAnsi="Arial"/>
          <w:sz w:val="14"/>
          <w:szCs w:val="14"/>
          <w:color w:val="auto"/>
        </w:rPr>
      </w:pPr>
    </w:p>
    <w:p>
      <w:pPr>
        <w:ind w:left="1000" w:hanging="252"/>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may decrease our ability to compete effectively or operate successfully under adverse economic and industry conditions.</w:t>
      </w:r>
    </w:p>
    <w:p>
      <w:pPr>
        <w:spacing w:after="0" w:line="161" w:lineRule="exact"/>
        <w:rPr>
          <w:sz w:val="20"/>
          <w:szCs w:val="20"/>
          <w:color w:val="auto"/>
        </w:rPr>
      </w:pPr>
    </w:p>
    <w:p>
      <w:pPr>
        <w:ind w:right="60" w:firstLine="497"/>
        <w:spacing w:after="0" w:line="253" w:lineRule="auto"/>
        <w:rPr>
          <w:sz w:val="20"/>
          <w:szCs w:val="20"/>
          <w:color w:val="auto"/>
        </w:rPr>
      </w:pPr>
      <w:r>
        <w:rPr>
          <w:rFonts w:ascii="Arial" w:cs="Arial" w:eastAsia="Arial" w:hAnsi="Arial"/>
          <w:sz w:val="14"/>
          <w:szCs w:val="14"/>
          <w:color w:val="auto"/>
        </w:rPr>
        <w:t>Our high level of indebtedness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49" w:lineRule="exact"/>
        <w:rPr>
          <w:sz w:val="20"/>
          <w:szCs w:val="20"/>
          <w:color w:val="auto"/>
        </w:rPr>
      </w:pPr>
    </w:p>
    <w:p>
      <w:pPr>
        <w:ind w:right="60" w:firstLine="497"/>
        <w:spacing w:after="0" w:line="168" w:lineRule="exact"/>
        <w:rPr>
          <w:sz w:val="20"/>
          <w:szCs w:val="20"/>
          <w:color w:val="auto"/>
        </w:rPr>
      </w:pPr>
      <w:r>
        <w:rPr>
          <w:rFonts w:ascii="Arial" w:cs="Arial" w:eastAsia="Arial" w:hAnsi="Arial"/>
          <w:sz w:val="13"/>
          <w:szCs w:val="13"/>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w:t>
      </w:r>
      <w:r>
        <w:rPr>
          <w:rFonts w:ascii="MS PGothic" w:cs="MS PGothic" w:eastAsia="MS PGothic" w:hAnsi="MS PGothic"/>
          <w:sz w:val="13"/>
          <w:szCs w:val="13"/>
          <w:color w:val="auto"/>
        </w:rPr>
        <w:t>‑</w:t>
      </w:r>
      <w:r>
        <w:rPr>
          <w:rFonts w:ascii="Arial" w:cs="Arial" w:eastAsia="Arial" w:hAnsi="Arial"/>
          <w:sz w:val="13"/>
          <w:szCs w:val="13"/>
          <w:color w:val="auto"/>
        </w:rPr>
        <w:t>acceleration or cross</w:t>
      </w:r>
      <w:r>
        <w:rPr>
          <w:rFonts w:ascii="MS PGothic" w:cs="MS PGothic" w:eastAsia="MS PGothic" w:hAnsi="MS PGothic"/>
          <w:sz w:val="13"/>
          <w:szCs w:val="13"/>
          <w:color w:val="auto"/>
        </w:rPr>
        <w:t>‑</w:t>
      </w:r>
      <w:r>
        <w:rPr>
          <w:rFonts w:ascii="Arial" w:cs="Arial" w:eastAsia="Arial" w:hAnsi="Arial"/>
          <w:sz w:val="13"/>
          <w:szCs w:val="13"/>
          <w:color w:val="auto"/>
        </w:rPr>
        <w:t>default rights between the relevant agreements. In addition,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and our subsidiaries may incur more debt, which may increase the risks associated with our substantial leverage, including our ability to service our indebtedness.</w:t>
      </w:r>
    </w:p>
    <w:p>
      <w:pPr>
        <w:spacing w:after="0" w:line="170" w:lineRule="exact"/>
        <w:rPr>
          <w:sz w:val="20"/>
          <w:szCs w:val="20"/>
          <w:color w:val="auto"/>
        </w:rPr>
      </w:pPr>
    </w:p>
    <w:p>
      <w:pPr>
        <w:ind w:right="200" w:firstLine="497"/>
        <w:spacing w:after="0" w:line="267" w:lineRule="auto"/>
        <w:rPr>
          <w:sz w:val="20"/>
          <w:szCs w:val="20"/>
          <w:color w:val="auto"/>
        </w:rPr>
      </w:pPr>
      <w:r>
        <w:rPr>
          <w:rFonts w:ascii="Arial" w:cs="Arial" w:eastAsia="Arial" w:hAnsi="Arial"/>
          <w:sz w:val="14"/>
          <w:szCs w:val="14"/>
          <w:color w:val="auto"/>
        </w:rPr>
        <w:t>The agreements governing our debt permit us, under some circumstances, to incur certain additional indebtedness or obligations. To the extent that we incur additional indebtedness or such other obligations, the risks associated with our substantial leverage described above, including our possible inability to service our debt, would increase.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credit ratings or macroeconomic conditions may affect our liquidity, increasing borrowing costs and limiting our financing options.</w:t>
      </w:r>
    </w:p>
    <w:p>
      <w:pPr>
        <w:spacing w:after="0" w:line="139" w:lineRule="exact"/>
        <w:rPr>
          <w:sz w:val="20"/>
          <w:szCs w:val="20"/>
          <w:color w:val="auto"/>
        </w:rPr>
      </w:pPr>
    </w:p>
    <w:p>
      <w:pPr>
        <w:ind w:right="100" w:firstLine="497"/>
        <w:spacing w:after="0" w:line="320" w:lineRule="auto"/>
        <w:rPr>
          <w:sz w:val="20"/>
          <w:szCs w:val="20"/>
          <w:color w:val="auto"/>
        </w:rPr>
      </w:pPr>
      <w:r>
        <w:rPr>
          <w:rFonts w:ascii="Arial" w:cs="Arial" w:eastAsia="Arial" w:hAnsi="Arial"/>
          <w:sz w:val="12"/>
          <w:szCs w:val="12"/>
          <w:color w:val="auto"/>
        </w:rPr>
        <w:t>Macroeconomic conditions, such as increased volatility or disruption in the credit markets, could adversely affect our ability to refinance existing debt or obtain additional financing at terms satisfactory to us, thereby affecting our resources to support operations or to fund new initiatives. In addition, if our credit ratings are lowered,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111" w:lineRule="exact"/>
        <w:rPr>
          <w:sz w:val="20"/>
          <w:szCs w:val="20"/>
          <w:color w:val="auto"/>
        </w:rPr>
      </w:pPr>
    </w:p>
    <w:p>
      <w:pPr>
        <w:ind w:right="620"/>
        <w:spacing w:after="0" w:line="267" w:lineRule="auto"/>
        <w:rPr>
          <w:sz w:val="20"/>
          <w:szCs w:val="20"/>
          <w:color w:val="auto"/>
        </w:rPr>
      </w:pPr>
      <w:r>
        <w:rPr>
          <w:rFonts w:ascii="Arial" w:cs="Arial" w:eastAsia="Arial" w:hAnsi="Arial"/>
          <w:sz w:val="14"/>
          <w:szCs w:val="14"/>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39"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color w:val="auto"/>
        </w:rPr>
        <w:t>As of December 25, 2016, approximately 12% of our consolidated assets, based on book value, and 11% of our consolidated revenues for the year ended December 25, 2016, were held by foreign subsidiaries, which do not guarantee the Notes.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34" w:lineRule="exact"/>
        <w:rPr>
          <w:sz w:val="20"/>
          <w:szCs w:val="20"/>
          <w:color w:val="auto"/>
        </w:rPr>
      </w:pPr>
    </w:p>
    <w:p>
      <w:pPr>
        <w:ind w:right="20" w:firstLine="497"/>
        <w:spacing w:after="0" w:line="267" w:lineRule="auto"/>
        <w:rPr>
          <w:sz w:val="20"/>
          <w:szCs w:val="20"/>
          <w:color w:val="auto"/>
        </w:rPr>
      </w:pPr>
      <w:r>
        <w:rPr>
          <w:rFonts w:ascii="Arial" w:cs="Arial" w:eastAsia="Arial" w:hAnsi="Arial"/>
          <w:sz w:val="14"/>
          <w:szCs w:val="14"/>
          <w:color w:val="auto"/>
        </w:rPr>
        <w:t>In general, when an entity in a foreign jurisdiction repatriates cash to the U.S., the amount of such cash is treated as a dividend taxable at current U.S. tax rates. Accordingly, upon the distribution of cash to us from our foreign subsidiaries, we will</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00"/>
          </w:cols>
          <w:pgMar w:left="220" w:top="129" w:right="2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240"/>
        <w:spacing w:after="0" w:line="257" w:lineRule="auto"/>
        <w:rPr>
          <w:sz w:val="20"/>
          <w:szCs w:val="20"/>
          <w:color w:val="auto"/>
        </w:rPr>
      </w:pPr>
      <w:r>
        <w:rPr>
          <w:rFonts w:ascii="Arial" w:cs="Arial" w:eastAsia="Arial" w:hAnsi="Arial"/>
          <w:sz w:val="14"/>
          <w:szCs w:val="14"/>
          <w:color w:val="auto"/>
        </w:rPr>
        <w:t>be subject to U.S. income taxes. Although foreign tax credits may be available to reduce the amount of the additional tax liability, these credits may be limited and only offset the tax paid in the foreign jurisdiction, not the excess of the U.S. tax rate over the foreign tax rate. Therefore, to the extent that we must use cash generated in foreign jurisdictions to make principal or interest payments on our debt, there may be a cost associated with repatriating the cash to the U.S.</w:t>
      </w:r>
    </w:p>
    <w:p>
      <w:pPr>
        <w:spacing w:after="0" w:line="145" w:lineRule="exact"/>
        <w:rPr>
          <w:sz w:val="20"/>
          <w:szCs w:val="20"/>
          <w:color w:val="auto"/>
        </w:rPr>
      </w:pPr>
    </w:p>
    <w:p>
      <w:pPr>
        <w:ind w:right="620"/>
        <w:spacing w:after="0" w:line="267" w:lineRule="auto"/>
        <w:rPr>
          <w:sz w:val="20"/>
          <w:szCs w:val="20"/>
          <w:color w:val="auto"/>
        </w:rPr>
      </w:pPr>
      <w:r>
        <w:rPr>
          <w:rFonts w:ascii="Arial" w:cs="Arial" w:eastAsia="Arial" w:hAnsi="Arial"/>
          <w:sz w:val="14"/>
          <w:szCs w:val="14"/>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39" w:lineRule="exact"/>
        <w:rPr>
          <w:sz w:val="20"/>
          <w:szCs w:val="20"/>
          <w:color w:val="auto"/>
        </w:rPr>
      </w:pPr>
    </w:p>
    <w:p>
      <w:pPr>
        <w:ind w:right="240" w:firstLine="497"/>
        <w:spacing w:after="0" w:line="267" w:lineRule="auto"/>
        <w:rPr>
          <w:sz w:val="20"/>
          <w:szCs w:val="20"/>
          <w:color w:val="auto"/>
        </w:rPr>
      </w:pPr>
      <w:r>
        <w:rPr>
          <w:rFonts w:ascii="Arial" w:cs="Arial" w:eastAsia="Arial" w:hAnsi="Arial"/>
          <w:sz w:val="14"/>
          <w:szCs w:val="14"/>
          <w:color w:val="auto"/>
        </w:rPr>
        <w:t>The Indenture and the Credit Agreement subject us, and our subsidiaries, to several financial and other restrictive covenants, including limitations on liens or indebtedness, payment of dividends, transactions with affiliates, and mergers, sales or other dispositions of our assets.</w:t>
      </w:r>
    </w:p>
    <w:p>
      <w:pPr>
        <w:spacing w:after="0" w:line="139"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Our Credit Agreement also requires us to comply with specified financial ratios, including a borrowing base availability and minimum fixed charge coverage ratio which is required to be maintained if borrowing levels, as defined, under the Credit Agreement, occur under the line of credit.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other indebtedness and the acceleration of such indebtedness.</w:t>
      </w:r>
    </w:p>
    <w:p>
      <w:pPr>
        <w:spacing w:after="0" w:line="149" w:lineRule="exact"/>
        <w:rPr>
          <w:sz w:val="20"/>
          <w:szCs w:val="20"/>
          <w:color w:val="auto"/>
        </w:rPr>
      </w:pPr>
    </w:p>
    <w:p>
      <w:pPr>
        <w:ind w:right="40" w:firstLine="497"/>
        <w:spacing w:after="0" w:line="352" w:lineRule="auto"/>
        <w:rPr>
          <w:sz w:val="20"/>
          <w:szCs w:val="20"/>
          <w:color w:val="auto"/>
        </w:rPr>
      </w:pPr>
      <w:r>
        <w:rPr>
          <w:rFonts w:ascii="Arial" w:cs="Arial" w:eastAsia="Arial" w:hAnsi="Arial"/>
          <w:sz w:val="12"/>
          <w:szCs w:val="12"/>
          <w:color w:val="auto"/>
        </w:rPr>
        <w:t>The restrictions contained in the Indenture and in our Credit Agreement could also limit the ability of the Company and its subsidiaries to plan for or react to market conditions, meet capital needs or otherwise restrict their activities or business plans and adversely affect the ability to finance their operations, enter into acquisitions or to engage in other business activities that would be in their interest.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protect our intellectual property rights.</w:t>
      </w:r>
    </w:p>
    <w:p>
      <w:pPr>
        <w:spacing w:after="0" w:line="170" w:lineRule="exact"/>
        <w:rPr>
          <w:sz w:val="20"/>
          <w:szCs w:val="20"/>
          <w:color w:val="auto"/>
        </w:rPr>
      </w:pPr>
    </w:p>
    <w:p>
      <w:pPr>
        <w:ind w:firstLine="497"/>
        <w:spacing w:after="0" w:line="272" w:lineRule="auto"/>
        <w:rPr>
          <w:sz w:val="20"/>
          <w:szCs w:val="20"/>
          <w:color w:val="auto"/>
        </w:rPr>
      </w:pPr>
      <w:r>
        <w:rPr>
          <w:rFonts w:ascii="Arial" w:cs="Arial" w:eastAsia="Arial" w:hAnsi="Arial"/>
          <w:sz w:val="13"/>
          <w:szCs w:val="13"/>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harmed by intellectual property infringement claims.</w:t>
      </w:r>
    </w:p>
    <w:p>
      <w:pPr>
        <w:spacing w:after="0" w:line="170"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Disclosure of trade secrets could cause harm to our business</w:t>
      </w:r>
    </w:p>
    <w:p>
      <w:pPr>
        <w:spacing w:after="0" w:line="170" w:lineRule="exact"/>
        <w:rPr>
          <w:sz w:val="20"/>
          <w:szCs w:val="20"/>
          <w:color w:val="auto"/>
        </w:rPr>
      </w:pPr>
    </w:p>
    <w:p>
      <w:pPr>
        <w:jc w:val="both"/>
        <w:ind w:right="20" w:firstLine="497"/>
        <w:spacing w:after="0" w:line="257" w:lineRule="auto"/>
        <w:rPr>
          <w:sz w:val="20"/>
          <w:szCs w:val="20"/>
          <w:color w:val="auto"/>
        </w:rPr>
      </w:pPr>
      <w:r>
        <w:rPr>
          <w:rFonts w:ascii="Arial" w:cs="Arial" w:eastAsia="Arial" w:hAnsi="Arial"/>
          <w:sz w:val="14"/>
          <w:szCs w:val="14"/>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129" w:right="21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both"/>
        <w:ind w:right="60"/>
        <w:spacing w:after="0" w:line="286" w:lineRule="auto"/>
        <w:rPr>
          <w:sz w:val="20"/>
          <w:szCs w:val="20"/>
          <w:color w:val="auto"/>
        </w:rPr>
      </w:pPr>
      <w:r>
        <w:rPr>
          <w:rFonts w:ascii="Arial" w:cs="Arial" w:eastAsia="Arial" w:hAnsi="Arial"/>
          <w:sz w:val="13"/>
          <w:szCs w:val="13"/>
          <w:color w:val="auto"/>
        </w:rPr>
        <w:t>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Regulatory, Environmental and Legal Issues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failure to comply with complex procurement laws and regulations could cause us to lose business and subject us to a variety of penalties.</w:t>
      </w:r>
    </w:p>
    <w:p>
      <w:pPr>
        <w:spacing w:after="0" w:line="170" w:lineRule="exact"/>
        <w:rPr>
          <w:sz w:val="20"/>
          <w:szCs w:val="20"/>
          <w:color w:val="auto"/>
        </w:rPr>
      </w:pPr>
    </w:p>
    <w:p>
      <w:pPr>
        <w:ind w:right="60" w:firstLine="497"/>
        <w:spacing w:after="0" w:line="271" w:lineRule="auto"/>
        <w:rPr>
          <w:sz w:val="20"/>
          <w:szCs w:val="20"/>
          <w:color w:val="auto"/>
        </w:rPr>
      </w:pPr>
      <w:r>
        <w:rPr>
          <w:rFonts w:ascii="Arial" w:cs="Arial" w:eastAsia="Arial" w:hAnsi="Arial"/>
          <w:sz w:val="13"/>
          <w:szCs w:val="13"/>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 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37"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39" w:lineRule="exact"/>
        <w:rPr>
          <w:sz w:val="20"/>
          <w:szCs w:val="20"/>
          <w:color w:val="auto"/>
        </w:rPr>
      </w:pPr>
    </w:p>
    <w:p>
      <w:pPr>
        <w:ind w:firstLine="497"/>
        <w:spacing w:after="0" w:line="271" w:lineRule="auto"/>
        <w:rPr>
          <w:sz w:val="20"/>
          <w:szCs w:val="20"/>
          <w:color w:val="auto"/>
        </w:rPr>
      </w:pPr>
      <w:r>
        <w:rPr>
          <w:rFonts w:ascii="Arial" w:cs="Arial" w:eastAsia="Arial" w:hAnsi="Arial"/>
          <w:sz w:val="13"/>
          <w:szCs w:val="13"/>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 and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41" w:lineRule="exact"/>
        <w:rPr>
          <w:sz w:val="20"/>
          <w:szCs w:val="20"/>
          <w:color w:val="auto"/>
        </w:rPr>
      </w:pPr>
    </w:p>
    <w:p>
      <w:pPr>
        <w:ind w:firstLine="497"/>
        <w:spacing w:after="0" w:line="271" w:lineRule="auto"/>
        <w:rPr>
          <w:sz w:val="20"/>
          <w:szCs w:val="20"/>
          <w:color w:val="auto"/>
        </w:rPr>
      </w:pPr>
      <w:r>
        <w:rPr>
          <w:rFonts w:ascii="Arial" w:cs="Arial" w:eastAsia="Arial" w:hAnsi="Arial"/>
          <w:sz w:val="13"/>
          <w:szCs w:val="13"/>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41" w:lineRule="exact"/>
        <w:rPr>
          <w:sz w:val="20"/>
          <w:szCs w:val="20"/>
          <w:color w:val="auto"/>
        </w:rPr>
      </w:pPr>
    </w:p>
    <w:p>
      <w:pPr>
        <w:ind w:right="220" w:firstLine="497"/>
        <w:spacing w:after="0" w:line="267" w:lineRule="auto"/>
        <w:rPr>
          <w:sz w:val="20"/>
          <w:szCs w:val="20"/>
          <w:color w:val="auto"/>
        </w:rPr>
      </w:pPr>
      <w:r>
        <w:rPr>
          <w:rFonts w:ascii="Arial" w:cs="Arial" w:eastAsia="Arial" w:hAnsi="Arial"/>
          <w:sz w:val="14"/>
          <w:szCs w:val="14"/>
          <w:color w:val="auto"/>
        </w:rPr>
        <w:t>We have submitted incurred cost claims through 2015. The actual indirect cost audits by the DCAA have been completed for our subsidiaries for fiscal 2010. Although we have recorded contract revenues subsequent to fiscal 2010 based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40"/>
          </w:cols>
          <w:pgMar w:left="220" w:top="129"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680"/>
        <w:spacing w:after="0" w:line="267" w:lineRule="auto"/>
        <w:rPr>
          <w:sz w:val="20"/>
          <w:szCs w:val="20"/>
          <w:color w:val="auto"/>
        </w:rPr>
      </w:pPr>
      <w:r>
        <w:rPr>
          <w:rFonts w:ascii="Arial" w:cs="Arial" w:eastAsia="Arial" w:hAnsi="Arial"/>
          <w:sz w:val="14"/>
          <w:szCs w:val="14"/>
          <w:color w:val="auto"/>
        </w:rPr>
        <w:t>upon costs that we believe will be approved upon final audit or review, we do not know the outcome of any ongoing or future audits or reviews and, if future adjustments exceed our estimates, our profitability would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employees or others acting on our behalf may engage in misconduct or other improper activities, which could cause us to lose contracts.</w:t>
      </w:r>
    </w:p>
    <w:p>
      <w:pPr>
        <w:spacing w:after="0" w:line="170" w:lineRule="exact"/>
        <w:rPr>
          <w:sz w:val="20"/>
          <w:szCs w:val="20"/>
          <w:color w:val="auto"/>
        </w:rPr>
      </w:pPr>
    </w:p>
    <w:p>
      <w:pPr>
        <w:ind w:right="100" w:firstLine="497"/>
        <w:spacing w:after="0" w:line="301" w:lineRule="auto"/>
        <w:rPr>
          <w:sz w:val="20"/>
          <w:szCs w:val="20"/>
          <w:color w:val="auto"/>
        </w:rPr>
      </w:pPr>
      <w:r>
        <w:rPr>
          <w:rFonts w:ascii="Arial" w:cs="Arial" w:eastAsia="Arial" w:hAnsi="Arial"/>
          <w:sz w:val="12"/>
          <w:szCs w:val="12"/>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maintain an effective system of internal controls, we may not be able to accurately report our financial results or prevent fraud.</w:t>
      </w:r>
    </w:p>
    <w:p>
      <w:pPr>
        <w:spacing w:after="0" w:line="170" w:lineRule="exact"/>
        <w:rPr>
          <w:sz w:val="20"/>
          <w:szCs w:val="20"/>
          <w:color w:val="auto"/>
        </w:rPr>
      </w:pPr>
    </w:p>
    <w:p>
      <w:pPr>
        <w:ind w:right="140" w:firstLine="497"/>
        <w:spacing w:after="0" w:line="272" w:lineRule="auto"/>
        <w:rPr>
          <w:sz w:val="20"/>
          <w:szCs w:val="20"/>
          <w:color w:val="auto"/>
        </w:rPr>
      </w:pPr>
      <w:r>
        <w:rPr>
          <w:rFonts w:ascii="Arial" w:cs="Arial" w:eastAsia="Arial" w:hAnsi="Arial"/>
          <w:sz w:val="13"/>
          <w:szCs w:val="13"/>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25, 2016.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39" w:lineRule="exact"/>
        <w:rPr>
          <w:sz w:val="20"/>
          <w:szCs w:val="20"/>
          <w:color w:val="auto"/>
        </w:rPr>
      </w:pPr>
    </w:p>
    <w:p>
      <w:pPr>
        <w:ind w:right="380"/>
        <w:spacing w:after="0" w:line="267" w:lineRule="auto"/>
        <w:rPr>
          <w:sz w:val="20"/>
          <w:szCs w:val="20"/>
          <w:color w:val="auto"/>
        </w:rPr>
      </w:pPr>
      <w:r>
        <w:rPr>
          <w:rFonts w:ascii="Arial" w:cs="Arial" w:eastAsia="Arial" w:hAnsi="Arial"/>
          <w:sz w:val="14"/>
          <w:szCs w:val="14"/>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39" w:lineRule="exact"/>
        <w:rPr>
          <w:sz w:val="20"/>
          <w:szCs w:val="20"/>
          <w:color w:val="auto"/>
        </w:rPr>
      </w:pPr>
    </w:p>
    <w:p>
      <w:pPr>
        <w:ind w:firstLine="497"/>
        <w:spacing w:after="0" w:line="271" w:lineRule="auto"/>
        <w:rPr>
          <w:sz w:val="20"/>
          <w:szCs w:val="20"/>
          <w:color w:val="auto"/>
        </w:rPr>
      </w:pPr>
      <w:r>
        <w:rPr>
          <w:rFonts w:ascii="Arial" w:cs="Arial" w:eastAsia="Arial" w:hAnsi="Arial"/>
          <w:sz w:val="13"/>
          <w:szCs w:val="13"/>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41" w:lineRule="exact"/>
        <w:rPr>
          <w:sz w:val="20"/>
          <w:szCs w:val="20"/>
          <w:color w:val="auto"/>
        </w:rPr>
      </w:pPr>
    </w:p>
    <w:p>
      <w:pPr>
        <w:ind w:firstLine="497"/>
        <w:spacing w:after="0" w:line="274" w:lineRule="auto"/>
        <w:rPr>
          <w:sz w:val="20"/>
          <w:szCs w:val="20"/>
          <w:color w:val="auto"/>
        </w:rPr>
      </w:pPr>
      <w:r>
        <w:rPr>
          <w:rFonts w:ascii="Arial" w:cs="Arial" w:eastAsia="Arial" w:hAnsi="Arial"/>
          <w:sz w:val="13"/>
          <w:szCs w:val="13"/>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129" w:right="2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including personal injury and property damage, and costs resulting from the disposal or release of hazardous substances into the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93" w:lineRule="exact"/>
        <w:rPr>
          <w:sz w:val="20"/>
          <w:szCs w:val="20"/>
          <w:color w:val="auto"/>
        </w:rPr>
      </w:pPr>
    </w:p>
    <w:p>
      <w:pPr>
        <w:ind w:firstLine="497"/>
        <w:spacing w:after="0" w:line="249" w:lineRule="auto"/>
        <w:rPr>
          <w:sz w:val="20"/>
          <w:szCs w:val="20"/>
          <w:color w:val="auto"/>
        </w:rPr>
      </w:pPr>
      <w:r>
        <w:rPr>
          <w:rFonts w:ascii="Arial" w:cs="Arial" w:eastAsia="Arial" w:hAnsi="Arial"/>
          <w:sz w:val="14"/>
          <w:szCs w:val="14"/>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or an adjoining country.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may distract us from operating our business, and adverse judgments or settlements could adversely affect our financial results and operations.</w:t>
      </w:r>
    </w:p>
    <w:p>
      <w:pPr>
        <w:spacing w:after="0" w:line="170" w:lineRule="exact"/>
        <w:rPr>
          <w:sz w:val="20"/>
          <w:szCs w:val="20"/>
          <w:color w:val="auto"/>
        </w:rPr>
      </w:pPr>
    </w:p>
    <w:p>
      <w:pPr>
        <w:ind w:firstLine="497"/>
        <w:spacing w:after="0" w:line="257" w:lineRule="auto"/>
        <w:rPr>
          <w:sz w:val="20"/>
          <w:szCs w:val="20"/>
          <w:color w:val="auto"/>
        </w:rPr>
      </w:pPr>
      <w:r>
        <w:rPr>
          <w:rFonts w:ascii="Arial" w:cs="Arial" w:eastAsia="Arial" w:hAnsi="Arial"/>
          <w:sz w:val="14"/>
          <w:szCs w:val="14"/>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14 of the Notes to Consolidated Financial Statements contained within this Annual Report on Form 10-K for a further discussion of our legal proceedings.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Natural disasters or severe weather conditions could disrupt our business and result in loss of revenue or higher expenses.</w:t>
      </w:r>
    </w:p>
    <w:p>
      <w:pPr>
        <w:spacing w:after="0" w:line="170" w:lineRule="exact"/>
        <w:rPr>
          <w:sz w:val="20"/>
          <w:szCs w:val="20"/>
          <w:color w:val="auto"/>
        </w:rPr>
      </w:pPr>
    </w:p>
    <w:p>
      <w:pPr>
        <w:jc w:val="both"/>
        <w:ind w:right="100" w:firstLine="497"/>
        <w:spacing w:after="0" w:line="286" w:lineRule="auto"/>
        <w:rPr>
          <w:sz w:val="20"/>
          <w:szCs w:val="20"/>
          <w:color w:val="auto"/>
        </w:rPr>
      </w:pPr>
      <w:r>
        <w:rPr>
          <w:rFonts w:ascii="Arial" w:cs="Arial" w:eastAsia="Arial" w:hAnsi="Arial"/>
          <w:sz w:val="13"/>
          <w:szCs w:val="13"/>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contracts with the U.S. Government are classified, which may limit investor insight into portions of our business.</w:t>
      </w:r>
    </w:p>
    <w:p>
      <w:pPr>
        <w:spacing w:after="0" w:line="170" w:lineRule="exact"/>
        <w:rPr>
          <w:sz w:val="20"/>
          <w:szCs w:val="20"/>
          <w:color w:val="auto"/>
        </w:rPr>
      </w:pPr>
    </w:p>
    <w:p>
      <w:pPr>
        <w:ind w:right="140" w:firstLine="497"/>
        <w:spacing w:after="0" w:line="286" w:lineRule="auto"/>
        <w:rPr>
          <w:sz w:val="20"/>
          <w:szCs w:val="20"/>
          <w:color w:val="auto"/>
        </w:rPr>
      </w:pPr>
      <w:r>
        <w:rPr>
          <w:rFonts w:ascii="Arial" w:cs="Arial" w:eastAsia="Arial" w:hAnsi="Arial"/>
          <w:sz w:val="13"/>
          <w:szCs w:val="13"/>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be volatile.</w:t>
      </w:r>
    </w:p>
    <w:p>
      <w:pPr>
        <w:spacing w:after="0" w:line="170" w:lineRule="exact"/>
        <w:rPr>
          <w:sz w:val="20"/>
          <w:szCs w:val="20"/>
          <w:color w:val="auto"/>
        </w:rPr>
      </w:pPr>
    </w:p>
    <w:p>
      <w:pPr>
        <w:ind w:right="20" w:firstLine="497"/>
        <w:spacing w:after="0" w:line="304" w:lineRule="auto"/>
        <w:rPr>
          <w:sz w:val="20"/>
          <w:szCs w:val="20"/>
          <w:color w:val="auto"/>
        </w:rPr>
      </w:pPr>
      <w:r>
        <w:rPr>
          <w:rFonts w:ascii="Arial" w:cs="Arial" w:eastAsia="Arial" w:hAnsi="Arial"/>
          <w:sz w:val="12"/>
          <w:szCs w:val="12"/>
          <w:color w:val="auto"/>
        </w:rPr>
        <w:t>The price of our stock has been in the past, and will continue to be, subject to fluctuations as a result of a number of factors, including: our operating results fail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20" w:top="129"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Your percentage of ownership in us may be diluted in the future.</w:t>
      </w:r>
    </w:p>
    <w:p>
      <w:pPr>
        <w:spacing w:after="0" w:line="129" w:lineRule="exact"/>
        <w:rPr>
          <w:sz w:val="20"/>
          <w:szCs w:val="20"/>
          <w:color w:val="auto"/>
        </w:rPr>
      </w:pPr>
    </w:p>
    <w:p>
      <w:pPr>
        <w:ind w:right="60" w:firstLine="497"/>
        <w:spacing w:after="0" w:line="267" w:lineRule="auto"/>
        <w:rPr>
          <w:sz w:val="20"/>
          <w:szCs w:val="20"/>
          <w:color w:val="auto"/>
        </w:rPr>
      </w:pPr>
      <w:r>
        <w:rPr>
          <w:rFonts w:ascii="Arial" w:cs="Arial" w:eastAsia="Arial" w:hAnsi="Arial"/>
          <w:sz w:val="14"/>
          <w:szCs w:val="14"/>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139"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39" w:lineRule="exact"/>
        <w:rPr>
          <w:sz w:val="20"/>
          <w:szCs w:val="20"/>
          <w:color w:val="auto"/>
        </w:rPr>
      </w:pPr>
    </w:p>
    <w:p>
      <w:pPr>
        <w:ind w:right="180" w:firstLine="497"/>
        <w:spacing w:after="0" w:line="257" w:lineRule="auto"/>
        <w:rPr>
          <w:sz w:val="20"/>
          <w:szCs w:val="20"/>
          <w:color w:val="auto"/>
        </w:rPr>
      </w:pPr>
      <w:r>
        <w:rPr>
          <w:rFonts w:ascii="Arial" w:cs="Arial" w:eastAsia="Arial" w:hAnsi="Arial"/>
          <w:sz w:val="14"/>
          <w:szCs w:val="14"/>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66" w:lineRule="exact"/>
        <w:rPr>
          <w:sz w:val="20"/>
          <w:szCs w:val="20"/>
          <w:color w:val="auto"/>
        </w:rPr>
      </w:pPr>
    </w:p>
    <w:p>
      <w:pPr>
        <w:ind w:left="1040" w:hanging="292"/>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inability of our stockholders to call a special meeting;</w:t>
      </w:r>
    </w:p>
    <w:p>
      <w:pPr>
        <w:spacing w:after="0" w:line="35" w:lineRule="exact"/>
        <w:rPr>
          <w:rFonts w:ascii="Arial" w:cs="Arial" w:eastAsia="Arial" w:hAnsi="Arial"/>
          <w:sz w:val="14"/>
          <w:szCs w:val="14"/>
          <w:color w:val="auto"/>
        </w:rPr>
      </w:pPr>
    </w:p>
    <w:p>
      <w:pPr>
        <w:ind w:left="1500" w:right="4520" w:hanging="752"/>
        <w:spacing w:after="0" w:line="270" w:lineRule="auto"/>
        <w:tabs>
          <w:tab w:leader="none" w:pos="1051" w:val="left"/>
        </w:tabs>
        <w:numPr>
          <w:ilvl w:val="0"/>
          <w:numId w:val="16"/>
        </w:numPr>
        <w:rPr>
          <w:rFonts w:ascii="Arial" w:cs="Arial" w:eastAsia="Arial" w:hAnsi="Arial"/>
          <w:sz w:val="14"/>
          <w:szCs w:val="14"/>
          <w:color w:val="auto"/>
        </w:rPr>
      </w:pPr>
      <w:r>
        <w:rPr>
          <w:rFonts w:ascii="Arial" w:cs="Arial" w:eastAsia="Arial" w:hAnsi="Arial"/>
          <w:sz w:val="14"/>
          <w:szCs w:val="14"/>
          <w:color w:val="auto"/>
        </w:rPr>
        <w:t>rules regarding how stockholders may present proposals or nominate directors for election at stockholder meetings;</w:t>
      </w:r>
    </w:p>
    <w:p>
      <w:pPr>
        <w:ind w:left="1040" w:hanging="292"/>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right of our board to issue preferred stock without stockholder approval;</w:t>
      </w:r>
    </w:p>
    <w:p>
      <w:pPr>
        <w:spacing w:after="0" w:line="35" w:lineRule="exact"/>
        <w:rPr>
          <w:rFonts w:ascii="Arial" w:cs="Arial" w:eastAsia="Arial" w:hAnsi="Arial"/>
          <w:sz w:val="14"/>
          <w:szCs w:val="14"/>
          <w:color w:val="auto"/>
        </w:rPr>
      </w:pPr>
    </w:p>
    <w:p>
      <w:pPr>
        <w:ind w:left="1040" w:hanging="292"/>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super-majority requirement to amend our certificate of incorporation or bylaws; and</w:t>
      </w:r>
    </w:p>
    <w:p>
      <w:pPr>
        <w:spacing w:after="0" w:line="35" w:lineRule="exact"/>
        <w:rPr>
          <w:rFonts w:ascii="Arial" w:cs="Arial" w:eastAsia="Arial" w:hAnsi="Arial"/>
          <w:sz w:val="14"/>
          <w:szCs w:val="14"/>
          <w:color w:val="auto"/>
        </w:rPr>
      </w:pPr>
    </w:p>
    <w:p>
      <w:pPr>
        <w:ind w:left="1040" w:hanging="292"/>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ability of our directors, and not stockholders, to fill vacancies on our board of directors.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Delaware law also imposes some restrictions on mergers and other business combinations between us and any holder of 15% or more of our outstanding common stock.</w:t>
      </w:r>
    </w:p>
    <w:p>
      <w:pPr>
        <w:spacing w:after="0" w:line="170" w:lineRule="exact"/>
        <w:rPr>
          <w:sz w:val="20"/>
          <w:szCs w:val="20"/>
          <w:color w:val="auto"/>
        </w:rPr>
      </w:pPr>
    </w:p>
    <w:p>
      <w:pPr>
        <w:ind w:firstLine="497"/>
        <w:spacing w:after="0" w:line="252" w:lineRule="auto"/>
        <w:rPr>
          <w:sz w:val="20"/>
          <w:szCs w:val="20"/>
          <w:color w:val="auto"/>
        </w:rPr>
      </w:pPr>
      <w:r>
        <w:rPr>
          <w:rFonts w:ascii="Arial" w:cs="Arial" w:eastAsia="Arial" w:hAnsi="Arial"/>
          <w:sz w:val="14"/>
          <w:szCs w:val="14"/>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1B. </w:t>
      </w:r>
      <w:r>
        <w:rPr>
          <w:rFonts w:ascii="Arial" w:cs="Arial" w:eastAsia="Arial" w:hAnsi="Arial"/>
          <w:sz w:val="14"/>
          <w:szCs w:val="14"/>
          <w:b w:val="1"/>
          <w:bCs w:val="1"/>
          <w:i w:val="1"/>
          <w:iCs w:val="1"/>
          <w:color w:val="auto"/>
        </w:rPr>
        <w:t>Unresolved Staff Comments.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Properties.</w:t>
      </w:r>
    </w:p>
    <w:p>
      <w:pPr>
        <w:spacing w:after="0" w:line="174" w:lineRule="exact"/>
        <w:rPr>
          <w:sz w:val="20"/>
          <w:szCs w:val="20"/>
          <w:color w:val="auto"/>
        </w:rPr>
      </w:pPr>
    </w:p>
    <w:p>
      <w:pPr>
        <w:ind w:right="180" w:firstLine="497"/>
        <w:spacing w:after="0" w:line="279" w:lineRule="auto"/>
        <w:rPr>
          <w:sz w:val="20"/>
          <w:szCs w:val="20"/>
          <w:color w:val="auto"/>
        </w:rPr>
      </w:pPr>
      <w:r>
        <w:rPr>
          <w:rFonts w:ascii="Arial" w:cs="Arial" w:eastAsia="Arial" w:hAnsi="Arial"/>
          <w:sz w:val="13"/>
          <w:szCs w:val="13"/>
          <w:color w:val="auto"/>
        </w:rPr>
        <w:t>At December 25, 2016, we owned or leased approximately 1.7 million square feet of floor space at 85 separate locations, primarily in the U.S., for manufacturing, warehousing, research and development, administration and various other uses. At December 25, 2016, we leased to third parties 148,267 square feet of our leased facilities, and had vacant floor space of 23,991 square feet.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have major operations at the following locations: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Kratos Government Solutions</w:t>
      </w:r>
      <w:r>
        <w:rPr>
          <w:rFonts w:ascii="Arial" w:cs="Arial" w:eastAsia="Arial" w:hAnsi="Arial"/>
          <w:sz w:val="12"/>
          <w:szCs w:val="12"/>
          <w:color w:val="auto"/>
        </w:rPr>
        <w:t>: Huntsville, AL; San Diego, CA; Colorado Springs, CO; Orlando, FL; Baltimore and Lanham, MD; Dallastown, PA; and Dahlgren, Alexandria and Chantilly, VA.</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Locations outside the U.S. include France, Israel, Norway, and the United Kingdom.</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Unmanned Systems: </w:t>
      </w:r>
      <w:r>
        <w:rPr>
          <w:rFonts w:ascii="Arial" w:cs="Arial" w:eastAsia="Arial" w:hAnsi="Arial"/>
          <w:sz w:val="14"/>
          <w:szCs w:val="14"/>
          <w:color w:val="auto"/>
        </w:rPr>
        <w:t>San Diego and Sacramento, CA; and Fort Walton Beach, FL.</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Public Safety and Security</w:t>
      </w:r>
      <w:r>
        <w:rPr>
          <w:rFonts w:ascii="Arial" w:cs="Arial" w:eastAsia="Arial" w:hAnsi="Arial"/>
          <w:sz w:val="14"/>
          <w:szCs w:val="14"/>
          <w:color w:val="auto"/>
        </w:rPr>
        <w:t>: Fullerton, CA; Newport, DE; Chicago, IL; Indianapolis, IN; Fairlawn, NJ; and Houston, TX.</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Corporate and other locations</w:t>
      </w:r>
      <w:r>
        <w:rPr>
          <w:rFonts w:ascii="Arial" w:cs="Arial" w:eastAsia="Arial" w:hAnsi="Arial"/>
          <w:sz w:val="14"/>
          <w:szCs w:val="14"/>
          <w:color w:val="auto"/>
        </w:rPr>
        <w:t>: San Diego, CA.</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60"/>
          </w:cols>
          <w:pgMar w:left="220" w:top="129" w:right="31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is a summary of our floor space at December 25, 2016: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Square feet (in thousands)</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Owned</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Leased</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Total</w:t>
            </w:r>
          </w:p>
        </w:tc>
      </w:tr>
      <w:tr>
        <w:trPr>
          <w:trHeight w:val="182"/>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Kratos Government Solutions</w:t>
            </w: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449</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1,344</w:t>
            </w:r>
          </w:p>
        </w:tc>
      </w:tr>
      <w:tr>
        <w:trPr>
          <w:trHeight w:val="185"/>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Unmanned Systems</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208</w:t>
            </w:r>
          </w:p>
        </w:tc>
      </w:tr>
      <w:tr>
        <w:trPr>
          <w:trHeight w:val="22"/>
        </w:trPr>
        <w:tc>
          <w:tcPr>
            <w:tcW w:w="8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7"/>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Public Safety and Security</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160</w:t>
            </w:r>
          </w:p>
        </w:tc>
      </w:tr>
      <w:tr>
        <w:trPr>
          <w:trHeight w:val="185"/>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Corporate (includes San Diego operations of KGS, US and PSS segments)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34</w:t>
            </w:r>
          </w:p>
        </w:tc>
      </w:tr>
      <w:tr>
        <w:trPr>
          <w:trHeight w:val="22"/>
        </w:trPr>
        <w:tc>
          <w:tcPr>
            <w:tcW w:w="8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9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469</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1,277</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1,746</w:t>
            </w:r>
          </w:p>
        </w:tc>
      </w:tr>
      <w:tr>
        <w:trPr>
          <w:trHeight w:val="20"/>
        </w:trPr>
        <w:tc>
          <w:tcPr>
            <w:tcW w:w="8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See Note 5 of the Notes to Consolidated Financial Statements contained within this Annual Report on Form 10-K for information regarding commitments under leases.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Legal Proceedings.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See Note 14 of Notes to Consolidated Financial Statements contained within this Annual Report on Form 10-K for a further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i w:val="1"/>
          <w:iCs w:val="1"/>
          <w:color w:val="auto"/>
        </w:rPr>
        <w:t>Mine Safety Disclosures.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b w:val="1"/>
          <w:bCs w:val="1"/>
          <w:i w:val="1"/>
          <w:iCs w:val="1"/>
          <w:color w:val="auto"/>
        </w:rPr>
        <w:t>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common stock is listed on the NASDAQ Global Select Market and is traded under the symbol “KTOS”.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sets forth the high and low intraday sales prices for our common stock for the periods indicated, as reported by NASDAQ:</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1"/>
                <w:szCs w:val="11"/>
                <w:b w:val="1"/>
                <w:bCs w:val="1"/>
                <w:color w:val="auto"/>
              </w:rPr>
              <w:t>High</w:t>
            </w:r>
          </w:p>
        </w:tc>
        <w:tc>
          <w:tcPr>
            <w:tcW w:w="400" w:type="dxa"/>
            <w:vAlign w:val="bottom"/>
          </w:tcPr>
          <w:p>
            <w:pPr>
              <w:spacing w:after="0"/>
              <w:rPr>
                <w:sz w:val="11"/>
                <w:szCs w:val="11"/>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1"/>
                <w:szCs w:val="11"/>
                <w:b w:val="1"/>
                <w:bCs w:val="1"/>
                <w:color w:val="auto"/>
              </w:rPr>
              <w:t>Low</w:t>
            </w:r>
          </w:p>
        </w:tc>
      </w:tr>
      <w:tr>
        <w:trPr>
          <w:trHeight w:val="19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25, 2016:</w:t>
            </w:r>
          </w:p>
        </w:tc>
        <w:tc>
          <w:tcPr>
            <w:tcW w:w="37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85"/>
        </w:trPr>
        <w:tc>
          <w:tcPr>
            <w:tcW w:w="5160" w:type="dxa"/>
            <w:vAlign w:val="bottom"/>
          </w:tcPr>
          <w:p>
            <w:pPr>
              <w:ind w:left="20"/>
              <w:spacing w:after="0"/>
              <w:rPr>
                <w:sz w:val="20"/>
                <w:szCs w:val="20"/>
                <w:color w:val="auto"/>
              </w:rPr>
            </w:pPr>
            <w:r>
              <w:rPr>
                <w:rFonts w:ascii="Arial" w:cs="Arial" w:eastAsia="Arial" w:hAnsi="Arial"/>
                <w:sz w:val="14"/>
                <w:szCs w:val="14"/>
                <w:color w:val="auto"/>
              </w:rPr>
              <w:t>Fourth Quarter</w:t>
            </w:r>
          </w:p>
        </w:tc>
        <w:tc>
          <w:tcPr>
            <w:tcW w:w="37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8.22</w:t>
            </w:r>
          </w:p>
        </w:tc>
        <w:tc>
          <w:tcPr>
            <w:tcW w:w="4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5.23</w:t>
            </w:r>
          </w:p>
        </w:tc>
      </w:tr>
      <w:tr>
        <w:trPr>
          <w:trHeight w:val="22"/>
        </w:trPr>
        <w:tc>
          <w:tcPr>
            <w:tcW w:w="5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Third Quarter</w:t>
            </w:r>
          </w:p>
        </w:tc>
        <w:tc>
          <w:tcPr>
            <w:tcW w:w="37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7.58</w:t>
            </w: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r>
      <w:tr>
        <w:trPr>
          <w:trHeight w:val="185"/>
        </w:trPr>
        <w:tc>
          <w:tcPr>
            <w:tcW w:w="5160" w:type="dxa"/>
            <w:vAlign w:val="bottom"/>
          </w:tcPr>
          <w:p>
            <w:pPr>
              <w:ind w:left="20"/>
              <w:spacing w:after="0"/>
              <w:rPr>
                <w:sz w:val="20"/>
                <w:szCs w:val="20"/>
                <w:color w:val="auto"/>
              </w:rPr>
            </w:pPr>
            <w:r>
              <w:rPr>
                <w:rFonts w:ascii="Arial" w:cs="Arial" w:eastAsia="Arial" w:hAnsi="Arial"/>
                <w:sz w:val="14"/>
                <w:szCs w:val="14"/>
                <w:color w:val="auto"/>
              </w:rPr>
              <w:t>Second Quarter</w:t>
            </w:r>
          </w:p>
        </w:tc>
        <w:tc>
          <w:tcPr>
            <w:tcW w:w="37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5.58</w:t>
            </w:r>
          </w:p>
        </w:tc>
        <w:tc>
          <w:tcPr>
            <w:tcW w:w="4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3.87</w:t>
            </w:r>
          </w:p>
        </w:tc>
      </w:tr>
      <w:tr>
        <w:trPr>
          <w:trHeight w:val="22"/>
        </w:trPr>
        <w:tc>
          <w:tcPr>
            <w:tcW w:w="5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First Quarter</w:t>
            </w:r>
          </w:p>
        </w:tc>
        <w:tc>
          <w:tcPr>
            <w:tcW w:w="37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4.70</w:t>
            </w: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2.80</w:t>
            </w:r>
          </w:p>
        </w:tc>
      </w:tr>
      <w:tr>
        <w:trPr>
          <w:trHeight w:val="185"/>
        </w:trPr>
        <w:tc>
          <w:tcPr>
            <w:tcW w:w="5160" w:type="dxa"/>
            <w:vAlign w:val="bottom"/>
          </w:tcPr>
          <w:p>
            <w:pPr>
              <w:ind w:left="20"/>
              <w:spacing w:after="0"/>
              <w:rPr>
                <w:sz w:val="20"/>
                <w:szCs w:val="20"/>
                <w:color w:val="auto"/>
              </w:rPr>
            </w:pPr>
            <w:r>
              <w:rPr>
                <w:rFonts w:ascii="Arial" w:cs="Arial" w:eastAsia="Arial" w:hAnsi="Arial"/>
                <w:sz w:val="14"/>
                <w:szCs w:val="14"/>
                <w:color w:val="auto"/>
              </w:rPr>
              <w:t>Year Ended December 27, 2015:</w:t>
            </w: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
        </w:trPr>
        <w:tc>
          <w:tcPr>
            <w:tcW w:w="5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Fourth Quarter</w:t>
            </w:r>
          </w:p>
        </w:tc>
        <w:tc>
          <w:tcPr>
            <w:tcW w:w="37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5.38</w:t>
            </w: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3.64</w:t>
            </w:r>
          </w:p>
        </w:tc>
      </w:tr>
      <w:tr>
        <w:trPr>
          <w:trHeight w:val="185"/>
        </w:trPr>
        <w:tc>
          <w:tcPr>
            <w:tcW w:w="5160" w:type="dxa"/>
            <w:vAlign w:val="bottom"/>
          </w:tcPr>
          <w:p>
            <w:pPr>
              <w:ind w:left="20"/>
              <w:spacing w:after="0"/>
              <w:rPr>
                <w:sz w:val="20"/>
                <w:szCs w:val="20"/>
                <w:color w:val="auto"/>
              </w:rPr>
            </w:pPr>
            <w:r>
              <w:rPr>
                <w:rFonts w:ascii="Arial" w:cs="Arial" w:eastAsia="Arial" w:hAnsi="Arial"/>
                <w:sz w:val="14"/>
                <w:szCs w:val="14"/>
                <w:color w:val="auto"/>
              </w:rPr>
              <w:t>Third Quarter</w:t>
            </w:r>
          </w:p>
        </w:tc>
        <w:tc>
          <w:tcPr>
            <w:tcW w:w="37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6.64</w:t>
            </w:r>
          </w:p>
        </w:tc>
        <w:tc>
          <w:tcPr>
            <w:tcW w:w="4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3.82</w:t>
            </w:r>
          </w:p>
        </w:tc>
      </w:tr>
      <w:tr>
        <w:trPr>
          <w:trHeight w:val="22"/>
        </w:trPr>
        <w:tc>
          <w:tcPr>
            <w:tcW w:w="5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Second Quarter</w:t>
            </w:r>
          </w:p>
        </w:tc>
        <w:tc>
          <w:tcPr>
            <w:tcW w:w="37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7.12</w:t>
            </w: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4.80</w:t>
            </w:r>
          </w:p>
        </w:tc>
      </w:tr>
      <w:tr>
        <w:trPr>
          <w:trHeight w:val="185"/>
        </w:trPr>
        <w:tc>
          <w:tcPr>
            <w:tcW w:w="5160" w:type="dxa"/>
            <w:vAlign w:val="bottom"/>
          </w:tcPr>
          <w:p>
            <w:pPr>
              <w:ind w:left="20"/>
              <w:spacing w:after="0"/>
              <w:rPr>
                <w:sz w:val="20"/>
                <w:szCs w:val="20"/>
                <w:color w:val="auto"/>
              </w:rPr>
            </w:pPr>
            <w:r>
              <w:rPr>
                <w:rFonts w:ascii="Arial" w:cs="Arial" w:eastAsia="Arial" w:hAnsi="Arial"/>
                <w:sz w:val="14"/>
                <w:szCs w:val="14"/>
                <w:color w:val="auto"/>
              </w:rPr>
              <w:t>First Quarter</w:t>
            </w:r>
          </w:p>
        </w:tc>
        <w:tc>
          <w:tcPr>
            <w:tcW w:w="37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6.02</w:t>
            </w:r>
          </w:p>
        </w:tc>
        <w:tc>
          <w:tcPr>
            <w:tcW w:w="40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4.76</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Record</w:t>
      </w:r>
    </w:p>
    <w:p>
      <w:pPr>
        <w:spacing w:after="0" w:line="174" w:lineRule="exact"/>
        <w:rPr>
          <w:sz w:val="20"/>
          <w:szCs w:val="20"/>
          <w:color w:val="auto"/>
        </w:rPr>
      </w:pPr>
    </w:p>
    <w:p>
      <w:pPr>
        <w:ind w:right="260" w:firstLine="497"/>
        <w:spacing w:after="0" w:line="267" w:lineRule="auto"/>
        <w:rPr>
          <w:sz w:val="20"/>
          <w:szCs w:val="20"/>
          <w:color w:val="auto"/>
        </w:rPr>
      </w:pPr>
      <w:r>
        <w:rPr>
          <w:rFonts w:ascii="Arial" w:cs="Arial" w:eastAsia="Arial" w:hAnsi="Arial"/>
          <w:sz w:val="14"/>
          <w:szCs w:val="14"/>
          <w:color w:val="auto"/>
        </w:rPr>
        <w:t>On February 24, 2017, the closing sale price of our common stock as reported by the NASDAQ Global Select Market was $8.35 per share. On February 24, 2017, there were 400 shareholders of record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74" w:lineRule="exact"/>
        <w:rPr>
          <w:sz w:val="20"/>
          <w:szCs w:val="20"/>
          <w:color w:val="auto"/>
        </w:rPr>
      </w:pPr>
    </w:p>
    <w:p>
      <w:pPr>
        <w:ind w:right="160" w:firstLine="497"/>
        <w:spacing w:after="0" w:line="267" w:lineRule="auto"/>
        <w:rPr>
          <w:sz w:val="20"/>
          <w:szCs w:val="20"/>
          <w:color w:val="auto"/>
        </w:rPr>
      </w:pPr>
      <w:r>
        <w:rPr>
          <w:rFonts w:ascii="Arial" w:cs="Arial" w:eastAsia="Arial" w:hAnsi="Arial"/>
          <w:sz w:val="14"/>
          <w:szCs w:val="14"/>
          <w:color w:val="auto"/>
        </w:rPr>
        <w:t>We have not declared any cash dividends since becoming a public company. We currently intend to retain any future earnings to finance the growth and development of the business and, therefore, do not anticipate paying any cash dividends 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29" w:right="2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foreseeable future. In addition, our ability to pay dividends is restricted by both the Indenture and the Credit Agreement, each as discussed in the section entitled “Liquidity and Capital Resources” in Item 7 “Management’s Discussion and Analysis of Financial Condition and Results of Operations” and Note 4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40"/>
          </w:cols>
          <w:pgMar w:left="220" w:top="129"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174" w:lineRule="exact"/>
        <w:rPr>
          <w:sz w:val="20"/>
          <w:szCs w:val="20"/>
          <w:color w:val="auto"/>
        </w:rPr>
      </w:pPr>
    </w:p>
    <w:p>
      <w:pPr>
        <w:ind w:right="60" w:firstLine="497"/>
        <w:spacing w:after="0" w:line="257" w:lineRule="auto"/>
        <w:rPr>
          <w:sz w:val="20"/>
          <w:szCs w:val="20"/>
          <w:color w:val="auto"/>
        </w:rPr>
      </w:pPr>
      <w:r>
        <w:rPr>
          <w:rFonts w:ascii="Arial" w:cs="Arial" w:eastAsia="Arial" w:hAnsi="Arial"/>
          <w:sz w:val="14"/>
          <w:szCs w:val="14"/>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45" w:lineRule="exact"/>
        <w:rPr>
          <w:sz w:val="20"/>
          <w:szCs w:val="20"/>
          <w:color w:val="auto"/>
        </w:rPr>
      </w:pPr>
    </w:p>
    <w:p>
      <w:pPr>
        <w:ind w:firstLine="497"/>
        <w:spacing w:after="0" w:line="279" w:lineRule="auto"/>
        <w:rPr>
          <w:sz w:val="20"/>
          <w:szCs w:val="20"/>
          <w:color w:val="auto"/>
        </w:rPr>
      </w:pPr>
      <w:r>
        <w:rPr>
          <w:rFonts w:ascii="Arial" w:cs="Arial" w:eastAsia="Arial" w:hAnsi="Arial"/>
          <w:sz w:val="13"/>
          <w:szCs w:val="13"/>
          <w:color w:val="auto"/>
        </w:rPr>
        <w:t>The following performance graph presents a comparison of the five year cumulative stockholder return on our common stock against the cumulative total return of a broad equity market index, the Russell 2000 Stock Index, and two customized peer groups consisting of the companies listed below, for the period commencing December 25, 2011 and ending December 25, 2016. The performance graph assumes an initial investment of $100 in our common stock and in each of the Russell 2000 Stock Index and the peer groups, and further assumes that all dividends were reinvested and all returns are market-cap weighted. The historical information set forth below is not necessarily indicative of future stock price performance.</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COMPARISON OF 5 YEAR CUMULATIVE TOTAL RETURN*</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Among Kratos Defense &amp; Security Solutions, Inc. the Russell 2000 Index,</w:t>
      </w:r>
    </w:p>
    <w:p>
      <w:pPr>
        <w:jc w:val="center"/>
        <w:ind w:right="-59"/>
        <w:spacing w:after="0"/>
        <w:rPr>
          <w:sz w:val="20"/>
          <w:szCs w:val="20"/>
          <w:color w:val="auto"/>
        </w:rPr>
      </w:pPr>
      <w:r>
        <w:rPr>
          <w:rFonts w:ascii="Arial" w:cs="Arial" w:eastAsia="Arial" w:hAnsi="Arial"/>
          <w:sz w:val="10"/>
          <w:szCs w:val="10"/>
          <w:color w:val="auto"/>
        </w:rPr>
        <w:t>Old Peer Group (1), and New Peer Group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8890</wp:posOffset>
            </wp:positionV>
            <wp:extent cx="3945255" cy="2630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5255" cy="263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60"/>
        <w:spacing w:after="0"/>
        <w:rPr>
          <w:sz w:val="20"/>
          <w:szCs w:val="20"/>
          <w:color w:val="auto"/>
        </w:rPr>
      </w:pPr>
      <w:r>
        <w:rPr>
          <w:rFonts w:ascii="Arial" w:cs="Arial" w:eastAsia="Arial" w:hAnsi="Arial"/>
          <w:sz w:val="11"/>
          <w:szCs w:val="11"/>
          <w:color w:val="auto"/>
        </w:rPr>
        <w:t>*$100 invested on 12/31/11 in stock or index, including reinvestment of dividends.</w:t>
      </w:r>
    </w:p>
    <w:p>
      <w:pPr>
        <w:ind w:left="2660"/>
        <w:spacing w:after="0"/>
        <w:rPr>
          <w:sz w:val="20"/>
          <w:szCs w:val="20"/>
          <w:color w:val="auto"/>
        </w:rPr>
      </w:pPr>
      <w:r>
        <w:rPr>
          <w:rFonts w:ascii="Arial" w:cs="Arial" w:eastAsia="Arial" w:hAnsi="Arial"/>
          <w:sz w:val="11"/>
          <w:szCs w:val="11"/>
          <w:color w:val="auto"/>
        </w:rPr>
        <w:t>Fiscal year ending December 31.</w:t>
      </w:r>
    </w:p>
    <w:p>
      <w:pPr>
        <w:spacing w:after="0" w:line="200" w:lineRule="exact"/>
        <w:rPr>
          <w:sz w:val="20"/>
          <w:szCs w:val="20"/>
          <w:color w:val="auto"/>
        </w:rPr>
      </w:pPr>
    </w:p>
    <w:p>
      <w:pPr>
        <w:spacing w:after="0" w:line="218" w:lineRule="exact"/>
        <w:rPr>
          <w:sz w:val="20"/>
          <w:szCs w:val="20"/>
          <w:color w:val="auto"/>
        </w:rPr>
      </w:pPr>
    </w:p>
    <w:p>
      <w:pPr>
        <w:ind w:left="260" w:right="260" w:hanging="257"/>
        <w:spacing w:after="0" w:line="320" w:lineRule="auto"/>
        <w:tabs>
          <w:tab w:leader="none" w:pos="2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companies included in the Company’s Old Peer Group are: AAR Corp., AeroVironment Inc., Arotech Corp., Comtech Telecommunications Corp., CPI Aerostructures Inc., Ducommun Inc., Frequency Electronics Inc., iRobot Corp., and Sparton Corp. American Science &amp; Engineering Inc. and API Technologies Corp., each of which were included in the peer group used in preparing the Performance Graph contained in the Company’s 2015 annual report on Form 10-K, have been excluded because full year standalone performance is not available for such companies through 2016.</w:t>
      </w:r>
    </w:p>
    <w:p>
      <w:pPr>
        <w:spacing w:after="0" w:line="110" w:lineRule="exact"/>
        <w:rPr>
          <w:rFonts w:ascii="Arial" w:cs="Arial" w:eastAsia="Arial" w:hAnsi="Arial"/>
          <w:sz w:val="12"/>
          <w:szCs w:val="12"/>
          <w:color w:val="auto"/>
        </w:rPr>
      </w:pPr>
    </w:p>
    <w:p>
      <w:pPr>
        <w:ind w:left="260" w:right="420" w:hanging="257"/>
        <w:spacing w:after="0" w:line="267" w:lineRule="auto"/>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companies included in the Company’s New Peer Group are: AAR Corp., AeroVironment Inc., Arotech Corp., Comtech Telecommunications Corp., CPI Aerostructures Inc., Ducommun Inc., Frequency Electronics Inc., and Sparton Corp.</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20" w:top="129"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 Use of Proceeds from Registered Securities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Purchasers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Financial Data.</w:t>
      </w:r>
    </w:p>
    <w:p>
      <w:pPr>
        <w:spacing w:after="0" w:line="174" w:lineRule="exact"/>
        <w:rPr>
          <w:sz w:val="20"/>
          <w:szCs w:val="20"/>
          <w:color w:val="auto"/>
        </w:rPr>
      </w:pPr>
    </w:p>
    <w:p>
      <w:pPr>
        <w:ind w:right="220" w:firstLine="497"/>
        <w:spacing w:after="0" w:line="352" w:lineRule="auto"/>
        <w:rPr>
          <w:sz w:val="20"/>
          <w:szCs w:val="20"/>
          <w:color w:val="auto"/>
        </w:rPr>
      </w:pPr>
      <w:r>
        <w:rPr>
          <w:rFonts w:ascii="Arial" w:cs="Arial" w:eastAsia="Arial" w:hAnsi="Arial"/>
          <w:sz w:val="12"/>
          <w:szCs w:val="12"/>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Amounts in millions except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December 25,</w:t>
            </w:r>
          </w:p>
        </w:tc>
        <w:tc>
          <w:tcPr>
            <w:tcW w:w="22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December 27,</w:t>
            </w:r>
          </w:p>
        </w:tc>
        <w:tc>
          <w:tcPr>
            <w:tcW w:w="22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December 28,</w:t>
            </w:r>
          </w:p>
        </w:tc>
        <w:tc>
          <w:tcPr>
            <w:tcW w:w="22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December 29,</w:t>
            </w:r>
          </w:p>
        </w:tc>
        <w:tc>
          <w:tcPr>
            <w:tcW w:w="220" w:type="dxa"/>
            <w:vAlign w:val="bottom"/>
          </w:tcPr>
          <w:p>
            <w:pPr>
              <w:spacing w:after="0"/>
              <w:rPr>
                <w:sz w:val="10"/>
                <w:szCs w:val="10"/>
                <w:color w:val="auto"/>
              </w:rPr>
            </w:pPr>
          </w:p>
        </w:tc>
        <w:tc>
          <w:tcPr>
            <w:tcW w:w="1140" w:type="dxa"/>
            <w:vAlign w:val="bottom"/>
          </w:tcPr>
          <w:p>
            <w:pPr>
              <w:jc w:val="center"/>
              <w:ind w:right="159"/>
              <w:spacing w:after="0"/>
              <w:rPr>
                <w:sz w:val="20"/>
                <w:szCs w:val="20"/>
                <w:color w:val="auto"/>
              </w:rPr>
            </w:pPr>
            <w:r>
              <w:rPr>
                <w:rFonts w:ascii="Arial" w:cs="Arial" w:eastAsia="Arial" w:hAnsi="Arial"/>
                <w:sz w:val="11"/>
                <w:szCs w:val="11"/>
                <w:b w:val="1"/>
                <w:bCs w:val="1"/>
                <w:color w:val="auto"/>
                <w:w w:val="89"/>
              </w:rPr>
              <w:t>December 30,</w:t>
            </w:r>
          </w:p>
        </w:tc>
      </w:tr>
      <w:tr>
        <w:trPr>
          <w:trHeight w:val="152"/>
        </w:trPr>
        <w:tc>
          <w:tcPr>
            <w:tcW w:w="4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89"/>
              </w:rPr>
              <w:t>2016</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1"/>
                <w:szCs w:val="11"/>
                <w:b w:val="1"/>
                <w:bCs w:val="1"/>
                <w:color w:val="auto"/>
                <w:w w:val="97"/>
              </w:rPr>
              <w:t>2015</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1"/>
                <w:szCs w:val="11"/>
                <w:b w:val="1"/>
                <w:bCs w:val="1"/>
                <w:color w:val="auto"/>
                <w:w w:val="89"/>
              </w:rPr>
              <w:t>2014</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1"/>
                <w:szCs w:val="11"/>
                <w:b w:val="1"/>
                <w:bCs w:val="1"/>
                <w:color w:val="auto"/>
                <w:w w:val="89"/>
              </w:rPr>
              <w:t>2012</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Consolidated Statements of Operations Data:</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rPr>
              <w:t>668.7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657.1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763.0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844.1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849.6</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220" w:type="dxa"/>
            <w:vAlign w:val="bottom"/>
          </w:tcPr>
          <w:p>
            <w:pPr>
              <w:spacing w:after="0"/>
              <w:rPr>
                <w:sz w:val="15"/>
                <w:szCs w:val="15"/>
                <w:color w:val="auto"/>
              </w:rPr>
            </w:pPr>
          </w:p>
        </w:tc>
        <w:tc>
          <w:tcPr>
            <w:tcW w:w="1180" w:type="dxa"/>
            <w:vAlign w:val="bottom"/>
          </w:tcPr>
          <w:p>
            <w:pPr>
              <w:jc w:val="right"/>
              <w:ind w:right="79"/>
              <w:spacing w:after="0"/>
              <w:rPr>
                <w:sz w:val="20"/>
                <w:szCs w:val="20"/>
                <w:color w:val="auto"/>
              </w:rPr>
            </w:pPr>
            <w:r>
              <w:rPr>
                <w:rFonts w:ascii="Arial" w:cs="Arial" w:eastAsia="Arial" w:hAnsi="Arial"/>
                <w:sz w:val="12"/>
                <w:szCs w:val="12"/>
                <w:color w:val="auto"/>
              </w:rPr>
              <w:t>153.6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9"/>
              <w:spacing w:after="0"/>
              <w:rPr>
                <w:sz w:val="20"/>
                <w:szCs w:val="20"/>
                <w:color w:val="auto"/>
              </w:rPr>
            </w:pPr>
            <w:r>
              <w:rPr>
                <w:rFonts w:ascii="Arial" w:cs="Arial" w:eastAsia="Arial" w:hAnsi="Arial"/>
                <w:sz w:val="12"/>
                <w:szCs w:val="12"/>
                <w:color w:val="auto"/>
              </w:rPr>
              <w:t>161.8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179.4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204.5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212.6</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(18.6)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18.2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(69.9)</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Provision (benefit) for income taxes</w:t>
            </w:r>
          </w:p>
        </w:tc>
        <w:tc>
          <w:tcPr>
            <w:tcW w:w="220" w:type="dxa"/>
            <w:vAlign w:val="bottom"/>
          </w:tcPr>
          <w:p>
            <w:pPr>
              <w:spacing w:after="0"/>
              <w:rPr>
                <w:sz w:val="15"/>
                <w:szCs w:val="15"/>
                <w:color w:val="auto"/>
              </w:rPr>
            </w:pPr>
          </w:p>
        </w:tc>
        <w:tc>
          <w:tcPr>
            <w:tcW w:w="1180" w:type="dxa"/>
            <w:vAlign w:val="bottom"/>
          </w:tcPr>
          <w:p>
            <w:pPr>
              <w:jc w:val="right"/>
              <w:ind w:right="79"/>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Loss from continuing operations</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(60.4)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(115.3)</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Income (loss) from discontinued operations</w:t>
            </w:r>
          </w:p>
        </w:tc>
        <w:tc>
          <w:tcPr>
            <w:tcW w:w="220" w:type="dxa"/>
            <w:vAlign w:val="bottom"/>
          </w:tcPr>
          <w:p>
            <w:pPr>
              <w:spacing w:after="0"/>
              <w:rPr>
                <w:sz w:val="15"/>
                <w:szCs w:val="15"/>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9"/>
              <w:spacing w:after="0"/>
              <w:rPr>
                <w:sz w:val="20"/>
                <w:szCs w:val="20"/>
                <w:color w:val="auto"/>
              </w:rPr>
            </w:pPr>
            <w:r>
              <w:rPr>
                <w:rFonts w:ascii="Arial" w:cs="Arial" w:eastAsia="Arial" w:hAnsi="Arial"/>
                <w:sz w:val="12"/>
                <w:szCs w:val="12"/>
                <w:color w:val="auto"/>
              </w:rPr>
              <w:t>53.0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0.9</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(60.5)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19.8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(78.0)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(114.4)</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Loss from continuing operations per common share: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Basic</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(0.99)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(0.56)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(0.52)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(2.46)</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Diluted</w:t>
            </w: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(0.99)</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(0.56)</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(0.52)</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(2.46)</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(loss) from discontinued operations per common share:</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Basic</w:t>
            </w: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auto"/>
              </w:rPr>
              <w:t>0.90</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(0.04)</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(0.13)</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0.02</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Diluted</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0.90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(0.13)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0.02</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Net income (loss) per common share: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Basic</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(0.99)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0.34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(0.65)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(2.44)</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Diluted</w:t>
            </w: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(0.99)</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2"/>
                <w:szCs w:val="12"/>
                <w:color w:val="auto"/>
              </w:rPr>
              <w:t>0.34</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(1.35)</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(0.65)</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(2.44)</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Weighted average shares:</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Basic</w:t>
            </w:r>
          </w:p>
        </w:tc>
        <w:tc>
          <w:tcPr>
            <w:tcW w:w="220" w:type="dxa"/>
            <w:vAlign w:val="bottom"/>
          </w:tcPr>
          <w:p>
            <w:pPr>
              <w:spacing w:after="0"/>
              <w:rPr>
                <w:sz w:val="15"/>
                <w:szCs w:val="15"/>
                <w:color w:val="auto"/>
              </w:rPr>
            </w:pPr>
          </w:p>
        </w:tc>
        <w:tc>
          <w:tcPr>
            <w:tcW w:w="1180" w:type="dxa"/>
            <w:vAlign w:val="bottom"/>
          </w:tcPr>
          <w:p>
            <w:pPr>
              <w:jc w:val="right"/>
              <w:ind w:right="79"/>
              <w:spacing w:after="0"/>
              <w:rPr>
                <w:sz w:val="20"/>
                <w:szCs w:val="20"/>
                <w:color w:val="auto"/>
              </w:rPr>
            </w:pPr>
            <w:r>
              <w:rPr>
                <w:rFonts w:ascii="Arial" w:cs="Arial" w:eastAsia="Arial" w:hAnsi="Arial"/>
                <w:sz w:val="12"/>
                <w:szCs w:val="12"/>
                <w:color w:val="auto"/>
              </w:rPr>
              <w:t>61.3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9"/>
              <w:spacing w:after="0"/>
              <w:rPr>
                <w:sz w:val="20"/>
                <w:szCs w:val="20"/>
                <w:color w:val="auto"/>
              </w:rPr>
            </w:pPr>
            <w:r>
              <w:rPr>
                <w:rFonts w:ascii="Arial" w:cs="Arial" w:eastAsia="Arial" w:hAnsi="Arial"/>
                <w:sz w:val="12"/>
                <w:szCs w:val="12"/>
                <w:color w:val="auto"/>
              </w:rPr>
              <w:t>58.7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57.6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56.8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46.9</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Diluted</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rPr>
              <w:t>61.3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58.7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57.6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56.8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46.9</w:t>
            </w:r>
          </w:p>
        </w:tc>
      </w:tr>
      <w:tr>
        <w:trPr>
          <w:trHeight w:val="366"/>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December 25,</w:t>
            </w: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December 27,</w:t>
            </w: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December 28,</w:t>
            </w: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December 29,</w:t>
            </w:r>
          </w:p>
        </w:tc>
        <w:tc>
          <w:tcPr>
            <w:tcW w:w="220" w:type="dxa"/>
            <w:vAlign w:val="bottom"/>
          </w:tcPr>
          <w:p>
            <w:pPr>
              <w:spacing w:after="0"/>
              <w:rPr>
                <w:sz w:val="24"/>
                <w:szCs w:val="24"/>
                <w:color w:val="auto"/>
              </w:rPr>
            </w:pPr>
          </w:p>
        </w:tc>
        <w:tc>
          <w:tcPr>
            <w:tcW w:w="1140" w:type="dxa"/>
            <w:vAlign w:val="bottom"/>
          </w:tcPr>
          <w:p>
            <w:pPr>
              <w:jc w:val="center"/>
              <w:ind w:right="159"/>
              <w:spacing w:after="0"/>
              <w:rPr>
                <w:sz w:val="20"/>
                <w:szCs w:val="20"/>
                <w:color w:val="auto"/>
              </w:rPr>
            </w:pPr>
            <w:r>
              <w:rPr>
                <w:rFonts w:ascii="Arial" w:cs="Arial" w:eastAsia="Arial" w:hAnsi="Arial"/>
                <w:sz w:val="11"/>
                <w:szCs w:val="11"/>
                <w:b w:val="1"/>
                <w:bCs w:val="1"/>
                <w:color w:val="auto"/>
                <w:w w:val="89"/>
              </w:rPr>
              <w:t>December 30,</w:t>
            </w:r>
          </w:p>
        </w:tc>
      </w:tr>
      <w:tr>
        <w:trPr>
          <w:trHeight w:val="152"/>
        </w:trPr>
        <w:tc>
          <w:tcPr>
            <w:tcW w:w="4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89"/>
              </w:rPr>
              <w:t>2016</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1"/>
                <w:szCs w:val="11"/>
                <w:b w:val="1"/>
                <w:bCs w:val="1"/>
                <w:color w:val="auto"/>
                <w:w w:val="97"/>
              </w:rPr>
              <w:t>2015</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1"/>
                <w:szCs w:val="11"/>
                <w:b w:val="1"/>
                <w:bCs w:val="1"/>
                <w:color w:val="auto"/>
                <w:w w:val="89"/>
              </w:rPr>
              <w:t>2014</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1"/>
                <w:szCs w:val="11"/>
                <w:b w:val="1"/>
                <w:bCs w:val="1"/>
                <w:color w:val="auto"/>
                <w:w w:val="89"/>
              </w:rPr>
              <w:t>2012</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Consolidated Balance Sheet Data:</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rPr>
              <w:t>69.1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28.5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33.5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54.2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48.4</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Working capital</w:t>
            </w:r>
          </w:p>
        </w:tc>
        <w:tc>
          <w:tcPr>
            <w:tcW w:w="220" w:type="dxa"/>
            <w:vAlign w:val="bottom"/>
          </w:tcPr>
          <w:p>
            <w:pPr>
              <w:spacing w:after="0"/>
              <w:rPr>
                <w:sz w:val="15"/>
                <w:szCs w:val="15"/>
                <w:color w:val="auto"/>
              </w:rPr>
            </w:pPr>
          </w:p>
        </w:tc>
        <w:tc>
          <w:tcPr>
            <w:tcW w:w="1180" w:type="dxa"/>
            <w:vAlign w:val="bottom"/>
          </w:tcPr>
          <w:p>
            <w:pPr>
              <w:jc w:val="right"/>
              <w:ind w:right="79"/>
              <w:spacing w:after="0"/>
              <w:rPr>
                <w:sz w:val="20"/>
                <w:szCs w:val="20"/>
                <w:color w:val="auto"/>
              </w:rPr>
            </w:pPr>
            <w:r>
              <w:rPr>
                <w:rFonts w:ascii="Arial" w:cs="Arial" w:eastAsia="Arial" w:hAnsi="Arial"/>
                <w:sz w:val="12"/>
                <w:szCs w:val="12"/>
                <w:color w:val="auto"/>
              </w:rPr>
              <w:t>176.6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9"/>
              <w:spacing w:after="0"/>
              <w:rPr>
                <w:sz w:val="20"/>
                <w:szCs w:val="20"/>
                <w:color w:val="auto"/>
              </w:rPr>
            </w:pPr>
            <w:r>
              <w:rPr>
                <w:rFonts w:ascii="Arial" w:cs="Arial" w:eastAsia="Arial" w:hAnsi="Arial"/>
                <w:sz w:val="12"/>
                <w:szCs w:val="12"/>
                <w:color w:val="auto"/>
              </w:rPr>
              <w:t>148.0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147.1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174.9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172.0</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rPr>
              <w:t>948.6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903.3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1,131.2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1,201.6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1,264.7</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Short-term debt</w:t>
            </w:r>
          </w:p>
        </w:tc>
        <w:tc>
          <w:tcPr>
            <w:tcW w:w="220" w:type="dxa"/>
            <w:vAlign w:val="bottom"/>
          </w:tcPr>
          <w:p>
            <w:pPr>
              <w:spacing w:after="0"/>
              <w:rPr>
                <w:sz w:val="15"/>
                <w:szCs w:val="15"/>
                <w:color w:val="auto"/>
              </w:rPr>
            </w:pPr>
          </w:p>
        </w:tc>
        <w:tc>
          <w:tcPr>
            <w:tcW w:w="1180" w:type="dxa"/>
            <w:vAlign w:val="bottom"/>
          </w:tcPr>
          <w:p>
            <w:pPr>
              <w:jc w:val="right"/>
              <w:ind w:right="79"/>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59"/>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1.5</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Long-term debt</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rPr>
              <w:t>431.0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444.1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655.4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613.9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610.8</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Long-term debt premium</w:t>
            </w:r>
          </w:p>
        </w:tc>
        <w:tc>
          <w:tcPr>
            <w:tcW w:w="22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2"/>
                <w:szCs w:val="12"/>
                <w:color w:val="auto"/>
              </w:rPr>
              <w:t>18.7</w:t>
            </w:r>
          </w:p>
        </w:tc>
      </w:tr>
      <w:tr>
        <w:trPr>
          <w:trHeight w:val="26"/>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1"/>
        </w:trPr>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stockholders’ equity</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276.4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254.2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224.3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295.8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324.1</w:t>
            </w:r>
          </w:p>
        </w:tc>
      </w:tr>
      <w:tr>
        <w:trPr>
          <w:trHeight w:val="26"/>
        </w:trPr>
        <w:tc>
          <w:tcPr>
            <w:tcW w:w="4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129"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40" w:firstLine="497"/>
        <w:spacing w:after="0" w:line="276" w:lineRule="auto"/>
        <w:rPr>
          <w:sz w:val="20"/>
          <w:szCs w:val="20"/>
          <w:color w:val="auto"/>
        </w:rPr>
      </w:pPr>
      <w:r>
        <w:rPr>
          <w:rFonts w:ascii="Arial" w:cs="Arial" w:eastAsia="Arial" w:hAnsi="Arial"/>
          <w:sz w:val="13"/>
          <w:szCs w:val="13"/>
          <w:color w:val="auto"/>
        </w:rPr>
        <w:t>The 2012 Consolidated Statements of Operations Data and Consolidated Balance Sheet Data were impacted by the acquisition we completed in that period. We incurred acquisition-related expenses of $0.2 million for fiscal 2014, and a benefit of $2.7 million and $3.8 million related to acquisition items for fiscal 2012 and 2013 respectively. In 2012, we incurred an impairment of goodwill and intangible assets of $96.6 million. The 2014 Consolidated Statement of Operations Data includes a loss on extinguishment of debt of $39.1 million related to the refinance of the $625.0 million 10% Senior Secured Notes due in 2017 (the “10% Notes”) with the $625.0 million 7.00% Senior Secured Notes due in 2019 (the “7% Notes”). The 2015 Consolidated Financial Statements Data includes an $80.8 million gain on the disposal of discontinued operations before taxes and a loss of $3.4 million on extinguishment of debt.</w:t>
      </w:r>
    </w:p>
    <w:p>
      <w:pPr>
        <w:spacing w:after="0" w:line="134" w:lineRule="exact"/>
        <w:rPr>
          <w:sz w:val="20"/>
          <w:szCs w:val="20"/>
          <w:color w:val="auto"/>
        </w:rPr>
      </w:pPr>
    </w:p>
    <w:p>
      <w:pPr>
        <w:ind w:firstLine="497"/>
        <w:spacing w:after="0" w:line="271" w:lineRule="auto"/>
        <w:rPr>
          <w:sz w:val="20"/>
          <w:szCs w:val="20"/>
          <w:color w:val="auto"/>
        </w:rPr>
      </w:pPr>
      <w:r>
        <w:rPr>
          <w:rFonts w:ascii="Arial" w:cs="Arial" w:eastAsia="Arial" w:hAnsi="Arial"/>
          <w:sz w:val="13"/>
          <w:szCs w:val="13"/>
          <w:color w:val="auto"/>
        </w:rPr>
        <w:t>The 2012 Consolidated Balance Sheet Data reflects the impact of the issuance of approximately 24.0 million common shares which were used to fund an acquisition. The 2014 Consolidated Balance Sheet Data reflects the refinancing of the $625.0 million 10% Notes with $625.0 million of 7% Notes. The net proceeds of the 7% Notes was $618.5 million after an original issue discount of $6.5 million. The Company utilized the net proceeds from the 7% Notes, a $41.0 million draw on a Credit Agreement, as well as cash from operations to extinguish the 10% Notes. The 2015 Consolidated Balance Sheet Data includes repayment of $41.0 million outstanding on the Company’s $110.0 million Credit Agreement and the repurchase of $175.0 million of the Company's Notes at par. The 2016 Consolidated Balance Sheet Data includes the Company's equity offering of 13.4 million shares of common stock, which generated net proceeds of $76.2 million and the Company's use of $14.1 million of the net proceeds from the offering to buy back and redeem approximately $14.5 million of its Notes. The 2016 Consolidated Statement of Operations Data and Consolidated Balance Sheet Data were impacted by an $18.7 million loss accrual recorded in 2016 on the LCASD cost share contract, which is expected to be incurred by the Company over the period of performance of the contract, and was incurred in order to retain the intellectual property rights for the new LCASD platform.</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74" w:lineRule="exact"/>
        <w:rPr>
          <w:sz w:val="20"/>
          <w:szCs w:val="20"/>
          <w:color w:val="auto"/>
        </w:rPr>
      </w:pPr>
    </w:p>
    <w:p>
      <w:pPr>
        <w:ind w:right="80" w:firstLine="497"/>
        <w:spacing w:after="0" w:line="279" w:lineRule="auto"/>
        <w:rPr>
          <w:sz w:val="20"/>
          <w:szCs w:val="20"/>
          <w:color w:val="auto"/>
        </w:rPr>
      </w:pPr>
      <w:r>
        <w:rPr>
          <w:rFonts w:ascii="Arial" w:cs="Arial" w:eastAsia="Arial" w:hAnsi="Arial"/>
          <w:sz w:val="13"/>
          <w:szCs w:val="13"/>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Arial" w:cs="Arial" w:eastAsia="Arial" w:hAnsi="Arial"/>
          <w:sz w:val="13"/>
          <w:szCs w:val="13"/>
          <w:color w:val="auto"/>
        </w:rPr>
        <w:t>“</w:t>
      </w:r>
      <w:r>
        <w:rPr>
          <w:rFonts w:ascii="Arial" w:cs="Arial" w:eastAsia="Arial" w:hAnsi="Arial"/>
          <w:sz w:val="13"/>
          <w:szCs w:val="13"/>
          <w:i w:val="1"/>
          <w:iCs w:val="1"/>
          <w:color w:val="auto"/>
        </w:rPr>
        <w:t>Risk Factors</w:t>
      </w:r>
      <w:r>
        <w:rPr>
          <w:rFonts w:ascii="Arial" w:cs="Arial" w:eastAsia="Arial" w:hAnsi="Arial"/>
          <w:sz w:val="13"/>
          <w:szCs w:val="13"/>
          <w:color w:val="auto"/>
        </w:rPr>
        <w:t>”</w:t>
      </w:r>
      <w:r>
        <w:rPr>
          <w:rFonts w:ascii="Arial" w:cs="Arial" w:eastAsia="Arial" w:hAnsi="Arial"/>
          <w:sz w:val="13"/>
          <w:szCs w:val="13"/>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33" w:lineRule="exact"/>
        <w:rPr>
          <w:sz w:val="20"/>
          <w:szCs w:val="20"/>
          <w:color w:val="auto"/>
        </w:rPr>
      </w:pPr>
    </w:p>
    <w:p>
      <w:pPr>
        <w:ind w:right="20" w:firstLine="497"/>
        <w:spacing w:after="0" w:line="267" w:lineRule="auto"/>
        <w:rPr>
          <w:sz w:val="20"/>
          <w:szCs w:val="20"/>
          <w:color w:val="auto"/>
        </w:rPr>
      </w:pPr>
      <w:r>
        <w:rPr>
          <w:rFonts w:ascii="Arial" w:cs="Arial" w:eastAsia="Arial" w:hAnsi="Arial"/>
          <w:sz w:val="14"/>
          <w:szCs w:val="14"/>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70" w:lineRule="exact"/>
        <w:rPr>
          <w:sz w:val="20"/>
          <w:szCs w:val="20"/>
          <w:color w:val="auto"/>
        </w:rPr>
      </w:pPr>
    </w:p>
    <w:p>
      <w:pPr>
        <w:ind w:firstLine="497"/>
        <w:spacing w:after="0" w:line="252" w:lineRule="auto"/>
        <w:rPr>
          <w:sz w:val="20"/>
          <w:szCs w:val="20"/>
          <w:color w:val="auto"/>
        </w:rPr>
      </w:pPr>
      <w:r>
        <w:rPr>
          <w:rFonts w:ascii="Arial" w:cs="Arial" w:eastAsia="Arial" w:hAnsi="Arial"/>
          <w:sz w:val="14"/>
          <w:szCs w:val="14"/>
          <w:color w:val="auto"/>
        </w:rPr>
        <w:t>Kratos is a mid-tier government contractor at the forefront of the DoD’s Third Offset Strategy. Kratos is a leading technology, intellectual property and proprietary product and solution company focused on the U.S. and its allies’ national security. Kratos’ primary focus areas are unmanned systems, satellite communications, microwave electronics, cyber security/warfare, missile defense and combat systems. We believe that our technology, intellectual property, proprietary products and designed-in positions on our customers’ platforms and systems is a competitive advantage and high barrier to entry into our markets. Our work force is primarily technically oriented and highly skilled with a significant number holding national security clearances. Our entire organization is focused on executing our strategy of becoming the leading technology and intellectual property based company in our industry.</w:t>
      </w:r>
    </w:p>
    <w:p>
      <w:pPr>
        <w:spacing w:after="0" w:line="149" w:lineRule="exact"/>
        <w:rPr>
          <w:sz w:val="20"/>
          <w:szCs w:val="20"/>
          <w:color w:val="auto"/>
        </w:rPr>
      </w:pPr>
    </w:p>
    <w:p>
      <w:pPr>
        <w:ind w:right="40" w:firstLine="497"/>
        <w:spacing w:after="0" w:line="274" w:lineRule="auto"/>
        <w:rPr>
          <w:sz w:val="20"/>
          <w:szCs w:val="20"/>
          <w:color w:val="auto"/>
        </w:rPr>
      </w:pPr>
      <w:r>
        <w:rPr>
          <w:rFonts w:ascii="Arial" w:cs="Arial" w:eastAsia="Arial" w:hAnsi="Arial"/>
          <w:sz w:val="13"/>
          <w:szCs w:val="13"/>
          <w:color w:val="auto"/>
        </w:rPr>
        <w:t>Our primary end customers are U.S. Government agencies, including the DoD, classified agencies, intelligence agencies, other national security agencies and homeland security related agencies. We also conduct business with local, state and foreign governments and domestic and international commercial customers. In fiscal 2016, 2015 and 2014, we generated 60%, 61% and 57%, respectively, of our total revenues from contracts with the U.S. Government (including all branches of the U.S. military), either as a prime contractor or a subcontractor. We believe our stable customer base, strong customer relationships, intellectual property, specialized and differentiated products, broad array of contract vehicles, “designed in” positions on strategic national security platforms, our targeted investments in strategic growth areas, large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were incorporated in the state of New York on December 19, 1994 and began operations in March 1995. We reincorporated in the state of Delaware in 1998.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129" w:right="21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Industry Background</w:t>
      </w:r>
    </w:p>
    <w:p>
      <w:pPr>
        <w:spacing w:after="0" w:line="170" w:lineRule="exact"/>
        <w:rPr>
          <w:sz w:val="20"/>
          <w:szCs w:val="20"/>
          <w:color w:val="auto"/>
        </w:rPr>
      </w:pPr>
    </w:p>
    <w:p>
      <w:pPr>
        <w:jc w:val="both"/>
        <w:ind w:firstLine="497"/>
        <w:spacing w:after="0" w:line="252" w:lineRule="auto"/>
        <w:rPr>
          <w:sz w:val="20"/>
          <w:szCs w:val="20"/>
          <w:color w:val="auto"/>
        </w:rPr>
      </w:pPr>
      <w:r>
        <w:rPr>
          <w:rFonts w:ascii="Arial" w:cs="Arial" w:eastAsia="Arial" w:hAnsi="Arial"/>
          <w:sz w:val="14"/>
          <w:szCs w:val="14"/>
          <w:color w:val="auto"/>
        </w:rPr>
        <w:t>Faced with significant budget pressures, in recent years the U.S. Government has implemented reductions in government spending, including reductions in appropriations for the DoD and other federal agencies, pursuant to the BCA, as amended by the American Taxpayer Relief Act of 2012 and the Bipartisan Budget Act of 2013. Pursuant to the terms of the BCA, a sequestration went into effect in March 2013 resulting in a 7.8% reduction to the DoD budget for FY 2013 to $495.5 billion, excluding funding for military personnel. The DoD budget was approximately $496.0 billion in FY 2014 and remained at a similar level in FY 2015. The DoD base budget excludes funding for overseas contingency operations, such as those in Afghanistan, Iraq and Syria, which are appropriated separately and are not currently subject to the BCA.</w:t>
      </w:r>
    </w:p>
    <w:p>
      <w:pPr>
        <w:spacing w:after="0" w:line="118"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On November 2, 2015, Barack Obama signed the Bipartisan Budget Act of 2015, formalizing the terms of a two year budget agreement which raised the U.S. debt ceiling and lifted the sequestration spending caps by $80.0 billion. Under the budget agreement, the total federal spending increase over the BCA topline funding caps was $50.0 billion in FY 2016 and $30.0 billion in FY 2017, with the amounts divided equally between defense and domestic priorities. The overall discretionary budget was set at $1.067 trillion in FY 2016 and $1.07 trillion in FY 2017. The FY 2016 discretionary defense budget was $548.1 billion, a $25.0 billion increase over the BCA topline funding caps.</w:t>
      </w:r>
    </w:p>
    <w:p>
      <w:pPr>
        <w:spacing w:after="0" w:line="149" w:lineRule="exact"/>
        <w:rPr>
          <w:sz w:val="20"/>
          <w:szCs w:val="20"/>
          <w:color w:val="auto"/>
        </w:rPr>
      </w:pPr>
    </w:p>
    <w:p>
      <w:pPr>
        <w:ind w:right="340" w:firstLine="497"/>
        <w:spacing w:after="0" w:line="267" w:lineRule="auto"/>
        <w:rPr>
          <w:sz w:val="20"/>
          <w:szCs w:val="20"/>
          <w:color w:val="auto"/>
        </w:rPr>
      </w:pPr>
      <w:r>
        <w:rPr>
          <w:rFonts w:ascii="Arial" w:cs="Arial" w:eastAsia="Arial" w:hAnsi="Arial"/>
          <w:sz w:val="14"/>
          <w:szCs w:val="14"/>
          <w:color w:val="auto"/>
        </w:rPr>
        <w:t>Under the Bipartisan Budget Act of 2015, the Obama Administration received $33.0 billion of the $38.0 billion national defense spending increase it sought in FY 2016. In summary the budget agreement:</w:t>
      </w:r>
    </w:p>
    <w:p>
      <w:pPr>
        <w:spacing w:after="0" w:line="139" w:lineRule="exact"/>
        <w:rPr>
          <w:sz w:val="20"/>
          <w:szCs w:val="20"/>
          <w:color w:val="auto"/>
        </w:rPr>
      </w:pPr>
    </w:p>
    <w:p>
      <w:pPr>
        <w:ind w:left="1000" w:hanging="252"/>
        <w:spacing w:after="0"/>
        <w:tabs>
          <w:tab w:leader="none" w:pos="1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extended the BCA out to 2025;</w:t>
      </w:r>
    </w:p>
    <w:p>
      <w:pPr>
        <w:spacing w:after="0" w:line="13" w:lineRule="exact"/>
        <w:rPr>
          <w:rFonts w:ascii="Arial" w:cs="Arial" w:eastAsia="Arial" w:hAnsi="Arial"/>
          <w:sz w:val="14"/>
          <w:szCs w:val="14"/>
          <w:color w:val="auto"/>
        </w:rPr>
      </w:pPr>
    </w:p>
    <w:p>
      <w:pPr>
        <w:ind w:left="1000" w:hanging="252"/>
        <w:spacing w:after="0"/>
        <w:tabs>
          <w:tab w:leader="none" w:pos="1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suspended the U.S. debt limit/ceiling until March 2017;</w:t>
      </w:r>
    </w:p>
    <w:p>
      <w:pPr>
        <w:spacing w:after="0" w:line="4" w:lineRule="exact"/>
        <w:rPr>
          <w:rFonts w:ascii="Arial" w:cs="Arial" w:eastAsia="Arial" w:hAnsi="Arial"/>
          <w:sz w:val="14"/>
          <w:szCs w:val="14"/>
          <w:color w:val="auto"/>
        </w:rPr>
      </w:pPr>
    </w:p>
    <w:p>
      <w:pPr>
        <w:ind w:left="1000" w:right="120" w:hanging="252"/>
        <w:spacing w:after="0" w:line="246" w:lineRule="auto"/>
        <w:tabs>
          <w:tab w:leader="none" w:pos="1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increased spending caps for FY 2016 and FY 2017 by $80.0 billion, including $50.0 billion in FY 2016 and $30.0 billion in FY 2017, split evenly between defense and domestic priorities; and</w:t>
      </w:r>
    </w:p>
    <w:p>
      <w:pPr>
        <w:spacing w:after="0" w:line="1" w:lineRule="exact"/>
        <w:rPr>
          <w:rFonts w:ascii="Arial" w:cs="Arial" w:eastAsia="Arial" w:hAnsi="Arial"/>
          <w:sz w:val="14"/>
          <w:szCs w:val="14"/>
          <w:color w:val="auto"/>
        </w:rPr>
      </w:pPr>
    </w:p>
    <w:p>
      <w:pPr>
        <w:ind w:left="1000" w:hanging="252"/>
        <w:spacing w:after="0"/>
        <w:tabs>
          <w:tab w:leader="none" w:pos="1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included a FY 2016 DoD base budget of $548.0 billion and a FY 2016 overseas contingency operation budget of $59.0 billion.</w:t>
      </w:r>
    </w:p>
    <w:p>
      <w:pPr>
        <w:spacing w:after="0" w:line="161" w:lineRule="exact"/>
        <w:rPr>
          <w:sz w:val="20"/>
          <w:szCs w:val="20"/>
          <w:color w:val="auto"/>
        </w:rPr>
      </w:pPr>
    </w:p>
    <w:p>
      <w:pPr>
        <w:ind w:right="60" w:firstLine="497"/>
        <w:spacing w:after="0" w:line="257" w:lineRule="auto"/>
        <w:rPr>
          <w:sz w:val="20"/>
          <w:szCs w:val="20"/>
          <w:color w:val="auto"/>
        </w:rPr>
      </w:pPr>
      <w:r>
        <w:rPr>
          <w:rFonts w:ascii="Arial" w:cs="Arial" w:eastAsia="Arial" w:hAnsi="Arial"/>
          <w:sz w:val="14"/>
          <w:szCs w:val="14"/>
          <w:color w:val="auto"/>
        </w:rPr>
        <w:t>On December 18, 2015, Congress passed and Mr. Obama signed the Consolidated Appropriations Act of 2016, which provided funding for the U.S. Government for FY 2016, providing $1.1 trillion in discretionary funding for federal agencies through September 2016. Mr. Obama signed a continuing resolution in September 2016, which was extended in December 2016, and provides funding for the U.S. Government at FY 2016 levels through April 28, 2017.</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Current Reporting Segments</w:t>
      </w:r>
    </w:p>
    <w:p>
      <w:pPr>
        <w:spacing w:after="0" w:line="170" w:lineRule="exact"/>
        <w:rPr>
          <w:sz w:val="20"/>
          <w:szCs w:val="20"/>
          <w:color w:val="auto"/>
        </w:rPr>
      </w:pPr>
    </w:p>
    <w:p>
      <w:pPr>
        <w:ind w:right="20" w:firstLine="497"/>
        <w:spacing w:after="0" w:line="304" w:lineRule="auto"/>
        <w:rPr>
          <w:sz w:val="20"/>
          <w:szCs w:val="20"/>
          <w:color w:val="auto"/>
        </w:rPr>
      </w:pPr>
      <w:r>
        <w:rPr>
          <w:rFonts w:ascii="Arial" w:cs="Arial" w:eastAsia="Arial" w:hAnsi="Arial"/>
          <w:sz w:val="12"/>
          <w:szCs w:val="12"/>
          <w:color w:val="auto"/>
        </w:rPr>
        <w:t>The Company operates in three reportable segments. The KGS reportable segment is comprised of an aggregation of KGS operating segments, including our microwave electronic products, satellite communications, modular systems and rocket support operating segments. The US reportable segment consists of our unmanned aerial system and unmanned ground and seaborne system businesses. The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For additional information regarding our reportable segments, see Note 13 of the Notes to Consolidated Financial Statements. From a customer and solutions perspective, we view our business as an integrated whole, leveraging skills and assets wherever possible.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Discontinued Operations</w:t>
      </w:r>
    </w:p>
    <w:p>
      <w:pPr>
        <w:spacing w:after="0" w:line="174" w:lineRule="exact"/>
        <w:rPr>
          <w:sz w:val="20"/>
          <w:szCs w:val="20"/>
          <w:color w:val="auto"/>
        </w:rPr>
      </w:pPr>
    </w:p>
    <w:p>
      <w:pPr>
        <w:ind w:right="80" w:firstLine="497"/>
        <w:spacing w:after="0" w:line="251" w:lineRule="auto"/>
        <w:rPr>
          <w:sz w:val="20"/>
          <w:szCs w:val="20"/>
          <w:color w:val="auto"/>
        </w:rPr>
      </w:pPr>
      <w:r>
        <w:rPr>
          <w:rFonts w:ascii="Arial" w:cs="Arial" w:eastAsia="Arial" w:hAnsi="Arial"/>
          <w:sz w:val="14"/>
          <w:szCs w:val="14"/>
          <w:color w:val="auto"/>
        </w:rPr>
        <w:t>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Company sold to the Buyer all of the issued and outstanding capital stock of its wholly owned subsidiary Herley Industries, Inc. (“Herley”) and certain of Herley’s subsidiaries, including Herley-CTI, Inc., EW Simulation Technology, Ltd. and Stapor Research, Inc. (collectively, the “Herley Entities”), for $260.0 million and $5.0 million for taxes incurred as part of the Transaction, less a $2.0 million escrow to satisfy any purchase price adjustments and a working capital adjustment of approximately $8.3 million.</w:t>
      </w:r>
    </w:p>
    <w:p>
      <w:pPr>
        <w:spacing w:after="0" w:line="149" w:lineRule="exact"/>
        <w:rPr>
          <w:sz w:val="20"/>
          <w:szCs w:val="20"/>
          <w:color w:val="auto"/>
        </w:rPr>
      </w:pPr>
    </w:p>
    <w:p>
      <w:pPr>
        <w:ind w:right="260" w:firstLine="497"/>
        <w:spacing w:after="0" w:line="306" w:lineRule="auto"/>
        <w:rPr>
          <w:sz w:val="20"/>
          <w:szCs w:val="20"/>
          <w:color w:val="auto"/>
        </w:rPr>
      </w:pPr>
      <w:r>
        <w:rPr>
          <w:rFonts w:ascii="Arial" w:cs="Arial" w:eastAsia="Arial" w:hAnsi="Arial"/>
          <w:sz w:val="13"/>
          <w:szCs w:val="13"/>
          <w:color w:val="auto"/>
        </w:rPr>
        <w:t>In November 2015, the Company and Ultra settled the working capital adjustment at $8.1 million, and the net cash position at closing, resulting in a net payment to the Company of $2.7 million. This represents the payment from escrow to the Company of $2.0 million, as well as the payment from Ultra of $0.7 million, reflecting the difference in the estimated working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129" w:right="2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400"/>
        <w:spacing w:after="0" w:line="352" w:lineRule="auto"/>
        <w:rPr>
          <w:sz w:val="20"/>
          <w:szCs w:val="20"/>
          <w:color w:val="auto"/>
        </w:rPr>
      </w:pPr>
      <w:r>
        <w:rPr>
          <w:rFonts w:ascii="Arial" w:cs="Arial" w:eastAsia="Arial" w:hAnsi="Arial"/>
          <w:sz w:val="12"/>
          <w:szCs w:val="12"/>
          <w:color w:val="auto"/>
        </w:rPr>
        <w:t>capital and actual working capital and the net cash position at the close of the Transaction. In December 2015, the Company submitted to Ultra for reimbursement the maximum $5.0 million for taxes incurred as part of the Transaction, which was reimbursed in January 2016. For additional information regarding discontinued operations, see Note 8 of the Notes to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Financial Statement Concepts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of December 25, 2016, we consider the following factors to be important in understanding our financial statements.</w:t>
      </w:r>
    </w:p>
    <w:p>
      <w:pPr>
        <w:spacing w:after="0" w:line="170" w:lineRule="exact"/>
        <w:rPr>
          <w:sz w:val="20"/>
          <w:szCs w:val="20"/>
          <w:color w:val="auto"/>
        </w:rPr>
      </w:pPr>
    </w:p>
    <w:p>
      <w:pPr>
        <w:ind w:right="20" w:firstLine="497"/>
        <w:spacing w:after="0" w:line="271" w:lineRule="auto"/>
        <w:rPr>
          <w:sz w:val="20"/>
          <w:szCs w:val="20"/>
          <w:color w:val="auto"/>
        </w:rPr>
      </w:pPr>
      <w:r>
        <w:rPr>
          <w:rFonts w:ascii="Arial" w:cs="Arial" w:eastAsia="Arial" w:hAnsi="Arial"/>
          <w:sz w:val="13"/>
          <w:szCs w:val="13"/>
          <w:color w:val="auto"/>
        </w:rPr>
        <w:t xml:space="preserve">KGS’ and US’ business with the U.S. Government and prime contractors is generally performed under fixed-price, cost reimbursable,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segment customers under fixed-price contracts, we utilize both cost-to-cost and units delivered measures under the percentage-of-completion method of accounting in accordance with the provisions of </w:t>
      </w:r>
      <w:r>
        <w:rPr>
          <w:rFonts w:ascii="Arial" w:cs="Arial" w:eastAsia="Arial" w:hAnsi="Arial"/>
          <w:sz w:val="13"/>
          <w:szCs w:val="13"/>
          <w:i w:val="1"/>
          <w:iCs w:val="1"/>
          <w:color w:val="auto"/>
        </w:rPr>
        <w:t>Financial Accounting Standards Board</w:t>
      </w:r>
      <w:r>
        <w:rPr>
          <w:rFonts w:ascii="Arial" w:cs="Arial" w:eastAsia="Arial" w:hAnsi="Arial"/>
          <w:sz w:val="13"/>
          <w:szCs w:val="13"/>
          <w:color w:val="auto"/>
        </w:rPr>
        <w:t xml:space="preserve"> (“FASB”) </w:t>
      </w:r>
      <w:r>
        <w:rPr>
          <w:rFonts w:ascii="Arial" w:cs="Arial" w:eastAsia="Arial" w:hAnsi="Arial"/>
          <w:sz w:val="13"/>
          <w:szCs w:val="13"/>
          <w:i w:val="1"/>
          <w:iCs w:val="1"/>
          <w:color w:val="auto"/>
        </w:rPr>
        <w:t xml:space="preserve">Accounting Standards Codification </w:t>
      </w:r>
      <w:r>
        <w:rPr>
          <w:rFonts w:ascii="Arial" w:cs="Arial" w:eastAsia="Arial" w:hAnsi="Arial"/>
          <w:sz w:val="13"/>
          <w:szCs w:val="13"/>
          <w:color w:val="auto"/>
        </w:rPr>
        <w:t>(“ASC”)</w:t>
      </w:r>
      <w:r>
        <w:rPr>
          <w:rFonts w:ascii="Arial" w:cs="Arial" w:eastAsia="Arial" w:hAnsi="Arial"/>
          <w:sz w:val="13"/>
          <w:szCs w:val="13"/>
          <w:i w:val="1"/>
          <w:iCs w:val="1"/>
          <w:color w:val="auto"/>
        </w:rPr>
        <w:t xml:space="preserve"> Topic 605, Revenue Recognition</w:t>
      </w:r>
      <w:r>
        <w:rPr>
          <w:rFonts w:ascii="Arial" w:cs="Arial" w:eastAsia="Arial" w:hAnsi="Arial"/>
          <w:sz w:val="13"/>
          <w:szCs w:val="13"/>
          <w:color w:val="auto"/>
        </w:rPr>
        <w:t>. Under the units delivered measure of the percentage-of-completion method of accounting, sales are recognized as the units are</w:t>
      </w:r>
      <w:r>
        <w:rPr>
          <w:rFonts w:ascii="Arial" w:cs="Arial" w:eastAsia="Arial" w:hAnsi="Arial"/>
          <w:sz w:val="13"/>
          <w:szCs w:val="13"/>
          <w:i w:val="1"/>
          <w:iCs w:val="1"/>
          <w:color w:val="auto"/>
        </w:rPr>
        <w:t xml:space="preserve"> </w:t>
      </w:r>
      <w:r>
        <w:rPr>
          <w:rFonts w:ascii="Arial" w:cs="Arial" w:eastAsia="Arial" w:hAnsi="Arial"/>
          <w:sz w:val="13"/>
          <w:szCs w:val="13"/>
          <w:color w:val="auto"/>
        </w:rPr>
        <w:t>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37" w:lineRule="exact"/>
        <w:rPr>
          <w:sz w:val="20"/>
          <w:szCs w:val="20"/>
          <w:color w:val="auto"/>
        </w:rPr>
      </w:pPr>
    </w:p>
    <w:p>
      <w:pPr>
        <w:ind w:right="120" w:firstLine="497"/>
        <w:spacing w:after="0" w:line="251" w:lineRule="auto"/>
        <w:rPr>
          <w:sz w:val="20"/>
          <w:szCs w:val="20"/>
          <w:color w:val="auto"/>
        </w:rPr>
      </w:pPr>
      <w:r>
        <w:rPr>
          <w:rFonts w:ascii="Arial" w:cs="Arial" w:eastAsia="Arial" w:hAnsi="Arial"/>
          <w:sz w:val="14"/>
          <w:szCs w:val="14"/>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49" w:lineRule="exact"/>
        <w:rPr>
          <w:sz w:val="20"/>
          <w:szCs w:val="20"/>
          <w:color w:val="auto"/>
        </w:rPr>
      </w:pPr>
    </w:p>
    <w:p>
      <w:pPr>
        <w:ind w:right="140" w:firstLine="497"/>
        <w:spacing w:after="0" w:line="267" w:lineRule="auto"/>
        <w:rPr>
          <w:sz w:val="20"/>
          <w:szCs w:val="20"/>
          <w:color w:val="auto"/>
        </w:rPr>
      </w:pPr>
      <w:r>
        <w:rPr>
          <w:rFonts w:ascii="Arial" w:cs="Arial" w:eastAsia="Arial" w:hAnsi="Arial"/>
          <w:sz w:val="14"/>
          <w:szCs w:val="14"/>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139" w:lineRule="exact"/>
        <w:rPr>
          <w:sz w:val="20"/>
          <w:szCs w:val="20"/>
          <w:color w:val="auto"/>
        </w:rPr>
      </w:pPr>
    </w:p>
    <w:p>
      <w:pPr>
        <w:ind w:firstLine="497"/>
        <w:spacing w:after="0" w:line="271" w:lineRule="auto"/>
        <w:rPr>
          <w:sz w:val="20"/>
          <w:szCs w:val="20"/>
          <w:color w:val="auto"/>
        </w:rPr>
      </w:pPr>
      <w:r>
        <w:rPr>
          <w:rFonts w:ascii="Arial" w:cs="Arial" w:eastAsia="Arial" w:hAnsi="Arial"/>
          <w:sz w:val="13"/>
          <w:szCs w:val="13"/>
          <w:color w:val="auto"/>
        </w:rPr>
        <w:t>We manage and assess the performance of our businesses based on our performance on individual contracts and programs obtained generally from government organizations with consideration given to our Critical Accounting Principles and Estimates discussed below.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129" w:right="2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Results for the Year Ended December 25, 2016 to the Year ended December 27, 2015</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 xml:space="preserve">Revenues. </w:t>
      </w:r>
      <w:r>
        <w:rPr>
          <w:rFonts w:ascii="Arial" w:cs="Arial" w:eastAsia="Arial" w:hAnsi="Arial"/>
          <w:sz w:val="14"/>
          <w:szCs w:val="14"/>
          <w:color w:val="auto"/>
        </w:rPr>
        <w:t>Revenues by reportable segment for the years ended December 25, 2016 and December 27, 2015 are as follows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2016</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92"/>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372"/>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1440" w:type="dxa"/>
            <w:vAlign w:val="bottom"/>
          </w:tcPr>
          <w:p>
            <w:pPr>
              <w:jc w:val="right"/>
              <w:ind w:right="378"/>
              <w:spacing w:after="0"/>
              <w:rPr>
                <w:sz w:val="20"/>
                <w:szCs w:val="20"/>
                <w:color w:val="auto"/>
              </w:rPr>
            </w:pPr>
            <w:r>
              <w:rPr>
                <w:rFonts w:ascii="Arial" w:cs="Arial" w:eastAsia="Arial" w:hAnsi="Arial"/>
                <w:sz w:val="12"/>
                <w:szCs w:val="12"/>
                <w:b w:val="1"/>
                <w:bCs w:val="1"/>
                <w:color w:val="auto"/>
              </w:rPr>
              <w:t>% Change</w:t>
            </w:r>
          </w:p>
        </w:tc>
      </w:tr>
      <w:tr>
        <w:trPr>
          <w:trHeight w:val="26"/>
        </w:trPr>
        <w:tc>
          <w:tcPr>
            <w:tcW w:w="5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Kratos Government Solutions</w:t>
            </w:r>
          </w:p>
        </w:tc>
        <w:tc>
          <w:tcPr>
            <w:tcW w:w="8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5"/>
        </w:trPr>
        <w:tc>
          <w:tcPr>
            <w:tcW w:w="5580" w:type="dxa"/>
            <w:vAlign w:val="bottom"/>
          </w:tcPr>
          <w:p>
            <w:pPr>
              <w:ind w:left="220"/>
              <w:spacing w:after="0"/>
              <w:rPr>
                <w:sz w:val="20"/>
                <w:szCs w:val="20"/>
                <w:color w:val="auto"/>
              </w:rPr>
            </w:pPr>
            <w:r>
              <w:rPr>
                <w:rFonts w:ascii="Arial" w:cs="Arial" w:eastAsia="Arial" w:hAnsi="Arial"/>
                <w:sz w:val="14"/>
                <w:szCs w:val="14"/>
                <w:color w:val="auto"/>
              </w:rPr>
              <w:t>Service revenues</w:t>
            </w:r>
          </w:p>
        </w:tc>
        <w:tc>
          <w:tcPr>
            <w:tcW w:w="880" w:type="dxa"/>
            <w:vAlign w:val="bottom"/>
          </w:tcPr>
          <w:p>
            <w:pPr>
              <w:jc w:val="right"/>
              <w:ind w:right="712"/>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221.0</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209.5</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11.5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5.5 %</w:t>
            </w:r>
          </w:p>
        </w:tc>
      </w:tr>
      <w:tr>
        <w:trPr>
          <w:trHeight w:val="22"/>
        </w:trPr>
        <w:tc>
          <w:tcPr>
            <w:tcW w:w="5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7"/>
        </w:trPr>
        <w:tc>
          <w:tcPr>
            <w:tcW w:w="5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Product sales</w:t>
            </w:r>
          </w:p>
        </w:tc>
        <w:tc>
          <w:tcPr>
            <w:tcW w:w="8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236.6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3.5 %</w:t>
            </w:r>
          </w:p>
        </w:tc>
      </w:tr>
      <w:tr>
        <w:trPr>
          <w:trHeight w:val="175"/>
        </w:trPr>
        <w:tc>
          <w:tcPr>
            <w:tcW w:w="5580" w:type="dxa"/>
            <w:vAlign w:val="bottom"/>
          </w:tcPr>
          <w:p>
            <w:pPr>
              <w:ind w:left="20"/>
              <w:spacing w:after="0"/>
              <w:rPr>
                <w:sz w:val="20"/>
                <w:szCs w:val="20"/>
                <w:color w:val="auto"/>
              </w:rPr>
            </w:pPr>
            <w:r>
              <w:rPr>
                <w:rFonts w:ascii="Arial" w:cs="Arial" w:eastAsia="Arial" w:hAnsi="Arial"/>
                <w:sz w:val="14"/>
                <w:szCs w:val="14"/>
                <w:color w:val="auto"/>
              </w:rPr>
              <w:t>Total Kratos Government Solutions</w:t>
            </w:r>
          </w:p>
        </w:tc>
        <w:tc>
          <w:tcPr>
            <w:tcW w:w="8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465.8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446.1</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19.7</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4.4 %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7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Public Safety &amp; Security - service revenues</w:t>
            </w:r>
          </w:p>
        </w:tc>
        <w:tc>
          <w:tcPr>
            <w:tcW w:w="8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127.1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144.7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(17.6)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185"/>
        </w:trPr>
        <w:tc>
          <w:tcPr>
            <w:tcW w:w="5580" w:type="dxa"/>
            <w:vAlign w:val="bottom"/>
          </w:tcPr>
          <w:p>
            <w:pPr>
              <w:ind w:left="20"/>
              <w:spacing w:after="0"/>
              <w:rPr>
                <w:sz w:val="20"/>
                <w:szCs w:val="20"/>
                <w:color w:val="auto"/>
              </w:rPr>
            </w:pPr>
            <w:r>
              <w:rPr>
                <w:rFonts w:ascii="Arial" w:cs="Arial" w:eastAsia="Arial" w:hAnsi="Arial"/>
                <w:sz w:val="14"/>
                <w:szCs w:val="14"/>
                <w:color w:val="auto"/>
              </w:rPr>
              <w:t>Unmanned Systems - product sales</w:t>
            </w:r>
          </w:p>
        </w:tc>
        <w:tc>
          <w:tcPr>
            <w:tcW w:w="8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9.5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14.3 %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92"/>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revenues</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668.7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657.1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20"/>
        </w:trPr>
        <w:tc>
          <w:tcPr>
            <w:tcW w:w="5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5"/>
        </w:trPr>
        <w:tc>
          <w:tcPr>
            <w:tcW w:w="5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service revenues</w:t>
            </w:r>
          </w:p>
        </w:tc>
        <w:tc>
          <w:tcPr>
            <w:tcW w:w="88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348.1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354.2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5"/>
        </w:trPr>
        <w:tc>
          <w:tcPr>
            <w:tcW w:w="5580" w:type="dxa"/>
            <w:vAlign w:val="bottom"/>
          </w:tcPr>
          <w:p>
            <w:pPr>
              <w:ind w:left="20"/>
              <w:spacing w:after="0"/>
              <w:rPr>
                <w:sz w:val="20"/>
                <w:szCs w:val="20"/>
                <w:color w:val="auto"/>
              </w:rPr>
            </w:pPr>
            <w:r>
              <w:rPr>
                <w:rFonts w:ascii="Arial" w:cs="Arial" w:eastAsia="Arial" w:hAnsi="Arial"/>
                <w:sz w:val="14"/>
                <w:szCs w:val="14"/>
                <w:color w:val="auto"/>
              </w:rPr>
              <w:t>Total product sales</w:t>
            </w:r>
          </w:p>
        </w:tc>
        <w:tc>
          <w:tcPr>
            <w:tcW w:w="8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320.6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302.9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17.7</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5.8 %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92"/>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revenues</w:t>
            </w: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668.7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657.1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20"/>
        </w:trPr>
        <w:tc>
          <w:tcPr>
            <w:tcW w:w="5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55" w:lineRule="exact"/>
        <w:rPr>
          <w:sz w:val="20"/>
          <w:szCs w:val="20"/>
          <w:color w:val="auto"/>
        </w:rPr>
      </w:pPr>
    </w:p>
    <w:p>
      <w:pPr>
        <w:ind w:right="20" w:firstLine="497"/>
        <w:spacing w:after="0" w:line="271" w:lineRule="auto"/>
        <w:rPr>
          <w:sz w:val="20"/>
          <w:szCs w:val="20"/>
          <w:color w:val="auto"/>
        </w:rPr>
      </w:pPr>
      <w:r>
        <w:rPr>
          <w:rFonts w:ascii="Arial" w:cs="Arial" w:eastAsia="Arial" w:hAnsi="Arial"/>
          <w:sz w:val="13"/>
          <w:szCs w:val="13"/>
          <w:color w:val="auto"/>
        </w:rPr>
        <w:t>Revenues increased $11.6 million to $668.7 million in 2016 from $657.1 million in 2015. The increase in revenues was the result of increased revenues of $19.7 million in our KGS segment primarily resulting from increased shipments and work performed in our satellite communications business of approximately $21.1 million, our simulation and training business of approximately $6.7 million and our ballistic missile target businesses of approximately $8.6 million, offset by a reduction in shipments of our specialized ground equipment products resulting primarily from delays in contract awards of $11.8 million and other reductions primarily in our government services business, which includes our weapons reset business, of approximately $4.9 million. Increased revenues of $9.5 million in our US segment resulted from recent contract awards in unmanned combat aerial systems and unmanned aerial target systems as well as an increase in shipments of unmanned aerial target systems. Declines in our PSS segment of $17.6 million were primarily the result of our change in strategic direction in the fourth quarter of 2014 to capture higher margin work and only selectively bid on larger security integration projects that traditionally generate lower margins, coupled with the impact of approximately $4.1 million in unexpected cost growth recorded during 2016 which negatively impacted our revenues. This unexpected cost growth is primarily related to several large long-term security integration projects which are nearing completion in 2017.</w:t>
      </w:r>
    </w:p>
    <w:p>
      <w:pPr>
        <w:spacing w:after="0" w:line="141" w:lineRule="exact"/>
        <w:rPr>
          <w:sz w:val="20"/>
          <w:szCs w:val="20"/>
          <w:color w:val="auto"/>
        </w:rPr>
      </w:pPr>
    </w:p>
    <w:p>
      <w:pPr>
        <w:ind w:right="280" w:firstLine="497"/>
        <w:spacing w:after="0" w:line="296" w:lineRule="auto"/>
        <w:rPr>
          <w:sz w:val="20"/>
          <w:szCs w:val="20"/>
          <w:color w:val="auto"/>
        </w:rPr>
      </w:pPr>
      <w:r>
        <w:rPr>
          <w:rFonts w:ascii="Arial" w:cs="Arial" w:eastAsia="Arial" w:hAnsi="Arial"/>
          <w:sz w:val="12"/>
          <w:szCs w:val="12"/>
          <w:color w:val="auto"/>
        </w:rPr>
        <w:t>Product sales increased $17.7 million to $320.6 million for the year ended December 25, 2016 from $302.9 million for the year ended December 27, 2015, primarily as a result of the increase in product shipments due to the factors discussed above in our KGS and US segments. As a percentage of total revenue, product revenues were 47.9% for the year ended December 25, 2016 as compared to</w:t>
      </w:r>
    </w:p>
    <w:p>
      <w:pPr>
        <w:spacing w:after="0" w:line="250" w:lineRule="auto"/>
        <w:rPr>
          <w:sz w:val="20"/>
          <w:szCs w:val="20"/>
          <w:color w:val="auto"/>
        </w:rPr>
      </w:pPr>
      <w:r>
        <w:rPr>
          <w:rFonts w:ascii="Arial" w:cs="Arial" w:eastAsia="Arial" w:hAnsi="Arial"/>
          <w:sz w:val="14"/>
          <w:szCs w:val="14"/>
          <w:color w:val="auto"/>
        </w:rPr>
        <w:t>46.1% for the year ended December 27, 2015. Service revenues decreased by $6.1 million to $348.1 million for the year ended December 25, 2016 from $354.2 million for the year ended December 27, 2015. The decrease was primarily related to the change in strategic direction and the completion of larger security installation projects in our PSS segment, offset partially by increases in our KGS segment as discussed above.</w:t>
      </w:r>
    </w:p>
    <w:p>
      <w:pPr>
        <w:spacing w:after="0" w:line="150" w:lineRule="exact"/>
        <w:rPr>
          <w:sz w:val="20"/>
          <w:szCs w:val="20"/>
          <w:color w:val="auto"/>
        </w:rPr>
      </w:pPr>
    </w:p>
    <w:p>
      <w:pPr>
        <w:ind w:firstLine="497"/>
        <w:spacing w:after="0" w:line="271" w:lineRule="auto"/>
        <w:rPr>
          <w:sz w:val="20"/>
          <w:szCs w:val="20"/>
          <w:color w:val="auto"/>
        </w:rPr>
      </w:pPr>
      <w:r>
        <w:rPr>
          <w:rFonts w:ascii="Arial" w:cs="Arial" w:eastAsia="Arial" w:hAnsi="Arial"/>
          <w:sz w:val="13"/>
          <w:szCs w:val="13"/>
          <w:color w:val="auto"/>
        </w:rPr>
        <w:t xml:space="preserve">As described in our “Critical Accounting Principles and Estimates” below and in the Notes to Consolidated Financial Statements contained within this Annual Report, we utilize both the cost-to-cost and units delivered measures under the percentage-of-completion method of accounting for recognizing revenue as provided for in </w:t>
      </w:r>
      <w:r>
        <w:rPr>
          <w:rFonts w:ascii="Arial" w:cs="Arial" w:eastAsia="Arial" w:hAnsi="Arial"/>
          <w:sz w:val="13"/>
          <w:szCs w:val="13"/>
          <w:i w:val="1"/>
          <w:iCs w:val="1"/>
          <w:color w:val="auto"/>
        </w:rPr>
        <w:t>Topic 605</w:t>
      </w:r>
      <w:r>
        <w:rPr>
          <w:rFonts w:ascii="Arial" w:cs="Arial" w:eastAsia="Arial" w:hAnsi="Arial"/>
          <w:sz w:val="13"/>
          <w:szCs w:val="13"/>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on certain projects based on the aforementioned factors, but the effect of such adjustments, both positive and negative, when evaluated in total were determined to be immaterial to our Consolidated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129" w:right="2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40" w:firstLine="497"/>
        <w:spacing w:after="0" w:line="252" w:lineRule="auto"/>
        <w:rPr>
          <w:sz w:val="20"/>
          <w:szCs w:val="20"/>
          <w:color w:val="auto"/>
        </w:rPr>
      </w:pPr>
      <w:r>
        <w:rPr>
          <w:rFonts w:ascii="Arial" w:cs="Arial" w:eastAsia="Arial" w:hAnsi="Arial"/>
          <w:sz w:val="14"/>
          <w:szCs w:val="14"/>
          <w:i w:val="1"/>
          <w:iCs w:val="1"/>
          <w:color w:val="auto"/>
        </w:rPr>
        <w:t xml:space="preserve">Cost of revenues. </w:t>
      </w:r>
      <w:r>
        <w:rPr>
          <w:rFonts w:ascii="Arial" w:cs="Arial" w:eastAsia="Arial" w:hAnsi="Arial"/>
          <w:sz w:val="14"/>
          <w:szCs w:val="14"/>
          <w:color w:val="auto"/>
        </w:rPr>
        <w:t>Cost of revenues increased to $515.1 million for the year ended December 25, 2016 from $495.3 million for the year ended December 27, 2015. The $19.8 million increase in cost</w:t>
      </w:r>
      <w:r>
        <w:rPr>
          <w:rFonts w:ascii="Arial" w:cs="Arial" w:eastAsia="Arial" w:hAnsi="Arial"/>
          <w:sz w:val="14"/>
          <w:szCs w:val="14"/>
          <w:i w:val="1"/>
          <w:iCs w:val="1"/>
          <w:color w:val="auto"/>
        </w:rPr>
        <w:t xml:space="preserve"> </w:t>
      </w:r>
      <w:r>
        <w:rPr>
          <w:rFonts w:ascii="Arial" w:cs="Arial" w:eastAsia="Arial" w:hAnsi="Arial"/>
          <w:sz w:val="14"/>
          <w:szCs w:val="14"/>
          <w:color w:val="auto"/>
        </w:rPr>
        <w:t>of revenues was primarily a result of increased revenue discussed above, as well as an $18.7 million loss accrual recorded in 2016 on the LCASD cost share contract, which is expected to be incurred by the Company over the period of performance of the contract, and was incurred in order to retain the intellectual property rights for the new LCASD platform. Cost of revenues was also impacted by approximately $4.1 million in unexpected cost growth on PSS projects recorded during 2016 which negatively impacted our revenues. This unexpected cost growth is primarily related to several large long-term security integration projects which are nearing completion in 2017.</w:t>
      </w:r>
    </w:p>
    <w:p>
      <w:pPr>
        <w:spacing w:after="0" w:line="149" w:lineRule="exact"/>
        <w:rPr>
          <w:sz w:val="20"/>
          <w:szCs w:val="20"/>
          <w:color w:val="auto"/>
        </w:rPr>
      </w:pPr>
    </w:p>
    <w:p>
      <w:pPr>
        <w:ind w:firstLine="497"/>
        <w:spacing w:after="0" w:line="270" w:lineRule="auto"/>
        <w:rPr>
          <w:sz w:val="20"/>
          <w:szCs w:val="20"/>
          <w:color w:val="auto"/>
        </w:rPr>
      </w:pPr>
      <w:r>
        <w:rPr>
          <w:rFonts w:ascii="Arial" w:cs="Arial" w:eastAsia="Arial" w:hAnsi="Arial"/>
          <w:sz w:val="13"/>
          <w:szCs w:val="13"/>
          <w:color w:val="auto"/>
        </w:rPr>
        <w:t>Gross margin percentage decreased to 23.0% for the year ended December 25, 2016 compared to 24.6% for the year ended December 27, 2015. Margins on services increased to 26.5% for the year ended December 25, 2016 from 24.8% for the year ended December 27, 2015, due primarily to a more favorable mix of revenues. Margins on product sales decreased for the year ended December 25, 2016 as compared to December 27, 2015 to 19.1% from 24.5%, respectively, primarily as a result of a change in the mix of products sold. Margins in the KGS segment increased to 26.3% for the year ended December 25, 2016 from 25.4% for the year ended December 27, 2015, primarily as a result of change in the mix of products sold. Margins in the US segment decreased to (2.9)% for the year ended December 25, 2016 from 16.3% for the year ended December 27, 2015, reflecting an $18.7 million loss accrual recorded on the LCASD cost share contract, which is expected to be incurred by the Company over the period of performance of the contract, and was incurred in order to retain the intellectual property rights for the new LCASD platform. Margins in the PSS segment increased slightly to 26.1% for the year ended December 25, 2016 from 26.0% for the year ended December 27, 2015 as a result of a more favorable mix of revenues, resulting from the strategic shift in focus on smaller sized, higher margin projects and only selectively bidding on larger sized lower margin projects, the completion of certain lower margin projects, as well as the impact of cost reduction actions that were taken during the year ended December 25, 2016, offset partially by the impact of approximately $4.1 million in unexpected cost growth recorded during 2016 on several large long-term security integration projects which are nearing completion.</w:t>
      </w:r>
    </w:p>
    <w:p>
      <w:pPr>
        <w:spacing w:after="0" w:line="141" w:lineRule="exact"/>
        <w:rPr>
          <w:sz w:val="20"/>
          <w:szCs w:val="20"/>
          <w:color w:val="auto"/>
        </w:rPr>
      </w:pPr>
    </w:p>
    <w:p>
      <w:pPr>
        <w:ind w:right="80" w:firstLine="497"/>
        <w:spacing w:after="0" w:line="293" w:lineRule="auto"/>
        <w:rPr>
          <w:sz w:val="20"/>
          <w:szCs w:val="20"/>
          <w:color w:val="auto"/>
        </w:rPr>
      </w:pPr>
      <w:r>
        <w:rPr>
          <w:rFonts w:ascii="Arial" w:cs="Arial" w:eastAsia="Arial" w:hAnsi="Arial"/>
          <w:sz w:val="12"/>
          <w:szCs w:val="12"/>
          <w:i w:val="1"/>
          <w:iCs w:val="1"/>
          <w:color w:val="auto"/>
        </w:rPr>
        <w:t xml:space="preserve">Selling, general and administrative expenses (SG&amp;A). </w:t>
      </w:r>
      <w:r>
        <w:rPr>
          <w:rFonts w:ascii="Arial" w:cs="Arial" w:eastAsia="Arial" w:hAnsi="Arial"/>
          <w:sz w:val="12"/>
          <w:szCs w:val="12"/>
          <w:color w:val="auto"/>
        </w:rPr>
        <w:t>SG&amp;A decreased $4.4 million to $146.3 million for the year ended December 25, 2016 from $150.7 million for the year ended December 27,</w:t>
      </w:r>
      <w:r>
        <w:rPr>
          <w:rFonts w:ascii="Arial" w:cs="Arial" w:eastAsia="Arial" w:hAnsi="Arial"/>
          <w:sz w:val="12"/>
          <w:szCs w:val="12"/>
          <w:i w:val="1"/>
          <w:iCs w:val="1"/>
          <w:color w:val="auto"/>
        </w:rPr>
        <w:t xml:space="preserve"> </w:t>
      </w:r>
      <w:r>
        <w:rPr>
          <w:rFonts w:ascii="Arial" w:cs="Arial" w:eastAsia="Arial" w:hAnsi="Arial"/>
          <w:sz w:val="12"/>
          <w:szCs w:val="12"/>
          <w:color w:val="auto"/>
        </w:rPr>
        <w:t>2015. The decrease was primarily the result of a $2.5 million reduction of amortization of intangibles in 2016, as a result of certain intangible assets being fully amortized, as well as cost reduction actions taken by the Company, offset partially by increased discretionary investments to pursue business opportunities in the unmanned tactical aircraft market. As a percentage of revenues, SG&amp;A decreased to</w:t>
      </w:r>
    </w:p>
    <w:p>
      <w:pPr>
        <w:spacing w:after="0" w:line="1" w:lineRule="exact"/>
        <w:rPr>
          <w:sz w:val="20"/>
          <w:szCs w:val="20"/>
          <w:color w:val="auto"/>
        </w:rPr>
      </w:pPr>
    </w:p>
    <w:p>
      <w:pPr>
        <w:ind w:right="120"/>
        <w:spacing w:after="0" w:line="278" w:lineRule="auto"/>
        <w:rPr>
          <w:sz w:val="20"/>
          <w:szCs w:val="20"/>
          <w:color w:val="auto"/>
        </w:rPr>
      </w:pPr>
      <w:r>
        <w:rPr>
          <w:rFonts w:ascii="Arial" w:cs="Arial" w:eastAsia="Arial" w:hAnsi="Arial"/>
          <w:sz w:val="13"/>
          <w:szCs w:val="13"/>
          <w:color w:val="auto"/>
        </w:rPr>
        <w:t>21.9% for fiscal 2016 from 22.9% for fiscal 2015. Excluding amortization of intangibles of $10.5 million for the year ended December 25, 2016 and amortization of intangibles of $13.0 million for the year ended December 27, 2015, SG&amp;A decreased as a percentage of revenues to 20.3% from 21.0% for the year ended December 25, 2016 and December 27, 2015, respectively, due primarily to the cost reduction actions the Company has taken and the increased leverage on the Company’s public company infrastructure costs as revenues expand.</w:t>
      </w:r>
    </w:p>
    <w:p>
      <w:pPr>
        <w:spacing w:after="0" w:line="134" w:lineRule="exact"/>
        <w:rPr>
          <w:sz w:val="20"/>
          <w:szCs w:val="20"/>
          <w:color w:val="auto"/>
        </w:rPr>
      </w:pPr>
    </w:p>
    <w:p>
      <w:pPr>
        <w:ind w:right="60" w:firstLine="497"/>
        <w:spacing w:after="0" w:line="304" w:lineRule="auto"/>
        <w:rPr>
          <w:sz w:val="20"/>
          <w:szCs w:val="20"/>
          <w:color w:val="auto"/>
        </w:rPr>
      </w:pPr>
      <w:r>
        <w:rPr>
          <w:rFonts w:ascii="Arial" w:cs="Arial" w:eastAsia="Arial" w:hAnsi="Arial"/>
          <w:sz w:val="12"/>
          <w:szCs w:val="12"/>
          <w:i w:val="1"/>
          <w:iCs w:val="1"/>
          <w:color w:val="auto"/>
        </w:rPr>
        <w:t xml:space="preserve">Internal research and development (IR&amp;D) expenses. </w:t>
      </w:r>
      <w:r>
        <w:rPr>
          <w:rFonts w:ascii="Arial" w:cs="Arial" w:eastAsia="Arial" w:hAnsi="Arial"/>
          <w:sz w:val="12"/>
          <w:szCs w:val="12"/>
          <w:color w:val="auto"/>
        </w:rPr>
        <w:t>IR&amp;D expenses decreased to $13.9 million for the year ended December 25, 2016 from $16.2 million for the year ended December 27, 2015.</w:t>
      </w:r>
      <w:r>
        <w:rPr>
          <w:rFonts w:ascii="Arial" w:cs="Arial" w:eastAsia="Arial" w:hAnsi="Arial"/>
          <w:sz w:val="12"/>
          <w:szCs w:val="12"/>
          <w:i w:val="1"/>
          <w:iCs w:val="1"/>
          <w:color w:val="auto"/>
        </w:rPr>
        <w:t xml:space="preserve"> </w:t>
      </w:r>
      <w:r>
        <w:rPr>
          <w:rFonts w:ascii="Arial" w:cs="Arial" w:eastAsia="Arial" w:hAnsi="Arial"/>
          <w:sz w:val="12"/>
          <w:szCs w:val="12"/>
          <w:color w:val="auto"/>
        </w:rPr>
        <w:t>As a percentage of revenues, IR&amp;D decreased to 2.1% of revenues for the year ended December 25, 2016 from 2.5% of revenues for the year ended December 27, 2015. IR&amp;D expenditures are primarily related to investments we are making in conjunction with our customers and prospective customers, with the objectives of the Company’s products being the new platform for or “designed in” to certain new long term program opportunities and the Company owning certain intellectual property rights for products that support these programs primarily in our unmanned systems and microwave electronic businesses as well as technology upgrades and refresh activities that are necessary for the next generation of our existing product lines primarily in our satellite communications business.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 xml:space="preserve">Merger and acquisition related items. </w:t>
      </w:r>
      <w:r>
        <w:rPr>
          <w:rFonts w:ascii="Arial" w:cs="Arial" w:eastAsia="Arial" w:hAnsi="Arial"/>
          <w:sz w:val="12"/>
          <w:szCs w:val="12"/>
          <w:color w:val="auto"/>
        </w:rPr>
        <w:t>Merger and acquisition related items increased to $1.9 million for the year ended December 25, 2016 from $0.1 million in the year ended December 27, 2015.</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The increase was primarily as a result of a $1.9 million charge related to the settlement of a contract dispute in our PSS business during the first quarter of 2016.</w:t>
      </w:r>
    </w:p>
    <w:p>
      <w:pPr>
        <w:spacing w:after="0" w:line="161" w:lineRule="exact"/>
        <w:rPr>
          <w:sz w:val="20"/>
          <w:szCs w:val="20"/>
          <w:color w:val="auto"/>
        </w:rPr>
      </w:pPr>
    </w:p>
    <w:p>
      <w:pPr>
        <w:ind w:right="40" w:firstLine="497"/>
        <w:spacing w:after="0" w:line="250" w:lineRule="auto"/>
        <w:rPr>
          <w:sz w:val="20"/>
          <w:szCs w:val="20"/>
          <w:color w:val="auto"/>
        </w:rPr>
      </w:pPr>
      <w:r>
        <w:rPr>
          <w:rFonts w:ascii="Arial" w:cs="Arial" w:eastAsia="Arial" w:hAnsi="Arial"/>
          <w:sz w:val="14"/>
          <w:szCs w:val="14"/>
          <w:i w:val="1"/>
          <w:iCs w:val="1"/>
          <w:color w:val="auto"/>
        </w:rPr>
        <w:t xml:space="preserve">Unused office space and other restructuring. </w:t>
      </w:r>
      <w:r>
        <w:rPr>
          <w:rFonts w:ascii="Arial" w:cs="Arial" w:eastAsia="Arial" w:hAnsi="Arial"/>
          <w:sz w:val="14"/>
          <w:szCs w:val="14"/>
          <w:color w:val="auto"/>
        </w:rPr>
        <w:t>The expense of $10.1 million for the year ended December 25, 2016 was due to a $9.2 million charge that was recorded in the Company’s modular</w:t>
      </w:r>
      <w:r>
        <w:rPr>
          <w:rFonts w:ascii="Arial" w:cs="Arial" w:eastAsia="Arial" w:hAnsi="Arial"/>
          <w:sz w:val="14"/>
          <w:szCs w:val="14"/>
          <w:i w:val="1"/>
          <w:iCs w:val="1"/>
          <w:color w:val="auto"/>
        </w:rPr>
        <w:t xml:space="preserve"> </w:t>
      </w:r>
      <w:r>
        <w:rPr>
          <w:rFonts w:ascii="Arial" w:cs="Arial" w:eastAsia="Arial" w:hAnsi="Arial"/>
          <w:sz w:val="14"/>
          <w:szCs w:val="14"/>
          <w:color w:val="auto"/>
        </w:rPr>
        <w:t>systems business as a result of the closure of one of its manufacturing facilities, as well as, the exit from certain lower margin product business lines and employee termination costs related to personnel reduction actions taken in the first quarter of 2016. The restructuring charge recorded in our modular systems business was comprised of $4.9 million related to fixed and intangible assets, of which $1.4 million was recorded in the fourth quarter of 2016 reflecting the write-down to estimated fair value of one of its facilities, $3.0 million related to exited product lines and $1.3 million related to excess facilities. The benefit of $0.7 million for the year ended December 27, 2015 was due to a reduction in the liability for unused office space at our Columbia, Maryland facility resulting from the execution of a recent sublease arrangement, partially offset by an impairment of leasehold improvements, office furniture and equipment at that location, and employee termination costs related to personnel reduction actions taken during the year.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40"/>
          </w:cols>
          <w:pgMar w:left="220" w:top="129"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7" w:lineRule="exact"/>
        <w:rPr>
          <w:sz w:val="20"/>
          <w:szCs w:val="20"/>
          <w:color w:val="auto"/>
        </w:rPr>
      </w:pPr>
    </w:p>
    <w:p>
      <w:pPr>
        <w:ind w:right="100" w:firstLine="497"/>
        <w:spacing w:after="0" w:line="253" w:lineRule="auto"/>
        <w:rPr>
          <w:sz w:val="20"/>
          <w:szCs w:val="20"/>
          <w:color w:val="auto"/>
        </w:rPr>
      </w:pPr>
      <w:r>
        <w:rPr>
          <w:rFonts w:ascii="Arial" w:cs="Arial" w:eastAsia="Arial" w:hAnsi="Arial"/>
          <w:sz w:val="14"/>
          <w:szCs w:val="14"/>
          <w:i w:val="1"/>
          <w:iCs w:val="1"/>
          <w:color w:val="auto"/>
        </w:rPr>
        <w:t xml:space="preserve">Other expense, net. </w:t>
      </w:r>
      <w:r>
        <w:rPr>
          <w:rFonts w:ascii="Arial" w:cs="Arial" w:eastAsia="Arial" w:hAnsi="Arial"/>
          <w:sz w:val="14"/>
          <w:szCs w:val="14"/>
          <w:color w:val="auto"/>
        </w:rPr>
        <w:t>Other expense, net decreased to $33.7 million from $40.1 million for the years ended December 25, 2016 and December 27, 2015, respectively. The decrease in expense of $6.4</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was primarily related to a $3.4 million loss on the extinguishment of the 10% Notes in the third quarter of 2015, a reduction in interest expense of $1.3 million as a result of the redemption of $175.0 million of our Notes and the repayment of $41.0 million of outstanding borrowings under our Credit Agreement in the third quarter of 2015 which both occurred as a result of our divestiture of the Herley Entities.</w:t>
      </w:r>
    </w:p>
    <w:p>
      <w:pPr>
        <w:spacing w:after="0" w:line="149" w:lineRule="exact"/>
        <w:rPr>
          <w:sz w:val="20"/>
          <w:szCs w:val="20"/>
          <w:color w:val="auto"/>
        </w:rPr>
      </w:pPr>
    </w:p>
    <w:p>
      <w:pPr>
        <w:ind w:right="120" w:firstLine="497"/>
        <w:spacing w:after="0" w:line="272" w:lineRule="auto"/>
        <w:rPr>
          <w:sz w:val="20"/>
          <w:szCs w:val="20"/>
          <w:color w:val="auto"/>
        </w:rPr>
      </w:pPr>
      <w:r>
        <w:rPr>
          <w:rFonts w:ascii="Arial" w:cs="Arial" w:eastAsia="Arial" w:hAnsi="Arial"/>
          <w:sz w:val="13"/>
          <w:szCs w:val="13"/>
          <w:i w:val="1"/>
          <w:iCs w:val="1"/>
          <w:color w:val="auto"/>
        </w:rPr>
        <w:t xml:space="preserve">Provision (benefit) for income taxes from continuing operations. </w:t>
      </w:r>
      <w:r>
        <w:rPr>
          <w:rFonts w:ascii="Arial" w:cs="Arial" w:eastAsia="Arial" w:hAnsi="Arial"/>
          <w:sz w:val="13"/>
          <w:szCs w:val="13"/>
          <w:color w:val="auto"/>
        </w:rPr>
        <w:t>The provision for income taxes from continuing operations changed to an expense of $8.1 million on a loss from continuing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operations before income taxes of $52.3 million for the year ended December 25, 2016 from a benefit of $11.4 million on a loss of $44.6 million from continuing operations before income taxes for the year ended December 27, 2015. The expense for the year ended December 25, 2016 was primarily comprised of a provision for foreign and state taxes increased by the change in the indefinite life deferred tax liability. The benefit for the year ended December 27, 2015 was primarily due to the intra-period allocation rules in ASC </w:t>
      </w:r>
      <w:r>
        <w:rPr>
          <w:rFonts w:ascii="Arial" w:cs="Arial" w:eastAsia="Arial" w:hAnsi="Arial"/>
          <w:sz w:val="13"/>
          <w:szCs w:val="13"/>
          <w:i w:val="1"/>
          <w:iCs w:val="1"/>
          <w:color w:val="auto"/>
        </w:rPr>
        <w:t>Topic 740, Income Taxes.</w:t>
      </w:r>
      <w:r>
        <w:rPr>
          <w:rFonts w:ascii="Arial" w:cs="Arial" w:eastAsia="Arial" w:hAnsi="Arial"/>
          <w:sz w:val="13"/>
          <w:szCs w:val="13"/>
          <w:color w:val="auto"/>
        </w:rPr>
        <w:t xml:space="preserve"> Intra-period allocation rules require the Company to allocate its provision for income taxes between continuing operations and other categories of earnings, such as discontinued operations. In periods in which there is a pre-tax loss from continuing operations and pre-tax income in other categories of earnings, such as discontinued operations, the Company must allocate the tax provision to other categories of earnings. A related tax benefit is then recorded in continuing operations. See Note 7 of Notes to Consolidated Financial Statements for a further discussion of our income taxes.</w:t>
      </w:r>
    </w:p>
    <w:p>
      <w:pPr>
        <w:spacing w:after="0" w:line="139" w:lineRule="exact"/>
        <w:rPr>
          <w:sz w:val="20"/>
          <w:szCs w:val="20"/>
          <w:color w:val="auto"/>
        </w:rPr>
      </w:pPr>
    </w:p>
    <w:p>
      <w:pPr>
        <w:ind w:right="100" w:firstLine="497"/>
        <w:spacing w:after="0" w:line="253" w:lineRule="auto"/>
        <w:rPr>
          <w:sz w:val="20"/>
          <w:szCs w:val="20"/>
          <w:color w:val="auto"/>
        </w:rPr>
      </w:pPr>
      <w:r>
        <w:rPr>
          <w:rFonts w:ascii="Arial" w:cs="Arial" w:eastAsia="Arial" w:hAnsi="Arial"/>
          <w:sz w:val="14"/>
          <w:szCs w:val="14"/>
          <w:i w:val="1"/>
          <w:iCs w:val="1"/>
          <w:color w:val="auto"/>
        </w:rPr>
        <w:t xml:space="preserve">Income (loss) from discontinued operations. </w:t>
      </w:r>
      <w:r>
        <w:rPr>
          <w:rFonts w:ascii="Arial" w:cs="Arial" w:eastAsia="Arial" w:hAnsi="Arial"/>
          <w:sz w:val="14"/>
          <w:szCs w:val="14"/>
          <w:color w:val="auto"/>
        </w:rPr>
        <w:t>There was no significant activity for the year ended December 25, 2016. The loss from discontinued operations was $0.1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25, 2016, compared to income of $53.0 million for the year ended December 27, 2015, which included the gain on sale of the Herley Entities of $80.8 million which occurred on August 21, 2015. The income for the year ended December 27, 2015 also reflects interest expense allocated to discontinued operations of $9.1 million. For additional information, see Note 8 of the Notes to the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Results for the Year Ended December 27, 2015 to the Year ended December 28, 2014</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 xml:space="preserve">Revenues. </w:t>
      </w:r>
      <w:r>
        <w:rPr>
          <w:rFonts w:ascii="Arial" w:cs="Arial" w:eastAsia="Arial" w:hAnsi="Arial"/>
          <w:sz w:val="14"/>
          <w:szCs w:val="14"/>
          <w:color w:val="auto"/>
        </w:rPr>
        <w:t>Revenues by reportable segment for the years ended December 27, 2015 and December 28, 2014 are as follows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960" w:type="dxa"/>
            <w:vAlign w:val="bottom"/>
          </w:tcPr>
          <w:p>
            <w:pPr>
              <w:jc w:val="right"/>
              <w:ind w:right="12"/>
              <w:spacing w:after="0"/>
              <w:rPr>
                <w:sz w:val="20"/>
                <w:szCs w:val="20"/>
                <w:color w:val="auto"/>
              </w:rPr>
            </w:pPr>
            <w:r>
              <w:rPr>
                <w:rFonts w:ascii="Arial" w:cs="Arial" w:eastAsia="Arial" w:hAnsi="Arial"/>
                <w:sz w:val="12"/>
                <w:szCs w:val="12"/>
                <w:b w:val="1"/>
                <w:bCs w:val="1"/>
                <w:color w:val="auto"/>
              </w:rPr>
              <w:t>2015</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52"/>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432"/>
              <w:spacing w:after="0"/>
              <w:rPr>
                <w:sz w:val="20"/>
                <w:szCs w:val="20"/>
                <w:color w:val="auto"/>
              </w:rPr>
            </w:pPr>
            <w:r>
              <w:rPr>
                <w:rFonts w:ascii="Arial" w:cs="Arial" w:eastAsia="Arial" w:hAnsi="Arial"/>
                <w:sz w:val="12"/>
                <w:szCs w:val="12"/>
                <w:b w:val="1"/>
                <w:bCs w:val="1"/>
                <w:color w:val="auto"/>
              </w:rPr>
              <w:t>$ Change</w:t>
            </w:r>
          </w:p>
        </w:tc>
        <w:tc>
          <w:tcPr>
            <w:tcW w:w="120" w:type="dxa"/>
            <w:vAlign w:val="bottom"/>
          </w:tcPr>
          <w:p>
            <w:pPr>
              <w:spacing w:after="0"/>
              <w:rPr>
                <w:sz w:val="13"/>
                <w:szCs w:val="13"/>
                <w:color w:val="auto"/>
              </w:rPr>
            </w:pPr>
          </w:p>
        </w:tc>
        <w:tc>
          <w:tcPr>
            <w:tcW w:w="1540" w:type="dxa"/>
            <w:vAlign w:val="bottom"/>
          </w:tcPr>
          <w:p>
            <w:pPr>
              <w:jc w:val="right"/>
              <w:ind w:right="438"/>
              <w:spacing w:after="0"/>
              <w:rPr>
                <w:sz w:val="20"/>
                <w:szCs w:val="20"/>
                <w:color w:val="auto"/>
              </w:rPr>
            </w:pPr>
            <w:r>
              <w:rPr>
                <w:rFonts w:ascii="Arial" w:cs="Arial" w:eastAsia="Arial" w:hAnsi="Arial"/>
                <w:sz w:val="12"/>
                <w:szCs w:val="12"/>
                <w:b w:val="1"/>
                <w:bCs w:val="1"/>
                <w:color w:val="auto"/>
              </w:rPr>
              <w:t>% Change</w:t>
            </w:r>
          </w:p>
        </w:tc>
      </w:tr>
      <w:tr>
        <w:trPr>
          <w:trHeight w:val="26"/>
        </w:trPr>
        <w:tc>
          <w:tcPr>
            <w:tcW w:w="5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7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Kratos Government Solutions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r>
      <w:tr>
        <w:trPr>
          <w:trHeight w:val="185"/>
        </w:trPr>
        <w:tc>
          <w:tcPr>
            <w:tcW w:w="5120" w:type="dxa"/>
            <w:vAlign w:val="bottom"/>
          </w:tcPr>
          <w:p>
            <w:pPr>
              <w:ind w:left="220"/>
              <w:spacing w:after="0"/>
              <w:rPr>
                <w:sz w:val="20"/>
                <w:szCs w:val="20"/>
                <w:color w:val="auto"/>
              </w:rPr>
            </w:pPr>
            <w:r>
              <w:rPr>
                <w:rFonts w:ascii="Arial" w:cs="Arial" w:eastAsia="Arial" w:hAnsi="Arial"/>
                <w:sz w:val="14"/>
                <w:szCs w:val="14"/>
                <w:color w:val="auto"/>
              </w:rPr>
              <w:t>Service revenues</w:t>
            </w:r>
          </w:p>
        </w:tc>
        <w:tc>
          <w:tcPr>
            <w:tcW w:w="960" w:type="dxa"/>
            <w:vAlign w:val="bottom"/>
          </w:tcPr>
          <w:p>
            <w:pPr>
              <w:jc w:val="right"/>
              <w:ind w:right="792"/>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209.5</w:t>
            </w:r>
          </w:p>
        </w:tc>
        <w:tc>
          <w:tcPr>
            <w:tcW w:w="120" w:type="dxa"/>
            <w:vAlign w:val="bottom"/>
          </w:tcPr>
          <w:p>
            <w:pPr>
              <w:spacing w:after="0"/>
              <w:rPr>
                <w:sz w:val="16"/>
                <w:szCs w:val="16"/>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2.1</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1.0 %</w:t>
            </w:r>
          </w:p>
        </w:tc>
      </w:tr>
      <w:tr>
        <w:trPr>
          <w:trHeight w:val="22"/>
        </w:trPr>
        <w:tc>
          <w:tcPr>
            <w:tcW w:w="5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7"/>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Product sales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236.6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277.7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Total Kratos Government Solutions</w:t>
            </w: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446.1</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485.1</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(8.0)%</w:t>
            </w: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17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Public Safety &amp; Security</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r>
      <w:tr>
        <w:trPr>
          <w:trHeight w:val="185"/>
        </w:trPr>
        <w:tc>
          <w:tcPr>
            <w:tcW w:w="5120" w:type="dxa"/>
            <w:vAlign w:val="bottom"/>
          </w:tcPr>
          <w:p>
            <w:pPr>
              <w:ind w:left="220"/>
              <w:spacing w:after="0"/>
              <w:rPr>
                <w:sz w:val="20"/>
                <w:szCs w:val="20"/>
                <w:color w:val="auto"/>
              </w:rPr>
            </w:pPr>
            <w:r>
              <w:rPr>
                <w:rFonts w:ascii="Arial" w:cs="Arial" w:eastAsia="Arial" w:hAnsi="Arial"/>
                <w:sz w:val="14"/>
                <w:szCs w:val="14"/>
                <w:color w:val="auto"/>
              </w:rPr>
              <w:t>Service revenues</w:t>
            </w:r>
          </w:p>
        </w:tc>
        <w:tc>
          <w:tcPr>
            <w:tcW w:w="960" w:type="dxa"/>
            <w:vAlign w:val="bottom"/>
          </w:tcPr>
          <w:p>
            <w:pPr>
              <w:spacing w:after="0"/>
              <w:rPr>
                <w:sz w:val="16"/>
                <w:szCs w:val="16"/>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144.7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183.4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(38.7)</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(21.1)%</w:t>
            </w:r>
          </w:p>
        </w:tc>
      </w:tr>
      <w:tr>
        <w:trPr>
          <w:trHeight w:val="22"/>
        </w:trPr>
        <w:tc>
          <w:tcPr>
            <w:tcW w:w="5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7"/>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Product sales</w:t>
            </w:r>
          </w:p>
        </w:tc>
        <w:tc>
          <w:tcPr>
            <w:tcW w:w="9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Total Public Safety &amp; Security</w:t>
            </w: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144.7</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196.4</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(26.3)%</w:t>
            </w: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19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Unmanned Systems - product sales</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66.3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81.5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232"/>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revenue</w:t>
            </w:r>
          </w:p>
        </w:tc>
        <w:tc>
          <w:tcPr>
            <w:tcW w:w="96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657.1</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763.0</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r>
      <w:tr>
        <w:trPr>
          <w:trHeight w:val="225"/>
        </w:trPr>
        <w:tc>
          <w:tcPr>
            <w:tcW w:w="5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85"/>
        </w:trPr>
        <w:tc>
          <w:tcPr>
            <w:tcW w:w="5120" w:type="dxa"/>
            <w:vAlign w:val="bottom"/>
          </w:tcPr>
          <w:p>
            <w:pPr>
              <w:ind w:left="20"/>
              <w:spacing w:after="0"/>
              <w:rPr>
                <w:sz w:val="20"/>
                <w:szCs w:val="20"/>
                <w:color w:val="auto"/>
              </w:rPr>
            </w:pPr>
            <w:r>
              <w:rPr>
                <w:rFonts w:ascii="Arial" w:cs="Arial" w:eastAsia="Arial" w:hAnsi="Arial"/>
                <w:sz w:val="14"/>
                <w:szCs w:val="14"/>
                <w:color w:val="auto"/>
              </w:rPr>
              <w:t>Total service revenue</w:t>
            </w:r>
          </w:p>
        </w:tc>
        <w:tc>
          <w:tcPr>
            <w:tcW w:w="960" w:type="dxa"/>
            <w:vAlign w:val="bottom"/>
          </w:tcPr>
          <w:p>
            <w:pPr>
              <w:jc w:val="right"/>
              <w:ind w:right="792"/>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354.2</w:t>
            </w:r>
          </w:p>
        </w:tc>
        <w:tc>
          <w:tcPr>
            <w:tcW w:w="120" w:type="dxa"/>
            <w:vAlign w:val="bottom"/>
          </w:tcPr>
          <w:p>
            <w:pPr>
              <w:spacing w:after="0"/>
              <w:rPr>
                <w:sz w:val="16"/>
                <w:szCs w:val="16"/>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390.8</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(9.4)%</w:t>
            </w:r>
          </w:p>
        </w:tc>
      </w:tr>
      <w:tr>
        <w:trPr>
          <w:trHeight w:val="22"/>
        </w:trPr>
        <w:tc>
          <w:tcPr>
            <w:tcW w:w="5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product sales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302.9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372.2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192"/>
        </w:trPr>
        <w:tc>
          <w:tcPr>
            <w:tcW w:w="5120" w:type="dxa"/>
            <w:vAlign w:val="bottom"/>
          </w:tcPr>
          <w:p>
            <w:pPr>
              <w:ind w:left="120"/>
              <w:spacing w:after="0"/>
              <w:rPr>
                <w:sz w:val="20"/>
                <w:szCs w:val="20"/>
                <w:color w:val="auto"/>
              </w:rPr>
            </w:pPr>
            <w:r>
              <w:rPr>
                <w:rFonts w:ascii="Arial" w:cs="Arial" w:eastAsia="Arial" w:hAnsi="Arial"/>
                <w:sz w:val="14"/>
                <w:szCs w:val="14"/>
                <w:color w:val="auto"/>
              </w:rPr>
              <w:t>Total revenue</w:t>
            </w:r>
          </w:p>
        </w:tc>
        <w:tc>
          <w:tcPr>
            <w:tcW w:w="96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657.1</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763.0</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(13.9)%</w:t>
            </w:r>
          </w:p>
        </w:tc>
      </w:tr>
      <w:tr>
        <w:trPr>
          <w:trHeight w:val="20"/>
        </w:trPr>
        <w:tc>
          <w:tcPr>
            <w:tcW w:w="5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00" w:firstLine="497"/>
        <w:spacing w:after="0" w:line="279" w:lineRule="auto"/>
        <w:rPr>
          <w:sz w:val="20"/>
          <w:szCs w:val="20"/>
          <w:color w:val="auto"/>
        </w:rPr>
      </w:pPr>
      <w:r>
        <w:rPr>
          <w:rFonts w:ascii="Arial" w:cs="Arial" w:eastAsia="Arial" w:hAnsi="Arial"/>
          <w:sz w:val="13"/>
          <w:szCs w:val="13"/>
          <w:color w:val="auto"/>
        </w:rPr>
        <w:t>Revenues decreased $105.9 million to $657.1 million in 2015 from $763.0 million in 2014. The decrease in revenues was primarily attributable to our PSS business due in part to a one-time shipment of sophisticated communication equipment of $13.0 million that occurred in the second quarter of 2014, as well as due to the completion or wind-down of certain security installation projects and due to the Company’s change in strategic direction in the fourth quarter of 2014 to capture higher margin work and only selectively bid on larger security integration projects that traditionally generate lower margins, resulting in aggregate reduced service revenues in the PSS segment of $38.7 million for the year ended December 27, 2015. In addition,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129" w:right="21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80"/>
        <w:spacing w:after="0" w:line="304" w:lineRule="auto"/>
        <w:rPr>
          <w:sz w:val="20"/>
          <w:szCs w:val="20"/>
          <w:color w:val="auto"/>
        </w:rPr>
      </w:pPr>
      <w:r>
        <w:rPr>
          <w:rFonts w:ascii="Arial" w:cs="Arial" w:eastAsia="Arial" w:hAnsi="Arial"/>
          <w:sz w:val="12"/>
          <w:szCs w:val="12"/>
          <w:color w:val="auto"/>
        </w:rPr>
        <w:t>for the year ended December 27, 2015, KGS segment revenue decreased by $39.0 million due primarily to reduced shipments of our specialized ground equipment products of $38.6 million, delays in orders and awards as a result of the challenging federal government and DoD funding environment, and continued reduction in our legacy government services business of $14.7 million, which includes reset work on legacy weapons systems, all of which adversely impacted the timing of new contract awards, bookings and our revenues, offset partially by growth in our simulation and training business and in technical government services where we support directed energy weapons and electromagnetic railgun efforts, which aggregated a net increase of $16.4 million. Revenues in our US segment decreased by $15.2 million primarily as a result of a reduction in shipments of certain of our aerial target products due to delays in the timing of follow-on and new international contract awards.</w:t>
      </w:r>
    </w:p>
    <w:p>
      <w:pPr>
        <w:spacing w:after="0" w:line="120" w:lineRule="exact"/>
        <w:rPr>
          <w:sz w:val="20"/>
          <w:szCs w:val="20"/>
          <w:color w:val="auto"/>
        </w:rPr>
      </w:pPr>
    </w:p>
    <w:p>
      <w:pPr>
        <w:ind w:right="120" w:firstLine="497"/>
        <w:spacing w:after="0" w:line="252" w:lineRule="auto"/>
        <w:rPr>
          <w:sz w:val="20"/>
          <w:szCs w:val="20"/>
          <w:color w:val="auto"/>
        </w:rPr>
      </w:pPr>
      <w:r>
        <w:rPr>
          <w:rFonts w:ascii="Arial" w:cs="Arial" w:eastAsia="Arial" w:hAnsi="Arial"/>
          <w:sz w:val="14"/>
          <w:szCs w:val="14"/>
          <w:color w:val="auto"/>
        </w:rPr>
        <w:t>Product sales decreased $69.3 million to $302.9 million for the year ended December 27, 2015 from $372.2 million for the year ended December 28, 2014, primarily as a result of the decline in product shipments due to the factors discussed above in our KGS, PSS and US segments. As a percentage of total revenue, product revenues were 46.1% for the year ended December 27, 2015 as compared to 48.8% for the year ended December 28, 2014. Service revenues decreased by $36.6 million to $354.2 million for the year ended December 27, 2015 from $390.8 million for the year ended December 28, 2014. The decrease was primarily related to the change in strategic direction and the completion of larger security installation projects in our PSS segment as well as the continued reduction in our legacy government services business as discussed above.</w:t>
      </w:r>
    </w:p>
    <w:p>
      <w:pPr>
        <w:spacing w:after="0" w:line="149" w:lineRule="exact"/>
        <w:rPr>
          <w:sz w:val="20"/>
          <w:szCs w:val="20"/>
          <w:color w:val="auto"/>
        </w:rPr>
      </w:pPr>
    </w:p>
    <w:p>
      <w:pPr>
        <w:ind w:firstLine="497"/>
        <w:spacing w:after="0" w:line="271" w:lineRule="auto"/>
        <w:rPr>
          <w:sz w:val="20"/>
          <w:szCs w:val="20"/>
          <w:color w:val="auto"/>
        </w:rPr>
      </w:pPr>
      <w:r>
        <w:rPr>
          <w:rFonts w:ascii="Arial" w:cs="Arial" w:eastAsia="Arial" w:hAnsi="Arial"/>
          <w:sz w:val="13"/>
          <w:szCs w:val="13"/>
          <w:color w:val="auto"/>
        </w:rPr>
        <w:t xml:space="preserve">As described in our “Critical Accounting Principles and Estimates” below and in the Notes to Consolidated Financial Statements contained within this Annual Report, we utilize both the cost-to-cost and units delivered measures under the percentage-of-completion method of accounting for recognizing revenue as provided for in </w:t>
      </w:r>
      <w:r>
        <w:rPr>
          <w:rFonts w:ascii="Arial" w:cs="Arial" w:eastAsia="Arial" w:hAnsi="Arial"/>
          <w:sz w:val="13"/>
          <w:szCs w:val="13"/>
          <w:i w:val="1"/>
          <w:iCs w:val="1"/>
          <w:color w:val="auto"/>
        </w:rPr>
        <w:t>Topic 605</w:t>
      </w:r>
      <w:r>
        <w:rPr>
          <w:rFonts w:ascii="Arial" w:cs="Arial" w:eastAsia="Arial" w:hAnsi="Arial"/>
          <w:sz w:val="13"/>
          <w:szCs w:val="13"/>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on certain projects based on the aforementioned factors, but the effect of such adjustments, both positive and negative, when evaluated in total were determined to be immaterial to our Consolidated Financial Statements.</w:t>
      </w:r>
    </w:p>
    <w:p>
      <w:pPr>
        <w:spacing w:after="0" w:line="141" w:lineRule="exact"/>
        <w:rPr>
          <w:sz w:val="20"/>
          <w:szCs w:val="20"/>
          <w:color w:val="auto"/>
        </w:rPr>
      </w:pPr>
    </w:p>
    <w:p>
      <w:pPr>
        <w:ind w:right="20" w:firstLine="497"/>
        <w:spacing w:after="0" w:line="267" w:lineRule="auto"/>
        <w:rPr>
          <w:sz w:val="20"/>
          <w:szCs w:val="20"/>
          <w:color w:val="auto"/>
        </w:rPr>
      </w:pPr>
      <w:r>
        <w:rPr>
          <w:rFonts w:ascii="Arial" w:cs="Arial" w:eastAsia="Arial" w:hAnsi="Arial"/>
          <w:sz w:val="14"/>
          <w:szCs w:val="14"/>
          <w:i w:val="1"/>
          <w:iCs w:val="1"/>
          <w:color w:val="auto"/>
        </w:rPr>
        <w:t xml:space="preserve">Cost of revenues. </w:t>
      </w:r>
      <w:r>
        <w:rPr>
          <w:rFonts w:ascii="Arial" w:cs="Arial" w:eastAsia="Arial" w:hAnsi="Arial"/>
          <w:sz w:val="14"/>
          <w:szCs w:val="14"/>
          <w:color w:val="auto"/>
        </w:rPr>
        <w:t>Cost of revenues decreased to $495.3 million for the year ended December 27, 2015 from $583.6 million for the year ended December 28, 2014. The $88.3 million decrease in cost</w:t>
      </w:r>
      <w:r>
        <w:rPr>
          <w:rFonts w:ascii="Arial" w:cs="Arial" w:eastAsia="Arial" w:hAnsi="Arial"/>
          <w:sz w:val="14"/>
          <w:szCs w:val="14"/>
          <w:i w:val="1"/>
          <w:iCs w:val="1"/>
          <w:color w:val="auto"/>
        </w:rPr>
        <w:t xml:space="preserve"> </w:t>
      </w:r>
      <w:r>
        <w:rPr>
          <w:rFonts w:ascii="Arial" w:cs="Arial" w:eastAsia="Arial" w:hAnsi="Arial"/>
          <w:sz w:val="14"/>
          <w:szCs w:val="14"/>
          <w:color w:val="auto"/>
        </w:rPr>
        <w:t>of revenues was primarily a result of decreased revenue discussed above.</w:t>
      </w:r>
    </w:p>
    <w:p>
      <w:pPr>
        <w:spacing w:after="0" w:line="139" w:lineRule="exact"/>
        <w:rPr>
          <w:sz w:val="20"/>
          <w:szCs w:val="20"/>
          <w:color w:val="auto"/>
        </w:rPr>
      </w:pPr>
    </w:p>
    <w:p>
      <w:pPr>
        <w:ind w:right="200" w:firstLine="497"/>
        <w:spacing w:after="0" w:line="271" w:lineRule="auto"/>
        <w:rPr>
          <w:sz w:val="20"/>
          <w:szCs w:val="20"/>
          <w:color w:val="auto"/>
        </w:rPr>
      </w:pPr>
      <w:r>
        <w:rPr>
          <w:rFonts w:ascii="Arial" w:cs="Arial" w:eastAsia="Arial" w:hAnsi="Arial"/>
          <w:sz w:val="13"/>
          <w:szCs w:val="13"/>
          <w:color w:val="auto"/>
        </w:rPr>
        <w:t>Gross margin percentage increased to 24.6% for the year ended December 27, 2015 from 23.5% for the year ended December 28, 2014. Margins on services increased to 24.8% for the year ended December 27, 2015 from 22.1% for the year ended December 28, 2014, due primarily to a more favorable mix of revenues. Margins on product sales decreased for the year ended December 27, 2015 as compared to December 28, 2014 to 24.5% from 25.0%, respectively, primarily as a result of a change in the mix of products sold. Margins in the KGS segment increased to 25.4% for the year ended December 27, 2015 from 25.3% for the year ended December 28, 2014, primarily as a result of change in the mix of products sold. Margins in the US segment decreased to 16.3% for the year ended December 27, 2015 from 23.2% for the year ended December 28, 2014, primarily due to a less favorable mix of products produced and shipped and due to increased contract costs primarily reflecting retrofits required to conform to required design configuration changes identified in recent successful demonstration test flights recorded on certain international aerial target projects in the year ended December 27, 2015. Margins in the PSS segment increased to 26.0% for the year ended December 27, 2015 from 19.3% for the year ended December 28, 2014 as a result of a more favorable mix of revenues, resulting from the strategic shift in focus on smaller sized, higher margin projects and only selectively bidding on larger sized lower margin projects, the completion of certain lower margin projects, as well as the impact of cost reduction actions that were taken during the year ended December 27, 2015.</w:t>
      </w:r>
    </w:p>
    <w:p>
      <w:pPr>
        <w:spacing w:after="0" w:line="137" w:lineRule="exact"/>
        <w:rPr>
          <w:sz w:val="20"/>
          <w:szCs w:val="20"/>
          <w:color w:val="auto"/>
        </w:rPr>
      </w:pPr>
    </w:p>
    <w:p>
      <w:pPr>
        <w:ind w:right="100" w:firstLine="497"/>
        <w:spacing w:after="0" w:line="293" w:lineRule="auto"/>
        <w:rPr>
          <w:sz w:val="20"/>
          <w:szCs w:val="20"/>
          <w:color w:val="auto"/>
        </w:rPr>
      </w:pPr>
      <w:r>
        <w:rPr>
          <w:rFonts w:ascii="Arial" w:cs="Arial" w:eastAsia="Arial" w:hAnsi="Arial"/>
          <w:sz w:val="12"/>
          <w:szCs w:val="12"/>
          <w:i w:val="1"/>
          <w:iCs w:val="1"/>
          <w:color w:val="auto"/>
        </w:rPr>
        <w:t xml:space="preserve">Selling, general and administrative expenses (SG&amp;A). </w:t>
      </w:r>
      <w:r>
        <w:rPr>
          <w:rFonts w:ascii="Arial" w:cs="Arial" w:eastAsia="Arial" w:hAnsi="Arial"/>
          <w:sz w:val="12"/>
          <w:szCs w:val="12"/>
          <w:color w:val="auto"/>
        </w:rPr>
        <w:t>SG&amp;A decreased $2.9 million to $150.7 million for the year ended December 27, 2015 from $153.6 million for the year ended December 28,</w:t>
      </w:r>
      <w:r>
        <w:rPr>
          <w:rFonts w:ascii="Arial" w:cs="Arial" w:eastAsia="Arial" w:hAnsi="Arial"/>
          <w:sz w:val="12"/>
          <w:szCs w:val="12"/>
          <w:i w:val="1"/>
          <w:iCs w:val="1"/>
          <w:color w:val="auto"/>
        </w:rPr>
        <w:t xml:space="preserve"> </w:t>
      </w:r>
      <w:r>
        <w:rPr>
          <w:rFonts w:ascii="Arial" w:cs="Arial" w:eastAsia="Arial" w:hAnsi="Arial"/>
          <w:sz w:val="12"/>
          <w:szCs w:val="12"/>
          <w:color w:val="auto"/>
        </w:rPr>
        <w:t>2014. The decrease was primarily the result of a $6.1 million reduction of amortization of intangibles in 2015, as a result of certain intangible assets being fully amortized, as well as cost reduction actions taken by the Company, offset partially by increased discretionary investments to pursue business opportunities in the unmanned tactical aircraft market. As a percentage of revenues, SG&amp;A increased to</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22.9% for fiscal 2015 from 20.1% for fiscal 2014. Excluding amortization of intangibles of $13.0 million for the year ended December 27, 2015 and amortization of intangibles of $19.1 million for the year ended December 28, 2014, SG&amp;A increased as a percentage of revenues to 21.0% from 17.6% for the year ended December 27, 2015 and December 28, 2014, respectively, due primarily to the decline in revenues discussed previously, as well as the impact of the public company corporate SG&amp;A costs which are not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129" w:right="21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allocable to the Herley Entities which have been classified as discontinued operations. In addition, due to contract award delays specifically in our unmanned and modular systems businesses, the reduced volumes have resulted in increased unabsorbed overhead costs.</w:t>
      </w:r>
    </w:p>
    <w:p>
      <w:pPr>
        <w:spacing w:after="0" w:line="139" w:lineRule="exact"/>
        <w:rPr>
          <w:sz w:val="20"/>
          <w:szCs w:val="20"/>
          <w:color w:val="auto"/>
        </w:rPr>
      </w:pPr>
    </w:p>
    <w:p>
      <w:pPr>
        <w:ind w:right="80" w:firstLine="497"/>
        <w:spacing w:after="0" w:line="304" w:lineRule="auto"/>
        <w:rPr>
          <w:sz w:val="20"/>
          <w:szCs w:val="20"/>
          <w:color w:val="auto"/>
        </w:rPr>
      </w:pPr>
      <w:r>
        <w:rPr>
          <w:rFonts w:ascii="Arial" w:cs="Arial" w:eastAsia="Arial" w:hAnsi="Arial"/>
          <w:sz w:val="12"/>
          <w:szCs w:val="12"/>
          <w:i w:val="1"/>
          <w:iCs w:val="1"/>
          <w:color w:val="auto"/>
        </w:rPr>
        <w:t xml:space="preserve">Internal research and development (IR&amp;D) expenses. </w:t>
      </w:r>
      <w:r>
        <w:rPr>
          <w:rFonts w:ascii="Arial" w:cs="Arial" w:eastAsia="Arial" w:hAnsi="Arial"/>
          <w:sz w:val="12"/>
          <w:szCs w:val="12"/>
          <w:color w:val="auto"/>
        </w:rPr>
        <w:t>IR&amp;D expenses decreased to $16.2 million for the year ended December 27, 2015 from $18.6 million for the year ended December 28, 2014.</w:t>
      </w:r>
      <w:r>
        <w:rPr>
          <w:rFonts w:ascii="Arial" w:cs="Arial" w:eastAsia="Arial" w:hAnsi="Arial"/>
          <w:sz w:val="12"/>
          <w:szCs w:val="12"/>
          <w:i w:val="1"/>
          <w:iCs w:val="1"/>
          <w:color w:val="auto"/>
        </w:rPr>
        <w:t xml:space="preserve"> </w:t>
      </w:r>
      <w:r>
        <w:rPr>
          <w:rFonts w:ascii="Arial" w:cs="Arial" w:eastAsia="Arial" w:hAnsi="Arial"/>
          <w:sz w:val="12"/>
          <w:szCs w:val="12"/>
          <w:color w:val="auto"/>
        </w:rPr>
        <w:t>As a percentage of revenues, IR&amp;D increased to 2.5% of revenues for the year ended December 27, 2015 from 2.4% of revenues for the year ended December 28, 2014. IR&amp;D expenditures are primarily related to investments we are making in conjunction with our customers and prospective customers, with the objectives of the Company’s products being the new platform for or “designed in” to certain new long term program opportunities and the Company owning certain intellectual property rights for products that support these programs primarily in our unmanned systems and microwave electronic businesses as well as technology upgrades and refresh activities that are necessary for the next generation of our existing product lines primarily in our satellite communications business.</w:t>
      </w:r>
    </w:p>
    <w:p>
      <w:pPr>
        <w:spacing w:after="0" w:line="120" w:lineRule="exact"/>
        <w:rPr>
          <w:sz w:val="20"/>
          <w:szCs w:val="20"/>
          <w:color w:val="auto"/>
        </w:rPr>
      </w:pPr>
    </w:p>
    <w:p>
      <w:pPr>
        <w:ind w:firstLine="497"/>
        <w:spacing w:after="0" w:line="279" w:lineRule="auto"/>
        <w:rPr>
          <w:sz w:val="20"/>
          <w:szCs w:val="20"/>
          <w:color w:val="auto"/>
        </w:rPr>
      </w:pPr>
      <w:r>
        <w:rPr>
          <w:rFonts w:ascii="Arial" w:cs="Arial" w:eastAsia="Arial" w:hAnsi="Arial"/>
          <w:sz w:val="13"/>
          <w:szCs w:val="13"/>
          <w:i w:val="1"/>
          <w:iCs w:val="1"/>
          <w:color w:val="auto"/>
        </w:rPr>
        <w:t xml:space="preserve">Unused office space and other restructuring. </w:t>
      </w:r>
      <w:r>
        <w:rPr>
          <w:rFonts w:ascii="Arial" w:cs="Arial" w:eastAsia="Arial" w:hAnsi="Arial"/>
          <w:sz w:val="13"/>
          <w:szCs w:val="13"/>
          <w:color w:val="auto"/>
        </w:rPr>
        <w:t>The benefit of $0.7 million for the year ended December 27, 2015 was due to a reduction of the liability for unused office space at our Columbia,</w:t>
      </w:r>
      <w:r>
        <w:rPr>
          <w:rFonts w:ascii="Arial" w:cs="Arial" w:eastAsia="Arial" w:hAnsi="Arial"/>
          <w:sz w:val="13"/>
          <w:szCs w:val="13"/>
          <w:i w:val="1"/>
          <w:iCs w:val="1"/>
          <w:color w:val="auto"/>
        </w:rPr>
        <w:t xml:space="preserve"> </w:t>
      </w:r>
      <w:r>
        <w:rPr>
          <w:rFonts w:ascii="Arial" w:cs="Arial" w:eastAsia="Arial" w:hAnsi="Arial"/>
          <w:sz w:val="13"/>
          <w:szCs w:val="13"/>
          <w:color w:val="auto"/>
        </w:rPr>
        <w:t>Maryland facility resulting from the execution of a recent sublease arrangement, partially offset by an impairment of leasehold improvements and office furniture and equipment at that location, and employee termination costs related to personnel reduction actions taken during the year. The expense of $1.7 million for the year ended December 28, 2014 was primarily due to an estimated excess facility accrual of office space at our Sacramento, California administrative facilities, and employee termination costs related to personnel reduction actions taken during the year.</w:t>
      </w:r>
    </w:p>
    <w:p>
      <w:pPr>
        <w:spacing w:after="0" w:line="133" w:lineRule="exact"/>
        <w:rPr>
          <w:sz w:val="20"/>
          <w:szCs w:val="20"/>
          <w:color w:val="auto"/>
        </w:rPr>
      </w:pPr>
    </w:p>
    <w:p>
      <w:pPr>
        <w:ind w:right="20" w:firstLine="497"/>
        <w:spacing w:after="0" w:line="257" w:lineRule="auto"/>
        <w:rPr>
          <w:sz w:val="20"/>
          <w:szCs w:val="20"/>
          <w:color w:val="auto"/>
        </w:rPr>
      </w:pPr>
      <w:r>
        <w:rPr>
          <w:rFonts w:ascii="Arial" w:cs="Arial" w:eastAsia="Arial" w:hAnsi="Arial"/>
          <w:sz w:val="14"/>
          <w:szCs w:val="14"/>
          <w:i w:val="1"/>
          <w:iCs w:val="1"/>
          <w:color w:val="auto"/>
        </w:rPr>
        <w:t xml:space="preserve">Other expense, net. </w:t>
      </w:r>
      <w:r>
        <w:rPr>
          <w:rFonts w:ascii="Arial" w:cs="Arial" w:eastAsia="Arial" w:hAnsi="Arial"/>
          <w:sz w:val="14"/>
          <w:szCs w:val="14"/>
          <w:color w:val="auto"/>
        </w:rPr>
        <w:t>Other expense, net decreased to $40.1 million from $77.1 million for the years ended December 27, 2015 and December 28, 2014, respectively. The decrease in expense of $37.0</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was primarily related to $39.1 million loss on the extinguishment of the 10% Notes in the second quarter of 2014 and a reduction in interest expense as a result of the refinancing of our 10% Notes with our 7% Notes.</w:t>
      </w:r>
    </w:p>
    <w:p>
      <w:pPr>
        <w:spacing w:after="0" w:line="145" w:lineRule="exact"/>
        <w:rPr>
          <w:sz w:val="20"/>
          <w:szCs w:val="20"/>
          <w:color w:val="auto"/>
        </w:rPr>
      </w:pPr>
    </w:p>
    <w:p>
      <w:pPr>
        <w:ind w:right="40" w:firstLine="497"/>
        <w:spacing w:after="0" w:line="250" w:lineRule="auto"/>
        <w:rPr>
          <w:sz w:val="20"/>
          <w:szCs w:val="20"/>
          <w:color w:val="auto"/>
        </w:rPr>
      </w:pPr>
      <w:r>
        <w:rPr>
          <w:rFonts w:ascii="Arial" w:cs="Arial" w:eastAsia="Arial" w:hAnsi="Arial"/>
          <w:sz w:val="14"/>
          <w:szCs w:val="14"/>
          <w:i w:val="1"/>
          <w:iCs w:val="1"/>
          <w:color w:val="auto"/>
        </w:rPr>
        <w:t xml:space="preserve">Provision (benefit) for income taxes. </w:t>
      </w:r>
      <w:r>
        <w:rPr>
          <w:rFonts w:ascii="Arial" w:cs="Arial" w:eastAsia="Arial" w:hAnsi="Arial"/>
          <w:sz w:val="14"/>
          <w:szCs w:val="14"/>
          <w:color w:val="auto"/>
        </w:rPr>
        <w:t>The provision for income taxes changed to a benefit of $11.4 million on a loss before income taxes of $44.6 million for the year ended December 27, 2015 from</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 provision of $3.9 million on a loss of $71.8 million from continuing operations before income taxes for the year ended December 28, 2014. The benefit for the year ended December 27, 2015 was primarily due to the intra-period allocation rules in ASC </w:t>
      </w:r>
      <w:r>
        <w:rPr>
          <w:rFonts w:ascii="Arial" w:cs="Arial" w:eastAsia="Arial" w:hAnsi="Arial"/>
          <w:sz w:val="14"/>
          <w:szCs w:val="14"/>
          <w:i w:val="1"/>
          <w:iCs w:val="1"/>
          <w:color w:val="auto"/>
        </w:rPr>
        <w:t>Topic 740, Income Taxes.</w:t>
      </w:r>
      <w:r>
        <w:rPr>
          <w:rFonts w:ascii="Arial" w:cs="Arial" w:eastAsia="Arial" w:hAnsi="Arial"/>
          <w:sz w:val="14"/>
          <w:szCs w:val="14"/>
          <w:color w:val="auto"/>
        </w:rPr>
        <w:t xml:space="preserve"> Intra-period allocation rules require the Company to allocate its provision for income taxes between continuing operations and other categories of earnings, such as discontinued operations. In periods in which there is a pre-tax loss from continuing operations and pre-tax income in other categories of earnings, such as discontinued operations, the Company must allocate the tax provision to other categories of earnings. A related tax benefit is then recorded in continuing operations. See Note 7 of Notes to Consolidated Financial Statements for a further discussion of our income taxes. The provision for the year ended December 28, 2014 was primarily comprised of a provision for foreign and state taxes increased by the change in the indefinite life deferred tax liability.</w:t>
      </w:r>
    </w:p>
    <w:p>
      <w:pPr>
        <w:spacing w:after="0" w:line="151" w:lineRule="exact"/>
        <w:rPr>
          <w:sz w:val="20"/>
          <w:szCs w:val="20"/>
          <w:color w:val="auto"/>
        </w:rPr>
      </w:pPr>
    </w:p>
    <w:p>
      <w:pPr>
        <w:ind w:right="120" w:firstLine="497"/>
        <w:spacing w:after="0" w:line="276" w:lineRule="auto"/>
        <w:rPr>
          <w:sz w:val="20"/>
          <w:szCs w:val="20"/>
          <w:color w:val="auto"/>
        </w:rPr>
      </w:pPr>
      <w:r>
        <w:rPr>
          <w:rFonts w:ascii="Arial" w:cs="Arial" w:eastAsia="Arial" w:hAnsi="Arial"/>
          <w:sz w:val="13"/>
          <w:szCs w:val="13"/>
          <w:i w:val="1"/>
          <w:iCs w:val="1"/>
          <w:color w:val="auto"/>
        </w:rPr>
        <w:t xml:space="preserve">Income (loss) from discontinued operations. </w:t>
      </w:r>
      <w:r>
        <w:rPr>
          <w:rFonts w:ascii="Arial" w:cs="Arial" w:eastAsia="Arial" w:hAnsi="Arial"/>
          <w:sz w:val="13"/>
          <w:szCs w:val="13"/>
          <w:color w:val="auto"/>
        </w:rPr>
        <w:t>Revenue from discontinued operations decreased to $59.7 million from $108.9 million for the year ended December 27, 2015 and December 28, 2014,</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The reduction is primarily due to the sale of the Herley Entities which occurred on August 21, 2015, and therefore reflects the operating performance through the date of sale compared to a full year’s operating results for the comparable prior year. The income from discontinued operations was $53.0 million for the year ended December 27, 2015 which includes the gain on sale of the Herley Entities of $80.8 million and the net loss from discontinued operations was $2.3 million for the year ended December 27, 2014. The loss and income for the two years also reflects interest expense allocated to discontinued operations of $9.1 million and $15.0 million for the year ended December 27, 2015 and December 28, 2014,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74" w:lineRule="exact"/>
        <w:rPr>
          <w:sz w:val="20"/>
          <w:szCs w:val="20"/>
          <w:color w:val="auto"/>
        </w:rPr>
      </w:pPr>
    </w:p>
    <w:p>
      <w:pPr>
        <w:ind w:right="80" w:firstLine="497"/>
        <w:spacing w:after="0" w:line="304" w:lineRule="auto"/>
        <w:rPr>
          <w:sz w:val="20"/>
          <w:szCs w:val="20"/>
          <w:color w:val="auto"/>
        </w:rPr>
      </w:pPr>
      <w:r>
        <w:rPr>
          <w:rFonts w:ascii="Arial" w:cs="Arial" w:eastAsia="Arial" w:hAnsi="Arial"/>
          <w:sz w:val="12"/>
          <w:szCs w:val="12"/>
          <w:color w:val="auto"/>
        </w:rPr>
        <w:t>As of December 25, 2016, we had cash and cash equivalents of $69.1 million compared with cash and cash equivalents of $28.5 million as of December 27, 2015, which includes $5.2 million and $10.8 million, respectively, of cash and cash equivalents held by our foreign subsidiaries. We are not presently aware of any restrictions on the repatriation of these funds, however, they are essentially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129" w:right="21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income tax liability that might be incurred if these earnings were to be repatriated. We do not currently intend to repatriate these earnings.</w:t>
      </w:r>
    </w:p>
    <w:p>
      <w:pPr>
        <w:spacing w:after="0" w:line="168" w:lineRule="exact"/>
        <w:rPr>
          <w:sz w:val="20"/>
          <w:szCs w:val="20"/>
          <w:color w:val="auto"/>
        </w:rPr>
      </w:pPr>
    </w:p>
    <w:p>
      <w:pPr>
        <w:jc w:val="both"/>
        <w:ind w:right="180" w:firstLine="497"/>
        <w:spacing w:after="0" w:line="276" w:lineRule="auto"/>
        <w:rPr>
          <w:sz w:val="20"/>
          <w:szCs w:val="20"/>
          <w:color w:val="auto"/>
        </w:rPr>
      </w:pPr>
      <w:r>
        <w:rPr>
          <w:rFonts w:ascii="Arial" w:cs="Arial" w:eastAsia="Arial" w:hAnsi="Arial"/>
          <w:sz w:val="15"/>
          <w:szCs w:val="15"/>
          <w:color w:val="auto"/>
        </w:rPr>
        <w:t>O</w:t>
      </w:r>
      <w:r>
        <w:rPr>
          <w:rFonts w:ascii="Arial" w:cs="Arial" w:eastAsia="Arial" w:hAnsi="Arial"/>
          <w:sz w:val="13"/>
          <w:szCs w:val="13"/>
          <w:color w:val="auto"/>
        </w:rPr>
        <w:t>n November 23, 2016, we sold approximately 13.4 million shares of our common stock at a purchase price of $6.00 per share in an underwritten public offering. We received gross proceeds of</w:t>
      </w:r>
      <w:r>
        <w:rPr>
          <w:rFonts w:ascii="Arial" w:cs="Arial" w:eastAsia="Arial" w:hAnsi="Arial"/>
          <w:sz w:val="15"/>
          <w:szCs w:val="15"/>
          <w:color w:val="auto"/>
        </w:rPr>
        <w:t xml:space="preserve"> </w:t>
      </w:r>
      <w:r>
        <w:rPr>
          <w:rFonts w:ascii="Arial" w:cs="Arial" w:eastAsia="Arial" w:hAnsi="Arial"/>
          <w:sz w:val="13"/>
          <w:szCs w:val="13"/>
          <w:color w:val="auto"/>
        </w:rPr>
        <w:t>approximately $80.5 million. After deducting underwriting fees and other offering expenses, we received approximately $76.2 million in net proceeds. We used $14.1 million of the net proceeds from this transaction to buy back and redeem approximately $14.5 million of our Notes, and we used $5.1 million to fund a strategic initial investment in a satellite signal monitoring, signal intelligence and location identification technology and product line to enhance our existing satellite communications business offering. The remainder of the funds are expected to be used for general corporate purposes, including funding expected growth and strategic investments in our high performance unmanned aerial vehicle business area and other new programs under contract.</w:t>
      </w:r>
    </w:p>
    <w:p>
      <w:pPr>
        <w:spacing w:after="0" w:line="135" w:lineRule="exact"/>
        <w:rPr>
          <w:sz w:val="20"/>
          <w:szCs w:val="20"/>
          <w:color w:val="auto"/>
        </w:rPr>
      </w:pPr>
    </w:p>
    <w:p>
      <w:pPr>
        <w:ind w:firstLine="497"/>
        <w:spacing w:after="0" w:line="257" w:lineRule="auto"/>
        <w:rPr>
          <w:sz w:val="20"/>
          <w:szCs w:val="20"/>
          <w:color w:val="auto"/>
        </w:rPr>
      </w:pPr>
      <w:r>
        <w:rPr>
          <w:rFonts w:ascii="Arial" w:cs="Arial" w:eastAsia="Arial" w:hAnsi="Arial"/>
          <w:sz w:val="14"/>
          <w:szCs w:val="14"/>
          <w:color w:val="auto"/>
        </w:rPr>
        <w:t>Our total debt, including capital lease obligations, principal due on the Notes, other term debt, the discount of $2.4 million on the Notes issued, and debt issuance costs of $2.9 million, decreased by $13.1 million to $432.0 million as of December 25, 2016 from $445.1 million as of December 27, 2015. The decrease in debt was due to the buy back and redemption of approximately $14.5 million of Notes which occurred in the quarter ended December 25, 2016.</w:t>
      </w:r>
    </w:p>
    <w:p>
      <w:pPr>
        <w:spacing w:after="0" w:line="145"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We use our operating cash flow to finance trade accounts receivable, fund necessary increases in inventory, fund capital expenditures, our IR&amp;D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Our days sales outstanding on our receivables can be impacted and can fluctuate due to contractual billing milestones under which we are unable to bill and collect certain amounts until the milestones have been satisfied.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summary of our net cash provided by (used in) operating activities from continuing operations from our Consolidated Statements of Cash Flows is as follows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2"/>
              </w:rPr>
              <w:t>Year Ended</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r>
      <w:tr>
        <w:trPr>
          <w:trHeight w:val="197"/>
        </w:trPr>
        <w:tc>
          <w:tcPr>
            <w:tcW w:w="6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25, 2016</w:t>
            </w:r>
          </w:p>
        </w:tc>
        <w:tc>
          <w:tcPr>
            <w:tcW w:w="2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8"/>
              </w:rPr>
              <w:t>December 27, 2015</w:t>
            </w:r>
          </w:p>
        </w:tc>
        <w:tc>
          <w:tcPr>
            <w:tcW w:w="220" w:type="dxa"/>
            <w:vAlign w:val="bottom"/>
          </w:tcPr>
          <w:p>
            <w:pPr>
              <w:spacing w:after="0"/>
              <w:rPr>
                <w:sz w:val="17"/>
                <w:szCs w:val="17"/>
                <w:color w:val="auto"/>
              </w:rPr>
            </w:pPr>
          </w:p>
        </w:tc>
        <w:tc>
          <w:tcPr>
            <w:tcW w:w="1360" w:type="dxa"/>
            <w:vAlign w:val="bottom"/>
          </w:tcPr>
          <w:p>
            <w:pPr>
              <w:jc w:val="right"/>
              <w:ind w:right="278"/>
              <w:spacing w:after="0"/>
              <w:rPr>
                <w:sz w:val="20"/>
                <w:szCs w:val="20"/>
                <w:color w:val="auto"/>
              </w:rPr>
            </w:pPr>
            <w:r>
              <w:rPr>
                <w:rFonts w:ascii="Arial" w:cs="Arial" w:eastAsia="Arial" w:hAnsi="Arial"/>
                <w:sz w:val="11"/>
                <w:szCs w:val="11"/>
                <w:b w:val="1"/>
                <w:bCs w:val="1"/>
                <w:color w:val="auto"/>
              </w:rPr>
              <w:t>December 28, 2014</w:t>
            </w:r>
          </w:p>
        </w:tc>
      </w:tr>
      <w:tr>
        <w:trPr>
          <w:trHeight w:val="18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 from continuing operations</w:t>
            </w:r>
          </w:p>
        </w:tc>
        <w:tc>
          <w:tcPr>
            <w:tcW w:w="2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4"/>
                <w:szCs w:val="14"/>
                <w:color w:val="auto"/>
              </w:rPr>
              <w:t>(29.7)</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2.5</w:t>
            </w:r>
          </w:p>
        </w:tc>
      </w:tr>
      <w:tr>
        <w:trPr>
          <w:trHeight w:val="22"/>
        </w:trPr>
        <w:tc>
          <w:tcPr>
            <w:tcW w:w="6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right="140" w:firstLine="497"/>
        <w:spacing w:after="0" w:line="309" w:lineRule="auto"/>
        <w:rPr>
          <w:sz w:val="20"/>
          <w:szCs w:val="20"/>
          <w:color w:val="auto"/>
        </w:rPr>
      </w:pPr>
      <w:r>
        <w:rPr>
          <w:rFonts w:ascii="Arial" w:cs="Arial" w:eastAsia="Arial" w:hAnsi="Arial"/>
          <w:sz w:val="12"/>
          <w:szCs w:val="12"/>
          <w:color w:val="auto"/>
        </w:rPr>
        <w:t>Our cash provided by (used in) operating activities was impacted by interest expense we paid related to our senior secured notes. We paid $32.4 million, $43.8 million, and $57.1 million in interest expense in 2016, 2015, and 2014, respectively. Cash used in operating activities in 2016 and 2015 was also negatively impacted by reduced operating income which reflected discretionary investments we have made in internally funded research and development of $13.9 million in 2016, $16.2 million in 2015 and $18.6 million in 2014, contract development costs on new platforms in our US segment, and increased SG&amp;A expenditures primarily related to business capture pursuits in the tactical unmanned aircraft systems initiatives, as well as changes in working capital accounts.</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cash used in investing activities from continuing operations is summarized as follows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ind w:left="440"/>
              <w:spacing w:after="0"/>
              <w:rPr>
                <w:sz w:val="20"/>
                <w:szCs w:val="20"/>
                <w:color w:val="auto"/>
              </w:rPr>
            </w:pPr>
            <w:r>
              <w:rPr>
                <w:rFonts w:ascii="Arial" w:cs="Arial" w:eastAsia="Arial" w:hAnsi="Arial"/>
                <w:sz w:val="11"/>
                <w:szCs w:val="11"/>
                <w:b w:val="1"/>
                <w:bCs w:val="1"/>
                <w:color w:val="auto"/>
              </w:rPr>
              <w:t>Year Ended</w:t>
            </w:r>
          </w:p>
        </w:tc>
        <w:tc>
          <w:tcPr>
            <w:tcW w:w="4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25, 2016</w:t>
            </w:r>
          </w:p>
        </w:tc>
        <w:tc>
          <w:tcPr>
            <w:tcW w:w="22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27, 2015</w:t>
            </w:r>
          </w:p>
        </w:tc>
        <w:tc>
          <w:tcPr>
            <w:tcW w:w="420" w:type="dxa"/>
            <w:vAlign w:val="bottom"/>
          </w:tcPr>
          <w:p>
            <w:pPr>
              <w:spacing w:after="0"/>
              <w:rPr>
                <w:sz w:val="17"/>
                <w:szCs w:val="17"/>
                <w:color w:val="auto"/>
              </w:rPr>
            </w:pPr>
          </w:p>
        </w:tc>
        <w:tc>
          <w:tcPr>
            <w:tcW w:w="1400" w:type="dxa"/>
            <w:vAlign w:val="bottom"/>
          </w:tcPr>
          <w:p>
            <w:pPr>
              <w:jc w:val="right"/>
              <w:ind w:right="393"/>
              <w:spacing w:after="0"/>
              <w:rPr>
                <w:sz w:val="20"/>
                <w:szCs w:val="20"/>
                <w:color w:val="auto"/>
              </w:rPr>
            </w:pPr>
            <w:r>
              <w:rPr>
                <w:rFonts w:ascii="Arial" w:cs="Arial" w:eastAsia="Arial" w:hAnsi="Arial"/>
                <w:sz w:val="11"/>
                <w:szCs w:val="11"/>
                <w:b w:val="1"/>
                <w:bCs w:val="1"/>
                <w:color w:val="auto"/>
                <w:w w:val="92"/>
              </w:rPr>
              <w:t>December 28, 2014</w:t>
            </w:r>
          </w:p>
        </w:tc>
        <w:tc>
          <w:tcPr>
            <w:tcW w:w="0" w:type="dxa"/>
            <w:vAlign w:val="bottom"/>
          </w:tcPr>
          <w:p>
            <w:pPr>
              <w:spacing w:after="0"/>
              <w:rPr>
                <w:sz w:val="1"/>
                <w:szCs w:val="1"/>
                <w:color w:val="auto"/>
              </w:rPr>
            </w:pPr>
          </w:p>
        </w:tc>
      </w:tr>
      <w:tr>
        <w:trPr>
          <w:trHeight w:val="182"/>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40" w:type="dxa"/>
            <w:vAlign w:val="bottom"/>
          </w:tcPr>
          <w:p>
            <w:pPr>
              <w:ind w:left="120"/>
              <w:spacing w:after="0"/>
              <w:rPr>
                <w:sz w:val="20"/>
                <w:szCs w:val="20"/>
                <w:color w:val="auto"/>
              </w:rPr>
            </w:pPr>
            <w:r>
              <w:rPr>
                <w:rFonts w:ascii="Arial" w:cs="Arial" w:eastAsia="Arial" w:hAnsi="Arial"/>
                <w:sz w:val="14"/>
                <w:szCs w:val="14"/>
                <w:color w:val="auto"/>
              </w:rPr>
              <w:t>Cash paid for acquisitions, net of cash acquired</w:t>
            </w:r>
          </w:p>
        </w:tc>
        <w:tc>
          <w:tcPr>
            <w:tcW w:w="174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3"/>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Proceeds from sale of assets</w:t>
            </w:r>
          </w:p>
        </w:tc>
        <w:tc>
          <w:tcPr>
            <w:tcW w:w="1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740" w:type="dxa"/>
            <w:vAlign w:val="bottom"/>
          </w:tcPr>
          <w:p>
            <w:pPr>
              <w:ind w:left="120"/>
              <w:spacing w:after="0"/>
              <w:rPr>
                <w:sz w:val="20"/>
                <w:szCs w:val="20"/>
                <w:color w:val="auto"/>
              </w:rPr>
            </w:pPr>
            <w:r>
              <w:rPr>
                <w:rFonts w:ascii="Arial" w:cs="Arial" w:eastAsia="Arial" w:hAnsi="Arial"/>
                <w:sz w:val="14"/>
                <w:szCs w:val="14"/>
                <w:color w:val="auto"/>
              </w:rPr>
              <w:t>Change in restricted cash</w:t>
            </w: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35"/>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Capital expenditures</w:t>
            </w:r>
          </w:p>
        </w:tc>
        <w:tc>
          <w:tcPr>
            <w:tcW w:w="1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75"/>
        </w:trPr>
        <w:tc>
          <w:tcPr>
            <w:tcW w:w="4740" w:type="dxa"/>
            <w:vAlign w:val="bottom"/>
          </w:tcPr>
          <w:p>
            <w:pPr>
              <w:ind w:left="300"/>
              <w:spacing w:after="0"/>
              <w:rPr>
                <w:sz w:val="20"/>
                <w:szCs w:val="20"/>
                <w:color w:val="auto"/>
              </w:rPr>
            </w:pPr>
            <w:r>
              <w:rPr>
                <w:rFonts w:ascii="Arial" w:cs="Arial" w:eastAsia="Arial" w:hAnsi="Arial"/>
                <w:sz w:val="14"/>
                <w:szCs w:val="14"/>
                <w:color w:val="auto"/>
              </w:rPr>
              <w:t>Net cash used in investing activities from continuing operations</w:t>
            </w:r>
          </w:p>
        </w:tc>
        <w:tc>
          <w:tcPr>
            <w:tcW w:w="152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520" w:type="dxa"/>
            <w:vAlign w:val="bottom"/>
            <w:vMerge w:val="restart"/>
          </w:tcPr>
          <w:p>
            <w:pPr>
              <w:jc w:val="right"/>
              <w:ind w:right="391"/>
              <w:spacing w:after="0"/>
              <w:rPr>
                <w:sz w:val="20"/>
                <w:szCs w:val="20"/>
                <w:color w:val="auto"/>
              </w:rPr>
            </w:pPr>
            <w:r>
              <w:rPr>
                <w:rFonts w:ascii="Arial" w:cs="Arial" w:eastAsia="Arial" w:hAnsi="Arial"/>
                <w:sz w:val="14"/>
                <w:szCs w:val="14"/>
                <w:color w:val="auto"/>
              </w:rPr>
              <w:t>41</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7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60" w:firstLine="497"/>
        <w:spacing w:after="0" w:line="274" w:lineRule="auto"/>
        <w:rPr>
          <w:sz w:val="20"/>
          <w:szCs w:val="20"/>
          <w:color w:val="auto"/>
        </w:rPr>
      </w:pPr>
      <w:r>
        <w:rPr>
          <w:rFonts w:ascii="Arial" w:cs="Arial" w:eastAsia="Arial" w:hAnsi="Arial"/>
          <w:sz w:val="13"/>
          <w:szCs w:val="13"/>
          <w:color w:val="auto"/>
        </w:rPr>
        <w:t>Net cash used in investing activities was primarily driven by capital expenditures in 2016, 2015, and 2014, which reflects investments we made for certain machinery, test equipment, demonstration units and company owned aircraft in our unmanned aerial systems business, and to a lesser degree, investments we made in our microwave electronic products business, and our satellite communications business. In addition, we used $5.1 million during the fourth quarter of 2016 to fund a strategic initial investment in a satellite signal monitoring, signal intelligence and location identification technology and product line to enhance our existing satellite communications business offering. An initial purchase price holdback of $0.9 million to provide security for potential indemnification obligations, less any indemnification claims, will be payable in July 2018, in cash or shares of common stock, at our option. In addition, an earn-out of $2.0 million, payable in cash or shares of common stock, at our option, will be payable in July 2018. As of December 25, 2016, the earn-out criteria had been achieved.</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Cash provided by (used in) financing activities from continuing operations is summarized as follows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2"/>
              </w:rPr>
              <w:t>Year Ended</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r>
      <w:tr>
        <w:trPr>
          <w:trHeight w:val="197"/>
        </w:trPr>
        <w:tc>
          <w:tcPr>
            <w:tcW w:w="6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25, 2016</w:t>
            </w:r>
          </w:p>
        </w:tc>
        <w:tc>
          <w:tcPr>
            <w:tcW w:w="2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8"/>
              </w:rPr>
              <w:t>December 27, 2015</w:t>
            </w:r>
          </w:p>
        </w:tc>
        <w:tc>
          <w:tcPr>
            <w:tcW w:w="220" w:type="dxa"/>
            <w:vAlign w:val="bottom"/>
          </w:tcPr>
          <w:p>
            <w:pPr>
              <w:spacing w:after="0"/>
              <w:rPr>
                <w:sz w:val="17"/>
                <w:szCs w:val="17"/>
                <w:color w:val="auto"/>
              </w:rPr>
            </w:pPr>
          </w:p>
        </w:tc>
        <w:tc>
          <w:tcPr>
            <w:tcW w:w="1360" w:type="dxa"/>
            <w:vAlign w:val="bottom"/>
          </w:tcPr>
          <w:p>
            <w:pPr>
              <w:jc w:val="right"/>
              <w:ind w:right="272"/>
              <w:spacing w:after="0"/>
              <w:rPr>
                <w:sz w:val="20"/>
                <w:szCs w:val="20"/>
                <w:color w:val="auto"/>
              </w:rPr>
            </w:pPr>
            <w:r>
              <w:rPr>
                <w:rFonts w:ascii="Arial" w:cs="Arial" w:eastAsia="Arial" w:hAnsi="Arial"/>
                <w:sz w:val="11"/>
                <w:szCs w:val="11"/>
                <w:b w:val="1"/>
                <w:bCs w:val="1"/>
                <w:color w:val="auto"/>
              </w:rPr>
              <w:t>December 28, 2014</w:t>
            </w:r>
          </w:p>
        </w:tc>
      </w:tr>
      <w:tr>
        <w:trPr>
          <w:trHeight w:val="182"/>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85"/>
        </w:trPr>
        <w:tc>
          <w:tcPr>
            <w:tcW w:w="6420" w:type="dxa"/>
            <w:vAlign w:val="bottom"/>
          </w:tcPr>
          <w:p>
            <w:pPr>
              <w:ind w:left="120"/>
              <w:spacing w:after="0"/>
              <w:rPr>
                <w:sz w:val="20"/>
                <w:szCs w:val="20"/>
                <w:color w:val="auto"/>
              </w:rPr>
            </w:pPr>
            <w:r>
              <w:rPr>
                <w:rFonts w:ascii="Arial" w:cs="Arial" w:eastAsia="Arial" w:hAnsi="Arial"/>
                <w:sz w:val="14"/>
                <w:szCs w:val="14"/>
                <w:color w:val="auto"/>
              </w:rPr>
              <w:t>Proceeds from the issuance of long-term debt</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618.5</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7"/>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Extinguishment of long-term debt</w:t>
            </w: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(175.0)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(661.5)</w:t>
            </w:r>
          </w:p>
        </w:tc>
      </w:tr>
      <w:tr>
        <w:trPr>
          <w:trHeight w:val="185"/>
        </w:trPr>
        <w:tc>
          <w:tcPr>
            <w:tcW w:w="6420" w:type="dxa"/>
            <w:vAlign w:val="bottom"/>
          </w:tcPr>
          <w:p>
            <w:pPr>
              <w:ind w:left="120"/>
              <w:spacing w:after="0"/>
              <w:rPr>
                <w:sz w:val="20"/>
                <w:szCs w:val="20"/>
                <w:color w:val="auto"/>
              </w:rPr>
            </w:pPr>
            <w:r>
              <w:rPr>
                <w:rFonts w:ascii="Arial" w:cs="Arial" w:eastAsia="Arial" w:hAnsi="Arial"/>
                <w:sz w:val="14"/>
                <w:szCs w:val="14"/>
                <w:color w:val="auto"/>
              </w:rPr>
              <w:t>Proceeds from the issuance of common stock</w:t>
            </w:r>
          </w:p>
        </w:tc>
        <w:tc>
          <w:tcPr>
            <w:tcW w:w="240" w:type="dxa"/>
            <w:vAlign w:val="bottom"/>
          </w:tcPr>
          <w:p>
            <w:pPr>
              <w:spacing w:after="0"/>
              <w:rPr>
                <w:sz w:val="16"/>
                <w:szCs w:val="16"/>
                <w:color w:val="auto"/>
              </w:rPr>
            </w:pPr>
          </w:p>
        </w:tc>
        <w:tc>
          <w:tcPr>
            <w:tcW w:w="1380" w:type="dxa"/>
            <w:vAlign w:val="bottom"/>
          </w:tcPr>
          <w:p>
            <w:pPr>
              <w:jc w:val="right"/>
              <w:ind w:right="52"/>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7"/>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paid for contingent acquisition consideration</w:t>
            </w:r>
          </w:p>
        </w:tc>
        <w:tc>
          <w:tcPr>
            <w:tcW w:w="2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5"/>
        </w:trPr>
        <w:tc>
          <w:tcPr>
            <w:tcW w:w="6420" w:type="dxa"/>
            <w:vAlign w:val="bottom"/>
          </w:tcPr>
          <w:p>
            <w:pPr>
              <w:ind w:left="120"/>
              <w:spacing w:after="0"/>
              <w:rPr>
                <w:sz w:val="20"/>
                <w:szCs w:val="20"/>
                <w:color w:val="auto"/>
              </w:rPr>
            </w:pPr>
            <w:r>
              <w:rPr>
                <w:rFonts w:ascii="Arial" w:cs="Arial" w:eastAsia="Arial" w:hAnsi="Arial"/>
                <w:sz w:val="14"/>
                <w:szCs w:val="14"/>
                <w:color w:val="auto"/>
              </w:rPr>
              <w:t>Borrowings under credit facility</w:t>
            </w: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41.0</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7"/>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Repayment under credit facility</w:t>
            </w: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(42.0)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5"/>
        </w:trPr>
        <w:tc>
          <w:tcPr>
            <w:tcW w:w="6420" w:type="dxa"/>
            <w:vAlign w:val="bottom"/>
          </w:tcPr>
          <w:p>
            <w:pPr>
              <w:ind w:left="12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2"/>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7"/>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0"/>
              </w:rPr>
              <w:t>Proceeds from the exercise of restricted stock units, employee stock options, and employee stock purchase plan</w:t>
            </w: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3.3</w:t>
            </w:r>
          </w:p>
        </w:tc>
      </w:tr>
      <w:tr>
        <w:trPr>
          <w:trHeight w:val="175"/>
        </w:trPr>
        <w:tc>
          <w:tcPr>
            <w:tcW w:w="6420" w:type="dxa"/>
            <w:vAlign w:val="bottom"/>
          </w:tcPr>
          <w:p>
            <w:pPr>
              <w:ind w:left="220"/>
              <w:spacing w:after="0"/>
              <w:rPr>
                <w:sz w:val="20"/>
                <w:szCs w:val="20"/>
                <w:color w:val="auto"/>
              </w:rPr>
            </w:pPr>
            <w:r>
              <w:rPr>
                <w:rFonts w:ascii="Arial" w:cs="Arial" w:eastAsia="Arial" w:hAnsi="Arial"/>
                <w:sz w:val="14"/>
                <w:szCs w:val="14"/>
                <w:color w:val="auto"/>
              </w:rPr>
              <w:t>Net cash provided by (used in) financing activities from continuing operations</w:t>
            </w: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(214.7)</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2"/>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right="180" w:firstLine="497"/>
        <w:spacing w:after="0" w:line="286" w:lineRule="auto"/>
        <w:rPr>
          <w:sz w:val="20"/>
          <w:szCs w:val="20"/>
          <w:color w:val="auto"/>
        </w:rPr>
      </w:pPr>
      <w:r>
        <w:rPr>
          <w:rFonts w:ascii="Arial" w:cs="Arial" w:eastAsia="Arial" w:hAnsi="Arial"/>
          <w:sz w:val="13"/>
          <w:szCs w:val="13"/>
          <w:color w:val="auto"/>
        </w:rPr>
        <w:t>Net cash flows provided by financing activities for the year ended December 25, 2016 included $76.2 million in net proceeds from the equity offering we completed in the fourth quarter of 2016, $14.1 million of which was used to buy back and redeem approximately $14.5 million of our Notes. Net cash flows used in financing activities from continuing operations for the year ended December 27, 2015 was primarily due to the repurchase of $175.0 million of our Notes and the repayment of $41.0 million outstanding on our Credit Agreement.</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Cash provided by (used in) discontinued operations is summarized as follows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2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2"/>
              </w:rPr>
              <w:t>Year Ended</w:t>
            </w: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97"/>
        </w:trPr>
        <w:tc>
          <w:tcPr>
            <w:tcW w:w="6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auto"/>
              </w:rPr>
              <w:t>December 25, 2016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8"/>
              </w:rPr>
              <w:t>December 27, 2015</w:t>
            </w:r>
          </w:p>
        </w:tc>
        <w:tc>
          <w:tcPr>
            <w:tcW w:w="340" w:type="dxa"/>
            <w:vAlign w:val="bottom"/>
          </w:tcPr>
          <w:p>
            <w:pPr>
              <w:spacing w:after="0"/>
              <w:rPr>
                <w:sz w:val="17"/>
                <w:szCs w:val="17"/>
                <w:color w:val="auto"/>
              </w:rPr>
            </w:pPr>
          </w:p>
        </w:tc>
        <w:tc>
          <w:tcPr>
            <w:tcW w:w="1240" w:type="dxa"/>
            <w:vAlign w:val="bottom"/>
          </w:tcPr>
          <w:p>
            <w:pPr>
              <w:jc w:val="right"/>
              <w:ind w:right="36"/>
              <w:spacing w:after="0"/>
              <w:rPr>
                <w:sz w:val="20"/>
                <w:szCs w:val="20"/>
                <w:color w:val="auto"/>
              </w:rPr>
            </w:pPr>
            <w:r>
              <w:rPr>
                <w:rFonts w:ascii="Arial" w:cs="Arial" w:eastAsia="Arial" w:hAnsi="Arial"/>
                <w:sz w:val="11"/>
                <w:szCs w:val="11"/>
                <w:b w:val="1"/>
                <w:bCs w:val="1"/>
                <w:color w:val="auto"/>
              </w:rPr>
              <w:t>December 28, 2014</w:t>
            </w:r>
          </w:p>
        </w:tc>
      </w:tr>
      <w:tr>
        <w:trPr>
          <w:trHeight w:val="182"/>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cash flows provided by discontinued operations</w:t>
            </w:r>
          </w:p>
        </w:tc>
        <w:tc>
          <w:tcPr>
            <w:tcW w:w="1300" w:type="dxa"/>
            <w:vAlign w:val="bottom"/>
            <w:tcBorders>
              <w:top w:val="single" w:sz="8" w:color="auto"/>
              <w:bottom w:val="single" w:sz="8" w:color="CCEEFF"/>
            </w:tcBorders>
            <w:shd w:val="clear" w:color="auto" w:fill="CCEEFF"/>
          </w:tcPr>
          <w:p>
            <w:pPr>
              <w:jc w:val="right"/>
              <w:ind w:right="113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2"/>
              </w:rPr>
              <w:t>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4"/>
                <w:szCs w:val="14"/>
                <w:color w:val="auto"/>
              </w:rPr>
              <w:t>4.1</w:t>
            </w:r>
          </w:p>
        </w:tc>
      </w:tr>
      <w:tr>
        <w:trPr>
          <w:trHeight w:val="185"/>
        </w:trPr>
        <w:tc>
          <w:tcPr>
            <w:tcW w:w="6420" w:type="dxa"/>
            <w:vAlign w:val="bottom"/>
          </w:tcPr>
          <w:p>
            <w:pPr>
              <w:ind w:left="20"/>
              <w:spacing w:after="0"/>
              <w:rPr>
                <w:sz w:val="20"/>
                <w:szCs w:val="20"/>
                <w:color w:val="auto"/>
              </w:rPr>
            </w:pPr>
            <w:r>
              <w:rPr>
                <w:rFonts w:ascii="Arial" w:cs="Arial" w:eastAsia="Arial" w:hAnsi="Arial"/>
                <w:sz w:val="14"/>
                <w:szCs w:val="14"/>
                <w:color w:val="auto"/>
              </w:rPr>
              <w:t>Net investing cash flows provided by (used in) discontinued operations</w:t>
            </w:r>
          </w:p>
        </w:tc>
        <w:tc>
          <w:tcPr>
            <w:tcW w:w="1300" w:type="dxa"/>
            <w:vAlign w:val="bottom"/>
          </w:tcPr>
          <w:p>
            <w:pPr>
              <w:spacing w:after="0"/>
              <w:rPr>
                <w:sz w:val="16"/>
                <w:szCs w:val="16"/>
                <w:color w:val="auto"/>
              </w:rPr>
            </w:pPr>
          </w:p>
        </w:tc>
        <w:tc>
          <w:tcPr>
            <w:tcW w:w="320" w:type="dxa"/>
            <w:vAlign w:val="bottom"/>
          </w:tcPr>
          <w:p>
            <w:pPr>
              <w:jc w:val="right"/>
              <w:ind w:right="51"/>
              <w:spacing w:after="0"/>
              <w:rPr>
                <w:sz w:val="20"/>
                <w:szCs w:val="20"/>
                <w:color w:val="auto"/>
              </w:rPr>
            </w:pPr>
            <w:r>
              <w:rPr>
                <w:rFonts w:ascii="Arial" w:cs="Arial" w:eastAsia="Arial" w:hAnsi="Arial"/>
                <w:sz w:val="14"/>
                <w:szCs w:val="14"/>
                <w:color w:val="auto"/>
                <w:w w:val="92"/>
              </w:rPr>
              <w:t>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8"/>
              <w:spacing w:after="0"/>
              <w:rPr>
                <w:sz w:val="20"/>
                <w:szCs w:val="20"/>
                <w:color w:val="auto"/>
              </w:rPr>
            </w:pPr>
            <w:r>
              <w:rPr>
                <w:rFonts w:ascii="Arial" w:cs="Arial" w:eastAsia="Arial" w:hAnsi="Arial"/>
                <w:sz w:val="14"/>
                <w:szCs w:val="14"/>
                <w:color w:val="auto"/>
              </w:rPr>
              <w:t>242.5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w:t>
            </w:r>
          </w:p>
        </w:tc>
      </w:tr>
    </w:tbl>
    <w:p>
      <w:pPr>
        <w:spacing w:after="0" w:line="177"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The operating cash flow provided by discontinued operations for the years ended December 27, 2015 and December 28, 2014 is substantially related to Herley Industries, Inc. and certain of Herley’s subsidiaries. The investing cash flow provided by discontinued operations for the year ended December 25, 2016 reflects the reimbursement of taxes from the Buyer of the Herley Entities received in 2016. The investing cash flow provided by discontinued operations for the year ended December 27, 2015 reflects cash provided of $243.2 million which is related to the sale of the Herley Entities, net of related transaction expenses.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7.00% Senior Secured Notes due 2019</w:t>
      </w:r>
    </w:p>
    <w:p>
      <w:pPr>
        <w:spacing w:after="0" w:line="174" w:lineRule="exact"/>
        <w:rPr>
          <w:sz w:val="20"/>
          <w:szCs w:val="20"/>
          <w:color w:val="auto"/>
        </w:rPr>
      </w:pPr>
    </w:p>
    <w:p>
      <w:pPr>
        <w:ind w:firstLine="497"/>
        <w:spacing w:after="0" w:line="306" w:lineRule="auto"/>
        <w:rPr>
          <w:sz w:val="20"/>
          <w:szCs w:val="20"/>
          <w:color w:val="auto"/>
        </w:rPr>
      </w:pPr>
      <w:r>
        <w:rPr>
          <w:rFonts w:ascii="Arial" w:cs="Arial" w:eastAsia="Arial" w:hAnsi="Arial"/>
          <w:sz w:val="13"/>
          <w:szCs w:val="13"/>
          <w:color w:val="auto"/>
        </w:rPr>
        <w:t>In May 2014, we refinanced our $625.0 million in outstanding principal amount 10% Notes with $625.0 million of newly issued 7% Notes. The net proceeds from the issuance of the 7% Notes was $618.5 million after an original issue discount of $6.5 million. We incurred debt issuance costs of $8.8 million associated with the new 7% Notes. We utilized the net proceeds from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129" w:right="2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7% Notes, a $41.0 million draw on our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45" w:lineRule="exact"/>
        <w:rPr>
          <w:sz w:val="20"/>
          <w:szCs w:val="20"/>
          <w:color w:val="auto"/>
        </w:rPr>
      </w:pPr>
    </w:p>
    <w:p>
      <w:pPr>
        <w:jc w:val="both"/>
        <w:ind w:firstLine="497"/>
        <w:spacing w:after="0" w:line="286" w:lineRule="auto"/>
        <w:rPr>
          <w:sz w:val="20"/>
          <w:szCs w:val="20"/>
          <w:color w:val="auto"/>
        </w:rPr>
      </w:pPr>
      <w:r>
        <w:rPr>
          <w:rFonts w:ascii="Arial" w:cs="Arial" w:eastAsia="Arial" w:hAnsi="Arial"/>
          <w:sz w:val="13"/>
          <w:szCs w:val="13"/>
          <w:color w:val="auto"/>
        </w:rPr>
        <w:t>We completed the offering of the 7% Notes in a private placement conducted pursuant to Rule 144A and Regulation S under the Securities Act of 1933, as amended (the “Act”). On October 16, 2014, we exchanged the outstanding 7% Notes for an equal amount of new 7.00% Senior Secured Notes due in 2019 (the “Notes”) that had been registered under the Act. The terms of the Notes issued in the exchange offer were identical in all material respects to the terms of the 7% Notes, except the Notes issued in the exchange offer had been registered under the Act.</w:t>
      </w:r>
    </w:p>
    <w:p>
      <w:pPr>
        <w:spacing w:after="0" w:line="128" w:lineRule="exact"/>
        <w:rPr>
          <w:sz w:val="20"/>
          <w:szCs w:val="20"/>
          <w:color w:val="auto"/>
        </w:rPr>
      </w:pPr>
    </w:p>
    <w:p>
      <w:pPr>
        <w:jc w:val="both"/>
        <w:ind w:firstLine="497"/>
        <w:spacing w:after="0" w:line="309" w:lineRule="auto"/>
        <w:rPr>
          <w:sz w:val="20"/>
          <w:szCs w:val="20"/>
          <w:color w:val="auto"/>
        </w:rPr>
      </w:pPr>
      <w:r>
        <w:rPr>
          <w:rFonts w:ascii="Arial" w:cs="Arial" w:eastAsia="Arial" w:hAnsi="Arial"/>
          <w:sz w:val="12"/>
          <w:szCs w:val="12"/>
          <w:color w:val="auto"/>
        </w:rPr>
        <w:t>The Notes are governed by the Indenture, dated May 14, 2014 (the “Indenture”), among the Company, all of the Company’s 100% owned domestic subsidiaries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(c) we exercise our legal defeasance option or our covenant defeasance option; or (d) upon satisfaction and discharge of the Indenture or payment in full in cash of the principal of, premium, if any, accrued and unpaid interest.</w:t>
      </w:r>
    </w:p>
    <w:p>
      <w:pPr>
        <w:spacing w:after="0" w:line="118" w:lineRule="exact"/>
        <w:rPr>
          <w:sz w:val="20"/>
          <w:szCs w:val="20"/>
          <w:color w:val="auto"/>
        </w:rPr>
      </w:pPr>
    </w:p>
    <w:p>
      <w:pPr>
        <w:jc w:val="both"/>
        <w:ind w:firstLine="497"/>
        <w:spacing w:after="0" w:line="352" w:lineRule="auto"/>
        <w:rPr>
          <w:sz w:val="20"/>
          <w:szCs w:val="20"/>
          <w:color w:val="auto"/>
        </w:rPr>
      </w:pPr>
      <w:r>
        <w:rPr>
          <w:rFonts w:ascii="Arial" w:cs="Arial" w:eastAsia="Arial" w:hAnsi="Arial"/>
          <w:sz w:val="12"/>
          <w:szCs w:val="12"/>
          <w:color w:val="auto"/>
        </w:rPr>
        <w:t>The holders of the Notes have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the $110.0 million Credit Agreement.</w:t>
      </w:r>
    </w:p>
    <w:p>
      <w:pPr>
        <w:spacing w:after="0" w:line="92" w:lineRule="exact"/>
        <w:rPr>
          <w:sz w:val="20"/>
          <w:szCs w:val="20"/>
          <w:color w:val="auto"/>
        </w:rPr>
      </w:pPr>
    </w:p>
    <w:p>
      <w:pPr>
        <w:ind w:firstLine="497"/>
        <w:spacing w:after="0" w:line="279" w:lineRule="auto"/>
        <w:rPr>
          <w:sz w:val="20"/>
          <w:szCs w:val="20"/>
          <w:color w:val="auto"/>
        </w:rPr>
      </w:pPr>
      <w:r>
        <w:rPr>
          <w:rFonts w:ascii="Arial" w:cs="Arial" w:eastAsia="Arial" w:hAnsi="Arial"/>
          <w:sz w:val="13"/>
          <w:szCs w:val="13"/>
          <w:color w:val="auto"/>
        </w:rPr>
        <w:t>We pay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25, 2016, we were in compliance with the covenants contained in the Indenture governing the Notes.</w:t>
      </w:r>
    </w:p>
    <w:p>
      <w:pPr>
        <w:spacing w:after="0" w:line="133" w:lineRule="exact"/>
        <w:rPr>
          <w:sz w:val="20"/>
          <w:szCs w:val="20"/>
          <w:color w:val="auto"/>
        </w:rPr>
      </w:pPr>
    </w:p>
    <w:p>
      <w:pPr>
        <w:ind w:right="80" w:firstLine="497"/>
        <w:spacing w:after="0" w:line="257" w:lineRule="auto"/>
        <w:rPr>
          <w:sz w:val="20"/>
          <w:szCs w:val="20"/>
          <w:color w:val="auto"/>
        </w:rPr>
      </w:pPr>
      <w:r>
        <w:rPr>
          <w:rFonts w:ascii="Arial" w:cs="Arial" w:eastAsia="Arial" w:hAnsi="Arial"/>
          <w:sz w:val="14"/>
          <w:szCs w:val="14"/>
          <w:color w:val="auto"/>
        </w:rPr>
        <w:t>We may redeem some or all of the Notes at 105.25% of the aggregate principal amount of such Notes through May 15, 2017, 102.625% of the aggregate principal amount of such Notes if redeemed on or after May 16, 2017 but on or before May 15, 2018 and 100% of the aggregate principal amount of such Notes if redeemed on or after May 16, 2018, plus accrued and unpaid interest to the date of redemption.</w:t>
      </w:r>
    </w:p>
    <w:p>
      <w:pPr>
        <w:spacing w:after="0" w:line="145" w:lineRule="exact"/>
        <w:rPr>
          <w:sz w:val="20"/>
          <w:szCs w:val="20"/>
          <w:color w:val="auto"/>
        </w:rPr>
      </w:pPr>
    </w:p>
    <w:p>
      <w:pPr>
        <w:ind w:right="20" w:firstLine="497"/>
        <w:spacing w:after="0" w:line="286" w:lineRule="auto"/>
        <w:rPr>
          <w:sz w:val="20"/>
          <w:szCs w:val="20"/>
          <w:color w:val="auto"/>
        </w:rPr>
      </w:pPr>
      <w:r>
        <w:rPr>
          <w:rFonts w:ascii="Arial" w:cs="Arial" w:eastAsia="Arial" w:hAnsi="Arial"/>
          <w:sz w:val="13"/>
          <w:szCs w:val="13"/>
          <w:color w:val="auto"/>
        </w:rPr>
        <w:t>The terms of the Indenture require that the net cash proceeds from asset dispositions be either utilized to (i) repay or prepay amounts outstanding under the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and (ii), such amounts are required to be utilized to repurchase Notes at par after 360 days following the asset disposition.</w:t>
      </w:r>
    </w:p>
    <w:p>
      <w:pPr>
        <w:spacing w:after="0" w:line="128" w:lineRule="exact"/>
        <w:rPr>
          <w:sz w:val="20"/>
          <w:szCs w:val="20"/>
          <w:color w:val="auto"/>
        </w:rPr>
      </w:pPr>
    </w:p>
    <w:p>
      <w:pPr>
        <w:ind w:right="60" w:firstLine="497"/>
        <w:spacing w:after="0" w:line="253" w:lineRule="auto"/>
        <w:rPr>
          <w:sz w:val="20"/>
          <w:szCs w:val="20"/>
          <w:color w:val="auto"/>
        </w:rPr>
      </w:pPr>
      <w:r>
        <w:rPr>
          <w:rFonts w:ascii="Arial" w:cs="Arial" w:eastAsia="Arial" w:hAnsi="Arial"/>
          <w:sz w:val="14"/>
          <w:szCs w:val="14"/>
          <w:color w:val="auto"/>
        </w:rPr>
        <w:t>Following the sale of the U.S. and U.K. Electronic Products Division (see Note 8 of the Notes to Consolidated Financial Statements), on September 22, 2015, we repurchased $175.0 million of the Notes at par, in accordance with the Indenture and on August 21, 2015 paid down the $41.0 million outstanding on the $110.0 million Credit Agreement. The total reacquisition price of the Notes was $178.4 million including the write off of $1.8 million of unamortized issue costs, $1.4 million of unamortized discount, along with $0.2 million of legal fees, which resulted in a loss on extinguishment of $3.4 million.</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Company reinvested all net proceeds remaining after the repurchase of the $175.0 million of Notes in replacement collateral under the Indenture within 360 days following the asset disposition.</w:t>
      </w:r>
    </w:p>
    <w:p>
      <w:pPr>
        <w:spacing w:after="0" w:line="193" w:lineRule="exact"/>
        <w:rPr>
          <w:sz w:val="20"/>
          <w:szCs w:val="20"/>
          <w:color w:val="auto"/>
        </w:rPr>
      </w:pPr>
    </w:p>
    <w:p>
      <w:pPr>
        <w:ind w:right="220" w:firstLine="497"/>
        <w:spacing w:after="0" w:line="267" w:lineRule="auto"/>
        <w:rPr>
          <w:sz w:val="20"/>
          <w:szCs w:val="20"/>
          <w:color w:val="auto"/>
        </w:rPr>
      </w:pPr>
      <w:r>
        <w:rPr>
          <w:rFonts w:ascii="Arial" w:cs="Arial" w:eastAsia="Arial" w:hAnsi="Arial"/>
          <w:sz w:val="14"/>
          <w:szCs w:val="14"/>
          <w:color w:val="auto"/>
        </w:rPr>
        <w:t>During the quarter ended December 25, 2016, the Company repurchased and extinguished $14.5 million of the Notes outstanding which resulted in a gain of $0.4 million offset by $0.1 million of unamortized issuance cost and $0.1 million of unamortized discount resulting in a net gain of $0.2 million.</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of December 25, 2016, there were $435.5 million in Notes outstanding.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60"/>
          </w:cols>
          <w:pgMar w:left="220" w:top="129" w:right="21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Indebtedness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$110.0 Million Credit Agreement</w:t>
      </w:r>
    </w:p>
    <w:p>
      <w:pPr>
        <w:spacing w:after="0" w:line="201" w:lineRule="exact"/>
        <w:rPr>
          <w:sz w:val="20"/>
          <w:szCs w:val="20"/>
          <w:color w:val="auto"/>
        </w:rPr>
      </w:pPr>
    </w:p>
    <w:p>
      <w:pPr>
        <w:jc w:val="both"/>
        <w:ind w:firstLine="497"/>
        <w:spacing w:after="0" w:line="251" w:lineRule="auto"/>
        <w:rPr>
          <w:sz w:val="20"/>
          <w:szCs w:val="20"/>
          <w:color w:val="auto"/>
        </w:rPr>
      </w:pPr>
      <w:r>
        <w:rPr>
          <w:rFonts w:ascii="Arial" w:cs="Arial" w:eastAsia="Arial" w:hAnsi="Arial"/>
          <w:sz w:val="14"/>
          <w:szCs w:val="14"/>
          <w:color w:val="auto"/>
        </w:rPr>
        <w:t>On May 14, 2014, we replaced the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the amount not to exceed $50.0 million, as well as a swingline loan in an aggregate principal amount at any time outstanding not to exceed $10.0 million. The Credit Agreement is secured by a lien on substantially all of our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49" w:lineRule="exact"/>
        <w:rPr>
          <w:sz w:val="20"/>
          <w:szCs w:val="20"/>
          <w:color w:val="auto"/>
        </w:rPr>
      </w:pPr>
    </w:p>
    <w:p>
      <w:pPr>
        <w:ind w:firstLine="497"/>
        <w:spacing w:after="0" w:line="293" w:lineRule="auto"/>
        <w:rPr>
          <w:sz w:val="20"/>
          <w:szCs w:val="20"/>
          <w:color w:val="auto"/>
        </w:rPr>
      </w:pPr>
      <w:r>
        <w:rPr>
          <w:rFonts w:ascii="Arial" w:cs="Arial" w:eastAsia="Arial" w:hAnsi="Arial"/>
          <w:sz w:val="12"/>
          <w:szCs w:val="12"/>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December 25, 2016,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32" w:lineRule="exact"/>
        <w:rPr>
          <w:sz w:val="20"/>
          <w:szCs w:val="20"/>
          <w:color w:val="auto"/>
        </w:rPr>
      </w:pPr>
    </w:p>
    <w:p>
      <w:pPr>
        <w:ind w:right="40" w:firstLine="497"/>
        <w:spacing w:after="0" w:line="272" w:lineRule="auto"/>
        <w:rPr>
          <w:sz w:val="20"/>
          <w:szCs w:val="20"/>
          <w:color w:val="auto"/>
        </w:rPr>
      </w:pPr>
      <w:r>
        <w:rPr>
          <w:rFonts w:ascii="Arial" w:cs="Arial" w:eastAsia="Arial" w:hAnsi="Arial"/>
          <w:sz w:val="13"/>
          <w:szCs w:val="13"/>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receivables, then-held eligible raw materials inventory, work-in-process inventory, and applicable reserves.</w:t>
      </w:r>
    </w:p>
    <w:p>
      <w:pPr>
        <w:spacing w:after="0" w:line="139" w:lineRule="exact"/>
        <w:rPr>
          <w:sz w:val="20"/>
          <w:szCs w:val="20"/>
          <w:color w:val="auto"/>
        </w:rPr>
      </w:pPr>
    </w:p>
    <w:p>
      <w:pPr>
        <w:ind w:right="20" w:firstLine="497"/>
        <w:spacing w:after="0" w:line="271" w:lineRule="auto"/>
        <w:rPr>
          <w:sz w:val="20"/>
          <w:szCs w:val="20"/>
          <w:color w:val="auto"/>
        </w:rPr>
      </w:pPr>
      <w:r>
        <w:rPr>
          <w:rFonts w:ascii="Arial" w:cs="Arial" w:eastAsia="Arial" w:hAnsi="Arial"/>
          <w:sz w:val="13"/>
          <w:szCs w:val="13"/>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Additionally, the measurement of the fixed charge coverage ratio of 1.15:1 was modified as follows: (i) the fixed charge coverage ratio will not be measured as of the end of any quarterly reporting period ending on or about June 30, 2015, or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60"/>
          </w:cols>
          <w:pgMar w:left="220" w:top="129" w:right="21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80"/>
        <w:spacing w:after="0" w:line="286" w:lineRule="auto"/>
        <w:rPr>
          <w:sz w:val="20"/>
          <w:szCs w:val="20"/>
          <w:color w:val="auto"/>
        </w:rPr>
      </w:pPr>
      <w:r>
        <w:rPr>
          <w:rFonts w:ascii="Arial" w:cs="Arial" w:eastAsia="Arial" w:hAnsi="Arial"/>
          <w:sz w:val="13"/>
          <w:szCs w:val="13"/>
          <w:color w:val="auto"/>
        </w:rPr>
        <w:t>coverage ratio of at least 1.10:1 must be maintained if the aforementioned percentage is equal to or greater than 15.00% but less than 25.00%. In all other instances, a fixed charge coverage ratio of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28"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September 25, 2016, there was no reserve on the maximum borrowings, resulting from a cumulative reinvestment in similar collateral assets since the sale of the Herley Entities in excess of the $50.8 million reserve established at the date of the sale of the Herley Entities. We made investments in assets that replaced the collateral, which reinstated the maximum facility to the full $110.0 million as of the end of the first quarter of 2016.</w:t>
      </w:r>
    </w:p>
    <w:p>
      <w:pPr>
        <w:spacing w:after="0" w:line="149" w:lineRule="exact"/>
        <w:rPr>
          <w:sz w:val="20"/>
          <w:szCs w:val="20"/>
          <w:color w:val="auto"/>
        </w:rPr>
      </w:pPr>
    </w:p>
    <w:p>
      <w:pPr>
        <w:ind w:right="80" w:firstLine="497"/>
        <w:spacing w:after="0" w:line="279" w:lineRule="auto"/>
        <w:rPr>
          <w:sz w:val="20"/>
          <w:szCs w:val="20"/>
          <w:color w:val="auto"/>
        </w:rPr>
      </w:pPr>
      <w:r>
        <w:rPr>
          <w:rFonts w:ascii="Arial" w:cs="Arial" w:eastAsia="Arial" w:hAnsi="Arial"/>
          <w:sz w:val="13"/>
          <w:szCs w:val="13"/>
          <w:color w:val="auto"/>
        </w:rPr>
        <w:t>On August 19, 2015, we entered into a fourth amendment (the “Fourth Amendment”) to the Credit Agreement. Among other things, the Fourth Amendment provides for a modification of the Third Amendment as it relates to when the minimum fixed charge coverage ratio will be measured based upon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was placed in escrow by the Buyer to cover the amount of such outstanding letters of credit, should the letters of credit be pulled.</w:t>
      </w:r>
    </w:p>
    <w:p>
      <w:pPr>
        <w:spacing w:after="0" w:line="133" w:lineRule="exact"/>
        <w:rPr>
          <w:sz w:val="20"/>
          <w:szCs w:val="20"/>
          <w:color w:val="auto"/>
        </w:rPr>
      </w:pPr>
    </w:p>
    <w:p>
      <w:pPr>
        <w:ind w:right="60" w:firstLine="497"/>
        <w:spacing w:after="0" w:line="267" w:lineRule="auto"/>
        <w:rPr>
          <w:sz w:val="20"/>
          <w:szCs w:val="20"/>
          <w:color w:val="auto"/>
        </w:rPr>
      </w:pPr>
      <w:r>
        <w:rPr>
          <w:rFonts w:ascii="Arial" w:cs="Arial" w:eastAsia="Arial" w:hAnsi="Arial"/>
          <w:sz w:val="14"/>
          <w:szCs w:val="14"/>
          <w:color w:val="auto"/>
        </w:rPr>
        <w:t>As of December 25, 2016, there were no borrowings outstanding on the Credit Agreement and $11.1 million was outstanding on letters of credit, resulting in net borrowing base availability of $56.0 million. We were in compliance with the financial covenants as of December 25, 2016.</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Debt Acquired in Acquisition of Herley</w:t>
      </w:r>
    </w:p>
    <w:p>
      <w:pPr>
        <w:spacing w:after="0" w:line="170" w:lineRule="exact"/>
        <w:rPr>
          <w:sz w:val="20"/>
          <w:szCs w:val="20"/>
          <w:color w:val="auto"/>
        </w:rPr>
      </w:pPr>
    </w:p>
    <w:p>
      <w:pPr>
        <w:ind w:right="140" w:firstLine="497"/>
        <w:spacing w:after="0" w:line="320" w:lineRule="auto"/>
        <w:rPr>
          <w:sz w:val="20"/>
          <w:szCs w:val="20"/>
          <w:color w:val="auto"/>
        </w:rPr>
      </w:pPr>
      <w:r>
        <w:rPr>
          <w:rFonts w:ascii="Arial" w:cs="Arial" w:eastAsia="Arial" w:hAnsi="Arial"/>
          <w:sz w:val="12"/>
          <w:szCs w:val="12"/>
          <w:color w:val="auto"/>
        </w:rPr>
        <w:t>We assumed a $10.0 million ten-year term loan with a bank in Israel that Herley entered into on September 16, 2008 in connection with the acquisition of one of its wholly owned subsidiaries. The balance as of December 25, 2016 was $1.8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December 25, 2016.</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Off Balance Sheet Arrangements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have no off-balance sheet arrangements as defined in Regulation S-K, Item 303(a)(4)(ii).</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 and Commitments</w:t>
      </w:r>
    </w:p>
    <w:p>
      <w:pPr>
        <w:spacing w:after="0" w:line="170" w:lineRule="exact"/>
        <w:rPr>
          <w:sz w:val="20"/>
          <w:szCs w:val="20"/>
          <w:color w:val="auto"/>
        </w:rPr>
      </w:pPr>
    </w:p>
    <w:p>
      <w:pPr>
        <w:ind w:right="40" w:firstLine="497"/>
        <w:spacing w:after="0" w:line="267" w:lineRule="auto"/>
        <w:rPr>
          <w:sz w:val="20"/>
          <w:szCs w:val="20"/>
          <w:color w:val="auto"/>
        </w:rPr>
      </w:pPr>
      <w:r>
        <w:rPr>
          <w:rFonts w:ascii="Arial" w:cs="Arial" w:eastAsia="Arial" w:hAnsi="Arial"/>
          <w:sz w:val="14"/>
          <w:szCs w:val="14"/>
          <w:color w:val="auto"/>
        </w:rPr>
        <w:t>The following table summarizes our contractual obligations and other commitments at December 25, 2016, and the effect such obligations could have on our liquidity and cash flow in future periods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4"/>
          </w:tcPr>
          <w:p>
            <w:pPr>
              <w:ind w:left="80"/>
              <w:spacing w:after="0"/>
              <w:rPr>
                <w:sz w:val="20"/>
                <w:szCs w:val="20"/>
                <w:color w:val="auto"/>
              </w:rPr>
            </w:pPr>
            <w:r>
              <w:rPr>
                <w:rFonts w:ascii="Arial" w:cs="Arial" w:eastAsia="Arial" w:hAnsi="Arial"/>
                <w:sz w:val="11"/>
                <w:szCs w:val="11"/>
                <w:b w:val="1"/>
                <w:bCs w:val="1"/>
                <w:color w:val="auto"/>
                <w:w w:val="92"/>
              </w:rPr>
              <w:t>Payments due/forecast by Period</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12"/>
        </w:trPr>
        <w:tc>
          <w:tcPr>
            <w:tcW w:w="35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Total</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2017</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2018 - 2019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2020 - 2021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2022 and After</w:t>
            </w:r>
          </w:p>
        </w:tc>
      </w:tr>
      <w:tr>
        <w:trPr>
          <w:trHeight w:val="18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 net of interest(1)</w:t>
            </w:r>
          </w:p>
        </w:tc>
        <w:tc>
          <w:tcPr>
            <w:tcW w:w="98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437.3</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4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436.3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Estimated interest on debt(2)</w:t>
            </w:r>
          </w:p>
        </w:tc>
        <w:tc>
          <w:tcPr>
            <w:tcW w:w="98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3"/>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w:t>
            </w:r>
          </w:p>
        </w:tc>
      </w:tr>
      <w:tr>
        <w:trPr>
          <w:trHeight w:val="22"/>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7"/>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orders(3)</w:t>
            </w:r>
          </w:p>
        </w:tc>
        <w:tc>
          <w:tcPr>
            <w:tcW w:w="9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139.7</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117.4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Operating leases(4)</w:t>
            </w:r>
          </w:p>
        </w:tc>
        <w:tc>
          <w:tcPr>
            <w:tcW w:w="98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3"/>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3"/>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2.1</w:t>
            </w:r>
          </w:p>
        </w:tc>
      </w:tr>
      <w:tr>
        <w:trPr>
          <w:trHeight w:val="22"/>
        </w:trPr>
        <w:tc>
          <w:tcPr>
            <w:tcW w:w="3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2"/>
              </w:rPr>
              <w:t>Unrecognized tax benefits, including interest and penalties(5)</w:t>
            </w:r>
          </w:p>
        </w:tc>
        <w:tc>
          <w:tcPr>
            <w:tcW w:w="9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92"/>
        </w:trPr>
        <w:tc>
          <w:tcPr>
            <w:tcW w:w="3560" w:type="dxa"/>
            <w:vAlign w:val="bottom"/>
          </w:tcPr>
          <w:p>
            <w:pPr>
              <w:ind w:left="300"/>
              <w:spacing w:after="0"/>
              <w:rPr>
                <w:sz w:val="20"/>
                <w:szCs w:val="20"/>
                <w:color w:val="auto"/>
              </w:rPr>
            </w:pPr>
            <w:r>
              <w:rPr>
                <w:rFonts w:ascii="Arial" w:cs="Arial" w:eastAsia="Arial" w:hAnsi="Arial"/>
                <w:sz w:val="14"/>
                <w:szCs w:val="14"/>
                <w:color w:val="auto"/>
              </w:rPr>
              <w:t>Total commitments and recorded liabilities</w:t>
            </w:r>
          </w:p>
        </w:tc>
        <w:tc>
          <w:tcPr>
            <w:tcW w:w="98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720.8</w:t>
            </w:r>
          </w:p>
        </w:tc>
        <w:tc>
          <w:tcPr>
            <w:tcW w:w="1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535.4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2.1</w:t>
            </w:r>
          </w:p>
        </w:tc>
      </w:tr>
      <w:tr>
        <w:trPr>
          <w:trHeight w:val="20"/>
        </w:trPr>
        <w:tc>
          <w:tcPr>
            <w:tcW w:w="3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93"/>
        </w:trPr>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294"/>
              <w:spacing w:after="0"/>
              <w:rPr>
                <w:sz w:val="20"/>
                <w:szCs w:val="20"/>
                <w:color w:val="auto"/>
              </w:rPr>
            </w:pPr>
            <w:r>
              <w:rPr>
                <w:rFonts w:ascii="Arial" w:cs="Arial" w:eastAsia="Arial" w:hAnsi="Arial"/>
                <w:sz w:val="14"/>
                <w:szCs w:val="14"/>
                <w:color w:val="auto"/>
              </w:rPr>
              <w:t>45</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500" w:right="40" w:hanging="497"/>
        <w:spacing w:after="0" w:line="267"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Notes in the aggregate outstanding principal amount of $435.5 million are due May 15, 2019. See Note 4 in the Notes to Consolidated Financial Statements contained within this Annual Report for further details.</w:t>
      </w:r>
    </w:p>
    <w:p>
      <w:pPr>
        <w:spacing w:after="0" w:line="138" w:lineRule="exact"/>
        <w:rPr>
          <w:rFonts w:ascii="Arial" w:cs="Arial" w:eastAsia="Arial" w:hAnsi="Arial"/>
          <w:sz w:val="14"/>
          <w:szCs w:val="14"/>
          <w:color w:val="auto"/>
        </w:rPr>
      </w:pPr>
    </w:p>
    <w:p>
      <w:pPr>
        <w:ind w:left="500" w:right="140" w:hanging="497"/>
        <w:spacing w:after="0" w:line="267"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interest payments based on current interest rates for variable rate debt and the Notes. See Note 4 in the Notes to Consolidated Financial Statements contained within in this Annual Report for further details.</w:t>
      </w:r>
    </w:p>
    <w:p>
      <w:pPr>
        <w:spacing w:after="0" w:line="138" w:lineRule="exact"/>
        <w:rPr>
          <w:rFonts w:ascii="Arial" w:cs="Arial" w:eastAsia="Arial" w:hAnsi="Arial"/>
          <w:sz w:val="14"/>
          <w:szCs w:val="14"/>
          <w:color w:val="auto"/>
        </w:rPr>
      </w:pPr>
    </w:p>
    <w:p>
      <w:pPr>
        <w:ind w:left="500" w:hanging="497"/>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Purchase orders include commitments in which a written purchase order has been issued to a vendor, but the goods have not been received or services have not been performed.</w:t>
      </w:r>
    </w:p>
    <w:p>
      <w:pPr>
        <w:spacing w:after="0" w:line="181" w:lineRule="exact"/>
        <w:rPr>
          <w:rFonts w:ascii="Arial" w:cs="Arial" w:eastAsia="Arial" w:hAnsi="Arial"/>
          <w:sz w:val="13"/>
          <w:szCs w:val="13"/>
          <w:color w:val="auto"/>
        </w:rPr>
      </w:pPr>
    </w:p>
    <w:p>
      <w:pPr>
        <w:ind w:left="500" w:right="20" w:hanging="497"/>
        <w:spacing w:after="0" w:line="267"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have entered into or acquired various non-cancelable operating lease agreements that expire on various dates through 2025. The amounts include $4.0 million in excess facility costs and exclude expected sublease income. See Note 5 in the Notes to Consolidated Financial Statements contained within this Annual Report for further details.</w:t>
      </w:r>
    </w:p>
    <w:p>
      <w:pPr>
        <w:spacing w:after="0" w:line="138" w:lineRule="exact"/>
        <w:rPr>
          <w:rFonts w:ascii="Arial" w:cs="Arial" w:eastAsia="Arial" w:hAnsi="Arial"/>
          <w:sz w:val="14"/>
          <w:szCs w:val="14"/>
          <w:color w:val="auto"/>
        </w:rPr>
      </w:pPr>
    </w:p>
    <w:p>
      <w:pPr>
        <w:ind w:left="500" w:right="160" w:hanging="497"/>
        <w:spacing w:after="0" w:line="257"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Consolidated Balance Sheet at December 25, 2016 included a $5.8 million noncurrent liability for uncertain tax positions and a $3.7 million guarantor liability, all of which may result in cash payments. The future payments related to uncertain tax positions have not been presented in the table above due to the uncertainty of the amounts and timing of cash settlements with the taxing authorities.</w:t>
      </w:r>
    </w:p>
    <w:p>
      <w:pPr>
        <w:spacing w:after="0" w:line="145" w:lineRule="exact"/>
        <w:rPr>
          <w:sz w:val="20"/>
          <w:szCs w:val="20"/>
          <w:color w:val="auto"/>
        </w:rPr>
      </w:pPr>
    </w:p>
    <w:p>
      <w:pPr>
        <w:jc w:val="both"/>
        <w:ind w:right="40" w:firstLine="497"/>
        <w:spacing w:after="0" w:line="257" w:lineRule="auto"/>
        <w:rPr>
          <w:sz w:val="20"/>
          <w:szCs w:val="20"/>
          <w:color w:val="auto"/>
        </w:rPr>
      </w:pPr>
      <w:r>
        <w:rPr>
          <w:rFonts w:ascii="Arial" w:cs="Arial" w:eastAsia="Arial" w:hAnsi="Arial"/>
          <w:sz w:val="14"/>
          <w:szCs w:val="14"/>
          <w:color w:val="auto"/>
        </w:rPr>
        <w:t>As of December 25, 2016, we have $11.1 million of standby letters of credit outstanding. Our letters of credit are primarily related to milestone payments received from foreign customers for which the customer has not yet received the product. Additional information regarding our financial commitments at December 25, 2016 is provided in the Notes to Consolidated Financial Statements contained in this Annual Report, specifically Note 14.</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Liquidity Matters</w:t>
      </w:r>
    </w:p>
    <w:p>
      <w:pPr>
        <w:spacing w:after="0" w:line="170"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color w:val="auto"/>
        </w:rPr>
        <w:t>We intend to fund our cash requirements with cash flows from operating activities, proceeds from our recent equity offering and borrowings under the Credit Agreement. We believe these sources should be sufficient to meet our cash needs for at least the next 12 months.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Principles and Estimates</w:t>
      </w:r>
    </w:p>
    <w:p>
      <w:pPr>
        <w:spacing w:after="0" w:line="174" w:lineRule="exact"/>
        <w:rPr>
          <w:sz w:val="20"/>
          <w:szCs w:val="20"/>
          <w:color w:val="auto"/>
        </w:rPr>
      </w:pPr>
    </w:p>
    <w:p>
      <w:pPr>
        <w:ind w:right="60" w:firstLine="497"/>
        <w:spacing w:after="0" w:line="271" w:lineRule="auto"/>
        <w:rPr>
          <w:sz w:val="20"/>
          <w:szCs w:val="20"/>
          <w:color w:val="auto"/>
        </w:rPr>
      </w:pPr>
      <w:r>
        <w:rPr>
          <w:rFonts w:ascii="Arial" w:cs="Arial" w:eastAsia="Arial" w:hAnsi="Arial"/>
          <w:sz w:val="13"/>
          <w:szCs w:val="13"/>
          <w:color w:val="auto"/>
        </w:rPr>
        <w:t>We have identified the following critical accounting policies that affect our more significant judgments and estimates used in the preparation of our Consolidated Financial Statements. The preparation of our Consolidated Financial Statements in conformity 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stock-based compensation,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w:t>
      </w:r>
    </w:p>
    <w:p>
      <w:pPr>
        <w:spacing w:after="0" w:line="141" w:lineRule="exact"/>
        <w:rPr>
          <w:sz w:val="20"/>
          <w:szCs w:val="20"/>
          <w:color w:val="auto"/>
        </w:rPr>
      </w:pPr>
    </w:p>
    <w:p>
      <w:pPr>
        <w:ind w:right="60" w:firstLine="497"/>
        <w:spacing w:after="0" w:line="251" w:lineRule="auto"/>
        <w:rPr>
          <w:sz w:val="20"/>
          <w:szCs w:val="20"/>
          <w:color w:val="auto"/>
        </w:rPr>
      </w:pPr>
      <w:r>
        <w:rPr>
          <w:rFonts w:ascii="Arial" w:cs="Arial" w:eastAsia="Arial" w:hAnsi="Arial"/>
          <w:sz w:val="14"/>
          <w:szCs w:val="14"/>
          <w:i w:val="1"/>
          <w:iCs w:val="1"/>
          <w:color w:val="auto"/>
        </w:rPr>
        <w:t xml:space="preserve">Revenue recognition. </w:t>
      </w:r>
      <w:r>
        <w:rPr>
          <w:rFonts w:ascii="Arial" w:cs="Arial" w:eastAsia="Arial" w:hAnsi="Arial"/>
          <w:sz w:val="14"/>
          <w:szCs w:val="14"/>
          <w:color w:val="auto"/>
        </w:rPr>
        <w:t>We generate our revenue from three different types of contractual arrangements: cost-plus-fee contracts, time-and-materials contracts, and fixed-price contracts. Revenue on</w:t>
      </w:r>
      <w:r>
        <w:rPr>
          <w:rFonts w:ascii="Arial" w:cs="Arial" w:eastAsia="Arial" w:hAnsi="Arial"/>
          <w:sz w:val="14"/>
          <w:szCs w:val="14"/>
          <w:i w:val="1"/>
          <w:iCs w:val="1"/>
          <w:color w:val="auto"/>
        </w:rPr>
        <w:t xml:space="preserve"> </w:t>
      </w:r>
      <w:r>
        <w:rPr>
          <w:rFonts w:ascii="Arial" w:cs="Arial" w:eastAsia="Arial" w:hAnsi="Arial"/>
          <w:sz w:val="14"/>
          <w:szCs w:val="14"/>
          <w:color w:val="auto"/>
        </w:rPr>
        <w:t>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20" w:top="129"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00" w:firstLine="497"/>
        <w:spacing w:after="0" w:line="276" w:lineRule="auto"/>
        <w:rPr>
          <w:sz w:val="20"/>
          <w:szCs w:val="20"/>
          <w:color w:val="auto"/>
        </w:rPr>
      </w:pPr>
      <w:r>
        <w:rPr>
          <w:rFonts w:ascii="Arial" w:cs="Arial" w:eastAsia="Arial" w:hAnsi="Arial"/>
          <w:sz w:val="13"/>
          <w:szCs w:val="13"/>
          <w:color w:val="auto"/>
        </w:rPr>
        <w:t xml:space="preserve">We have three basic categories of fixed-price contracts: fixed unit price, fixed-price level of effort, and fixed-price 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3"/>
          <w:szCs w:val="13"/>
          <w:i w:val="1"/>
          <w:iCs w:val="1"/>
          <w:color w:val="auto"/>
        </w:rPr>
        <w:t>Topic 605</w:t>
      </w:r>
      <w:r>
        <w:rPr>
          <w:rFonts w:ascii="Arial" w:cs="Arial" w:eastAsia="Arial" w:hAnsi="Arial"/>
          <w:sz w:val="13"/>
          <w:szCs w:val="13"/>
          <w:color w:val="auto"/>
        </w:rPr>
        <w:t xml:space="preserve">. </w:t>
      </w:r>
      <w:r>
        <w:rPr>
          <w:rFonts w:ascii="Arial" w:cs="Arial" w:eastAsia="Arial" w:hAnsi="Arial"/>
          <w:sz w:val="13"/>
          <w:szCs w:val="13"/>
          <w:i w:val="1"/>
          <w:iCs w:val="1"/>
          <w:color w:val="auto"/>
        </w:rPr>
        <w:t>Topic 605</w:t>
      </w:r>
      <w:r>
        <w:rPr>
          <w:rFonts w:ascii="Arial" w:cs="Arial" w:eastAsia="Arial" w:hAnsi="Arial"/>
          <w:sz w:val="13"/>
          <w:szCs w:val="13"/>
          <w:color w:val="auto"/>
        </w:rPr>
        <w:t xml:space="preserve"> generally requires revenue to be deferred until all of the following have occurred: (1) there is a contract in place, (2) delivery has occurred or services have been provided, (3) the price is fixed or determinable, and (4) collectability is reasonably assured. Revenues on fixed-price contracts that require delivery of specific items may be recorded based on a price per unit as units are delivered. Revenue for fixed-price contracts in which we are paid a specific amount to provide services for a stated period of time is recognized ratably over the service period.</w:t>
      </w:r>
    </w:p>
    <w:p>
      <w:pPr>
        <w:spacing w:after="0" w:line="134" w:lineRule="exact"/>
        <w:rPr>
          <w:sz w:val="20"/>
          <w:szCs w:val="20"/>
          <w:color w:val="auto"/>
        </w:rPr>
      </w:pPr>
    </w:p>
    <w:p>
      <w:pPr>
        <w:ind w:right="60" w:firstLine="497"/>
        <w:spacing w:after="0" w:line="279" w:lineRule="auto"/>
        <w:rPr>
          <w:sz w:val="20"/>
          <w:szCs w:val="20"/>
          <w:color w:val="auto"/>
        </w:rPr>
      </w:pPr>
      <w:r>
        <w:rPr>
          <w:rFonts w:ascii="Arial" w:cs="Arial" w:eastAsia="Arial" w:hAnsi="Arial"/>
          <w:sz w:val="13"/>
          <w:szCs w:val="13"/>
          <w:color w:val="auto"/>
        </w:rPr>
        <w:t xml:space="preserve">A portion of our fixed-price completion contracts are within the scope of </w:t>
      </w:r>
      <w:r>
        <w:rPr>
          <w:rFonts w:ascii="Arial" w:cs="Arial" w:eastAsia="Arial" w:hAnsi="Arial"/>
          <w:sz w:val="13"/>
          <w:szCs w:val="13"/>
          <w:i w:val="1"/>
          <w:iCs w:val="1"/>
          <w:color w:val="auto"/>
        </w:rPr>
        <w:t>Topic 605</w:t>
      </w:r>
      <w:r>
        <w:rPr>
          <w:rFonts w:ascii="Arial" w:cs="Arial" w:eastAsia="Arial" w:hAnsi="Arial"/>
          <w:sz w:val="13"/>
          <w:szCs w:val="13"/>
          <w:color w:val="auto"/>
        </w:rPr>
        <w:t>. For these contracts, revenue is recognized using the percentage-of-completion method based on the ratio of total costs incurred to date compared to estimated total costs to complete the contract. Estimates of costs to complete include material, direct labor, overhead, and allowable indirect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w:t>
      </w:r>
    </w:p>
    <w:p>
      <w:pPr>
        <w:spacing w:after="0" w:line="133" w:lineRule="exact"/>
        <w:rPr>
          <w:sz w:val="20"/>
          <w:szCs w:val="20"/>
          <w:color w:val="auto"/>
        </w:rPr>
      </w:pPr>
    </w:p>
    <w:p>
      <w:pPr>
        <w:ind w:right="40" w:firstLine="497"/>
        <w:spacing w:after="0" w:line="270" w:lineRule="auto"/>
        <w:rPr>
          <w:sz w:val="20"/>
          <w:szCs w:val="20"/>
          <w:color w:val="auto"/>
        </w:rPr>
      </w:pPr>
      <w:r>
        <w:rPr>
          <w:rFonts w:ascii="Arial" w:cs="Arial" w:eastAsia="Arial" w:hAnsi="Arial"/>
          <w:sz w:val="13"/>
          <w:szCs w:val="13"/>
          <w:color w:val="auto"/>
        </w:rPr>
        <w:t xml:space="preserve">In accounting for our long-term contracts for production of products provided to the U.S. Government, we utilize both cost-to-cost and units delivered measures under the percentage-of-completion method of accounting under the provisions of </w:t>
      </w:r>
      <w:r>
        <w:rPr>
          <w:rFonts w:ascii="Arial" w:cs="Arial" w:eastAsia="Arial" w:hAnsi="Arial"/>
          <w:sz w:val="13"/>
          <w:szCs w:val="13"/>
          <w:i w:val="1"/>
          <w:iCs w:val="1"/>
          <w:color w:val="auto"/>
        </w:rPr>
        <w:t>Topic 605</w:t>
      </w:r>
      <w:r>
        <w:rPr>
          <w:rFonts w:ascii="Arial" w:cs="Arial" w:eastAsia="Arial" w:hAnsi="Arial"/>
          <w:sz w:val="13"/>
          <w:szCs w:val="13"/>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units delivered or as computed on the basis of the estimated final average unit costs plus profit. We classify contract revenues as product sales or service revenues depending upon the predominant attributes of the relevant underlying contracts. Significant management judgments and estimates, including but not limited to the estimated costs to complete projects, must be made and used in connection with the revenue recognized in any accounting period. A cancellation, schedule delay, or modification of a fixed-price contract that is accounted for using the percentage-of-completion method may adversely affect our gross margins for the period in which the contract is modified or canceled.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138" w:lineRule="exact"/>
        <w:rPr>
          <w:sz w:val="20"/>
          <w:szCs w:val="20"/>
          <w:color w:val="auto"/>
        </w:rPr>
      </w:pPr>
    </w:p>
    <w:p>
      <w:pPr>
        <w:jc w:val="both"/>
        <w:ind w:right="400" w:firstLine="497"/>
        <w:spacing w:after="0" w:line="320" w:lineRule="auto"/>
        <w:rPr>
          <w:sz w:val="20"/>
          <w:szCs w:val="20"/>
          <w:color w:val="auto"/>
        </w:rPr>
      </w:pPr>
      <w:r>
        <w:rPr>
          <w:rFonts w:ascii="Arial" w:cs="Arial" w:eastAsia="Arial" w:hAnsi="Arial"/>
          <w:sz w:val="12"/>
          <w:szCs w:val="12"/>
          <w:color w:val="auto"/>
        </w:rPr>
        <w:t xml:space="preserve">It is our policy to review any arrangement containing software or software deliverables and services against the criteria contained in FASB ASC </w:t>
      </w:r>
      <w:r>
        <w:rPr>
          <w:rFonts w:ascii="Arial" w:cs="Arial" w:eastAsia="Arial" w:hAnsi="Arial"/>
          <w:sz w:val="12"/>
          <w:szCs w:val="12"/>
          <w:i w:val="1"/>
          <w:iCs w:val="1"/>
          <w:color w:val="auto"/>
        </w:rPr>
        <w:t>Topic 985, Software</w:t>
      </w:r>
      <w:r>
        <w:rPr>
          <w:rFonts w:ascii="Arial" w:cs="Arial" w:eastAsia="Arial" w:hAnsi="Arial"/>
          <w:sz w:val="12"/>
          <w:szCs w:val="12"/>
          <w:color w:val="auto"/>
        </w:rPr>
        <w:t xml:space="preserve"> (“</w:t>
      </w:r>
      <w:r>
        <w:rPr>
          <w:rFonts w:ascii="Arial" w:cs="Arial" w:eastAsia="Arial" w:hAnsi="Arial"/>
          <w:sz w:val="12"/>
          <w:szCs w:val="12"/>
          <w:i w:val="1"/>
          <w:iCs w:val="1"/>
          <w:color w:val="auto"/>
        </w:rPr>
        <w:t>Topic 985</w:t>
      </w:r>
      <w:r>
        <w:rPr>
          <w:rFonts w:ascii="Arial" w:cs="Arial" w:eastAsia="Arial" w:hAnsi="Arial"/>
          <w:sz w:val="12"/>
          <w:szCs w:val="12"/>
          <w:color w:val="auto"/>
        </w:rPr>
        <w:t xml:space="preserve">”) and related technical practice aids. Under the provisions of </w:t>
      </w:r>
      <w:r>
        <w:rPr>
          <w:rFonts w:ascii="Arial" w:cs="Arial" w:eastAsia="Arial" w:hAnsi="Arial"/>
          <w:sz w:val="12"/>
          <w:szCs w:val="12"/>
          <w:i w:val="1"/>
          <w:iCs w:val="1"/>
          <w:color w:val="auto"/>
        </w:rPr>
        <w:t>Topic 985</w:t>
      </w:r>
      <w:r>
        <w:rPr>
          <w:rFonts w:ascii="Arial" w:cs="Arial" w:eastAsia="Arial" w:hAnsi="Arial"/>
          <w:sz w:val="12"/>
          <w:szCs w:val="12"/>
          <w:color w:val="auto"/>
        </w:rPr>
        <w:t xml:space="preserve">, we review the contract value of software deliverables and services and determine allocations of the contract value based on Vendor Specific Objective Evidence (“VSOE”). All software arrangements requiring significant production, modification, or customization of the software are accounted for in conformity with </w:t>
      </w:r>
      <w:r>
        <w:rPr>
          <w:rFonts w:ascii="Arial" w:cs="Arial" w:eastAsia="Arial" w:hAnsi="Arial"/>
          <w:sz w:val="12"/>
          <w:szCs w:val="12"/>
          <w:i w:val="1"/>
          <w:iCs w:val="1"/>
          <w:color w:val="auto"/>
        </w:rPr>
        <w:t>Topic 605</w:t>
      </w:r>
      <w:r>
        <w:rPr>
          <w:rFonts w:ascii="Arial" w:cs="Arial" w:eastAsia="Arial" w:hAnsi="Arial"/>
          <w:sz w:val="12"/>
          <w:szCs w:val="12"/>
          <w:color w:val="auto"/>
        </w:rPr>
        <w:t>.</w:t>
      </w:r>
    </w:p>
    <w:p>
      <w:pPr>
        <w:spacing w:after="0" w:line="111" w:lineRule="exact"/>
        <w:rPr>
          <w:sz w:val="20"/>
          <w:szCs w:val="20"/>
          <w:color w:val="auto"/>
        </w:rPr>
      </w:pPr>
    </w:p>
    <w:p>
      <w:pPr>
        <w:ind w:right="140" w:firstLine="497"/>
        <w:spacing w:after="0" w:line="257" w:lineRule="auto"/>
        <w:rPr>
          <w:sz w:val="20"/>
          <w:szCs w:val="20"/>
          <w:color w:val="auto"/>
        </w:rPr>
      </w:pPr>
      <w:r>
        <w:rPr>
          <w:rFonts w:ascii="Arial" w:cs="Arial" w:eastAsia="Arial" w:hAnsi="Arial"/>
          <w:sz w:val="14"/>
          <w:szCs w:val="14"/>
          <w:color w:val="auto"/>
        </w:rPr>
        <w:t xml:space="preserve">Our contracts may include the provision of more than one of our services (“multiple element arrangements”). In these situations, we apply the guidance of </w:t>
      </w:r>
      <w:r>
        <w:rPr>
          <w:rFonts w:ascii="Arial" w:cs="Arial" w:eastAsia="Arial" w:hAnsi="Arial"/>
          <w:sz w:val="14"/>
          <w:szCs w:val="14"/>
          <w:i w:val="1"/>
          <w:iCs w:val="1"/>
          <w:color w:val="auto"/>
        </w:rPr>
        <w:t>Topic 605.</w:t>
      </w:r>
      <w:r>
        <w:rPr>
          <w:rFonts w:ascii="Arial" w:cs="Arial" w:eastAsia="Arial" w:hAnsi="Arial"/>
          <w:sz w:val="14"/>
          <w:szCs w:val="14"/>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45" w:lineRule="exact"/>
        <w:rPr>
          <w:sz w:val="20"/>
          <w:szCs w:val="20"/>
          <w:color w:val="auto"/>
        </w:rPr>
      </w:pPr>
    </w:p>
    <w:p>
      <w:pPr>
        <w:ind w:right="100" w:firstLine="497"/>
        <w:spacing w:after="0" w:line="257" w:lineRule="auto"/>
        <w:rPr>
          <w:sz w:val="20"/>
          <w:szCs w:val="20"/>
          <w:color w:val="auto"/>
        </w:rPr>
      </w:pPr>
      <w:r>
        <w:rPr>
          <w:rFonts w:ascii="Arial" w:cs="Arial" w:eastAsia="Arial" w:hAnsi="Arial"/>
          <w:sz w:val="14"/>
          <w:szCs w:val="14"/>
          <w:color w:val="auto"/>
        </w:rPr>
        <w:t>For multiple element arrangements that include hardware products containing software essential to the hardware products’ functionality and undelivered non-software services, we allocate revenue to all deliverables based on their relative selling prices. In such circumstances, we use a hierarchy to determine the selling price to be used for allocating revenue to deliverables: (i) VSOE, (ii) third-party evidence of selling price (“TPE”), and (iii) best estimate of the selling price (“ESP”).</w:t>
      </w:r>
    </w:p>
    <w:p>
      <w:pPr>
        <w:spacing w:after="0" w:line="145" w:lineRule="exact"/>
        <w:rPr>
          <w:sz w:val="20"/>
          <w:szCs w:val="20"/>
          <w:color w:val="auto"/>
        </w:rPr>
      </w:pPr>
    </w:p>
    <w:p>
      <w:pPr>
        <w:ind w:firstLine="497"/>
        <w:spacing w:after="0" w:line="252" w:lineRule="auto"/>
        <w:rPr>
          <w:sz w:val="20"/>
          <w:szCs w:val="20"/>
          <w:color w:val="auto"/>
        </w:rPr>
      </w:pPr>
      <w:r>
        <w:rPr>
          <w:rFonts w:ascii="Arial" w:cs="Arial" w:eastAsia="Arial" w:hAnsi="Arial"/>
          <w:sz w:val="14"/>
          <w:szCs w:val="14"/>
          <w:color w:val="auto"/>
        </w:rPr>
        <w:t>VSOE generally exists only when we sell the deliverable separately and is the price actually charged by us for that deliverable. TPE is determined based on competitor prices for similar deliverables when sold separately. Generally, our offerings contain significant differentiation such that comparable pricing of products with similar functionality cannot be obtained. Furthermore, we are unable to reliably determine what similar competitor products’ selling prices are on a stand-alone basis. Therefore, we typically are not able to obtain TPE of selling price. ESP reflects our best estimates of what the selling prices of elements would be if they were sold regularly on a stand-alone basis. We determine ESP for a product or service by considering multiple factors including, but not limited to major product groupings, geographies, market conditions, competitive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20" w:top="129"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auto"/>
        </w:rPr>
        <w:t>landscape, internal costs, gross margin objectives and pricing practices. The determination of ESP is made through consultation with our management, taking into consideration our marketing strategy.</w:t>
      </w:r>
    </w:p>
    <w:p>
      <w:pPr>
        <w:spacing w:after="0" w:line="193"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color w:val="auto"/>
        </w:rPr>
        <w:t xml:space="preserve">We account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we cannot objectively determine the fair value of any undelivered element included in such multiple element arrangements, we defer revenue until all elements are delivered and services have been performed, or until fair value can objectively be determined for any remaining undelivered elements. Under certain of our contractual arrangements, we may also recognize revenue for out-of-pocket expenses in accordance with </w:t>
      </w:r>
      <w:r>
        <w:rPr>
          <w:rFonts w:ascii="Arial" w:cs="Arial" w:eastAsia="Arial" w:hAnsi="Arial"/>
          <w:sz w:val="13"/>
          <w:szCs w:val="13"/>
          <w:i w:val="1"/>
          <w:iCs w:val="1"/>
          <w:color w:val="auto"/>
        </w:rPr>
        <w:t>Topic 605.</w:t>
      </w:r>
      <w:r>
        <w:rPr>
          <w:rFonts w:ascii="Arial" w:cs="Arial" w:eastAsia="Arial" w:hAnsi="Arial"/>
          <w:sz w:val="13"/>
          <w:szCs w:val="13"/>
          <w:color w:val="auto"/>
        </w:rPr>
        <w:t xml:space="preserve"> Depending on the contractual arrangement, these expenses may be reimbursed with or without a fee.</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Under certain of our contracts, we provide supplier procurement services and materials for our customers. We record revenue on these arrangements on a gross or net basis in accordance with</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Topic 605</w:t>
      </w:r>
      <w:r>
        <w:rPr>
          <w:rFonts w:ascii="Arial" w:cs="Arial" w:eastAsia="Arial" w:hAnsi="Arial"/>
          <w:sz w:val="14"/>
          <w:szCs w:val="14"/>
          <w:color w:val="auto"/>
        </w:rPr>
        <w:t>. Depending on the specific circumstances of the arrangement we consider the following criteria, among others, for recording revenue on a gross or net basis:</w:t>
      </w:r>
    </w:p>
    <w:p>
      <w:pPr>
        <w:spacing w:after="0" w:line="161" w:lineRule="exact"/>
        <w:rPr>
          <w:sz w:val="20"/>
          <w:szCs w:val="20"/>
          <w:color w:val="auto"/>
        </w:rPr>
      </w:pPr>
    </w:p>
    <w:p>
      <w:pPr>
        <w:ind w:left="740" w:hanging="240"/>
        <w:spacing w:after="0"/>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whether we act as a principal in the transaction;</w:t>
      </w:r>
    </w:p>
    <w:p>
      <w:pPr>
        <w:spacing w:after="0" w:line="170" w:lineRule="exact"/>
        <w:rPr>
          <w:rFonts w:ascii="Arial" w:cs="Arial" w:eastAsia="Arial" w:hAnsi="Arial"/>
          <w:sz w:val="14"/>
          <w:szCs w:val="14"/>
          <w:color w:val="auto"/>
        </w:rPr>
      </w:pPr>
    </w:p>
    <w:p>
      <w:pPr>
        <w:ind w:left="740" w:hanging="240"/>
        <w:spacing w:after="0"/>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whether we take title to the products;</w:t>
      </w:r>
    </w:p>
    <w:p>
      <w:pPr>
        <w:spacing w:after="0" w:line="170" w:lineRule="exact"/>
        <w:rPr>
          <w:rFonts w:ascii="Arial" w:cs="Arial" w:eastAsia="Arial" w:hAnsi="Arial"/>
          <w:sz w:val="14"/>
          <w:szCs w:val="14"/>
          <w:color w:val="auto"/>
        </w:rPr>
      </w:pPr>
    </w:p>
    <w:p>
      <w:pPr>
        <w:ind w:left="740" w:hanging="240"/>
        <w:spacing w:after="0"/>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whether we assume risks and rewards of ownership, such as risk of loss for collection, delivery or returns;</w:t>
      </w:r>
    </w:p>
    <w:p>
      <w:pPr>
        <w:spacing w:after="0" w:line="170" w:lineRule="exact"/>
        <w:rPr>
          <w:rFonts w:ascii="Arial" w:cs="Arial" w:eastAsia="Arial" w:hAnsi="Arial"/>
          <w:sz w:val="14"/>
          <w:szCs w:val="14"/>
          <w:color w:val="auto"/>
        </w:rPr>
      </w:pPr>
    </w:p>
    <w:p>
      <w:pPr>
        <w:ind w:left="740" w:hanging="240"/>
        <w:spacing w:after="0"/>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whether we serve as an agent or broker, with compensation on a commission or fee basis; and</w:t>
      </w:r>
    </w:p>
    <w:p>
      <w:pPr>
        <w:spacing w:after="0" w:line="170" w:lineRule="exact"/>
        <w:rPr>
          <w:rFonts w:ascii="Arial" w:cs="Arial" w:eastAsia="Arial" w:hAnsi="Arial"/>
          <w:sz w:val="14"/>
          <w:szCs w:val="14"/>
          <w:color w:val="auto"/>
        </w:rPr>
      </w:pPr>
    </w:p>
    <w:p>
      <w:pPr>
        <w:ind w:left="740" w:hanging="240"/>
        <w:spacing w:after="0"/>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whether we assume the credit risk for the amount billed to the customer subsequent to delivery.</w:t>
      </w:r>
    </w:p>
    <w:p>
      <w:pPr>
        <w:spacing w:after="0" w:line="170" w:lineRule="exact"/>
        <w:rPr>
          <w:sz w:val="20"/>
          <w:szCs w:val="20"/>
          <w:color w:val="auto"/>
        </w:rPr>
      </w:pPr>
    </w:p>
    <w:p>
      <w:pPr>
        <w:ind w:right="100" w:firstLine="497"/>
        <w:spacing w:after="0" w:line="301" w:lineRule="auto"/>
        <w:rPr>
          <w:sz w:val="20"/>
          <w:szCs w:val="20"/>
          <w:color w:val="auto"/>
        </w:rPr>
      </w:pPr>
      <w:r>
        <w:rPr>
          <w:rFonts w:ascii="Arial" w:cs="Arial" w:eastAsia="Arial" w:hAnsi="Arial"/>
          <w:sz w:val="12"/>
          <w:szCs w:val="12"/>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21" w:lineRule="exact"/>
        <w:rPr>
          <w:sz w:val="20"/>
          <w:szCs w:val="20"/>
          <w:color w:val="auto"/>
        </w:rPr>
      </w:pPr>
    </w:p>
    <w:p>
      <w:pPr>
        <w:ind w:right="240" w:firstLine="497"/>
        <w:spacing w:after="0" w:line="257" w:lineRule="auto"/>
        <w:rPr>
          <w:sz w:val="20"/>
          <w:szCs w:val="20"/>
          <w:color w:val="auto"/>
        </w:rPr>
      </w:pPr>
      <w:r>
        <w:rPr>
          <w:rFonts w:ascii="Arial" w:cs="Arial" w:eastAsia="Arial" w:hAnsi="Arial"/>
          <w:sz w:val="14"/>
          <w:szCs w:val="14"/>
          <w:color w:val="auto"/>
        </w:rPr>
        <w:t>From time to time, we may proceed with work based on customer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customer, communications with the customer regarding funding status, and our knowledge of available funding for the contract or program.</w:t>
      </w:r>
    </w:p>
    <w:p>
      <w:pPr>
        <w:spacing w:after="0" w:line="145" w:lineRule="exact"/>
        <w:rPr>
          <w:sz w:val="20"/>
          <w:szCs w:val="20"/>
          <w:color w:val="auto"/>
        </w:rPr>
      </w:pPr>
    </w:p>
    <w:p>
      <w:pPr>
        <w:ind w:right="40" w:firstLine="497"/>
        <w:spacing w:after="0" w:line="272" w:lineRule="auto"/>
        <w:rPr>
          <w:sz w:val="20"/>
          <w:szCs w:val="20"/>
          <w:color w:val="auto"/>
        </w:rPr>
      </w:pPr>
      <w:r>
        <w:rPr>
          <w:rFonts w:ascii="Arial" w:cs="Arial" w:eastAsia="Arial" w:hAnsi="Arial"/>
          <w:sz w:val="13"/>
          <w:szCs w:val="13"/>
          <w:i w:val="1"/>
          <w:iCs w:val="1"/>
          <w:color w:val="auto"/>
        </w:rPr>
        <w:t xml:space="preserve">Allowance for doubtful accounts. </w:t>
      </w:r>
      <w:r>
        <w:rPr>
          <w:rFonts w:ascii="Arial" w:cs="Arial" w:eastAsia="Arial" w:hAnsi="Arial"/>
          <w:sz w:val="13"/>
          <w:szCs w:val="13"/>
          <w:color w:val="auto"/>
        </w:rPr>
        <w:t>We maintain an allowance for doubtful accounts for estimated losses resulting from the potential inability of certain customers to make required future payments on</w:t>
      </w:r>
      <w:r>
        <w:rPr>
          <w:rFonts w:ascii="Arial" w:cs="Arial" w:eastAsia="Arial" w:hAnsi="Arial"/>
          <w:sz w:val="13"/>
          <w:szCs w:val="13"/>
          <w:i w:val="1"/>
          <w:iCs w:val="1"/>
          <w:color w:val="auto"/>
        </w:rPr>
        <w:t xml:space="preserve"> </w:t>
      </w:r>
      <w:r>
        <w:rPr>
          <w:rFonts w:ascii="Arial" w:cs="Arial" w:eastAsia="Arial" w:hAnsi="Arial"/>
          <w:sz w:val="13"/>
          <w:szCs w:val="13"/>
          <w:color w:val="auto"/>
        </w:rPr>
        <w:t>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39" w:lineRule="exact"/>
        <w:rPr>
          <w:sz w:val="20"/>
          <w:szCs w:val="20"/>
          <w:color w:val="auto"/>
        </w:rPr>
      </w:pPr>
    </w:p>
    <w:p>
      <w:pPr>
        <w:ind w:firstLine="497"/>
        <w:spacing w:after="0" w:line="257" w:lineRule="auto"/>
        <w:rPr>
          <w:sz w:val="20"/>
          <w:szCs w:val="20"/>
          <w:color w:val="auto"/>
        </w:rPr>
      </w:pPr>
      <w:r>
        <w:rPr>
          <w:rFonts w:ascii="Arial" w:cs="Arial" w:eastAsia="Arial" w:hAnsi="Arial"/>
          <w:sz w:val="14"/>
          <w:szCs w:val="14"/>
          <w:i w:val="1"/>
          <w:iCs w:val="1"/>
          <w:color w:val="auto"/>
        </w:rPr>
        <w:t xml:space="preserve">Long-lived and Intangible Assets. </w:t>
      </w:r>
      <w:r>
        <w:rPr>
          <w:rFonts w:ascii="Arial" w:cs="Arial" w:eastAsia="Arial" w:hAnsi="Arial"/>
          <w:sz w:val="14"/>
          <w:szCs w:val="14"/>
          <w:color w:val="auto"/>
        </w:rPr>
        <w:t>We account for long-lived assets in accordance with the provisions of FASB ASC</w:t>
      </w:r>
      <w:r>
        <w:rPr>
          <w:rFonts w:ascii="Arial" w:cs="Arial" w:eastAsia="Arial" w:hAnsi="Arial"/>
          <w:sz w:val="14"/>
          <w:szCs w:val="14"/>
          <w:i w:val="1"/>
          <w:iCs w:val="1"/>
          <w:color w:val="auto"/>
        </w:rPr>
        <w:t xml:space="preserve"> Topic 360 Property, Plant, and Equipment </w:t>
      </w:r>
      <w:r>
        <w:rPr>
          <w:rFonts w:ascii="Arial" w:cs="Arial" w:eastAsia="Arial" w:hAnsi="Arial"/>
          <w:sz w:val="14"/>
          <w:szCs w:val="14"/>
          <w:color w:val="auto"/>
        </w:rPr>
        <w:t>(“</w:t>
      </w:r>
      <w:r>
        <w:rPr>
          <w:rFonts w:ascii="Arial" w:cs="Arial" w:eastAsia="Arial" w:hAnsi="Arial"/>
          <w:sz w:val="14"/>
          <w:szCs w:val="14"/>
          <w:i w:val="1"/>
          <w:iCs w:val="1"/>
          <w:color w:val="auto"/>
        </w:rPr>
        <w:t>Topic 360</w:t>
      </w:r>
      <w:r>
        <w:rPr>
          <w:rFonts w:ascii="Arial" w:cs="Arial" w:eastAsia="Arial" w:hAnsi="Arial"/>
          <w:sz w:val="14"/>
          <w:szCs w:val="14"/>
          <w:color w:val="auto"/>
        </w:rPr>
        <w:t>”)</w:t>
      </w:r>
      <w:r>
        <w:rPr>
          <w:rFonts w:ascii="Arial" w:cs="Arial" w:eastAsia="Arial" w:hAnsi="Arial"/>
          <w:sz w:val="14"/>
          <w:szCs w:val="14"/>
          <w:i w:val="1"/>
          <w:iCs w:val="1"/>
          <w:color w:val="auto"/>
        </w:rPr>
        <w:t xml:space="preserve">. Topic 360 </w:t>
      </w:r>
      <w:r>
        <w:rPr>
          <w:rFonts w:ascii="Arial" w:cs="Arial" w:eastAsia="Arial" w:hAnsi="Arial"/>
          <w:sz w:val="14"/>
          <w:szCs w:val="14"/>
          <w:color w:val="auto"/>
        </w:rPr>
        <w:t>addresses</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accounting and reporting for the impairment or disposal of long-lived assets and requires that long-lived assets be reviewed for impairment whenever events or changes in circumstances indicate that the carrying amount of an asset may not be recoverable. Recoverability is measured by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60"/>
          </w:cols>
          <w:pgMar w:left="220" w:top="129" w:right="21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 xml:space="preserve">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w:t>
      </w:r>
      <w:r>
        <w:rPr>
          <w:rFonts w:ascii="Arial" w:cs="Arial" w:eastAsia="Arial" w:hAnsi="Arial"/>
          <w:sz w:val="14"/>
          <w:szCs w:val="14"/>
          <w:i w:val="1"/>
          <w:iCs w:val="1"/>
          <w:color w:val="auto"/>
        </w:rPr>
        <w:t>Topic 360</w:t>
      </w:r>
      <w:r>
        <w:rPr>
          <w:rFonts w:ascii="Arial" w:cs="Arial" w:eastAsia="Arial" w:hAnsi="Arial"/>
          <w:sz w:val="14"/>
          <w:szCs w:val="14"/>
          <w:color w:val="auto"/>
        </w:rPr>
        <w:t xml:space="preserve">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49" w:lineRule="exact"/>
        <w:rPr>
          <w:sz w:val="20"/>
          <w:szCs w:val="20"/>
          <w:color w:val="auto"/>
        </w:rPr>
      </w:pPr>
    </w:p>
    <w:p>
      <w:pPr>
        <w:ind w:right="260" w:firstLine="497"/>
        <w:spacing w:after="0" w:line="267" w:lineRule="auto"/>
        <w:rPr>
          <w:sz w:val="20"/>
          <w:szCs w:val="20"/>
          <w:color w:val="auto"/>
        </w:rPr>
      </w:pPr>
      <w:r>
        <w:rPr>
          <w:rFonts w:ascii="Arial" w:cs="Arial" w:eastAsia="Arial" w:hAnsi="Arial"/>
          <w:sz w:val="14"/>
          <w:szCs w:val="14"/>
          <w:color w:val="auto"/>
        </w:rPr>
        <w:t xml:space="preserve">In accordance with </w:t>
      </w:r>
      <w:r>
        <w:rPr>
          <w:rFonts w:ascii="Arial" w:cs="Arial" w:eastAsia="Arial" w:hAnsi="Arial"/>
          <w:sz w:val="14"/>
          <w:szCs w:val="14"/>
          <w:i w:val="1"/>
          <w:iCs w:val="1"/>
          <w:color w:val="auto"/>
        </w:rPr>
        <w:t>Topic 360</w:t>
      </w:r>
      <w:r>
        <w:rPr>
          <w:rFonts w:ascii="Arial" w:cs="Arial" w:eastAsia="Arial" w:hAnsi="Arial"/>
          <w:sz w:val="14"/>
          <w:szCs w:val="14"/>
          <w:color w:val="auto"/>
        </w:rPr>
        <w:t>,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39" w:lineRule="exact"/>
        <w:rPr>
          <w:sz w:val="20"/>
          <w:szCs w:val="20"/>
          <w:color w:val="auto"/>
        </w:rPr>
      </w:pPr>
    </w:p>
    <w:p>
      <w:pPr>
        <w:ind w:left="740" w:hanging="240"/>
        <w:spacing w:after="0"/>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significant underperformance relative to expected historical or projected future operating results;</w:t>
      </w:r>
    </w:p>
    <w:p>
      <w:pPr>
        <w:spacing w:after="0" w:line="13" w:lineRule="exact"/>
        <w:rPr>
          <w:rFonts w:ascii="Arial" w:cs="Arial" w:eastAsia="Arial" w:hAnsi="Arial"/>
          <w:sz w:val="14"/>
          <w:szCs w:val="14"/>
          <w:color w:val="auto"/>
        </w:rPr>
      </w:pPr>
    </w:p>
    <w:p>
      <w:pPr>
        <w:ind w:left="740" w:hanging="240"/>
        <w:spacing w:after="0"/>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significant changes in the manner of our use of the acquired assets or the strategy for our overall business;</w:t>
      </w:r>
    </w:p>
    <w:p>
      <w:pPr>
        <w:spacing w:after="0" w:line="4" w:lineRule="exact"/>
        <w:rPr>
          <w:rFonts w:ascii="Arial" w:cs="Arial" w:eastAsia="Arial" w:hAnsi="Arial"/>
          <w:sz w:val="14"/>
          <w:szCs w:val="14"/>
          <w:color w:val="auto"/>
        </w:rPr>
      </w:pPr>
    </w:p>
    <w:p>
      <w:pPr>
        <w:ind w:left="740" w:hanging="240"/>
        <w:spacing w:after="0"/>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significant negative industry or economic trends;</w:t>
      </w:r>
    </w:p>
    <w:p>
      <w:pPr>
        <w:spacing w:after="0" w:line="4" w:lineRule="exact"/>
        <w:rPr>
          <w:rFonts w:ascii="Arial" w:cs="Arial" w:eastAsia="Arial" w:hAnsi="Arial"/>
          <w:sz w:val="14"/>
          <w:szCs w:val="14"/>
          <w:color w:val="auto"/>
        </w:rPr>
      </w:pPr>
    </w:p>
    <w:p>
      <w:pPr>
        <w:ind w:left="740" w:hanging="240"/>
        <w:spacing w:after="0"/>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significant decline in our stock price for a sustained period; and</w:t>
      </w:r>
    </w:p>
    <w:p>
      <w:pPr>
        <w:spacing w:after="0" w:line="4" w:lineRule="exact"/>
        <w:rPr>
          <w:rFonts w:ascii="Arial" w:cs="Arial" w:eastAsia="Arial" w:hAnsi="Arial"/>
          <w:sz w:val="14"/>
          <w:szCs w:val="14"/>
          <w:color w:val="auto"/>
        </w:rPr>
      </w:pPr>
    </w:p>
    <w:p>
      <w:pPr>
        <w:ind w:left="740" w:hanging="240"/>
        <w:spacing w:after="0"/>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market capitalization relative to net book value.</w:t>
      </w:r>
    </w:p>
    <w:p>
      <w:pPr>
        <w:spacing w:after="0" w:line="161" w:lineRule="exact"/>
        <w:rPr>
          <w:sz w:val="20"/>
          <w:szCs w:val="20"/>
          <w:color w:val="auto"/>
        </w:rPr>
      </w:pPr>
    </w:p>
    <w:p>
      <w:pPr>
        <w:ind w:right="40" w:firstLine="497"/>
        <w:spacing w:after="0" w:line="267" w:lineRule="auto"/>
        <w:rPr>
          <w:sz w:val="20"/>
          <w:szCs w:val="20"/>
          <w:color w:val="auto"/>
        </w:rPr>
      </w:pPr>
      <w:r>
        <w:rPr>
          <w:rFonts w:ascii="Arial" w:cs="Arial" w:eastAsia="Arial" w:hAnsi="Arial"/>
          <w:sz w:val="14"/>
          <w:szCs w:val="14"/>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39" w:lineRule="exact"/>
        <w:rPr>
          <w:sz w:val="20"/>
          <w:szCs w:val="20"/>
          <w:color w:val="auto"/>
        </w:rPr>
      </w:pPr>
    </w:p>
    <w:p>
      <w:pPr>
        <w:ind w:right="160" w:firstLine="497"/>
        <w:spacing w:after="0" w:line="257" w:lineRule="auto"/>
        <w:rPr>
          <w:sz w:val="20"/>
          <w:szCs w:val="20"/>
          <w:color w:val="auto"/>
        </w:rPr>
      </w:pPr>
      <w:r>
        <w:rPr>
          <w:rFonts w:ascii="Arial" w:cs="Arial" w:eastAsia="Arial" w:hAnsi="Arial"/>
          <w:sz w:val="14"/>
          <w:szCs w:val="14"/>
          <w:i w:val="1"/>
          <w:iCs w:val="1"/>
          <w:color w:val="auto"/>
        </w:rPr>
        <w:t xml:space="preserve">Goodwill and Purchased Intangibles. </w:t>
      </w:r>
      <w:r>
        <w:rPr>
          <w:rFonts w:ascii="Arial" w:cs="Arial" w:eastAsia="Arial" w:hAnsi="Arial"/>
          <w:sz w:val="14"/>
          <w:szCs w:val="14"/>
          <w:color w:val="auto"/>
        </w:rPr>
        <w:t>The purchase price of an acquired business is allocated to the underlying tangible and intangible assets acquired and liabilities assumed based upon their</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w:t>
      </w:r>
    </w:p>
    <w:p>
      <w:pPr>
        <w:spacing w:after="0" w:line="145" w:lineRule="exact"/>
        <w:rPr>
          <w:sz w:val="20"/>
          <w:szCs w:val="20"/>
          <w:color w:val="auto"/>
        </w:rPr>
      </w:pPr>
    </w:p>
    <w:p>
      <w:pPr>
        <w:ind w:right="460" w:firstLine="497"/>
        <w:spacing w:after="0" w:line="279" w:lineRule="auto"/>
        <w:rPr>
          <w:sz w:val="20"/>
          <w:szCs w:val="20"/>
          <w:color w:val="auto"/>
        </w:rPr>
      </w:pPr>
      <w:r>
        <w:rPr>
          <w:rFonts w:ascii="Arial" w:cs="Arial" w:eastAsia="Arial" w:hAnsi="Arial"/>
          <w:sz w:val="13"/>
          <w:szCs w:val="13"/>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Any changes to recorded estimates will be recognized through earnings.</w:t>
      </w:r>
    </w:p>
    <w:p>
      <w:pPr>
        <w:spacing w:after="0" w:line="133" w:lineRule="exact"/>
        <w:rPr>
          <w:sz w:val="20"/>
          <w:szCs w:val="20"/>
          <w:color w:val="auto"/>
        </w:rPr>
      </w:pPr>
    </w:p>
    <w:p>
      <w:pPr>
        <w:ind w:right="300" w:firstLine="497"/>
        <w:spacing w:after="0" w:line="253" w:lineRule="auto"/>
        <w:rPr>
          <w:sz w:val="20"/>
          <w:szCs w:val="20"/>
          <w:color w:val="auto"/>
        </w:rPr>
      </w:pPr>
      <w:r>
        <w:rPr>
          <w:rFonts w:ascii="Arial" w:cs="Arial" w:eastAsia="Arial" w:hAnsi="Arial"/>
          <w:sz w:val="14"/>
          <w:szCs w:val="14"/>
          <w:color w:val="auto"/>
        </w:rPr>
        <w:t xml:space="preserve">We perform our impairment test for goodwill in accordance with </w:t>
      </w:r>
      <w:r>
        <w:rPr>
          <w:rFonts w:ascii="Arial" w:cs="Arial" w:eastAsia="Arial" w:hAnsi="Arial"/>
          <w:sz w:val="14"/>
          <w:szCs w:val="14"/>
          <w:i w:val="1"/>
          <w:iCs w:val="1"/>
          <w:color w:val="auto"/>
        </w:rPr>
        <w:t>Topic 350</w:t>
      </w:r>
      <w:r>
        <w:rPr>
          <w:rFonts w:ascii="Arial" w:cs="Arial" w:eastAsia="Arial" w:hAnsi="Arial"/>
          <w:sz w:val="14"/>
          <w:szCs w:val="14"/>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149" w:lineRule="exact"/>
        <w:rPr>
          <w:sz w:val="20"/>
          <w:szCs w:val="20"/>
          <w:color w:val="auto"/>
        </w:rPr>
      </w:pPr>
    </w:p>
    <w:p>
      <w:pPr>
        <w:ind w:right="120" w:firstLine="497"/>
        <w:spacing w:after="0" w:line="274" w:lineRule="auto"/>
        <w:rPr>
          <w:sz w:val="20"/>
          <w:szCs w:val="20"/>
          <w:color w:val="auto"/>
        </w:rPr>
      </w:pPr>
      <w:r>
        <w:rPr>
          <w:rFonts w:ascii="Arial" w:cs="Arial" w:eastAsia="Arial" w:hAnsi="Arial"/>
          <w:sz w:val="13"/>
          <w:szCs w:val="13"/>
          <w:color w:val="auto"/>
        </w:rPr>
        <w:t>KGS has four operating segments: Defense Rocket Support Services (“DRSS”), Microwave Electronics Division (“ME”), Technical and Training Solutions (“TTS”), and Modular Systems (“MS”) that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PSS operating segment provides integrated solutions for advanced homeland security, public safety, critical infrastructure security, and security and surveillance systems for government, industrial and commercial customers. The US reportable segment provides unmanned aerial systems and unmanned ground and seaborne systems. The Company has identified its reporting units to be the DRSS, ME, TTS, and MS operating segments, within its KGS reportable segment, the US reportable segment, and the PSS reportable segment to be tested for potential impairment in its fiscal year 2016 annual test.</w:t>
      </w:r>
    </w:p>
    <w:p>
      <w:pPr>
        <w:spacing w:after="0" w:line="105" w:lineRule="exact"/>
        <w:rPr>
          <w:sz w:val="20"/>
          <w:szCs w:val="20"/>
          <w:color w:val="auto"/>
        </w:rPr>
      </w:pPr>
    </w:p>
    <w:p>
      <w:pPr>
        <w:ind w:firstLine="497"/>
        <w:spacing w:after="0" w:line="279" w:lineRule="auto"/>
        <w:rPr>
          <w:sz w:val="20"/>
          <w:szCs w:val="20"/>
          <w:color w:val="auto"/>
        </w:rPr>
      </w:pPr>
      <w:r>
        <w:rPr>
          <w:rFonts w:ascii="Arial" w:cs="Arial" w:eastAsia="Arial" w:hAnsi="Arial"/>
          <w:sz w:val="13"/>
          <w:szCs w:val="13"/>
          <w:color w:val="auto"/>
        </w:rPr>
        <w:t>We also perform impairment tests for goodwill whenever evidence of potential impairment exists. When it is determined that impairment has occurred, a charge to operations is recorded. In order to test for potential impairment, we estimate the fair value of each of our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 We reconcile the fair value of our reporting units to our market capitalization on the last business day of fiscal October and assume a control premium.</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40"/>
          </w:cols>
          <w:pgMar w:left="220" w:top="129"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20" w:firstLine="497"/>
        <w:spacing w:after="0" w:line="267" w:lineRule="auto"/>
        <w:rPr>
          <w:sz w:val="20"/>
          <w:szCs w:val="20"/>
          <w:color w:val="auto"/>
        </w:rPr>
      </w:pPr>
      <w:r>
        <w:rPr>
          <w:rFonts w:ascii="Arial" w:cs="Arial" w:eastAsia="Arial" w:hAnsi="Arial"/>
          <w:sz w:val="14"/>
          <w:szCs w:val="14"/>
          <w:color w:val="auto"/>
        </w:rPr>
        <w:t>In testing for impairment of our goodwill, we make assumptions about the amount and timing of future expected cash flows, terminal growth rates, appropriate discount rates, market multiples, and the control premium a controlling shareholder could be expected to pay:</w:t>
      </w:r>
    </w:p>
    <w:p>
      <w:pPr>
        <w:spacing w:after="0" w:line="139" w:lineRule="exact"/>
        <w:rPr>
          <w:sz w:val="20"/>
          <w:szCs w:val="20"/>
          <w:color w:val="auto"/>
        </w:rPr>
      </w:pPr>
    </w:p>
    <w:p>
      <w:pPr>
        <w:ind w:left="740" w:right="320" w:hanging="240"/>
        <w:spacing w:after="0" w:line="253" w:lineRule="auto"/>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spacing w:after="0" w:line="1" w:lineRule="exact"/>
        <w:rPr>
          <w:rFonts w:ascii="Arial" w:cs="Arial" w:eastAsia="Arial" w:hAnsi="Arial"/>
          <w:sz w:val="14"/>
          <w:szCs w:val="14"/>
          <w:color w:val="auto"/>
        </w:rPr>
      </w:pPr>
    </w:p>
    <w:p>
      <w:pPr>
        <w:ind w:left="740" w:right="380" w:hanging="240"/>
        <w:spacing w:after="0" w:line="246" w:lineRule="auto"/>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terminal growth rate is used to calculate the value of cash flows beyond the last projected period in our DCF analysis and reflects our best estimates for stable, perpetual growth of our reporting units.</w:t>
      </w:r>
    </w:p>
    <w:p>
      <w:pPr>
        <w:spacing w:after="0" w:line="1" w:lineRule="exact"/>
        <w:rPr>
          <w:rFonts w:ascii="Arial" w:cs="Arial" w:eastAsia="Arial" w:hAnsi="Arial"/>
          <w:sz w:val="14"/>
          <w:szCs w:val="14"/>
          <w:color w:val="auto"/>
        </w:rPr>
      </w:pPr>
    </w:p>
    <w:p>
      <w:pPr>
        <w:ind w:left="740" w:right="20" w:hanging="240"/>
        <w:spacing w:after="0" w:line="265" w:lineRule="auto"/>
        <w:tabs>
          <w:tab w:leader="none" w:pos="7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2" w:lineRule="exact"/>
        <w:rPr>
          <w:rFonts w:ascii="Arial" w:cs="Arial" w:eastAsia="Arial" w:hAnsi="Arial"/>
          <w:sz w:val="13"/>
          <w:szCs w:val="13"/>
          <w:color w:val="auto"/>
        </w:rPr>
      </w:pPr>
    </w:p>
    <w:p>
      <w:pPr>
        <w:ind w:left="740" w:hanging="240"/>
        <w:spacing w:after="0"/>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Recent historical market multiples are used to estimate future market pricing.</w:t>
      </w:r>
    </w:p>
    <w:p>
      <w:pPr>
        <w:spacing w:after="0" w:line="4" w:lineRule="exact"/>
        <w:rPr>
          <w:rFonts w:ascii="Arial" w:cs="Arial" w:eastAsia="Arial" w:hAnsi="Arial"/>
          <w:sz w:val="14"/>
          <w:szCs w:val="14"/>
          <w:color w:val="auto"/>
        </w:rPr>
      </w:pPr>
    </w:p>
    <w:p>
      <w:pPr>
        <w:ind w:left="740" w:hanging="240"/>
        <w:spacing w:after="0" w:line="249" w:lineRule="auto"/>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We use an estimated control premium in reconciling the aggregate value of our reporting units to our market capitalization. As discussed in </w:t>
      </w:r>
      <w:r>
        <w:rPr>
          <w:rFonts w:ascii="Arial" w:cs="Arial" w:eastAsia="Arial" w:hAnsi="Arial"/>
          <w:sz w:val="14"/>
          <w:szCs w:val="14"/>
          <w:i w:val="1"/>
          <w:iCs w:val="1"/>
          <w:color w:val="auto"/>
        </w:rPr>
        <w:t>Topic 350</w:t>
      </w:r>
      <w:r>
        <w:rPr>
          <w:rFonts w:ascii="Arial" w:cs="Arial" w:eastAsia="Arial" w:hAnsi="Arial"/>
          <w:sz w:val="14"/>
          <w:szCs w:val="14"/>
          <w:color w:val="auto"/>
        </w:rPr>
        <w:t>, control premiums may effectively cause a company’s aggregate fair value of its reporting unit(s) to exceed its current market 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51" w:lineRule="exact"/>
        <w:rPr>
          <w:sz w:val="20"/>
          <w:szCs w:val="20"/>
          <w:color w:val="auto"/>
        </w:rPr>
      </w:pPr>
    </w:p>
    <w:p>
      <w:pPr>
        <w:jc w:val="both"/>
        <w:ind w:firstLine="497"/>
        <w:spacing w:after="0" w:line="257" w:lineRule="auto"/>
        <w:rPr>
          <w:sz w:val="20"/>
          <w:szCs w:val="20"/>
          <w:color w:val="auto"/>
        </w:rPr>
      </w:pPr>
      <w:r>
        <w:rPr>
          <w:rFonts w:ascii="Arial" w:cs="Arial" w:eastAsia="Arial" w:hAnsi="Arial"/>
          <w:sz w:val="14"/>
          <w:szCs w:val="14"/>
          <w:color w:val="auto"/>
        </w:rPr>
        <w:t>We review intangible assets subject to amortization for impairment whenever events or changes in circumstances indicate that the carrying amount of the asset may not be recoverable. Impairment losses, where identified, are determined as the excess of the carrying value over the estimated fair value of the long-lived asset. We assess the recoverability of the carrying value of assets held for use based on a review of projected undiscounted cash flows.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goodwill of the PSS, US, and KGS reportable segments are $35.6 million, $97.3 million and $352.5 million, respectively, at December 25, 2016.</w:t>
      </w:r>
    </w:p>
    <w:p>
      <w:pPr>
        <w:spacing w:after="0" w:line="170" w:lineRule="exact"/>
        <w:rPr>
          <w:sz w:val="20"/>
          <w:szCs w:val="20"/>
          <w:color w:val="auto"/>
        </w:rPr>
      </w:pPr>
    </w:p>
    <w:p>
      <w:pPr>
        <w:ind w:right="140" w:firstLine="497"/>
        <w:spacing w:after="0" w:line="301" w:lineRule="auto"/>
        <w:rPr>
          <w:sz w:val="20"/>
          <w:szCs w:val="20"/>
          <w:color w:val="auto"/>
        </w:rPr>
      </w:pPr>
      <w:r>
        <w:rPr>
          <w:rFonts w:ascii="Arial" w:cs="Arial" w:eastAsia="Arial" w:hAnsi="Arial"/>
          <w:sz w:val="12"/>
          <w:szCs w:val="12"/>
          <w:color w:val="auto"/>
        </w:rPr>
        <w:t>In determining the fair value of our reporting units, there are key assumptions related to our future operating performance and revenue growth. If the actual operating performance and financial results are not consistent with our assumptions an impairment in our $485.4 million goodwill and $32.6 million long-lived intangibles could occur in future periods. In particular, the US reporting unit fair value includes assumptions that the development of the high performance Unmanned Combat Aerial System (“UCAS”) product is successful and we are awarded future contracts for the UCAS product and other new tactical unmanned aircraft systems. Additionally, the US reporting unit fair value assumes that the U.S. Navy will exercise options under the existing current contract and we will commence low rate initial production for the Sub-Sonic Aerial Target. For certain of our reporting units, the fair value includes assumptions of the entry to new international markets for which we have not yet penetrated. Additional risks for goodwill across all reporting units include, but are not limited to, the risks discussed in Item 1A “Risk Factors” contained within this Annual Report and:</w:t>
      </w:r>
    </w:p>
    <w:p>
      <w:pPr>
        <w:spacing w:after="0" w:line="121" w:lineRule="exact"/>
        <w:rPr>
          <w:sz w:val="20"/>
          <w:szCs w:val="20"/>
          <w:color w:val="auto"/>
        </w:rPr>
      </w:pPr>
    </w:p>
    <w:p>
      <w:pPr>
        <w:ind w:left="740" w:right="80" w:hanging="240"/>
        <w:spacing w:after="0" w:line="253" w:lineRule="auto"/>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decline in our stock price and resulting market capitalization, if we determine the decline is sustained and is indicative of a reduction in the fair value below the carrying value of our reporting units;</w:t>
      </w:r>
    </w:p>
    <w:p>
      <w:pPr>
        <w:spacing w:after="0" w:line="1" w:lineRule="exact"/>
        <w:rPr>
          <w:rFonts w:ascii="Arial" w:cs="Arial" w:eastAsia="Arial" w:hAnsi="Arial"/>
          <w:sz w:val="14"/>
          <w:szCs w:val="14"/>
          <w:color w:val="auto"/>
        </w:rPr>
      </w:pPr>
    </w:p>
    <w:p>
      <w:pPr>
        <w:ind w:left="740" w:hanging="240"/>
        <w:spacing w:after="0"/>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decrease in available government funding, including budgetary constraints affecting U.S. Government spending generally, or specific departments or agencies;</w:t>
      </w:r>
    </w:p>
    <w:p>
      <w:pPr>
        <w:spacing w:after="0" w:line="4" w:lineRule="exact"/>
        <w:rPr>
          <w:rFonts w:ascii="Arial" w:cs="Arial" w:eastAsia="Arial" w:hAnsi="Arial"/>
          <w:sz w:val="14"/>
          <w:szCs w:val="14"/>
          <w:color w:val="auto"/>
        </w:rPr>
      </w:pPr>
    </w:p>
    <w:p>
      <w:pPr>
        <w:ind w:left="740" w:hanging="240"/>
        <w:spacing w:after="0"/>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U.S. Government programs or requirements, including the increased use of small business providers;</w:t>
      </w:r>
    </w:p>
    <w:p>
      <w:pPr>
        <w:spacing w:after="0" w:line="4" w:lineRule="exact"/>
        <w:rPr>
          <w:rFonts w:ascii="Arial" w:cs="Arial" w:eastAsia="Arial" w:hAnsi="Arial"/>
          <w:sz w:val="14"/>
          <w:szCs w:val="14"/>
          <w:color w:val="auto"/>
        </w:rPr>
      </w:pPr>
    </w:p>
    <w:p>
      <w:pPr>
        <w:ind w:left="740" w:hanging="240"/>
        <w:spacing w:after="0"/>
        <w:tabs>
          <w:tab w:leader="none" w:pos="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failure to reach our internal forecasts could impact our ability to achieve our forecasted levels of cash flows and reduce the estimated discounted value of our reporting units;</w:t>
      </w:r>
    </w:p>
    <w:p>
      <w:pPr>
        <w:spacing w:after="0" w:line="16" w:lineRule="exact"/>
        <w:rPr>
          <w:rFonts w:ascii="Arial" w:cs="Arial" w:eastAsia="Arial" w:hAnsi="Arial"/>
          <w:sz w:val="13"/>
          <w:szCs w:val="13"/>
          <w:color w:val="auto"/>
        </w:rPr>
      </w:pPr>
    </w:p>
    <w:p>
      <w:pPr>
        <w:ind w:left="740" w:hanging="240"/>
        <w:spacing w:after="0"/>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volatility in equity and debt markets resulting in higher discount rates; and</w:t>
      </w:r>
    </w:p>
    <w:p>
      <w:pPr>
        <w:spacing w:after="0" w:line="4" w:lineRule="exact"/>
        <w:rPr>
          <w:rFonts w:ascii="Arial" w:cs="Arial" w:eastAsia="Arial" w:hAnsi="Arial"/>
          <w:sz w:val="14"/>
          <w:szCs w:val="14"/>
          <w:color w:val="auto"/>
        </w:rPr>
      </w:pPr>
    </w:p>
    <w:p>
      <w:pPr>
        <w:ind w:left="740" w:hanging="240"/>
        <w:spacing w:after="0"/>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market and political factors that could impact the success of new products, especially related to new unmanned systems platforms.</w:t>
      </w:r>
    </w:p>
    <w:p>
      <w:pPr>
        <w:spacing w:after="0" w:line="161" w:lineRule="exact"/>
        <w:rPr>
          <w:sz w:val="20"/>
          <w:szCs w:val="20"/>
          <w:color w:val="auto"/>
        </w:rPr>
      </w:pPr>
    </w:p>
    <w:p>
      <w:pPr>
        <w:ind w:right="40" w:firstLine="497"/>
        <w:spacing w:after="0" w:line="267" w:lineRule="auto"/>
        <w:rPr>
          <w:sz w:val="20"/>
          <w:szCs w:val="20"/>
          <w:color w:val="auto"/>
        </w:rPr>
      </w:pPr>
      <w:r>
        <w:rPr>
          <w:rFonts w:ascii="Arial" w:cs="Arial" w:eastAsia="Arial" w:hAnsi="Arial"/>
          <w:sz w:val="14"/>
          <w:szCs w:val="14"/>
          <w:color w:val="auto"/>
        </w:rPr>
        <w:t>It is not possible at this time to determine if an impairment charge would result from these factors, or, if it does, whether such charge would be material. We will continue to monitor our goodwill for potential impairment indicators.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60"/>
          </w:cols>
          <w:pgMar w:left="220" w:top="129" w:right="21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firstLine="497"/>
        <w:spacing w:after="0" w:line="286" w:lineRule="auto"/>
        <w:rPr>
          <w:sz w:val="20"/>
          <w:szCs w:val="20"/>
          <w:color w:val="auto"/>
        </w:rPr>
      </w:pPr>
      <w:r>
        <w:rPr>
          <w:rFonts w:ascii="Arial" w:cs="Arial" w:eastAsia="Arial" w:hAnsi="Arial"/>
          <w:sz w:val="13"/>
          <w:szCs w:val="13"/>
          <w:i w:val="1"/>
          <w:iCs w:val="1"/>
          <w:color w:val="auto"/>
        </w:rPr>
        <w:t xml:space="preserve">Accounting for income taxes and tax contingencies. </w:t>
      </w:r>
      <w:r>
        <w:rPr>
          <w:rFonts w:ascii="Arial" w:cs="Arial" w:eastAsia="Arial" w:hAnsi="Arial"/>
          <w:sz w:val="13"/>
          <w:szCs w:val="13"/>
          <w:color w:val="auto"/>
        </w:rPr>
        <w:t>FASB ASC</w:t>
      </w:r>
      <w:r>
        <w:rPr>
          <w:rFonts w:ascii="Arial" w:cs="Arial" w:eastAsia="Arial" w:hAnsi="Arial"/>
          <w:sz w:val="13"/>
          <w:szCs w:val="13"/>
          <w:i w:val="1"/>
          <w:iCs w:val="1"/>
          <w:color w:val="auto"/>
        </w:rPr>
        <w:t xml:space="preserve"> Topic 740 Income Taxes </w:t>
      </w:r>
      <w:r>
        <w:rPr>
          <w:rFonts w:ascii="Arial" w:cs="Arial" w:eastAsia="Arial" w:hAnsi="Arial"/>
          <w:sz w:val="13"/>
          <w:szCs w:val="13"/>
          <w:color w:val="auto"/>
        </w:rPr>
        <w:t>(“</w:t>
      </w:r>
      <w:r>
        <w:rPr>
          <w:rFonts w:ascii="Arial" w:cs="Arial" w:eastAsia="Arial" w:hAnsi="Arial"/>
          <w:sz w:val="13"/>
          <w:szCs w:val="13"/>
          <w:i w:val="1"/>
          <w:iCs w:val="1"/>
          <w:color w:val="auto"/>
        </w:rPr>
        <w:t>Topic 740</w:t>
      </w:r>
      <w:r>
        <w:rPr>
          <w:rFonts w:ascii="Arial" w:cs="Arial" w:eastAsia="Arial" w:hAnsi="Arial"/>
          <w:sz w:val="13"/>
          <w:szCs w:val="13"/>
          <w:color w:val="auto"/>
        </w:rPr>
        <w:t>”) provides the accounting treatment for uncertainty in income taxes recognized in an enterprise’s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financial statements. </w:t>
      </w:r>
      <w:r>
        <w:rPr>
          <w:rFonts w:ascii="Arial" w:cs="Arial" w:eastAsia="Arial" w:hAnsi="Arial"/>
          <w:sz w:val="13"/>
          <w:szCs w:val="13"/>
          <w:i w:val="1"/>
          <w:iCs w:val="1"/>
          <w:color w:val="auto"/>
        </w:rPr>
        <w:t>Topic 740</w:t>
      </w:r>
      <w:r>
        <w:rPr>
          <w:rFonts w:ascii="Arial" w:cs="Arial" w:eastAsia="Arial" w:hAnsi="Arial"/>
          <w:sz w:val="13"/>
          <w:szCs w:val="13"/>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3"/>
          <w:szCs w:val="13"/>
          <w:i w:val="1"/>
          <w:iCs w:val="1"/>
          <w:color w:val="auto"/>
        </w:rPr>
        <w:t>Topic 740</w:t>
      </w:r>
      <w:r>
        <w:rPr>
          <w:rFonts w:ascii="Arial" w:cs="Arial" w:eastAsia="Arial" w:hAnsi="Arial"/>
          <w:sz w:val="13"/>
          <w:szCs w:val="13"/>
          <w:color w:val="auto"/>
        </w:rPr>
        <w:t xml:space="preserve"> also provides guidance on derecognizing, classification, interest and penalties, accounting in interim periods, disclosure and transition.</w:t>
      </w:r>
    </w:p>
    <w:p>
      <w:pPr>
        <w:spacing w:after="0" w:line="128" w:lineRule="exact"/>
        <w:rPr>
          <w:sz w:val="20"/>
          <w:szCs w:val="20"/>
          <w:color w:val="auto"/>
        </w:rPr>
      </w:pPr>
    </w:p>
    <w:p>
      <w:pPr>
        <w:ind w:right="40" w:firstLine="497"/>
        <w:spacing w:after="0" w:line="276" w:lineRule="auto"/>
        <w:rPr>
          <w:sz w:val="20"/>
          <w:szCs w:val="20"/>
          <w:color w:val="auto"/>
        </w:rPr>
      </w:pPr>
      <w:r>
        <w:rPr>
          <w:rFonts w:ascii="Arial" w:cs="Arial" w:eastAsia="Arial" w:hAnsi="Arial"/>
          <w:sz w:val="13"/>
          <w:szCs w:val="13"/>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34" w:lineRule="exact"/>
        <w:rPr>
          <w:sz w:val="20"/>
          <w:szCs w:val="20"/>
          <w:color w:val="auto"/>
        </w:rPr>
      </w:pPr>
    </w:p>
    <w:p>
      <w:pPr>
        <w:ind w:right="260" w:firstLine="497"/>
        <w:spacing w:after="0" w:line="320" w:lineRule="auto"/>
        <w:rPr>
          <w:sz w:val="20"/>
          <w:szCs w:val="20"/>
          <w:color w:val="auto"/>
        </w:rPr>
      </w:pPr>
      <w:r>
        <w:rPr>
          <w:rFonts w:ascii="Arial" w:cs="Arial" w:eastAsia="Arial" w:hAnsi="Arial"/>
          <w:sz w:val="12"/>
          <w:szCs w:val="12"/>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w:t>
      </w:r>
    </w:p>
    <w:p>
      <w:pPr>
        <w:spacing w:after="0" w:line="111" w:lineRule="exact"/>
        <w:rPr>
          <w:sz w:val="20"/>
          <w:szCs w:val="20"/>
          <w:color w:val="auto"/>
        </w:rPr>
      </w:pPr>
    </w:p>
    <w:p>
      <w:pPr>
        <w:ind w:right="100" w:firstLine="497"/>
        <w:spacing w:after="0" w:line="352" w:lineRule="auto"/>
        <w:rPr>
          <w:sz w:val="20"/>
          <w:szCs w:val="20"/>
          <w:color w:val="auto"/>
        </w:rPr>
      </w:pPr>
      <w:r>
        <w:rPr>
          <w:rFonts w:ascii="Arial" w:cs="Arial" w:eastAsia="Arial" w:hAnsi="Arial"/>
          <w:sz w:val="12"/>
          <w:szCs w:val="12"/>
          <w:color w:val="auto"/>
        </w:rPr>
        <w:t>We have a valuation allowance at December 25, 2016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92" w:lineRule="exact"/>
        <w:rPr>
          <w:sz w:val="20"/>
          <w:szCs w:val="20"/>
          <w:color w:val="auto"/>
        </w:rPr>
      </w:pPr>
    </w:p>
    <w:p>
      <w:pPr>
        <w:ind w:right="80" w:firstLine="497"/>
        <w:spacing w:after="0" w:line="286" w:lineRule="auto"/>
        <w:rPr>
          <w:sz w:val="20"/>
          <w:szCs w:val="20"/>
          <w:color w:val="auto"/>
        </w:rPr>
      </w:pPr>
      <w:r>
        <w:rPr>
          <w:rFonts w:ascii="Arial" w:cs="Arial" w:eastAsia="Arial" w:hAnsi="Arial"/>
          <w:sz w:val="13"/>
          <w:szCs w:val="13"/>
          <w:color w:val="auto"/>
        </w:rPr>
        <w:t>The 2016 effective tax rate at December 25, 2016 for annual and interim reporting periods could be impacted if uncertain tax positions that are not recognized at December 25, 2016 are settled at an amount which differs from our estimate. Finally, during 2016 and thereafter, if we are impacted by a change in the valuation allowance as of December 25, 2016 resulting from a change in judgment regarding the realizability of deferred tax assets beyond December 25, 2016, such effect will be recognized in the interim period in which the change occurs.</w:t>
      </w:r>
    </w:p>
    <w:p>
      <w:pPr>
        <w:spacing w:after="0" w:line="128" w:lineRule="exact"/>
        <w:rPr>
          <w:sz w:val="20"/>
          <w:szCs w:val="20"/>
          <w:color w:val="auto"/>
        </w:rPr>
      </w:pPr>
    </w:p>
    <w:p>
      <w:pPr>
        <w:ind w:firstLine="497"/>
        <w:spacing w:after="0" w:line="252" w:lineRule="auto"/>
        <w:rPr>
          <w:sz w:val="20"/>
          <w:szCs w:val="20"/>
          <w:color w:val="auto"/>
        </w:rPr>
      </w:pPr>
      <w:r>
        <w:rPr>
          <w:rFonts w:ascii="Arial" w:cs="Arial" w:eastAsia="Arial" w:hAnsi="Arial"/>
          <w:sz w:val="14"/>
          <w:szCs w:val="14"/>
          <w:i w:val="1"/>
          <w:iCs w:val="1"/>
          <w:color w:val="auto"/>
        </w:rPr>
        <w:t xml:space="preserve">Contingencies and litigation. </w:t>
      </w:r>
      <w:r>
        <w:rPr>
          <w:rFonts w:ascii="Arial" w:cs="Arial" w:eastAsia="Arial" w:hAnsi="Arial"/>
          <w:sz w:val="14"/>
          <w:szCs w:val="14"/>
          <w:color w:val="auto"/>
        </w:rPr>
        <w:t>We are currently involved in certain legal proceedings. We estimate a range of liability related to pending litigation where the amount and range of loss can be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FASB ASC </w:t>
      </w:r>
      <w:r>
        <w:rPr>
          <w:rFonts w:ascii="Arial" w:cs="Arial" w:eastAsia="Arial" w:hAnsi="Arial"/>
          <w:sz w:val="14"/>
          <w:szCs w:val="14"/>
          <w:i w:val="1"/>
          <w:iCs w:val="1"/>
          <w:color w:val="auto"/>
        </w:rPr>
        <w:t>Topic 450 Contingencies.</w:t>
      </w:r>
      <w:r>
        <w:rPr>
          <w:rFonts w:ascii="Arial" w:cs="Arial" w:eastAsia="Arial" w:hAnsi="Arial"/>
          <w:sz w:val="14"/>
          <w:szCs w:val="14"/>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Item 3 “Legal Proceedings” contained within this Annual Report for additional information.</w:t>
      </w:r>
    </w:p>
    <w:p>
      <w:pPr>
        <w:spacing w:after="0" w:line="149" w:lineRule="exact"/>
        <w:rPr>
          <w:sz w:val="20"/>
          <w:szCs w:val="20"/>
          <w:color w:val="auto"/>
        </w:rPr>
      </w:pPr>
    </w:p>
    <w:p>
      <w:pPr>
        <w:ind w:right="140" w:firstLine="497"/>
        <w:spacing w:after="0" w:line="306" w:lineRule="auto"/>
        <w:rPr>
          <w:sz w:val="20"/>
          <w:szCs w:val="20"/>
          <w:color w:val="auto"/>
        </w:rPr>
      </w:pPr>
      <w:r>
        <w:rPr>
          <w:rFonts w:ascii="Arial" w:cs="Arial" w:eastAsia="Arial" w:hAnsi="Arial"/>
          <w:sz w:val="13"/>
          <w:szCs w:val="13"/>
          <w:i w:val="1"/>
          <w:iCs w:val="1"/>
          <w:color w:val="auto"/>
        </w:rPr>
        <w:t xml:space="preserve">Stock-based Compensation. </w:t>
      </w:r>
      <w:r>
        <w:rPr>
          <w:rFonts w:ascii="Arial" w:cs="Arial" w:eastAsia="Arial" w:hAnsi="Arial"/>
          <w:sz w:val="13"/>
          <w:szCs w:val="13"/>
          <w:color w:val="auto"/>
        </w:rPr>
        <w:t>We account for stock-based compensation arrangements in accordance with the provisions of FASB ASC</w:t>
      </w:r>
      <w:r>
        <w:rPr>
          <w:rFonts w:ascii="Arial" w:cs="Arial" w:eastAsia="Arial" w:hAnsi="Arial"/>
          <w:sz w:val="13"/>
          <w:szCs w:val="13"/>
          <w:i w:val="1"/>
          <w:iCs w:val="1"/>
          <w:color w:val="auto"/>
        </w:rPr>
        <w:t xml:space="preserve"> Topic 718, Compensation-Stock Compensation </w:t>
      </w:r>
      <w:r>
        <w:rPr>
          <w:rFonts w:ascii="Arial" w:cs="Arial" w:eastAsia="Arial" w:hAnsi="Arial"/>
          <w:sz w:val="13"/>
          <w:szCs w:val="13"/>
          <w:color w:val="auto"/>
        </w:rPr>
        <w:t>(“</w:t>
      </w:r>
      <w:r>
        <w:rPr>
          <w:rFonts w:ascii="Arial" w:cs="Arial" w:eastAsia="Arial" w:hAnsi="Arial"/>
          <w:sz w:val="13"/>
          <w:szCs w:val="13"/>
          <w:i w:val="1"/>
          <w:iCs w:val="1"/>
          <w:color w:val="auto"/>
        </w:rPr>
        <w:t>Topic 718</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which requires the measurement and recognition of compensation expense for all stock-based payment awards to employees and directors based on estimated fair values.</w:t>
      </w:r>
    </w:p>
    <w:p>
      <w:pPr>
        <w:spacing w:after="0" w:line="116" w:lineRule="exact"/>
        <w:rPr>
          <w:sz w:val="20"/>
          <w:szCs w:val="20"/>
          <w:color w:val="auto"/>
        </w:rPr>
      </w:pPr>
    </w:p>
    <w:p>
      <w:pPr>
        <w:ind w:right="100" w:firstLine="497"/>
        <w:spacing w:after="0" w:line="252" w:lineRule="auto"/>
        <w:rPr>
          <w:sz w:val="20"/>
          <w:szCs w:val="20"/>
          <w:color w:val="auto"/>
        </w:rPr>
      </w:pPr>
      <w:r>
        <w:rPr>
          <w:rFonts w:ascii="Arial" w:cs="Arial" w:eastAsia="Arial" w:hAnsi="Arial"/>
          <w:sz w:val="14"/>
          <w:szCs w:val="14"/>
          <w:color w:val="auto"/>
        </w:rPr>
        <w:t xml:space="preserve">The valuation provisions of </w:t>
      </w:r>
      <w:r>
        <w:rPr>
          <w:rFonts w:ascii="Arial" w:cs="Arial" w:eastAsia="Arial" w:hAnsi="Arial"/>
          <w:sz w:val="14"/>
          <w:szCs w:val="14"/>
          <w:i w:val="1"/>
          <w:iCs w:val="1"/>
          <w:color w:val="auto"/>
        </w:rPr>
        <w:t>Topic 718</w:t>
      </w:r>
      <w:r>
        <w:rPr>
          <w:rFonts w:ascii="Arial" w:cs="Arial" w:eastAsia="Arial" w:hAnsi="Arial"/>
          <w:sz w:val="14"/>
          <w:szCs w:val="14"/>
          <w:color w:val="auto"/>
        </w:rPr>
        <w:t xml:space="preserve"> apply to new awards and to awards that are outstanding on the effective date and subsequently modified or canceled. We use the Black-Scholes option pricing model and a lattice options pricing model for market condition options to estimate the fair value of our stock options at the grant date. The Black-Scholes option pricing model was developed for use in estimating the fair value of traded options which have no vesting restrictions and are fully transferable. The lattice options pricing model breaks down the time to expiration into potentially a very large number of time intervals, or steps which makes it possible to check at every point in an option’s life for the possibility of early exercise. Our employee stock options are generally subject to vesting restrictions and are generally not transferable.</w:t>
      </w:r>
    </w:p>
    <w:p>
      <w:pPr>
        <w:spacing w:after="0" w:line="149" w:lineRule="exact"/>
        <w:rPr>
          <w:sz w:val="20"/>
          <w:szCs w:val="20"/>
          <w:color w:val="auto"/>
        </w:rPr>
      </w:pPr>
    </w:p>
    <w:p>
      <w:pPr>
        <w:ind w:right="140" w:firstLine="497"/>
        <w:spacing w:after="0" w:line="253" w:lineRule="auto"/>
        <w:rPr>
          <w:sz w:val="20"/>
          <w:szCs w:val="20"/>
          <w:color w:val="auto"/>
        </w:rPr>
      </w:pPr>
      <w:r>
        <w:rPr>
          <w:rFonts w:ascii="Arial" w:cs="Arial" w:eastAsia="Arial" w:hAnsi="Arial"/>
          <w:sz w:val="14"/>
          <w:szCs w:val="14"/>
          <w:color w:val="auto"/>
        </w:rPr>
        <w:t>Valuing options requires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129" w:right="21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formula to estimate the expected option life. The risk-free rate is based on the U.S. Treasury yield curve in effect at the time of grant for the estimated life of the option.</w:t>
      </w:r>
    </w:p>
    <w:p>
      <w:pPr>
        <w:spacing w:after="0" w:line="170" w:lineRule="exact"/>
        <w:rPr>
          <w:sz w:val="20"/>
          <w:szCs w:val="20"/>
          <w:color w:val="auto"/>
        </w:rPr>
      </w:pPr>
    </w:p>
    <w:p>
      <w:pPr>
        <w:ind w:right="180" w:firstLine="497"/>
        <w:spacing w:after="0" w:line="257" w:lineRule="auto"/>
        <w:rPr>
          <w:sz w:val="20"/>
          <w:szCs w:val="20"/>
          <w:color w:val="auto"/>
        </w:rPr>
      </w:pPr>
      <w:r>
        <w:rPr>
          <w:rFonts w:ascii="Arial" w:cs="Arial" w:eastAsia="Arial" w:hAnsi="Arial"/>
          <w:sz w:val="14"/>
          <w:szCs w:val="14"/>
          <w:color w:val="auto"/>
        </w:rPr>
        <w:t>Estimates of stock-based compensation expenses are significant to our Consolidated Financial Statements, but these expenses are based on option valuation models and will never result in the payment of cash by us. For this reason, and because we do not view stock-based compensation to be significant as related to our operational performance, we exclude estimated stock-based compensation expense when evaluating the business performance of our operating segments.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See Note 1 of the Notes to Consolidated Financial Statements contained within this Annual Report on Form 10-K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Interest Rate and Foreign Currency Risks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are exposed to market risk, primarily related to interest rates and foreign currency exchange rates.</w:t>
      </w:r>
    </w:p>
    <w:p>
      <w:pPr>
        <w:spacing w:after="0" w:line="170" w:lineRule="exact"/>
        <w:rPr>
          <w:sz w:val="20"/>
          <w:szCs w:val="20"/>
          <w:color w:val="auto"/>
        </w:rPr>
      </w:pPr>
    </w:p>
    <w:p>
      <w:pPr>
        <w:ind w:right="120" w:firstLine="497"/>
        <w:spacing w:after="0" w:line="252" w:lineRule="auto"/>
        <w:rPr>
          <w:sz w:val="20"/>
          <w:szCs w:val="20"/>
          <w:color w:val="auto"/>
        </w:rPr>
      </w:pPr>
      <w:r>
        <w:rPr>
          <w:rFonts w:ascii="Arial" w:cs="Arial" w:eastAsia="Arial" w:hAnsi="Arial"/>
          <w:sz w:val="14"/>
          <w:szCs w:val="14"/>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4"/>
          <w:szCs w:val="14"/>
          <w:b w:val="1"/>
          <w:bCs w:val="1"/>
          <w:color w:val="auto"/>
        </w:rPr>
        <w:t>“</w:t>
      </w:r>
      <w:r>
        <w:rPr>
          <w:rFonts w:ascii="Arial" w:cs="Arial" w:eastAsia="Arial" w:hAnsi="Arial"/>
          <w:sz w:val="14"/>
          <w:szCs w:val="14"/>
          <w:color w:val="auto"/>
        </w:rPr>
        <w:t>Liquidity and Capital Resources” above. Based on our current outstanding balances, a 1% change in the LIBOR rate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w:t>
      </w:r>
    </w:p>
    <w:p>
      <w:pPr>
        <w:spacing w:after="0" w:line="149" w:lineRule="exact"/>
        <w:rPr>
          <w:sz w:val="20"/>
          <w:szCs w:val="20"/>
          <w:color w:val="auto"/>
        </w:rPr>
      </w:pPr>
    </w:p>
    <w:p>
      <w:pPr>
        <w:ind w:firstLine="497"/>
        <w:spacing w:after="0" w:line="286" w:lineRule="auto"/>
        <w:rPr>
          <w:sz w:val="20"/>
          <w:szCs w:val="20"/>
          <w:color w:val="auto"/>
        </w:rPr>
      </w:pPr>
      <w:r>
        <w:rPr>
          <w:rFonts w:ascii="Arial" w:cs="Arial" w:eastAsia="Arial" w:hAnsi="Arial"/>
          <w:sz w:val="13"/>
          <w:szCs w:val="13"/>
          <w:color w:val="auto"/>
        </w:rPr>
        <w:t>Exposure to market risk for foreign currency exchange rate risk is related to receipts from customers, payments to suppliers and intercompany loans denominated in foreign currencies. Accordingly, a strengthening of the U.S. dollar (“USD”) will negatively impact revenues and gross margins expressed in consolidated USD terms. We currently enter into limited foreign currency forward contracts to manage foreign currency exchange rate risk because exchange rate fluctuations have had, and we expect will have, minimal impact on our operating results and cash flows.</w:t>
      </w:r>
    </w:p>
    <w:p>
      <w:pPr>
        <w:spacing w:after="0" w:line="128" w:lineRule="exact"/>
        <w:rPr>
          <w:sz w:val="20"/>
          <w:szCs w:val="20"/>
          <w:color w:val="auto"/>
        </w:rPr>
      </w:pPr>
    </w:p>
    <w:p>
      <w:pPr>
        <w:ind w:right="220" w:firstLine="497"/>
        <w:spacing w:after="0" w:line="306" w:lineRule="auto"/>
        <w:rPr>
          <w:sz w:val="20"/>
          <w:szCs w:val="20"/>
          <w:color w:val="auto"/>
        </w:rPr>
      </w:pPr>
      <w:r>
        <w:rPr>
          <w:rFonts w:ascii="Arial" w:cs="Arial" w:eastAsia="Arial" w:hAnsi="Arial"/>
          <w:sz w:val="13"/>
          <w:szCs w:val="13"/>
          <w:color w:val="auto"/>
        </w:rPr>
        <w:t>Cash and cash equivalents as of December 25, 2016 were $69.1 million and are primarily invested in money market interest bearing accounts. A hypothetical 10% adverse change in the average interest rate on our money market cash investments and short-term investments would have had no material effect on our net loss for the year ended December 25, 2016.</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Commodity Price Risk Management</w:t>
      </w:r>
    </w:p>
    <w:p>
      <w:pPr>
        <w:spacing w:after="0" w:line="170" w:lineRule="exact"/>
        <w:rPr>
          <w:sz w:val="20"/>
          <w:szCs w:val="20"/>
          <w:color w:val="auto"/>
        </w:rPr>
      </w:pPr>
    </w:p>
    <w:p>
      <w:pPr>
        <w:ind w:right="320" w:firstLine="497"/>
        <w:spacing w:after="0" w:line="267" w:lineRule="auto"/>
        <w:rPr>
          <w:sz w:val="20"/>
          <w:szCs w:val="20"/>
          <w:color w:val="auto"/>
        </w:rPr>
      </w:pPr>
      <w:r>
        <w:rPr>
          <w:rFonts w:ascii="Arial" w:cs="Arial" w:eastAsia="Arial" w:hAnsi="Arial"/>
          <w:sz w:val="14"/>
          <w:szCs w:val="14"/>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8. </w:t>
      </w:r>
      <w:r>
        <w:rPr>
          <w:rFonts w:ascii="Arial" w:cs="Arial" w:eastAsia="Arial" w:hAnsi="Arial"/>
          <w:sz w:val="14"/>
          <w:szCs w:val="14"/>
          <w:b w:val="1"/>
          <w:bCs w:val="1"/>
          <w:i w:val="1"/>
          <w:iCs w:val="1"/>
          <w:color w:val="auto"/>
        </w:rPr>
        <w:t>Financial Statements and Supplementary Data.</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Our Consolidated Financial Statements and supplementary data required by this item are set forth at the pages indicated in Item 15(a) (1) and 15(a) (2),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b w:val="1"/>
          <w:bCs w:val="1"/>
          <w:i w:val="1"/>
          <w:iCs w:val="1"/>
          <w:color w:val="auto"/>
        </w:rPr>
        <w:t>Changes in and Disagreements with Accountants on Accounting and Financial Disclosure.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Disclosure Controls and Procedures</w:t>
      </w:r>
    </w:p>
    <w:p>
      <w:pPr>
        <w:spacing w:after="0" w:line="170" w:lineRule="exact"/>
        <w:rPr>
          <w:sz w:val="20"/>
          <w:szCs w:val="20"/>
          <w:color w:val="auto"/>
        </w:rPr>
      </w:pPr>
    </w:p>
    <w:p>
      <w:pPr>
        <w:ind w:right="120" w:firstLine="497"/>
        <w:spacing w:after="0" w:line="267" w:lineRule="auto"/>
        <w:rPr>
          <w:sz w:val="20"/>
          <w:szCs w:val="20"/>
          <w:color w:val="auto"/>
        </w:rPr>
      </w:pPr>
      <w:r>
        <w:rPr>
          <w:rFonts w:ascii="Arial" w:cs="Arial" w:eastAsia="Arial" w:hAnsi="Arial"/>
          <w:sz w:val="14"/>
          <w:szCs w:val="14"/>
          <w:color w:val="auto"/>
        </w:rPr>
        <w:t>We maintain disclosure controls and procedures, as defined in Rules 13a-15(e) and 15d-15(e) promulgated under the Exchange Act, designed to ensure that information required to be disclosed in our reports filed under the Exchange Act is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380"/>
          </w:cols>
          <w:pgMar w:left="220" w:top="129" w:right="29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00"/>
        <w:spacing w:after="0" w:line="279" w:lineRule="auto"/>
        <w:rPr>
          <w:sz w:val="20"/>
          <w:szCs w:val="20"/>
          <w:color w:val="auto"/>
        </w:rPr>
      </w:pPr>
      <w:r>
        <w:rPr>
          <w:rFonts w:ascii="Arial" w:cs="Arial" w:eastAsia="Arial" w:hAnsi="Arial"/>
          <w:sz w:val="13"/>
          <w:szCs w:val="13"/>
          <w:color w:val="auto"/>
        </w:rPr>
        <w:t>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33" w:lineRule="exact"/>
        <w:rPr>
          <w:sz w:val="20"/>
          <w:szCs w:val="20"/>
          <w:color w:val="auto"/>
        </w:rPr>
      </w:pPr>
    </w:p>
    <w:p>
      <w:pPr>
        <w:ind w:right="100" w:firstLine="497"/>
        <w:spacing w:after="0" w:line="253" w:lineRule="auto"/>
        <w:rPr>
          <w:sz w:val="20"/>
          <w:szCs w:val="20"/>
          <w:color w:val="auto"/>
        </w:rPr>
      </w:pPr>
      <w:r>
        <w:rPr>
          <w:rFonts w:ascii="Arial" w:cs="Arial" w:eastAsia="Arial" w:hAnsi="Arial"/>
          <w:sz w:val="14"/>
          <w:szCs w:val="14"/>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25, 2016.</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Management’s Report on Internal Control over Financial Reporting</w:t>
      </w:r>
    </w:p>
    <w:p>
      <w:pPr>
        <w:spacing w:after="0" w:line="170" w:lineRule="exact"/>
        <w:rPr>
          <w:sz w:val="20"/>
          <w:szCs w:val="20"/>
          <w:color w:val="auto"/>
        </w:rPr>
      </w:pPr>
    </w:p>
    <w:p>
      <w:pPr>
        <w:ind w:right="40" w:firstLine="497"/>
        <w:spacing w:after="0" w:line="279"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the policies and procedures may deteriorate.</w:t>
      </w:r>
    </w:p>
    <w:p>
      <w:pPr>
        <w:spacing w:after="0" w:line="133" w:lineRule="exact"/>
        <w:rPr>
          <w:sz w:val="20"/>
          <w:szCs w:val="20"/>
          <w:color w:val="auto"/>
        </w:rPr>
      </w:pPr>
    </w:p>
    <w:p>
      <w:pPr>
        <w:ind w:firstLine="497"/>
        <w:spacing w:after="0" w:line="320" w:lineRule="auto"/>
        <w:rPr>
          <w:sz w:val="20"/>
          <w:szCs w:val="20"/>
          <w:color w:val="auto"/>
        </w:rPr>
      </w:pPr>
      <w:r>
        <w:rPr>
          <w:rFonts w:ascii="Arial" w:cs="Arial" w:eastAsia="Arial" w:hAnsi="Arial"/>
          <w:sz w:val="12"/>
          <w:szCs w:val="12"/>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the 2013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 Treadway Commission. Based on the results of our evaluation, our management concluded that our internal control over financial reporting was effective at the reasonable assurance level as of December 25, 2016.</w:t>
      </w:r>
    </w:p>
    <w:p>
      <w:pPr>
        <w:spacing w:after="0" w:line="111" w:lineRule="exact"/>
        <w:rPr>
          <w:sz w:val="20"/>
          <w:szCs w:val="20"/>
          <w:color w:val="auto"/>
        </w:rPr>
      </w:pPr>
    </w:p>
    <w:p>
      <w:pPr>
        <w:ind w:right="60" w:firstLine="497"/>
        <w:spacing w:after="0" w:line="267" w:lineRule="auto"/>
        <w:rPr>
          <w:sz w:val="20"/>
          <w:szCs w:val="20"/>
          <w:color w:val="auto"/>
        </w:rPr>
      </w:pPr>
      <w:r>
        <w:rPr>
          <w:rFonts w:ascii="Arial" w:cs="Arial" w:eastAsia="Arial" w:hAnsi="Arial"/>
          <w:sz w:val="14"/>
          <w:szCs w:val="14"/>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25, 2016.</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170" w:lineRule="exact"/>
        <w:rPr>
          <w:sz w:val="20"/>
          <w:szCs w:val="20"/>
          <w:color w:val="auto"/>
        </w:rPr>
      </w:pPr>
    </w:p>
    <w:p>
      <w:pPr>
        <w:ind w:right="180" w:firstLine="497"/>
        <w:spacing w:after="0" w:line="267" w:lineRule="auto"/>
        <w:rPr>
          <w:sz w:val="20"/>
          <w:szCs w:val="20"/>
          <w:color w:val="auto"/>
        </w:rPr>
      </w:pPr>
      <w:r>
        <w:rPr>
          <w:rFonts w:ascii="Arial" w:cs="Arial" w:eastAsia="Arial" w:hAnsi="Arial"/>
          <w:sz w:val="14"/>
          <w:szCs w:val="14"/>
          <w:color w:val="auto"/>
        </w:rPr>
        <w:t>There were no changes in our internal control over financial accounting and reporting (as defined in Rules 13a-15(f) and 15d-15(f) of the Exchange Act) during the fourth quarter of the fiscal year ended December 25, 2016 that have materially affected, or are reasonably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9B. </w:t>
      </w:r>
      <w:r>
        <w:rPr>
          <w:rFonts w:ascii="Arial" w:cs="Arial" w:eastAsia="Arial" w:hAnsi="Arial"/>
          <w:sz w:val="14"/>
          <w:szCs w:val="14"/>
          <w:b w:val="1"/>
          <w:bCs w:val="1"/>
          <w:i w:val="1"/>
          <w:iCs w:val="1"/>
          <w:color w:val="auto"/>
        </w:rPr>
        <w:t>Other Information.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10. </w:t>
      </w:r>
      <w:r>
        <w:rPr>
          <w:rFonts w:ascii="Arial" w:cs="Arial" w:eastAsia="Arial" w:hAnsi="Arial"/>
          <w:sz w:val="14"/>
          <w:szCs w:val="14"/>
          <w:b w:val="1"/>
          <w:bCs w:val="1"/>
          <w:i w:val="1"/>
          <w:iCs w:val="1"/>
          <w:color w:val="auto"/>
        </w:rPr>
        <w:t>Directors, Executive Officers and Corporate Governance.</w:t>
      </w:r>
    </w:p>
    <w:p>
      <w:pPr>
        <w:spacing w:after="0" w:line="174" w:lineRule="exact"/>
        <w:rPr>
          <w:sz w:val="20"/>
          <w:szCs w:val="20"/>
          <w:color w:val="auto"/>
        </w:rPr>
      </w:pPr>
    </w:p>
    <w:p>
      <w:pPr>
        <w:ind w:right="380" w:firstLine="497"/>
        <w:spacing w:after="0" w:line="267" w:lineRule="auto"/>
        <w:rPr>
          <w:sz w:val="20"/>
          <w:szCs w:val="20"/>
          <w:color w:val="auto"/>
        </w:rPr>
      </w:pPr>
      <w:r>
        <w:rPr>
          <w:rFonts w:ascii="Arial" w:cs="Arial" w:eastAsia="Arial" w:hAnsi="Arial"/>
          <w:sz w:val="14"/>
          <w:szCs w:val="14"/>
          <w:color w:val="auto"/>
        </w:rPr>
        <w:t>The information required by this item is incorporated by reference to our definitive proxy statement filed in connection with our 2017 Annual Meeting of Stockholders or an amendment to this Annual Report to be filed with the SEC within 120 days after the close of our fiscal year ended December 25, 2016.</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11. </w:t>
      </w:r>
      <w:r>
        <w:rPr>
          <w:rFonts w:ascii="Arial" w:cs="Arial" w:eastAsia="Arial" w:hAnsi="Arial"/>
          <w:sz w:val="14"/>
          <w:szCs w:val="14"/>
          <w:b w:val="1"/>
          <w:bCs w:val="1"/>
          <w:i w:val="1"/>
          <w:iCs w:val="1"/>
          <w:color w:val="auto"/>
        </w:rPr>
        <w:t>Executive Compensation.</w:t>
      </w:r>
    </w:p>
    <w:p>
      <w:pPr>
        <w:spacing w:after="0" w:line="174" w:lineRule="exact"/>
        <w:rPr>
          <w:sz w:val="20"/>
          <w:szCs w:val="20"/>
          <w:color w:val="auto"/>
        </w:rPr>
      </w:pPr>
    </w:p>
    <w:p>
      <w:pPr>
        <w:ind w:right="380" w:firstLine="497"/>
        <w:spacing w:after="0" w:line="267" w:lineRule="auto"/>
        <w:rPr>
          <w:sz w:val="20"/>
          <w:szCs w:val="20"/>
          <w:color w:val="auto"/>
        </w:rPr>
      </w:pPr>
      <w:r>
        <w:rPr>
          <w:rFonts w:ascii="Arial" w:cs="Arial" w:eastAsia="Arial" w:hAnsi="Arial"/>
          <w:sz w:val="14"/>
          <w:szCs w:val="14"/>
          <w:color w:val="auto"/>
        </w:rPr>
        <w:t>The information required by this item is incorporated by reference to our definitive proxy statement filed in connection with our 2017 Annual Meeting of Stockholders or an amendment to this Annual Report to be filed with the SEC within 120 days after the close of our fiscal year ended December 25, 2016.</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129" w:right="21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12. </w:t>
      </w:r>
      <w:r>
        <w:rPr>
          <w:rFonts w:ascii="Arial" w:cs="Arial" w:eastAsia="Arial" w:hAnsi="Arial"/>
          <w:sz w:val="14"/>
          <w:szCs w:val="14"/>
          <w:b w:val="1"/>
          <w:bCs w:val="1"/>
          <w:i w:val="1"/>
          <w:iCs w:val="1"/>
          <w:color w:val="auto"/>
        </w:rPr>
        <w:t>Security Ownership of Certain Beneficial Owners and Management and Related Stockholder Matters.</w:t>
      </w:r>
    </w:p>
    <w:p>
      <w:pPr>
        <w:spacing w:after="0" w:line="174" w:lineRule="exact"/>
        <w:rPr>
          <w:sz w:val="20"/>
          <w:szCs w:val="20"/>
          <w:color w:val="auto"/>
        </w:rPr>
      </w:pPr>
    </w:p>
    <w:p>
      <w:pPr>
        <w:ind w:right="380" w:firstLine="497"/>
        <w:spacing w:after="0" w:line="267" w:lineRule="auto"/>
        <w:rPr>
          <w:sz w:val="20"/>
          <w:szCs w:val="20"/>
          <w:color w:val="auto"/>
        </w:rPr>
      </w:pPr>
      <w:r>
        <w:rPr>
          <w:rFonts w:ascii="Arial" w:cs="Arial" w:eastAsia="Arial" w:hAnsi="Arial"/>
          <w:sz w:val="14"/>
          <w:szCs w:val="14"/>
          <w:color w:val="auto"/>
        </w:rPr>
        <w:t>The information required by this item is incorporated by reference to our definitive proxy statement filed in connection with our 2017 Annual Meeting of Stockholders or an amendment to this Annual Report to be filed with the SEC within 120 days after the close of our fiscal year ended December 25, 2016.</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13. </w:t>
      </w:r>
      <w:r>
        <w:rPr>
          <w:rFonts w:ascii="Arial" w:cs="Arial" w:eastAsia="Arial" w:hAnsi="Arial"/>
          <w:sz w:val="14"/>
          <w:szCs w:val="14"/>
          <w:b w:val="1"/>
          <w:bCs w:val="1"/>
          <w:i w:val="1"/>
          <w:iCs w:val="1"/>
          <w:color w:val="auto"/>
        </w:rPr>
        <w:t>Certain Relationships and Related Transactions, and Director Independence.</w:t>
      </w:r>
    </w:p>
    <w:p>
      <w:pPr>
        <w:spacing w:after="0" w:line="174" w:lineRule="exact"/>
        <w:rPr>
          <w:sz w:val="20"/>
          <w:szCs w:val="20"/>
          <w:color w:val="auto"/>
        </w:rPr>
      </w:pPr>
    </w:p>
    <w:p>
      <w:pPr>
        <w:ind w:right="380" w:firstLine="497"/>
        <w:spacing w:after="0" w:line="267" w:lineRule="auto"/>
        <w:rPr>
          <w:sz w:val="20"/>
          <w:szCs w:val="20"/>
          <w:color w:val="auto"/>
        </w:rPr>
      </w:pPr>
      <w:r>
        <w:rPr>
          <w:rFonts w:ascii="Arial" w:cs="Arial" w:eastAsia="Arial" w:hAnsi="Arial"/>
          <w:sz w:val="14"/>
          <w:szCs w:val="14"/>
          <w:color w:val="auto"/>
        </w:rPr>
        <w:t>The information required by this item is incorporated by reference to our definitive proxy statement filed in connection with our 2017 Annual Meeting of Stockholders or an amendment to this Annual Report to be filed with the SEC within 120 days after the close of our fiscal year ended December 25, 2016.</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14. </w:t>
      </w:r>
      <w:r>
        <w:rPr>
          <w:rFonts w:ascii="Arial" w:cs="Arial" w:eastAsia="Arial" w:hAnsi="Arial"/>
          <w:sz w:val="14"/>
          <w:szCs w:val="14"/>
          <w:b w:val="1"/>
          <w:bCs w:val="1"/>
          <w:i w:val="1"/>
          <w:iCs w:val="1"/>
          <w:color w:val="auto"/>
        </w:rPr>
        <w:t>Principal Accountant Fees and Services.</w:t>
      </w:r>
    </w:p>
    <w:p>
      <w:pPr>
        <w:spacing w:after="0" w:line="174" w:lineRule="exact"/>
        <w:rPr>
          <w:sz w:val="20"/>
          <w:szCs w:val="20"/>
          <w:color w:val="auto"/>
        </w:rPr>
      </w:pPr>
    </w:p>
    <w:p>
      <w:pPr>
        <w:ind w:right="380" w:firstLine="497"/>
        <w:spacing w:after="0" w:line="267" w:lineRule="auto"/>
        <w:rPr>
          <w:sz w:val="20"/>
          <w:szCs w:val="20"/>
          <w:color w:val="auto"/>
        </w:rPr>
      </w:pPr>
      <w:r>
        <w:rPr>
          <w:rFonts w:ascii="Arial" w:cs="Arial" w:eastAsia="Arial" w:hAnsi="Arial"/>
          <w:sz w:val="14"/>
          <w:szCs w:val="14"/>
          <w:color w:val="auto"/>
        </w:rPr>
        <w:t>The information required by this item is incorporated by reference to our definitive proxy statement filed in connection with our 2017 Annual Meeting of Stockholders or an amendment to this Annual Report to be filed with the SEC within 120 days after the close of our fiscal year ended December 25, 2016.</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b w:val="1"/>
          <w:bCs w:val="1"/>
          <w:i w:val="1"/>
          <w:iCs w:val="1"/>
          <w:color w:val="auto"/>
        </w:rPr>
        <w:t>Exhibits and Financial Statements Schedules.</w:t>
      </w:r>
    </w:p>
    <w:p>
      <w:pPr>
        <w:spacing w:after="0" w:line="170"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b w:val="1"/>
          <w:bCs w:val="1"/>
          <w:color w:val="auto"/>
        </w:rPr>
        <w:t>(a)(1)</w:t>
        <w:tab/>
        <w:t>Financial Statements</w:t>
      </w:r>
    </w:p>
    <w:p>
      <w:pPr>
        <w:spacing w:after="0" w:line="174" w:lineRule="exact"/>
        <w:rPr>
          <w:sz w:val="20"/>
          <w:szCs w:val="20"/>
          <w:color w:val="auto"/>
        </w:rPr>
      </w:pPr>
    </w:p>
    <w:p>
      <w:pPr>
        <w:ind w:right="440" w:firstLine="497"/>
        <w:spacing w:after="0" w:line="267" w:lineRule="auto"/>
        <w:rPr>
          <w:sz w:val="20"/>
          <w:szCs w:val="20"/>
          <w:color w:val="auto"/>
        </w:rPr>
      </w:pPr>
      <w:r>
        <w:rPr>
          <w:rFonts w:ascii="Arial" w:cs="Arial" w:eastAsia="Arial" w:hAnsi="Arial"/>
          <w:sz w:val="14"/>
          <w:szCs w:val="14"/>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35"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b w:val="1"/>
          <w:bCs w:val="1"/>
          <w:color w:val="auto"/>
        </w:rPr>
        <w:t>(a)(2)</w:t>
        <w:tab/>
        <w:t>Financial Statement Schedules</w:t>
      </w:r>
    </w:p>
    <w:p>
      <w:pPr>
        <w:spacing w:after="0" w:line="174" w:lineRule="exact"/>
        <w:rPr>
          <w:sz w:val="20"/>
          <w:szCs w:val="20"/>
          <w:color w:val="auto"/>
        </w:rPr>
      </w:pPr>
    </w:p>
    <w:p>
      <w:pPr>
        <w:ind w:right="320" w:firstLine="497"/>
        <w:spacing w:after="0" w:line="267" w:lineRule="auto"/>
        <w:rPr>
          <w:sz w:val="20"/>
          <w:szCs w:val="20"/>
          <w:color w:val="auto"/>
        </w:rPr>
      </w:pPr>
      <w:r>
        <w:rPr>
          <w:rFonts w:ascii="Arial" w:cs="Arial" w:eastAsia="Arial" w:hAnsi="Arial"/>
          <w:sz w:val="14"/>
          <w:szCs w:val="14"/>
          <w:color w:val="auto"/>
        </w:rPr>
        <w:t>All schedules have been omitted because they are not applicable or are not required or the information required to be set forth therein is included in the Consolidated Financial Statements or the notes thereto.</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(3). Exhibits.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Incorporated by</w:t>
            </w: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Reference</w:t>
            </w:r>
          </w:p>
        </w:tc>
        <w:tc>
          <w:tcPr>
            <w:tcW w:w="1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07"/>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ind w:left="20"/>
              <w:spacing w:after="0" w:line="107" w:lineRule="exact"/>
              <w:rPr>
                <w:sz w:val="20"/>
                <w:szCs w:val="20"/>
                <w:color w:val="auto"/>
              </w:rPr>
            </w:pPr>
            <w:r>
              <w:rPr>
                <w:rFonts w:ascii="Arial" w:cs="Arial" w:eastAsia="Arial" w:hAnsi="Arial"/>
                <w:sz w:val="11"/>
                <w:szCs w:val="11"/>
                <w:b w:val="1"/>
                <w:bCs w:val="1"/>
                <w:color w:val="auto"/>
              </w:rPr>
              <w:t>Filed-</w:t>
            </w:r>
          </w:p>
        </w:tc>
      </w:tr>
      <w:tr>
        <w:trPr>
          <w:trHeight w:val="114"/>
        </w:trPr>
        <w:tc>
          <w:tcPr>
            <w:tcW w:w="1280" w:type="dxa"/>
            <w:vAlign w:val="bottom"/>
            <w:gridSpan w:val="2"/>
          </w:tcPr>
          <w:p>
            <w:pPr>
              <w:ind w:left="20"/>
              <w:spacing w:after="0" w:line="114" w:lineRule="exact"/>
              <w:rPr>
                <w:sz w:val="20"/>
                <w:szCs w:val="20"/>
                <w:color w:val="auto"/>
              </w:rPr>
            </w:pPr>
            <w:r>
              <w:rPr>
                <w:rFonts w:ascii="Arial" w:cs="Arial" w:eastAsia="Arial" w:hAnsi="Arial"/>
                <w:sz w:val="11"/>
                <w:szCs w:val="11"/>
                <w:b w:val="1"/>
                <w:bCs w:val="1"/>
                <w:color w:val="auto"/>
              </w:rPr>
              <w:t>Exhibit</w:t>
            </w:r>
          </w:p>
        </w:tc>
        <w:tc>
          <w:tcPr>
            <w:tcW w:w="4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ind w:left="20"/>
              <w:spacing w:after="0" w:line="114" w:lineRule="exact"/>
              <w:rPr>
                <w:sz w:val="20"/>
                <w:szCs w:val="20"/>
                <w:color w:val="auto"/>
              </w:rPr>
            </w:pPr>
            <w:r>
              <w:rPr>
                <w:rFonts w:ascii="Arial" w:cs="Arial" w:eastAsia="Arial" w:hAnsi="Arial"/>
                <w:sz w:val="11"/>
                <w:szCs w:val="11"/>
                <w:b w:val="1"/>
                <w:bCs w:val="1"/>
                <w:color w:val="auto"/>
              </w:rPr>
              <w:t>Furnished</w:t>
            </w:r>
          </w:p>
        </w:tc>
      </w:tr>
      <w:tr>
        <w:trPr>
          <w:trHeight w:val="147"/>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2"/>
                <w:szCs w:val="12"/>
                <w:color w:val="auto"/>
              </w:rPr>
            </w:pP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Exhibit Description</w:t>
            </w:r>
          </w:p>
        </w:tc>
        <w:tc>
          <w:tcPr>
            <w:tcW w:w="120" w:type="dxa"/>
            <w:vAlign w:val="bottom"/>
          </w:tcPr>
          <w:p>
            <w:pPr>
              <w:spacing w:after="0"/>
              <w:rPr>
                <w:sz w:val="12"/>
                <w:szCs w:val="12"/>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2"/>
                <w:szCs w:val="12"/>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Filing Date (File No.)</w:t>
            </w:r>
          </w:p>
        </w:tc>
        <w:tc>
          <w:tcPr>
            <w:tcW w:w="120" w:type="dxa"/>
            <w:vAlign w:val="bottom"/>
          </w:tcPr>
          <w:p>
            <w:pPr>
              <w:spacing w:after="0"/>
              <w:rPr>
                <w:sz w:val="12"/>
                <w:szCs w:val="12"/>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Exhibit</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Herewith</w:t>
            </w: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w w:val="97"/>
              </w:rPr>
              <w:t>Stock Purchase Agreement, dated May 31, 2015, by and among Kratos</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Defense &amp; Security Solutions, Inc., Herley Industries, Inc., Ultra</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296"/>
              <w:spacing w:after="0"/>
              <w:rPr>
                <w:sz w:val="20"/>
                <w:szCs w:val="20"/>
                <w:color w:val="auto"/>
              </w:rPr>
            </w:pPr>
            <w:r>
              <w:rPr>
                <w:rFonts w:ascii="Arial" w:cs="Arial" w:eastAsia="Arial" w:hAnsi="Arial"/>
                <w:sz w:val="14"/>
                <w:szCs w:val="14"/>
                <w:color w:val="auto"/>
              </w:rPr>
              <w:t>08/06/2015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1160" w:type="dxa"/>
            <w:vAlign w:val="bottom"/>
          </w:tcPr>
          <w:p>
            <w:pPr>
              <w:ind w:left="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Electronics Holdings plc and Ultra Electronics Defense Inc.</w:t>
            </w:r>
          </w:p>
        </w:tc>
        <w:tc>
          <w:tcPr>
            <w:tcW w:w="1500" w:type="dxa"/>
            <w:vAlign w:val="bottom"/>
            <w:gridSpan w:val="2"/>
          </w:tcPr>
          <w:p>
            <w:pPr>
              <w:ind w:left="560"/>
              <w:spacing w:after="0"/>
              <w:rPr>
                <w:sz w:val="20"/>
                <w:szCs w:val="20"/>
                <w:color w:val="auto"/>
              </w:rPr>
            </w:pPr>
            <w:r>
              <w:rPr>
                <w:rFonts w:ascii="Arial" w:cs="Arial" w:eastAsia="Arial" w:hAnsi="Arial"/>
                <w:sz w:val="14"/>
                <w:szCs w:val="14"/>
                <w:color w:val="auto"/>
              </w:rPr>
              <w:t>10-Q</w:t>
            </w:r>
          </w:p>
        </w:tc>
        <w:tc>
          <w:tcPr>
            <w:tcW w:w="1360" w:type="dxa"/>
            <w:vAlign w:val="bottom"/>
          </w:tcPr>
          <w:p>
            <w:pPr>
              <w:jc w:val="right"/>
              <w:ind w:right="276"/>
              <w:spacing w:after="0"/>
              <w:rPr>
                <w:sz w:val="20"/>
                <w:szCs w:val="20"/>
                <w:color w:val="auto"/>
              </w:rPr>
            </w:pPr>
            <w:r>
              <w:rPr>
                <w:rFonts w:ascii="Arial" w:cs="Arial" w:eastAsia="Arial" w:hAnsi="Arial"/>
                <w:sz w:val="14"/>
                <w:szCs w:val="14"/>
                <w:color w:val="auto"/>
              </w:rPr>
              <w:t>(001-34460)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53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8"/>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w w:val="97"/>
              </w:rPr>
              <w:t>Amended and Restated Certificate of Incorporation of Kratos Defense &amp;</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75"/>
        </w:trPr>
        <w:tc>
          <w:tcPr>
            <w:tcW w:w="1160" w:type="dxa"/>
            <w:vAlign w:val="bottom"/>
          </w:tcPr>
          <w:p>
            <w:pPr>
              <w:ind w:left="2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Security Solutions, Inc., as amended.</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gridSpan w:val="3"/>
          </w:tcPr>
          <w:p>
            <w:pPr>
              <w:ind w:left="1020"/>
              <w:spacing w:after="0"/>
              <w:rPr>
                <w:sz w:val="20"/>
                <w:szCs w:val="20"/>
                <w:color w:val="auto"/>
              </w:rPr>
            </w:pPr>
            <w:r>
              <w:rPr>
                <w:rFonts w:ascii="Arial" w:cs="Arial" w:eastAsia="Arial" w:hAnsi="Arial"/>
                <w:sz w:val="14"/>
                <w:szCs w:val="14"/>
                <w:color w:val="auto"/>
              </w:rPr>
              <w:t>*</w:t>
            </w:r>
          </w:p>
        </w:tc>
      </w:tr>
      <w:tr>
        <w:trPr>
          <w:trHeight w:val="198"/>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Second Amended and Restated Bylaws of Kratos Defense &amp; Security</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75"/>
        </w:trPr>
        <w:tc>
          <w:tcPr>
            <w:tcW w:w="1160" w:type="dxa"/>
            <w:vAlign w:val="bottom"/>
          </w:tcPr>
          <w:p>
            <w:pPr>
              <w:ind w:left="2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Solutions, Inc., as amended.</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gridSpan w:val="3"/>
          </w:tcPr>
          <w:p>
            <w:pPr>
              <w:ind w:left="1020"/>
              <w:spacing w:after="0"/>
              <w:rPr>
                <w:sz w:val="20"/>
                <w:szCs w:val="20"/>
                <w:color w:val="auto"/>
              </w:rPr>
            </w:pPr>
            <w:r>
              <w:rPr>
                <w:rFonts w:ascii="Arial" w:cs="Arial" w:eastAsia="Arial" w:hAnsi="Arial"/>
                <w:sz w:val="14"/>
                <w:szCs w:val="14"/>
                <w:color w:val="auto"/>
              </w:rPr>
              <w:t>*</w:t>
            </w:r>
          </w:p>
        </w:tc>
      </w:tr>
      <w:tr>
        <w:trPr>
          <w:trHeight w:val="207"/>
        </w:trPr>
        <w:tc>
          <w:tcPr>
            <w:tcW w:w="1160" w:type="dxa"/>
            <w:vAlign w:val="bottom"/>
          </w:tcPr>
          <w:p>
            <w:pPr>
              <w:ind w:left="2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Specimen Stock Certificate.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3"/>
          </w:tcPr>
          <w:p>
            <w:pPr>
              <w:ind w:left="1020"/>
              <w:spacing w:after="0"/>
              <w:rPr>
                <w:sz w:val="20"/>
                <w:szCs w:val="20"/>
                <w:color w:val="auto"/>
              </w:rPr>
            </w:pPr>
            <w:r>
              <w:rPr>
                <w:rFonts w:ascii="Arial" w:cs="Arial" w:eastAsia="Arial" w:hAnsi="Arial"/>
                <w:sz w:val="14"/>
                <w:szCs w:val="14"/>
                <w:color w:val="auto"/>
              </w:rPr>
              <w:t>*</w:t>
            </w:r>
          </w:p>
        </w:tc>
      </w:tr>
      <w:tr>
        <w:trPr>
          <w:trHeight w:val="37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4360" w:type="dxa"/>
            <w:vAlign w:val="bottom"/>
          </w:tcPr>
          <w:p>
            <w:pPr>
              <w:spacing w:after="0"/>
              <w:rPr>
                <w:sz w:val="14"/>
                <w:szCs w:val="14"/>
                <w:color w:val="auto"/>
              </w:rPr>
            </w:pPr>
          </w:p>
        </w:tc>
      </w:tr>
      <w:tr>
        <w:trPr>
          <w:trHeight w:val="477"/>
        </w:trPr>
        <w:tc>
          <w:tcPr>
            <w:tcW w:w="9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4"/>
              </w:rPr>
              <w:t>Indenture, dated as of May 14, 2014, among Kratos Defense &amp; Security</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87"/>
              </w:rPr>
              <w:t>Solutions, Inc., as Issuer, the Guarantors as named therein and party thereto,</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6"/>
              </w:rPr>
              <w:t>and Wilmington Trust, National Association, as Trustee and Collateral</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6"/>
              </w:rPr>
              <w:t>Agent (including the Form of 7.00% Senior Secured Notes due 2019).</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2"/>
              </w:rPr>
              <w:t>Registration Rights Agreement, dated as of May 14, 2014, among Kratos</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6"/>
              </w:rPr>
              <w:t>Defense &amp; Security Solutions, Inc., as Issuer, and SunTrust Robinson</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Humphrey, Inc., as Representative of the Initial Purchasers.</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6"/>
              </w:rPr>
              <w:t>Form of Indemnification Agreement by and between Kratos Defense &amp;</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Security Solutions, Inc. and its directors and executive officers.</w:t>
            </w:r>
          </w:p>
        </w:tc>
      </w:tr>
      <w:tr>
        <w:trPr>
          <w:trHeight w:val="373"/>
        </w:trPr>
        <w:tc>
          <w:tcPr>
            <w:tcW w:w="980" w:type="dxa"/>
            <w:vAlign w:val="bottom"/>
          </w:tcPr>
          <w:p>
            <w:pPr>
              <w:ind w:left="20"/>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Amended and Restated 1999 Employee Stock Purchase Plan.</w:t>
            </w:r>
          </w:p>
        </w:tc>
      </w:tr>
      <w:tr>
        <w:trPr>
          <w:trHeight w:val="373"/>
        </w:trPr>
        <w:tc>
          <w:tcPr>
            <w:tcW w:w="980" w:type="dxa"/>
            <w:vAlign w:val="bottom"/>
          </w:tcPr>
          <w:p>
            <w:pPr>
              <w:ind w:left="20"/>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2000 Nonstatutory Stock Option Plan.</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2"/>
              </w:rPr>
              <w:t>Form of Stock Option Agreement and Form of Stock Option Grant Notice</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used in connection with the 2000 Nonstatutory Stock Option Plan.</w:t>
            </w:r>
          </w:p>
        </w:tc>
      </w:tr>
      <w:tr>
        <w:trPr>
          <w:trHeight w:val="373"/>
        </w:trPr>
        <w:tc>
          <w:tcPr>
            <w:tcW w:w="980" w:type="dxa"/>
            <w:vAlign w:val="bottom"/>
          </w:tcPr>
          <w:p>
            <w:pPr>
              <w:ind w:left="20"/>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2005 Equity Incentive Plan.</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5"/>
              </w:rPr>
              <w:t>Form of Stock Option Agreement pursuant to the 2005 Equity Incentive</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10.6#</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Plan.</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3"/>
              </w:rPr>
              <w:t>Form of Restricted Stock Unit Agreement and Form of Notice of Grant of</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10.7#</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Restricted Stock Units under the 2005 Equity Incentive Plan.</w:t>
            </w:r>
          </w:p>
        </w:tc>
      </w:tr>
      <w:tr>
        <w:trPr>
          <w:trHeight w:val="373"/>
        </w:trPr>
        <w:tc>
          <w:tcPr>
            <w:tcW w:w="980" w:type="dxa"/>
            <w:vAlign w:val="bottom"/>
          </w:tcPr>
          <w:p>
            <w:pPr>
              <w:ind w:left="20"/>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Herley Industries, Inc. 1997 Stock Option Plan.</w:t>
            </w:r>
          </w:p>
        </w:tc>
      </w:tr>
      <w:tr>
        <w:trPr>
          <w:trHeight w:val="373"/>
        </w:trPr>
        <w:tc>
          <w:tcPr>
            <w:tcW w:w="980" w:type="dxa"/>
            <w:vAlign w:val="bottom"/>
          </w:tcPr>
          <w:p>
            <w:pPr>
              <w:ind w:left="20"/>
              <w:spacing w:after="0"/>
              <w:rPr>
                <w:sz w:val="20"/>
                <w:szCs w:val="20"/>
                <w:color w:val="auto"/>
              </w:rPr>
            </w:pPr>
            <w:r>
              <w:rPr>
                <w:rFonts w:ascii="Arial" w:cs="Arial" w:eastAsia="Arial" w:hAnsi="Arial"/>
                <w:sz w:val="14"/>
                <w:szCs w:val="14"/>
                <w:color w:val="auto"/>
              </w:rPr>
              <w:t>10.9#</w:t>
            </w:r>
          </w:p>
        </w:tc>
        <w:tc>
          <w:tcPr>
            <w:tcW w:w="16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Herley Industries, Inc. 2000 Stock Option Plan.</w:t>
            </w:r>
          </w:p>
        </w:tc>
      </w:tr>
      <w:tr>
        <w:trPr>
          <w:trHeight w:val="373"/>
        </w:trPr>
        <w:tc>
          <w:tcPr>
            <w:tcW w:w="980" w:type="dxa"/>
            <w:vAlign w:val="bottom"/>
          </w:tcPr>
          <w:p>
            <w:pPr>
              <w:ind w:left="20"/>
              <w:spacing w:after="0"/>
              <w:rPr>
                <w:sz w:val="20"/>
                <w:szCs w:val="20"/>
                <w:color w:val="auto"/>
              </w:rPr>
            </w:pPr>
            <w:r>
              <w:rPr>
                <w:rFonts w:ascii="Arial" w:cs="Arial" w:eastAsia="Arial" w:hAnsi="Arial"/>
                <w:sz w:val="14"/>
                <w:szCs w:val="14"/>
                <w:color w:val="auto"/>
              </w:rPr>
              <w:t>10.10#</w:t>
            </w:r>
          </w:p>
        </w:tc>
        <w:tc>
          <w:tcPr>
            <w:tcW w:w="16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Herley Industries, Inc. 2003 Stock Option Plan.</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1"/>
              </w:rPr>
              <w:t>Herley Industries, Inc. Amended and Restated 2006 New Employee Stock</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10.11#</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Option Plan.</w:t>
            </w:r>
          </w:p>
        </w:tc>
      </w:tr>
      <w:tr>
        <w:trPr>
          <w:trHeight w:val="373"/>
        </w:trPr>
        <w:tc>
          <w:tcPr>
            <w:tcW w:w="980" w:type="dxa"/>
            <w:vAlign w:val="bottom"/>
          </w:tcPr>
          <w:p>
            <w:pPr>
              <w:ind w:left="20"/>
              <w:spacing w:after="0"/>
              <w:rPr>
                <w:sz w:val="20"/>
                <w:szCs w:val="20"/>
                <w:color w:val="auto"/>
              </w:rPr>
            </w:pPr>
            <w:r>
              <w:rPr>
                <w:rFonts w:ascii="Arial" w:cs="Arial" w:eastAsia="Arial" w:hAnsi="Arial"/>
                <w:sz w:val="14"/>
                <w:szCs w:val="14"/>
                <w:color w:val="auto"/>
              </w:rPr>
              <w:t>10.12#</w:t>
            </w:r>
          </w:p>
        </w:tc>
        <w:tc>
          <w:tcPr>
            <w:tcW w:w="16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2011 Equity Incentive Plan.</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5"/>
              </w:rPr>
              <w:t>Form of Notice of Grant of Restricted Stock Units and Restricted Stock</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10.13#</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Unit Award Agreement pursuant to the 2011 Equity Incentive Plan.</w:t>
            </w:r>
          </w:p>
        </w:tc>
      </w:tr>
      <w:tr>
        <w:trPr>
          <w:trHeight w:val="373"/>
        </w:trPr>
        <w:tc>
          <w:tcPr>
            <w:tcW w:w="980" w:type="dxa"/>
            <w:vAlign w:val="bottom"/>
          </w:tcPr>
          <w:p>
            <w:pPr>
              <w:ind w:left="20"/>
              <w:spacing w:after="0"/>
              <w:rPr>
                <w:sz w:val="20"/>
                <w:szCs w:val="20"/>
                <w:color w:val="auto"/>
              </w:rPr>
            </w:pPr>
            <w:r>
              <w:rPr>
                <w:rFonts w:ascii="Arial" w:cs="Arial" w:eastAsia="Arial" w:hAnsi="Arial"/>
                <w:sz w:val="14"/>
                <w:szCs w:val="14"/>
                <w:color w:val="auto"/>
              </w:rPr>
              <w:t>10.14#</w:t>
            </w:r>
          </w:p>
        </w:tc>
        <w:tc>
          <w:tcPr>
            <w:tcW w:w="16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2014 Equity Incentive Plan.</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8"/>
              </w:rPr>
              <w:t>Form of Restricted Stock Unit Grant &amp; Notice and Form of Restricted</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10.15#</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2"/>
              </w:rPr>
              <w:t>Stock Unit Award Agreement pursuant to the 2014 Equity Incentive Plan.</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90"/>
              </w:rPr>
              <w:t>Second Amended and Restated Executive Employment Agreement, dated</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w w:val="89"/>
              </w:rPr>
              <w:t>as of August 4, 2011, by and between Kratos Defense &amp; Security Solutions,</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10.16#</w:t>
            </w:r>
          </w:p>
        </w:tc>
        <w:tc>
          <w:tcPr>
            <w:tcW w:w="160" w:type="dxa"/>
            <w:vAlign w:val="bottom"/>
          </w:tcPr>
          <w:p>
            <w:pPr>
              <w:spacing w:after="0"/>
              <w:rPr>
                <w:sz w:val="15"/>
                <w:szCs w:val="15"/>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Inc. and Eric DeMarco.</w:t>
            </w: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960" w:type="dxa"/>
            <w:vAlign w:val="bottom"/>
          </w:tcPr>
          <w:p>
            <w:pPr>
              <w:spacing w:after="0"/>
              <w:rPr>
                <w:sz w:val="14"/>
                <w:szCs w:val="14"/>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05/15/2014</w:t>
            </w:r>
          </w:p>
        </w:tc>
        <w:tc>
          <w:tcPr>
            <w:tcW w:w="720" w:type="dxa"/>
            <w:vAlign w:val="bottom"/>
          </w:tcPr>
          <w:p>
            <w:pPr>
              <w:spacing w:after="0"/>
              <w:rPr>
                <w:sz w:val="14"/>
                <w:szCs w:val="14"/>
                <w:color w:val="auto"/>
              </w:rPr>
            </w:pPr>
          </w:p>
        </w:tc>
      </w:tr>
      <w:tr>
        <w:trPr>
          <w:trHeight w:val="175"/>
        </w:trPr>
        <w:tc>
          <w:tcPr>
            <w:tcW w:w="960" w:type="dxa"/>
            <w:vAlign w:val="bottom"/>
          </w:tcPr>
          <w:p>
            <w:pPr>
              <w:jc w:val="center"/>
              <w:ind w:right="351"/>
              <w:spacing w:after="0"/>
              <w:rPr>
                <w:sz w:val="20"/>
                <w:szCs w:val="20"/>
                <w:color w:val="auto"/>
              </w:rPr>
            </w:pPr>
            <w:r>
              <w:rPr>
                <w:rFonts w:ascii="Arial" w:cs="Arial" w:eastAsia="Arial" w:hAnsi="Arial"/>
                <w:sz w:val="14"/>
                <w:szCs w:val="14"/>
                <w:color w:val="auto"/>
              </w:rPr>
              <w:t>8-K</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(001-34460)</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1"/>
              </w:rPr>
              <w:t>4.1</w:t>
            </w:r>
          </w:p>
        </w:tc>
      </w:tr>
      <w:tr>
        <w:trPr>
          <w:trHeight w:val="363"/>
        </w:trPr>
        <w:tc>
          <w:tcPr>
            <w:tcW w:w="960" w:type="dxa"/>
            <w:vAlign w:val="bottom"/>
          </w:tcPr>
          <w:p>
            <w:pPr>
              <w:spacing w:after="0"/>
              <w:rPr>
                <w:sz w:val="24"/>
                <w:szCs w:val="24"/>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05/15/2014</w:t>
            </w:r>
          </w:p>
        </w:tc>
        <w:tc>
          <w:tcPr>
            <w:tcW w:w="720" w:type="dxa"/>
            <w:vAlign w:val="bottom"/>
          </w:tcPr>
          <w:p>
            <w:pPr>
              <w:spacing w:after="0"/>
              <w:rPr>
                <w:sz w:val="24"/>
                <w:szCs w:val="24"/>
                <w:color w:val="auto"/>
              </w:rPr>
            </w:pPr>
          </w:p>
        </w:tc>
      </w:tr>
      <w:tr>
        <w:trPr>
          <w:trHeight w:val="175"/>
        </w:trPr>
        <w:tc>
          <w:tcPr>
            <w:tcW w:w="960" w:type="dxa"/>
            <w:vAlign w:val="bottom"/>
          </w:tcPr>
          <w:p>
            <w:pPr>
              <w:jc w:val="center"/>
              <w:ind w:right="351"/>
              <w:spacing w:after="0"/>
              <w:rPr>
                <w:sz w:val="20"/>
                <w:szCs w:val="20"/>
                <w:color w:val="auto"/>
              </w:rPr>
            </w:pPr>
            <w:r>
              <w:rPr>
                <w:rFonts w:ascii="Arial" w:cs="Arial" w:eastAsia="Arial" w:hAnsi="Arial"/>
                <w:sz w:val="14"/>
                <w:szCs w:val="14"/>
                <w:color w:val="auto"/>
              </w:rPr>
              <w:t>8-K</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(001-34460)</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10.1</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08/04/2011</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89"/>
              </w:rPr>
              <w:t>10-Q</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(001-34460)</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10.8</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09/13/2013</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91"/>
              </w:rPr>
              <w:t>S-8</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0"/>
              </w:rPr>
              <w:t>(333-191156)</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99.1</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11/14/2000</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89"/>
              </w:rPr>
              <w:t>10-Q</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(000-27231)</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10.2</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11/14/2000</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89"/>
              </w:rPr>
              <w:t>10-Q</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(000-27231)</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10.3</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08/01/2005</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91"/>
              </w:rPr>
              <w:t>S-8</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0"/>
              </w:rPr>
              <w:t>(333-127060)</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99.2</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08/01/2005</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91"/>
              </w:rPr>
              <w:t>S-8</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0"/>
              </w:rPr>
              <w:t>(333-127060)</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99.1</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01/17/2007</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51"/>
              <w:spacing w:after="0"/>
              <w:rPr>
                <w:sz w:val="20"/>
                <w:szCs w:val="20"/>
                <w:color w:val="auto"/>
              </w:rPr>
            </w:pPr>
            <w:r>
              <w:rPr>
                <w:rFonts w:ascii="Arial" w:cs="Arial" w:eastAsia="Arial" w:hAnsi="Arial"/>
                <w:sz w:val="14"/>
                <w:szCs w:val="14"/>
                <w:color w:val="auto"/>
              </w:rPr>
              <w:t>8-K</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(000-27231)</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99.3</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04/08/2011</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91"/>
              </w:rPr>
              <w:t>S-8</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0"/>
              </w:rPr>
              <w:t>(333-173383)</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4.11</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04/08/2011</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91"/>
              </w:rPr>
              <w:t>S-8</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0"/>
              </w:rPr>
              <w:t>(333-173383)</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4.13</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04/08/2011</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91"/>
              </w:rPr>
              <w:t>S-8</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0"/>
              </w:rPr>
              <w:t>(333-173383)</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4.14</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04/08/2011</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91"/>
              </w:rPr>
              <w:t>S-8</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0"/>
              </w:rPr>
              <w:t>(333-173383)</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4.15</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04/15/2011</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51"/>
              <w:spacing w:after="0"/>
              <w:rPr>
                <w:sz w:val="20"/>
                <w:szCs w:val="20"/>
                <w:color w:val="auto"/>
              </w:rPr>
            </w:pPr>
            <w:r>
              <w:rPr>
                <w:rFonts w:ascii="Arial" w:cs="Arial" w:eastAsia="Arial" w:hAnsi="Arial"/>
                <w:sz w:val="14"/>
                <w:szCs w:val="14"/>
                <w:color w:val="auto"/>
                <w:w w:val="94"/>
              </w:rPr>
              <w:t>DEF 14A</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(001-34460)</w:t>
            </w:r>
          </w:p>
        </w:tc>
        <w:tc>
          <w:tcPr>
            <w:tcW w:w="720" w:type="dxa"/>
            <w:vAlign w:val="bottom"/>
          </w:tcPr>
          <w:p>
            <w:pPr>
              <w:ind w:left="520"/>
              <w:spacing w:after="0"/>
              <w:rPr>
                <w:sz w:val="20"/>
                <w:szCs w:val="20"/>
                <w:color w:val="auto"/>
              </w:rPr>
            </w:pPr>
            <w:r>
              <w:rPr>
                <w:rFonts w:ascii="Arial" w:cs="Arial" w:eastAsia="Arial" w:hAnsi="Arial"/>
                <w:sz w:val="14"/>
                <w:szCs w:val="14"/>
                <w:color w:val="auto"/>
                <w:w w:val="92"/>
              </w:rPr>
              <w:t>n/a</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5"/>
              </w:rPr>
              <w:t>11/18/2011</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51"/>
              <w:spacing w:after="0"/>
              <w:rPr>
                <w:sz w:val="20"/>
                <w:szCs w:val="20"/>
                <w:color w:val="auto"/>
              </w:rPr>
            </w:pPr>
            <w:r>
              <w:rPr>
                <w:rFonts w:ascii="Arial" w:cs="Arial" w:eastAsia="Arial" w:hAnsi="Arial"/>
                <w:sz w:val="14"/>
                <w:szCs w:val="14"/>
                <w:color w:val="auto"/>
              </w:rPr>
              <w:t>8-K</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(001-34460)</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10.2</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04/11/2014</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51"/>
              <w:spacing w:after="0"/>
              <w:rPr>
                <w:sz w:val="20"/>
                <w:szCs w:val="20"/>
                <w:color w:val="auto"/>
              </w:rPr>
            </w:pPr>
            <w:r>
              <w:rPr>
                <w:rFonts w:ascii="Arial" w:cs="Arial" w:eastAsia="Arial" w:hAnsi="Arial"/>
                <w:sz w:val="14"/>
                <w:szCs w:val="14"/>
                <w:color w:val="auto"/>
                <w:w w:val="94"/>
              </w:rPr>
              <w:t>DEF 14A</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(001-34460)</w:t>
            </w:r>
          </w:p>
        </w:tc>
        <w:tc>
          <w:tcPr>
            <w:tcW w:w="720" w:type="dxa"/>
            <w:vAlign w:val="bottom"/>
          </w:tcPr>
          <w:p>
            <w:pPr>
              <w:ind w:left="520"/>
              <w:spacing w:after="0"/>
              <w:rPr>
                <w:sz w:val="20"/>
                <w:szCs w:val="20"/>
                <w:color w:val="auto"/>
              </w:rPr>
            </w:pPr>
            <w:r>
              <w:rPr>
                <w:rFonts w:ascii="Arial" w:cs="Arial" w:eastAsia="Arial" w:hAnsi="Arial"/>
                <w:sz w:val="14"/>
                <w:szCs w:val="14"/>
                <w:color w:val="auto"/>
                <w:w w:val="92"/>
              </w:rPr>
              <w:t>n/a</w:t>
            </w:r>
          </w:p>
        </w:tc>
      </w:tr>
      <w:tr>
        <w:trPr>
          <w:trHeight w:val="198"/>
        </w:trPr>
        <w:tc>
          <w:tcPr>
            <w:tcW w:w="960" w:type="dxa"/>
            <w:vAlign w:val="bottom"/>
          </w:tcPr>
          <w:p>
            <w:pPr>
              <w:spacing w:after="0"/>
              <w:rPr>
                <w:sz w:val="17"/>
                <w:szCs w:val="17"/>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11/07/2014</w:t>
            </w:r>
          </w:p>
        </w:tc>
        <w:tc>
          <w:tcPr>
            <w:tcW w:w="720" w:type="dxa"/>
            <w:vAlign w:val="bottom"/>
          </w:tcPr>
          <w:p>
            <w:pPr>
              <w:spacing w:after="0"/>
              <w:rPr>
                <w:sz w:val="17"/>
                <w:szCs w:val="17"/>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89"/>
              </w:rPr>
              <w:t>10-Q</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(001-34460)</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10.1</w:t>
            </w:r>
          </w:p>
        </w:tc>
      </w:tr>
      <w:tr>
        <w:trPr>
          <w:trHeight w:val="363"/>
        </w:trPr>
        <w:tc>
          <w:tcPr>
            <w:tcW w:w="960" w:type="dxa"/>
            <w:vAlign w:val="bottom"/>
          </w:tcPr>
          <w:p>
            <w:pPr>
              <w:spacing w:after="0"/>
              <w:rPr>
                <w:sz w:val="24"/>
                <w:szCs w:val="24"/>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91"/>
              </w:rPr>
              <w:t>08/04/2011</w:t>
            </w:r>
          </w:p>
        </w:tc>
        <w:tc>
          <w:tcPr>
            <w:tcW w:w="720" w:type="dxa"/>
            <w:vAlign w:val="bottom"/>
          </w:tcPr>
          <w:p>
            <w:pPr>
              <w:spacing w:after="0"/>
              <w:rPr>
                <w:sz w:val="24"/>
                <w:szCs w:val="24"/>
                <w:color w:val="auto"/>
              </w:rPr>
            </w:pPr>
          </w:p>
        </w:tc>
      </w:tr>
      <w:tr>
        <w:trPr>
          <w:trHeight w:val="175"/>
        </w:trPr>
        <w:tc>
          <w:tcPr>
            <w:tcW w:w="960" w:type="dxa"/>
            <w:vAlign w:val="bottom"/>
          </w:tcPr>
          <w:p>
            <w:pPr>
              <w:jc w:val="center"/>
              <w:ind w:right="331"/>
              <w:spacing w:after="0"/>
              <w:rPr>
                <w:sz w:val="20"/>
                <w:szCs w:val="20"/>
                <w:color w:val="auto"/>
              </w:rPr>
            </w:pPr>
            <w:r>
              <w:rPr>
                <w:rFonts w:ascii="Arial" w:cs="Arial" w:eastAsia="Arial" w:hAnsi="Arial"/>
                <w:sz w:val="14"/>
                <w:szCs w:val="14"/>
                <w:color w:val="auto"/>
                <w:w w:val="89"/>
              </w:rPr>
              <w:t>10-Q</w:t>
            </w: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(001-34460)</w:t>
            </w:r>
          </w:p>
        </w:tc>
        <w:tc>
          <w:tcPr>
            <w:tcW w:w="720" w:type="dxa"/>
            <w:vAlign w:val="bottom"/>
          </w:tcPr>
          <w:p>
            <w:pPr>
              <w:jc w:val="center"/>
              <w:ind w:left="411"/>
              <w:spacing w:after="0"/>
              <w:rPr>
                <w:sz w:val="20"/>
                <w:szCs w:val="20"/>
                <w:color w:val="auto"/>
              </w:rPr>
            </w:pPr>
            <w:r>
              <w:rPr>
                <w:rFonts w:ascii="Arial" w:cs="Arial" w:eastAsia="Arial" w:hAnsi="Arial"/>
                <w:sz w:val="14"/>
                <w:szCs w:val="14"/>
                <w:color w:val="auto"/>
                <w:w w:val="87"/>
              </w:rPr>
              <w:t>10.3</w:t>
            </w:r>
          </w:p>
        </w:tc>
      </w:tr>
    </w:tbl>
    <w:p>
      <w:pPr>
        <w:sectPr>
          <w:pgSz w:w="11900" w:h="16838" w:orient="portrait"/>
          <w:cols w:equalWidth="0" w:num="2">
            <w:col w:w="5800" w:space="260"/>
            <w:col w:w="4179"/>
          </w:cols>
          <w:pgMar w:left="220" w:top="113" w:right="1440"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4340" w:type="dxa"/>
            <w:vAlign w:val="bottom"/>
          </w:tcPr>
          <w:p>
            <w:pPr>
              <w:spacing w:after="0"/>
              <w:rPr>
                <w:sz w:val="14"/>
                <w:szCs w:val="14"/>
                <w:color w:val="auto"/>
              </w:rPr>
            </w:pPr>
          </w:p>
        </w:tc>
      </w:tr>
      <w:tr>
        <w:trPr>
          <w:trHeight w:val="477"/>
        </w:trPr>
        <w:tc>
          <w:tcPr>
            <w:tcW w:w="9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Second Amended and Restated Severance and Change of Control</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89"/>
              </w:rPr>
              <w:t>Agreement, dated as of August 4, 2011, by and between Kratos Defense &amp;</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10.17#</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Security Solutions, Inc. and Deanna Lund.</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4"/>
              </w:rPr>
              <w:t>Sublease Agreement, dated as of December 17, 2009, by and between</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88"/>
              </w:rPr>
              <w:t>Amylin Pharmaceuticals, Inc., as Sublessor, and Kratos Defense &amp; Security</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10.18</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Solutions, Inc., as Sublessee.</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3"/>
              </w:rPr>
              <w:t>Herley Industries, Inc. Amended and Restated 2010 Stock Plan, and the</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3"/>
              </w:rPr>
              <w:t>related Form of Notice of Grant of Restricted Stock Units and Restricted</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10.19#</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Stock Unit Award Agreement.</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1"/>
              </w:rPr>
              <w:t>Amended and Restated Integral Systems, Inc. 2008 Stock Incentive Plan,</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7"/>
              </w:rPr>
              <w:t>and the related Form of Notice of Grant of Restricted Stock Units and</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10.20#</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9"/>
              </w:rPr>
              <w:t>Restricted Stock Units and Restricted Stock Unit Award Agreement.</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5"/>
              </w:rPr>
              <w:t>Standstill Agreement, dated May 14, 2012, between Kratos Defense &amp;</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0"/>
              </w:rPr>
              <w:t>Security Solutions, Inc., Bandel Carano, Oak Investment Partners IX, L.P.,</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Oak IX Affiliates Fund, L.P., Oak IX Affiliates Fund-A, L.P., Oak X</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89"/>
              </w:rPr>
              <w:t>Affiliates Fund, L.P., Oak Investment Partners X, L.P., and Oak Investment</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10.21</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Partners XIII, L.P.</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5"/>
              </w:rPr>
              <w:t>Form of Notice of Grant of Restricted Stock Units and Restricted Stock</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2"/>
              </w:rPr>
              <w:t>Unit Award Agreement, entered into between Kratos Defense &amp; Security</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10.22#</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7"/>
              </w:rPr>
              <w:t>Solutions, Inc. and certain employees of Composite Engineering, Inc.</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89"/>
              </w:rPr>
              <w:t>Employment Agreement, effective January 1, 2015, by and between Kratos</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10.23#</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Defense &amp; Security Solutions, Inc. and Richard Poirier.</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0"/>
              </w:rPr>
              <w:t>Bonus Agreement, dated June 1, 2015, by and between Kratos Defense &amp;</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10.24#</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Security Solutions, Inc. and Richard Poirier.</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2"/>
              </w:rPr>
              <w:t>Credit and Security Agreement, dated as of May 14, 2014, among Kratos</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8"/>
              </w:rPr>
              <w:t>Defense &amp; Security Solutions, Inc., as Borrower, the Lenders named</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5"/>
              </w:rPr>
              <w:t>therein, SunTrust Bank, as Agent, PNC Bank, National Association, as</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3"/>
              </w:rPr>
              <w:t>Joint Lead Arranger and Documentation Agent, and SunTrust Robinson</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10.25</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Humphrey, Inc., as Joint Lead Arranger and Sole Book Runner.</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0"/>
              </w:rPr>
              <w:t>Third Amendment to Credit and Security Agreement, dated May 31, 2015,</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89"/>
              </w:rPr>
              <w:t>among Kratos Defense &amp; Security Solutions, Inc., as Borrower, each of the</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2"/>
              </w:rPr>
              <w:t>Credit Parties and Required Lenders party thereto and SunTrust Bank as</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10.26</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Agent.</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93"/>
              </w:rPr>
              <w:t>Fourth Amendment to Credit and Security Agreement, dated August 20,</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89"/>
              </w:rPr>
              <w:t>2015, among Kratos Defense &amp; Security Solutions, Inc., as Borrower, each</w:t>
            </w: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w w:val="88"/>
              </w:rPr>
              <w:t>of the Credit Parties and Required Lenders party thereto and SunTrust Bank</w:t>
            </w: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10.27</w:t>
            </w:r>
          </w:p>
        </w:tc>
        <w:tc>
          <w:tcPr>
            <w:tcW w:w="160" w:type="dxa"/>
            <w:vAlign w:val="bottom"/>
          </w:tcPr>
          <w:p>
            <w:pPr>
              <w:spacing w:after="0"/>
              <w:rPr>
                <w:sz w:val="15"/>
                <w:szCs w:val="15"/>
                <w:color w:val="auto"/>
              </w:rPr>
            </w:pPr>
          </w:p>
        </w:tc>
        <w:tc>
          <w:tcPr>
            <w:tcW w:w="4340" w:type="dxa"/>
            <w:vAlign w:val="bottom"/>
          </w:tcPr>
          <w:p>
            <w:pPr>
              <w:ind w:left="160"/>
              <w:spacing w:after="0"/>
              <w:rPr>
                <w:sz w:val="20"/>
                <w:szCs w:val="20"/>
                <w:color w:val="auto"/>
              </w:rPr>
            </w:pPr>
            <w:r>
              <w:rPr>
                <w:rFonts w:ascii="Arial" w:cs="Arial" w:eastAsia="Arial" w:hAnsi="Arial"/>
                <w:sz w:val="14"/>
                <w:szCs w:val="14"/>
                <w:color w:val="auto"/>
              </w:rPr>
              <w:t>as Agent.</w:t>
            </w: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7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08/04/2011</w:t>
            </w:r>
          </w:p>
        </w:tc>
        <w:tc>
          <w:tcPr>
            <w:tcW w:w="780" w:type="dxa"/>
            <w:vAlign w:val="bottom"/>
          </w:tcPr>
          <w:p>
            <w:pPr>
              <w:spacing w:after="0"/>
              <w:rPr>
                <w:sz w:val="14"/>
                <w:szCs w:val="14"/>
                <w:color w:val="auto"/>
              </w:rPr>
            </w:pPr>
          </w:p>
        </w:tc>
      </w:tr>
      <w:tr>
        <w:trPr>
          <w:trHeight w:val="175"/>
        </w:trPr>
        <w:tc>
          <w:tcPr>
            <w:tcW w:w="760" w:type="dxa"/>
            <w:vAlign w:val="bottom"/>
          </w:tcPr>
          <w:p>
            <w:pPr>
              <w:jc w:val="center"/>
              <w:ind w:right="411"/>
              <w:spacing w:after="0"/>
              <w:rPr>
                <w:sz w:val="20"/>
                <w:szCs w:val="20"/>
                <w:color w:val="auto"/>
              </w:rPr>
            </w:pPr>
            <w:r>
              <w:rPr>
                <w:rFonts w:ascii="Arial" w:cs="Arial" w:eastAsia="Arial" w:hAnsi="Arial"/>
                <w:sz w:val="14"/>
                <w:szCs w:val="14"/>
                <w:color w:val="auto"/>
                <w:w w:val="89"/>
              </w:rPr>
              <w:t>10-Q</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10.4</w:t>
            </w:r>
          </w:p>
        </w:tc>
      </w:tr>
      <w:tr>
        <w:trPr>
          <w:trHeight w:val="363"/>
        </w:trPr>
        <w:tc>
          <w:tcPr>
            <w:tcW w:w="7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03/11/2010</w:t>
            </w:r>
          </w:p>
        </w:tc>
        <w:tc>
          <w:tcPr>
            <w:tcW w:w="780" w:type="dxa"/>
            <w:vAlign w:val="bottom"/>
          </w:tcPr>
          <w:p>
            <w:pPr>
              <w:spacing w:after="0"/>
              <w:rPr>
                <w:sz w:val="24"/>
                <w:szCs w:val="24"/>
                <w:color w:val="auto"/>
              </w:rPr>
            </w:pPr>
          </w:p>
        </w:tc>
      </w:tr>
      <w:tr>
        <w:trPr>
          <w:trHeight w:val="175"/>
        </w:trPr>
        <w:tc>
          <w:tcPr>
            <w:tcW w:w="760" w:type="dxa"/>
            <w:vAlign w:val="bottom"/>
          </w:tcPr>
          <w:p>
            <w:pPr>
              <w:jc w:val="center"/>
              <w:ind w:right="411"/>
              <w:spacing w:after="0"/>
              <w:rPr>
                <w:sz w:val="20"/>
                <w:szCs w:val="20"/>
                <w:color w:val="auto"/>
              </w:rPr>
            </w:pPr>
            <w:r>
              <w:rPr>
                <w:rFonts w:ascii="Arial" w:cs="Arial" w:eastAsia="Arial" w:hAnsi="Arial"/>
                <w:sz w:val="14"/>
                <w:szCs w:val="14"/>
                <w:color w:val="auto"/>
                <w:w w:val="94"/>
              </w:rPr>
              <w:t>10-K</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91"/>
              </w:rPr>
              <w:t>10.26</w:t>
            </w:r>
          </w:p>
        </w:tc>
      </w:tr>
      <w:tr>
        <w:trPr>
          <w:trHeight w:val="363"/>
        </w:trPr>
        <w:tc>
          <w:tcPr>
            <w:tcW w:w="7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03/08/2012</w:t>
            </w:r>
          </w:p>
        </w:tc>
        <w:tc>
          <w:tcPr>
            <w:tcW w:w="780" w:type="dxa"/>
            <w:vAlign w:val="bottom"/>
          </w:tcPr>
          <w:p>
            <w:pPr>
              <w:spacing w:after="0"/>
              <w:rPr>
                <w:sz w:val="24"/>
                <w:szCs w:val="24"/>
                <w:color w:val="auto"/>
              </w:rPr>
            </w:pPr>
          </w:p>
        </w:tc>
      </w:tr>
      <w:tr>
        <w:trPr>
          <w:trHeight w:val="175"/>
        </w:trPr>
        <w:tc>
          <w:tcPr>
            <w:tcW w:w="760" w:type="dxa"/>
            <w:vAlign w:val="bottom"/>
          </w:tcPr>
          <w:p>
            <w:pPr>
              <w:jc w:val="center"/>
              <w:ind w:right="411"/>
              <w:spacing w:after="0"/>
              <w:rPr>
                <w:sz w:val="20"/>
                <w:szCs w:val="20"/>
                <w:color w:val="auto"/>
              </w:rPr>
            </w:pPr>
            <w:r>
              <w:rPr>
                <w:rFonts w:ascii="Arial" w:cs="Arial" w:eastAsia="Arial" w:hAnsi="Arial"/>
                <w:sz w:val="14"/>
                <w:szCs w:val="14"/>
                <w:color w:val="auto"/>
                <w:w w:val="91"/>
              </w:rPr>
              <w:t>S-8</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(333-179977)</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4.10</w:t>
            </w:r>
          </w:p>
        </w:tc>
      </w:tr>
      <w:tr>
        <w:trPr>
          <w:trHeight w:val="363"/>
        </w:trPr>
        <w:tc>
          <w:tcPr>
            <w:tcW w:w="7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03/08/2012</w:t>
            </w:r>
          </w:p>
        </w:tc>
        <w:tc>
          <w:tcPr>
            <w:tcW w:w="780" w:type="dxa"/>
            <w:vAlign w:val="bottom"/>
          </w:tcPr>
          <w:p>
            <w:pPr>
              <w:spacing w:after="0"/>
              <w:rPr>
                <w:sz w:val="24"/>
                <w:szCs w:val="24"/>
                <w:color w:val="auto"/>
              </w:rPr>
            </w:pPr>
          </w:p>
        </w:tc>
      </w:tr>
      <w:tr>
        <w:trPr>
          <w:trHeight w:val="175"/>
        </w:trPr>
        <w:tc>
          <w:tcPr>
            <w:tcW w:w="760" w:type="dxa"/>
            <w:vAlign w:val="bottom"/>
          </w:tcPr>
          <w:p>
            <w:pPr>
              <w:jc w:val="center"/>
              <w:ind w:right="411"/>
              <w:spacing w:after="0"/>
              <w:rPr>
                <w:sz w:val="20"/>
                <w:szCs w:val="20"/>
                <w:color w:val="auto"/>
              </w:rPr>
            </w:pPr>
            <w:r>
              <w:rPr>
                <w:rFonts w:ascii="Arial" w:cs="Arial" w:eastAsia="Arial" w:hAnsi="Arial"/>
                <w:sz w:val="14"/>
                <w:szCs w:val="14"/>
                <w:color w:val="auto"/>
                <w:w w:val="91"/>
              </w:rPr>
              <w:t>S-8</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(333-179977)</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4.11</w:t>
            </w:r>
          </w:p>
        </w:tc>
      </w:tr>
      <w:tr>
        <w:trPr>
          <w:trHeight w:val="695"/>
        </w:trPr>
        <w:tc>
          <w:tcPr>
            <w:tcW w:w="7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05/15/2012</w:t>
            </w:r>
          </w:p>
        </w:tc>
        <w:tc>
          <w:tcPr>
            <w:tcW w:w="780" w:type="dxa"/>
            <w:vAlign w:val="bottom"/>
          </w:tcPr>
          <w:p>
            <w:pPr>
              <w:spacing w:after="0"/>
              <w:rPr>
                <w:sz w:val="24"/>
                <w:szCs w:val="24"/>
                <w:color w:val="auto"/>
              </w:rPr>
            </w:pPr>
          </w:p>
        </w:tc>
      </w:tr>
      <w:tr>
        <w:trPr>
          <w:trHeight w:val="175"/>
        </w:trPr>
        <w:tc>
          <w:tcPr>
            <w:tcW w:w="760" w:type="dxa"/>
            <w:vAlign w:val="bottom"/>
          </w:tcPr>
          <w:p>
            <w:pPr>
              <w:jc w:val="center"/>
              <w:ind w:right="431"/>
              <w:spacing w:after="0"/>
              <w:rPr>
                <w:sz w:val="20"/>
                <w:szCs w:val="20"/>
                <w:color w:val="auto"/>
              </w:rPr>
            </w:pPr>
            <w:r>
              <w:rPr>
                <w:rFonts w:ascii="Arial" w:cs="Arial" w:eastAsia="Arial" w:hAnsi="Arial"/>
                <w:sz w:val="14"/>
                <w:szCs w:val="14"/>
                <w:color w:val="auto"/>
              </w:rPr>
              <w:t>8-K</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10.1</w:t>
            </w:r>
          </w:p>
        </w:tc>
      </w:tr>
      <w:tr>
        <w:trPr>
          <w:trHeight w:val="363"/>
        </w:trPr>
        <w:tc>
          <w:tcPr>
            <w:tcW w:w="7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07/27/2012</w:t>
            </w:r>
          </w:p>
        </w:tc>
        <w:tc>
          <w:tcPr>
            <w:tcW w:w="780" w:type="dxa"/>
            <w:vAlign w:val="bottom"/>
          </w:tcPr>
          <w:p>
            <w:pPr>
              <w:spacing w:after="0"/>
              <w:rPr>
                <w:sz w:val="24"/>
                <w:szCs w:val="24"/>
                <w:color w:val="auto"/>
              </w:rPr>
            </w:pPr>
          </w:p>
        </w:tc>
      </w:tr>
      <w:tr>
        <w:trPr>
          <w:trHeight w:val="175"/>
        </w:trPr>
        <w:tc>
          <w:tcPr>
            <w:tcW w:w="760" w:type="dxa"/>
            <w:vAlign w:val="bottom"/>
          </w:tcPr>
          <w:p>
            <w:pPr>
              <w:jc w:val="center"/>
              <w:ind w:right="411"/>
              <w:spacing w:after="0"/>
              <w:rPr>
                <w:sz w:val="20"/>
                <w:szCs w:val="20"/>
                <w:color w:val="auto"/>
              </w:rPr>
            </w:pPr>
            <w:r>
              <w:rPr>
                <w:rFonts w:ascii="Arial" w:cs="Arial" w:eastAsia="Arial" w:hAnsi="Arial"/>
                <w:sz w:val="14"/>
                <w:szCs w:val="14"/>
                <w:color w:val="auto"/>
                <w:w w:val="91"/>
              </w:rPr>
              <w:t>S-8</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(333-182910)</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4.12</w:t>
            </w:r>
          </w:p>
        </w:tc>
      </w:tr>
      <w:tr>
        <w:trPr>
          <w:trHeight w:val="198"/>
        </w:trPr>
        <w:tc>
          <w:tcPr>
            <w:tcW w:w="7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03/12/2015</w:t>
            </w:r>
          </w:p>
        </w:tc>
        <w:tc>
          <w:tcPr>
            <w:tcW w:w="780" w:type="dxa"/>
            <w:vAlign w:val="bottom"/>
          </w:tcPr>
          <w:p>
            <w:pPr>
              <w:spacing w:after="0"/>
              <w:rPr>
                <w:sz w:val="17"/>
                <w:szCs w:val="17"/>
                <w:color w:val="auto"/>
              </w:rPr>
            </w:pPr>
          </w:p>
        </w:tc>
      </w:tr>
      <w:tr>
        <w:trPr>
          <w:trHeight w:val="175"/>
        </w:trPr>
        <w:tc>
          <w:tcPr>
            <w:tcW w:w="760" w:type="dxa"/>
            <w:vAlign w:val="bottom"/>
          </w:tcPr>
          <w:p>
            <w:pPr>
              <w:jc w:val="center"/>
              <w:ind w:right="431"/>
              <w:spacing w:after="0"/>
              <w:rPr>
                <w:sz w:val="20"/>
                <w:szCs w:val="20"/>
                <w:color w:val="auto"/>
              </w:rPr>
            </w:pPr>
            <w:r>
              <w:rPr>
                <w:rFonts w:ascii="Arial" w:cs="Arial" w:eastAsia="Arial" w:hAnsi="Arial"/>
                <w:sz w:val="14"/>
                <w:szCs w:val="14"/>
                <w:color w:val="auto"/>
              </w:rPr>
              <w:t>8-K</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10.1</w:t>
            </w:r>
          </w:p>
        </w:tc>
      </w:tr>
      <w:tr>
        <w:trPr>
          <w:trHeight w:val="198"/>
        </w:trPr>
        <w:tc>
          <w:tcPr>
            <w:tcW w:w="7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06/02/2015</w:t>
            </w:r>
          </w:p>
        </w:tc>
        <w:tc>
          <w:tcPr>
            <w:tcW w:w="780" w:type="dxa"/>
            <w:vAlign w:val="bottom"/>
          </w:tcPr>
          <w:p>
            <w:pPr>
              <w:spacing w:after="0"/>
              <w:rPr>
                <w:sz w:val="17"/>
                <w:szCs w:val="17"/>
                <w:color w:val="auto"/>
              </w:rPr>
            </w:pPr>
          </w:p>
        </w:tc>
      </w:tr>
      <w:tr>
        <w:trPr>
          <w:trHeight w:val="175"/>
        </w:trPr>
        <w:tc>
          <w:tcPr>
            <w:tcW w:w="760" w:type="dxa"/>
            <w:vAlign w:val="bottom"/>
          </w:tcPr>
          <w:p>
            <w:pPr>
              <w:jc w:val="center"/>
              <w:ind w:right="431"/>
              <w:spacing w:after="0"/>
              <w:rPr>
                <w:sz w:val="20"/>
                <w:szCs w:val="20"/>
                <w:color w:val="auto"/>
              </w:rPr>
            </w:pPr>
            <w:r>
              <w:rPr>
                <w:rFonts w:ascii="Arial" w:cs="Arial" w:eastAsia="Arial" w:hAnsi="Arial"/>
                <w:sz w:val="14"/>
                <w:szCs w:val="14"/>
                <w:color w:val="auto"/>
              </w:rPr>
              <w:t>8-K</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10.1</w:t>
            </w:r>
          </w:p>
        </w:tc>
      </w:tr>
      <w:tr>
        <w:trPr>
          <w:trHeight w:val="695"/>
        </w:trPr>
        <w:tc>
          <w:tcPr>
            <w:tcW w:w="7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05/15/2014</w:t>
            </w:r>
          </w:p>
        </w:tc>
        <w:tc>
          <w:tcPr>
            <w:tcW w:w="780" w:type="dxa"/>
            <w:vAlign w:val="bottom"/>
          </w:tcPr>
          <w:p>
            <w:pPr>
              <w:spacing w:after="0"/>
              <w:rPr>
                <w:sz w:val="24"/>
                <w:szCs w:val="24"/>
                <w:color w:val="auto"/>
              </w:rPr>
            </w:pPr>
          </w:p>
        </w:tc>
      </w:tr>
      <w:tr>
        <w:trPr>
          <w:trHeight w:val="175"/>
        </w:trPr>
        <w:tc>
          <w:tcPr>
            <w:tcW w:w="760" w:type="dxa"/>
            <w:vAlign w:val="bottom"/>
          </w:tcPr>
          <w:p>
            <w:pPr>
              <w:jc w:val="center"/>
              <w:ind w:right="431"/>
              <w:spacing w:after="0"/>
              <w:rPr>
                <w:sz w:val="20"/>
                <w:szCs w:val="20"/>
                <w:color w:val="auto"/>
              </w:rPr>
            </w:pPr>
            <w:r>
              <w:rPr>
                <w:rFonts w:ascii="Arial" w:cs="Arial" w:eastAsia="Arial" w:hAnsi="Arial"/>
                <w:sz w:val="14"/>
                <w:szCs w:val="14"/>
                <w:color w:val="auto"/>
              </w:rPr>
              <w:t>8-K</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10.2</w:t>
            </w:r>
          </w:p>
        </w:tc>
      </w:tr>
      <w:tr>
        <w:trPr>
          <w:trHeight w:val="529"/>
        </w:trPr>
        <w:tc>
          <w:tcPr>
            <w:tcW w:w="7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08/06/2015</w:t>
            </w:r>
          </w:p>
        </w:tc>
        <w:tc>
          <w:tcPr>
            <w:tcW w:w="780" w:type="dxa"/>
            <w:vAlign w:val="bottom"/>
          </w:tcPr>
          <w:p>
            <w:pPr>
              <w:spacing w:after="0"/>
              <w:rPr>
                <w:sz w:val="24"/>
                <w:szCs w:val="24"/>
                <w:color w:val="auto"/>
              </w:rPr>
            </w:pPr>
          </w:p>
        </w:tc>
      </w:tr>
      <w:tr>
        <w:trPr>
          <w:trHeight w:val="175"/>
        </w:trPr>
        <w:tc>
          <w:tcPr>
            <w:tcW w:w="760" w:type="dxa"/>
            <w:vAlign w:val="bottom"/>
          </w:tcPr>
          <w:p>
            <w:pPr>
              <w:jc w:val="center"/>
              <w:ind w:right="411"/>
              <w:spacing w:after="0"/>
              <w:rPr>
                <w:sz w:val="20"/>
                <w:szCs w:val="20"/>
                <w:color w:val="auto"/>
              </w:rPr>
            </w:pPr>
            <w:r>
              <w:rPr>
                <w:rFonts w:ascii="Arial" w:cs="Arial" w:eastAsia="Arial" w:hAnsi="Arial"/>
                <w:sz w:val="14"/>
                <w:szCs w:val="14"/>
                <w:color w:val="auto"/>
                <w:w w:val="89"/>
              </w:rPr>
              <w:t>10-Q</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10.1</w:t>
            </w:r>
          </w:p>
        </w:tc>
      </w:tr>
      <w:tr>
        <w:trPr>
          <w:trHeight w:val="529"/>
        </w:trPr>
        <w:tc>
          <w:tcPr>
            <w:tcW w:w="7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08/24/2015</w:t>
            </w:r>
          </w:p>
        </w:tc>
        <w:tc>
          <w:tcPr>
            <w:tcW w:w="780" w:type="dxa"/>
            <w:vAlign w:val="bottom"/>
          </w:tcPr>
          <w:p>
            <w:pPr>
              <w:spacing w:after="0"/>
              <w:rPr>
                <w:sz w:val="24"/>
                <w:szCs w:val="24"/>
                <w:color w:val="auto"/>
              </w:rPr>
            </w:pPr>
          </w:p>
        </w:tc>
      </w:tr>
      <w:tr>
        <w:trPr>
          <w:trHeight w:val="175"/>
        </w:trPr>
        <w:tc>
          <w:tcPr>
            <w:tcW w:w="760" w:type="dxa"/>
            <w:vAlign w:val="bottom"/>
          </w:tcPr>
          <w:p>
            <w:pPr>
              <w:jc w:val="center"/>
              <w:ind w:right="431"/>
              <w:spacing w:after="0"/>
              <w:rPr>
                <w:sz w:val="20"/>
                <w:szCs w:val="20"/>
                <w:color w:val="auto"/>
              </w:rPr>
            </w:pPr>
            <w:r>
              <w:rPr>
                <w:rFonts w:ascii="Arial" w:cs="Arial" w:eastAsia="Arial" w:hAnsi="Arial"/>
                <w:sz w:val="14"/>
                <w:szCs w:val="14"/>
                <w:color w:val="auto"/>
              </w:rPr>
              <w:t>8-K</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w w:val="87"/>
              </w:rPr>
              <w:t>10.1</w:t>
            </w:r>
          </w:p>
        </w:tc>
      </w:tr>
    </w:tbl>
    <w:p>
      <w:pPr>
        <w:sectPr>
          <w:pgSz w:w="11900" w:h="16838" w:orient="portrait"/>
          <w:cols w:equalWidth="0" w:num="2">
            <w:col w:w="5800" w:space="400"/>
            <w:col w:w="4039"/>
          </w:cols>
          <w:pgMar w:left="220" w:top="113" w:right="1440"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477"/>
        </w:trPr>
        <w:tc>
          <w:tcPr>
            <w:tcW w:w="9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w w:val="98"/>
              </w:rPr>
              <w:t>Employment Agreement, effective August 5, 2016, by and between Kratos</w:t>
            </w:r>
          </w:p>
        </w:tc>
        <w:tc>
          <w:tcPr>
            <w:tcW w:w="11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08/05/2016</w:t>
            </w:r>
          </w:p>
        </w:tc>
        <w:tc>
          <w:tcPr>
            <w:tcW w:w="1500" w:type="dxa"/>
            <w:vAlign w:val="bottom"/>
          </w:tcPr>
          <w:p>
            <w:pPr>
              <w:spacing w:after="0"/>
              <w:rPr>
                <w:sz w:val="24"/>
                <w:szCs w:val="24"/>
                <w:color w:val="auto"/>
              </w:rPr>
            </w:pP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10.28#</w:t>
            </w:r>
          </w:p>
        </w:tc>
        <w:tc>
          <w:tcPr>
            <w:tcW w:w="160" w:type="dxa"/>
            <w:vAlign w:val="bottom"/>
          </w:tcPr>
          <w:p>
            <w:pPr>
              <w:spacing w:after="0"/>
              <w:rPr>
                <w:sz w:val="15"/>
                <w:szCs w:val="15"/>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Defense &amp; Security Solutions, Inc. and Gerald Beaman</w:t>
            </w:r>
          </w:p>
        </w:tc>
        <w:tc>
          <w:tcPr>
            <w:tcW w:w="1120" w:type="dxa"/>
            <w:vAlign w:val="bottom"/>
          </w:tcPr>
          <w:p>
            <w:pPr>
              <w:ind w:left="380"/>
              <w:spacing w:after="0"/>
              <w:rPr>
                <w:sz w:val="20"/>
                <w:szCs w:val="20"/>
                <w:color w:val="auto"/>
              </w:rPr>
            </w:pPr>
            <w:r>
              <w:rPr>
                <w:rFonts w:ascii="Arial" w:cs="Arial" w:eastAsia="Arial" w:hAnsi="Arial"/>
                <w:sz w:val="14"/>
                <w:szCs w:val="14"/>
                <w:color w:val="auto"/>
              </w:rPr>
              <w:t>8-K</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1500" w:type="dxa"/>
            <w:vAlign w:val="bottom"/>
          </w:tcPr>
          <w:p>
            <w:pPr>
              <w:jc w:val="right"/>
              <w:ind w:right="691"/>
              <w:spacing w:after="0"/>
              <w:rPr>
                <w:sz w:val="20"/>
                <w:szCs w:val="20"/>
                <w:color w:val="auto"/>
              </w:rPr>
            </w:pPr>
            <w:r>
              <w:rPr>
                <w:rFonts w:ascii="Arial" w:cs="Arial" w:eastAsia="Arial" w:hAnsi="Arial"/>
                <w:sz w:val="14"/>
                <w:szCs w:val="14"/>
                <w:color w:val="auto"/>
              </w:rPr>
              <w:t>10.1</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w w:val="97"/>
              </w:rPr>
              <w:t>Employment Agreement, effective January 1, 2017, by and between Kratos</w:t>
            </w:r>
          </w:p>
        </w:tc>
        <w:tc>
          <w:tcPr>
            <w:tcW w:w="1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12/05/2016</w:t>
            </w:r>
          </w:p>
        </w:tc>
        <w:tc>
          <w:tcPr>
            <w:tcW w:w="1500" w:type="dxa"/>
            <w:vAlign w:val="bottom"/>
          </w:tcPr>
          <w:p>
            <w:pPr>
              <w:spacing w:after="0"/>
              <w:rPr>
                <w:sz w:val="17"/>
                <w:szCs w:val="17"/>
                <w:color w:val="auto"/>
              </w:rPr>
            </w:pP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10.29#</w:t>
            </w:r>
          </w:p>
        </w:tc>
        <w:tc>
          <w:tcPr>
            <w:tcW w:w="160" w:type="dxa"/>
            <w:vAlign w:val="bottom"/>
          </w:tcPr>
          <w:p>
            <w:pPr>
              <w:spacing w:after="0"/>
              <w:rPr>
                <w:sz w:val="15"/>
                <w:szCs w:val="15"/>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Defense &amp; Security Solutions, Inc. and Phil Carrai.</w:t>
            </w:r>
          </w:p>
        </w:tc>
        <w:tc>
          <w:tcPr>
            <w:tcW w:w="1120" w:type="dxa"/>
            <w:vAlign w:val="bottom"/>
          </w:tcPr>
          <w:p>
            <w:pPr>
              <w:ind w:left="380"/>
              <w:spacing w:after="0"/>
              <w:rPr>
                <w:sz w:val="20"/>
                <w:szCs w:val="20"/>
                <w:color w:val="auto"/>
              </w:rPr>
            </w:pPr>
            <w:r>
              <w:rPr>
                <w:rFonts w:ascii="Arial" w:cs="Arial" w:eastAsia="Arial" w:hAnsi="Arial"/>
                <w:sz w:val="14"/>
                <w:szCs w:val="14"/>
                <w:color w:val="auto"/>
              </w:rPr>
              <w:t>8-K</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(001-34460)</w:t>
            </w:r>
          </w:p>
        </w:tc>
        <w:tc>
          <w:tcPr>
            <w:tcW w:w="1500" w:type="dxa"/>
            <w:vAlign w:val="bottom"/>
          </w:tcPr>
          <w:p>
            <w:pPr>
              <w:jc w:val="right"/>
              <w:ind w:right="691"/>
              <w:spacing w:after="0"/>
              <w:rPr>
                <w:sz w:val="20"/>
                <w:szCs w:val="20"/>
                <w:color w:val="auto"/>
              </w:rPr>
            </w:pPr>
            <w:r>
              <w:rPr>
                <w:rFonts w:ascii="Arial" w:cs="Arial" w:eastAsia="Arial" w:hAnsi="Arial"/>
                <w:sz w:val="14"/>
                <w:szCs w:val="14"/>
                <w:color w:val="auto"/>
              </w:rPr>
              <w:t>10.1</w:t>
            </w:r>
          </w:p>
        </w:tc>
      </w:tr>
      <w:tr>
        <w:trPr>
          <w:trHeight w:val="207"/>
        </w:trPr>
        <w:tc>
          <w:tcPr>
            <w:tcW w:w="980" w:type="dxa"/>
            <w:vAlign w:val="bottom"/>
          </w:tcPr>
          <w:p>
            <w:pPr>
              <w:ind w:left="20"/>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List of Subsidiaries.</w:t>
            </w: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980" w:type="dxa"/>
            <w:vAlign w:val="bottom"/>
          </w:tcPr>
          <w:p>
            <w:pPr>
              <w:ind w:left="20"/>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Consent of Independent Registered Public Accounting Firm.</w:t>
            </w: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Certification of Chief Executive Officer pursuant to Section 302 of the</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15"/>
                <w:szCs w:val="15"/>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Sarbanes Oxley Act of 2002.</w:t>
            </w: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Certification of Chief Financial Officer pursuant to Section 302 of the</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5"/>
                <w:szCs w:val="15"/>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Sarbanes Oxley Act of 2002.</w:t>
            </w: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Certification pursuant to 18 U.S.C. Section 1350, as adopted pursuant to</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5"/>
                <w:szCs w:val="15"/>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Section 906 of the Sarbanes-Oxley Act of 2002 for Eric M. DeMarco.</w:t>
            </w: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Certification pursuant to 18 U.S.C. Section 1350, as adopted pursuant to</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5"/>
                <w:szCs w:val="15"/>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Section 906 of the Sarbanes-Oxley Act of 2002 for Deanna Lund.</w:t>
            </w: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Financial statements from the Annual Report on Form 10-K of Kratos</w:t>
            </w: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w w:val="98"/>
              </w:rPr>
              <w:t>Defense &amp; Security Solutions, Inc. for the year ended December 25, 2016,</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formatted in XBRL: (i) the Consolidated Balance Sheets, (ii) the</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w w:val="98"/>
              </w:rPr>
              <w:t>Consolidated Statements of Operations and Comprehensive Loss, (iii) the</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w w:val="97"/>
              </w:rPr>
              <w:t>Consolidated Statements of Cash Flows, (iv) the Notes to the Consolidated</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5"/>
        </w:trPr>
        <w:tc>
          <w:tcPr>
            <w:tcW w:w="980" w:type="dxa"/>
            <w:vAlign w:val="bottom"/>
          </w:tcPr>
          <w:p>
            <w:pPr>
              <w:ind w:left="2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5"/>
                <w:szCs w:val="15"/>
                <w:color w:val="auto"/>
              </w:rPr>
            </w:pPr>
          </w:p>
        </w:tc>
        <w:tc>
          <w:tcPr>
            <w:tcW w:w="4700" w:type="dxa"/>
            <w:vAlign w:val="bottom"/>
          </w:tcPr>
          <w:p>
            <w:pPr>
              <w:ind w:left="160"/>
              <w:spacing w:after="0"/>
              <w:rPr>
                <w:sz w:val="20"/>
                <w:szCs w:val="20"/>
                <w:color w:val="auto"/>
              </w:rPr>
            </w:pPr>
            <w:r>
              <w:rPr>
                <w:rFonts w:ascii="Arial" w:cs="Arial" w:eastAsia="Arial" w:hAnsi="Arial"/>
                <w:sz w:val="14"/>
                <w:szCs w:val="14"/>
                <w:color w:val="auto"/>
              </w:rPr>
              <w:t>Financial Statements.</w:t>
            </w:r>
          </w:p>
        </w:tc>
        <w:tc>
          <w:tcPr>
            <w:tcW w:w="1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25114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63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firstLine="3"/>
        <w:spacing w:after="0" w:line="267" w:lineRule="auto"/>
        <w:tabs>
          <w:tab w:leader="none" w:pos="2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39" w:lineRule="exact"/>
        <w:rPr>
          <w:sz w:val="20"/>
          <w:szCs w:val="20"/>
          <w:color w:val="auto"/>
        </w:rPr>
      </w:pPr>
    </w:p>
    <w:p>
      <w:pPr>
        <w:ind w:left="200" w:hanging="197"/>
        <w:spacing w:after="0"/>
        <w:tabs>
          <w:tab w:leader="none" w:pos="2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Certain portions have been omitted pursuant to a confidential treatment request. Omitted information has been filed separately with the SEC.</w:t>
      </w:r>
    </w:p>
    <w:p>
      <w:pPr>
        <w:spacing w:after="0" w:line="17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100"/>
          </w:cols>
          <w:pgMar w:left="220" w:top="113" w:right="57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Exhibits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See Item 15(a)(3) above.</w:t>
      </w:r>
    </w:p>
    <w:p>
      <w:pPr>
        <w:spacing w:after="0" w:line="301" w:lineRule="exact"/>
        <w:rPr>
          <w:sz w:val="20"/>
          <w:szCs w:val="20"/>
          <w:color w:val="auto"/>
        </w:rPr>
      </w:pPr>
    </w:p>
    <w:p>
      <w:pPr>
        <w:ind w:left="500" w:right="9420" w:hanging="497"/>
        <w:spacing w:after="0" w:line="593" w:lineRule="auto"/>
        <w:tabs>
          <w:tab w:leader="none" w:pos="191"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Financial Statement Schedules </w:t>
      </w:r>
      <w:r>
        <w:rPr>
          <w:rFonts w:ascii="Arial" w:cs="Arial" w:eastAsia="Arial" w:hAnsi="Arial"/>
          <w:sz w:val="12"/>
          <w:szCs w:val="12"/>
          <w:color w:val="auto"/>
        </w:rPr>
        <w:t>See Item 15(a)(2) above.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16. </w:t>
      </w:r>
      <w:r>
        <w:rPr>
          <w:rFonts w:ascii="Arial" w:cs="Arial" w:eastAsia="Arial" w:hAnsi="Arial"/>
          <w:sz w:val="14"/>
          <w:szCs w:val="14"/>
          <w:b w:val="1"/>
          <w:bCs w:val="1"/>
          <w:i w:val="1"/>
          <w:iCs w:val="1"/>
          <w:color w:val="auto"/>
        </w:rPr>
        <w:t>Form 10-K Summary.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4" w:lineRule="exact"/>
        <w:rPr>
          <w:sz w:val="20"/>
          <w:szCs w:val="20"/>
          <w:color w:val="auto"/>
        </w:rPr>
      </w:pPr>
    </w:p>
    <w:p>
      <w:pPr>
        <w:ind w:right="200" w:firstLine="497"/>
        <w:spacing w:after="0" w:line="267"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27, 2017</w:t>
      </w:r>
    </w:p>
    <w:p>
      <w:pPr>
        <w:spacing w:after="0" w:line="29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740" w:type="dxa"/>
        <w:tblCellMar>
          <w:top w:w="0" w:type="dxa"/>
          <w:left w:w="0" w:type="dxa"/>
          <w:bottom w:w="0" w:type="dxa"/>
          <w:right w:w="0" w:type="dxa"/>
        </w:tblCellMar>
      </w:tblPr>
      <w:tr>
        <w:trPr>
          <w:trHeight w:val="175"/>
        </w:trPr>
        <w:tc>
          <w:tcPr>
            <w:tcW w:w="560" w:type="dxa"/>
            <w:vAlign w:val="bottom"/>
          </w:tcPr>
          <w:p>
            <w:pPr>
              <w:spacing w:after="0"/>
              <w:rPr>
                <w:sz w:val="15"/>
                <w:szCs w:val="15"/>
                <w:color w:val="auto"/>
              </w:rPr>
            </w:pPr>
          </w:p>
        </w:tc>
        <w:tc>
          <w:tcPr>
            <w:tcW w:w="6120" w:type="dxa"/>
            <w:vAlign w:val="bottom"/>
          </w:tcPr>
          <w:p>
            <w:pPr>
              <w:jc w:val="center"/>
              <w:spacing w:after="0"/>
              <w:rPr>
                <w:sz w:val="20"/>
                <w:szCs w:val="20"/>
                <w:color w:val="auto"/>
              </w:rPr>
            </w:pPr>
            <w:r>
              <w:rPr>
                <w:rFonts w:ascii="Arial" w:cs="Arial" w:eastAsia="Arial" w:hAnsi="Arial"/>
                <w:sz w:val="14"/>
                <w:szCs w:val="14"/>
                <w:color w:val="auto"/>
                <w:w w:val="92"/>
              </w:rPr>
              <w:t>/s/ Eric M. DeMarco</w:t>
            </w:r>
          </w:p>
        </w:tc>
      </w:tr>
      <w:tr>
        <w:trPr>
          <w:trHeight w:val="32"/>
        </w:trPr>
        <w:tc>
          <w:tcPr>
            <w:tcW w:w="56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175"/>
        </w:trPr>
        <w:tc>
          <w:tcPr>
            <w:tcW w:w="560" w:type="dxa"/>
            <w:vAlign w:val="bottom"/>
          </w:tcPr>
          <w:p>
            <w:pPr>
              <w:spacing w:after="0"/>
              <w:rPr>
                <w:sz w:val="15"/>
                <w:szCs w:val="15"/>
                <w:color w:val="auto"/>
              </w:rPr>
            </w:pPr>
          </w:p>
        </w:tc>
        <w:tc>
          <w:tcPr>
            <w:tcW w:w="6120" w:type="dxa"/>
            <w:vAlign w:val="bottom"/>
          </w:tcPr>
          <w:p>
            <w:pPr>
              <w:jc w:val="center"/>
              <w:spacing w:after="0"/>
              <w:rPr>
                <w:sz w:val="20"/>
                <w:szCs w:val="20"/>
                <w:color w:val="auto"/>
              </w:rPr>
            </w:pPr>
            <w:r>
              <w:rPr>
                <w:rFonts w:ascii="Arial" w:cs="Arial" w:eastAsia="Arial" w:hAnsi="Arial"/>
                <w:sz w:val="14"/>
                <w:szCs w:val="14"/>
                <w:color w:val="auto"/>
                <w:w w:val="93"/>
              </w:rPr>
              <w:t>Eric M. DeMarco</w:t>
            </w:r>
          </w:p>
        </w:tc>
      </w:tr>
      <w:tr>
        <w:trPr>
          <w:trHeight w:val="176"/>
        </w:trPr>
        <w:tc>
          <w:tcPr>
            <w:tcW w:w="560" w:type="dxa"/>
            <w:vAlign w:val="bottom"/>
          </w:tcPr>
          <w:p>
            <w:pPr>
              <w:spacing w:after="0"/>
              <w:rPr>
                <w:sz w:val="15"/>
                <w:szCs w:val="15"/>
                <w:color w:val="auto"/>
              </w:rPr>
            </w:pPr>
          </w:p>
        </w:tc>
        <w:tc>
          <w:tcPr>
            <w:tcW w:w="6120" w:type="dxa"/>
            <w:vAlign w:val="bottom"/>
          </w:tcPr>
          <w:p>
            <w:pPr>
              <w:jc w:val="center"/>
              <w:spacing w:after="0"/>
              <w:rPr>
                <w:sz w:val="20"/>
                <w:szCs w:val="20"/>
                <w:color w:val="auto"/>
              </w:rPr>
            </w:pPr>
            <w:r>
              <w:rPr>
                <w:rFonts w:ascii="Arial" w:cs="Arial" w:eastAsia="Arial" w:hAnsi="Arial"/>
                <w:sz w:val="14"/>
                <w:szCs w:val="14"/>
                <w:i w:val="1"/>
                <w:iCs w:val="1"/>
                <w:color w:val="auto"/>
                <w:w w:val="91"/>
              </w:rPr>
              <w:t>President and Chief Executive Officer (Principal</w:t>
            </w:r>
          </w:p>
        </w:tc>
      </w:tr>
      <w:tr>
        <w:trPr>
          <w:trHeight w:val="186"/>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6120" w:type="dxa"/>
            <w:vAlign w:val="bottom"/>
          </w:tcPr>
          <w:p>
            <w:pPr>
              <w:jc w:val="center"/>
              <w:spacing w:after="0"/>
              <w:rPr>
                <w:sz w:val="20"/>
                <w:szCs w:val="20"/>
                <w:color w:val="auto"/>
              </w:rPr>
            </w:pPr>
            <w:r>
              <w:rPr>
                <w:rFonts w:ascii="Arial" w:cs="Arial" w:eastAsia="Arial" w:hAnsi="Arial"/>
                <w:sz w:val="14"/>
                <w:szCs w:val="14"/>
                <w:i w:val="1"/>
                <w:iCs w:val="1"/>
                <w:color w:val="auto"/>
                <w:w w:val="92"/>
              </w:rPr>
              <w:t>Executive Officer)</w:t>
            </w:r>
          </w:p>
        </w:tc>
      </w:tr>
    </w:tbl>
    <w:p>
      <w:pPr>
        <w:spacing w:after="0" w:line="177" w:lineRule="exact"/>
        <w:rPr>
          <w:sz w:val="20"/>
          <w:szCs w:val="20"/>
          <w:color w:val="auto"/>
        </w:rPr>
      </w:pPr>
    </w:p>
    <w:p>
      <w:pPr>
        <w:ind w:right="280" w:firstLine="497"/>
        <w:spacing w:after="0" w:line="267"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20" w:top="129"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13" w:lineRule="exact"/>
        <w:rPr>
          <w:sz w:val="20"/>
          <w:szCs w:val="20"/>
          <w:color w:val="auto"/>
        </w:rPr>
      </w:pPr>
    </w:p>
    <w:p>
      <w:pPr>
        <w:jc w:val="center"/>
        <w:ind w:left="680"/>
        <w:spacing w:after="0"/>
        <w:rPr>
          <w:sz w:val="20"/>
          <w:szCs w:val="20"/>
          <w:color w:val="auto"/>
        </w:rPr>
      </w:pPr>
      <w:r>
        <w:rPr>
          <w:rFonts w:ascii="Arial" w:cs="Arial" w:eastAsia="Arial" w:hAnsi="Arial"/>
          <w:sz w:val="11"/>
          <w:szCs w:val="11"/>
          <w:color w:val="auto"/>
        </w:rPr>
        <w:t>Signature</w:t>
      </w:r>
    </w:p>
    <w:p>
      <w:pPr>
        <w:spacing w:after="0" w:line="200" w:lineRule="exact"/>
        <w:rPr>
          <w:sz w:val="20"/>
          <w:szCs w:val="20"/>
          <w:color w:val="auto"/>
        </w:rPr>
      </w:pPr>
    </w:p>
    <w:p>
      <w:pPr>
        <w:spacing w:after="0" w:line="214" w:lineRule="exact"/>
        <w:rPr>
          <w:sz w:val="20"/>
          <w:szCs w:val="20"/>
          <w:color w:val="auto"/>
        </w:rPr>
      </w:pPr>
    </w:p>
    <w:p>
      <w:pPr>
        <w:jc w:val="center"/>
        <w:ind w:left="820"/>
        <w:spacing w:after="0"/>
        <w:rPr>
          <w:sz w:val="20"/>
          <w:szCs w:val="20"/>
          <w:color w:val="auto"/>
        </w:rPr>
      </w:pPr>
      <w:r>
        <w:rPr>
          <w:rFonts w:ascii="Arial" w:cs="Arial" w:eastAsia="Arial" w:hAnsi="Arial"/>
          <w:sz w:val="14"/>
          <w:szCs w:val="14"/>
          <w:u w:val="single" w:color="auto"/>
          <w:color w:val="auto"/>
        </w:rPr>
        <w:t>/s/ Eric M. DeMarco</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4"/>
          <w:szCs w:val="14"/>
          <w:color w:val="auto"/>
        </w:rPr>
        <w:t>Eric M. DeMarco</w:t>
      </w:r>
    </w:p>
    <w:p>
      <w:pPr>
        <w:spacing w:after="0" w:line="200" w:lineRule="exact"/>
        <w:rPr>
          <w:sz w:val="20"/>
          <w:szCs w:val="20"/>
          <w:color w:val="auto"/>
        </w:rPr>
      </w:pPr>
    </w:p>
    <w:p>
      <w:pPr>
        <w:spacing w:after="0" w:line="240" w:lineRule="exact"/>
        <w:rPr>
          <w:sz w:val="20"/>
          <w:szCs w:val="20"/>
          <w:color w:val="auto"/>
        </w:rPr>
      </w:pPr>
    </w:p>
    <w:p>
      <w:pPr>
        <w:jc w:val="center"/>
        <w:ind w:left="820"/>
        <w:spacing w:after="0"/>
        <w:rPr>
          <w:sz w:val="20"/>
          <w:szCs w:val="20"/>
          <w:color w:val="auto"/>
        </w:rPr>
      </w:pPr>
      <w:r>
        <w:rPr>
          <w:rFonts w:ascii="Arial" w:cs="Arial" w:eastAsia="Arial" w:hAnsi="Arial"/>
          <w:sz w:val="14"/>
          <w:szCs w:val="14"/>
          <w:u w:val="single" w:color="auto"/>
          <w:color w:val="auto"/>
        </w:rPr>
        <w:t>/s/ Deanna H. Lund</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4"/>
          <w:szCs w:val="14"/>
          <w:color w:val="auto"/>
        </w:rPr>
        <w:t>Deanna H. Lund</w:t>
      </w:r>
    </w:p>
    <w:p>
      <w:pPr>
        <w:spacing w:after="0" w:line="200" w:lineRule="exact"/>
        <w:rPr>
          <w:sz w:val="20"/>
          <w:szCs w:val="20"/>
          <w:color w:val="auto"/>
        </w:rPr>
      </w:pPr>
    </w:p>
    <w:p>
      <w:pPr>
        <w:spacing w:after="0" w:line="240" w:lineRule="exact"/>
        <w:rPr>
          <w:sz w:val="20"/>
          <w:szCs w:val="20"/>
          <w:color w:val="auto"/>
        </w:rPr>
      </w:pPr>
    </w:p>
    <w:p>
      <w:pPr>
        <w:jc w:val="center"/>
        <w:ind w:left="820"/>
        <w:spacing w:after="0"/>
        <w:rPr>
          <w:sz w:val="20"/>
          <w:szCs w:val="20"/>
          <w:color w:val="auto"/>
        </w:rPr>
      </w:pPr>
      <w:r>
        <w:rPr>
          <w:rFonts w:ascii="Arial" w:cs="Arial" w:eastAsia="Arial" w:hAnsi="Arial"/>
          <w:sz w:val="12"/>
          <w:szCs w:val="12"/>
          <w:u w:val="single" w:color="auto"/>
          <w:color w:val="auto"/>
        </w:rPr>
        <w:t>/s/ Maria Cervantes de Burgreen</w:t>
      </w:r>
    </w:p>
    <w:p>
      <w:pPr>
        <w:spacing w:after="0" w:line="38" w:lineRule="exact"/>
        <w:rPr>
          <w:sz w:val="20"/>
          <w:szCs w:val="20"/>
          <w:color w:val="auto"/>
        </w:rPr>
      </w:pPr>
    </w:p>
    <w:p>
      <w:pPr>
        <w:jc w:val="center"/>
        <w:ind w:left="820"/>
        <w:spacing w:after="0"/>
        <w:rPr>
          <w:sz w:val="20"/>
          <w:szCs w:val="20"/>
          <w:color w:val="auto"/>
        </w:rPr>
      </w:pPr>
      <w:r>
        <w:rPr>
          <w:rFonts w:ascii="Arial" w:cs="Arial" w:eastAsia="Arial" w:hAnsi="Arial"/>
          <w:sz w:val="13"/>
          <w:szCs w:val="13"/>
          <w:color w:val="auto"/>
        </w:rPr>
        <w:t>Maria Cervantes de Burgreen</w:t>
      </w:r>
    </w:p>
    <w:p>
      <w:pPr>
        <w:spacing w:after="0" w:line="200" w:lineRule="exact"/>
        <w:rPr>
          <w:sz w:val="20"/>
          <w:szCs w:val="20"/>
          <w:color w:val="auto"/>
        </w:rPr>
      </w:pPr>
    </w:p>
    <w:p>
      <w:pPr>
        <w:spacing w:after="0" w:line="251" w:lineRule="exact"/>
        <w:rPr>
          <w:sz w:val="20"/>
          <w:szCs w:val="20"/>
          <w:color w:val="auto"/>
        </w:rPr>
      </w:pPr>
    </w:p>
    <w:p>
      <w:pPr>
        <w:jc w:val="center"/>
        <w:ind w:left="820"/>
        <w:spacing w:after="0"/>
        <w:rPr>
          <w:sz w:val="20"/>
          <w:szCs w:val="20"/>
          <w:color w:val="auto"/>
        </w:rPr>
      </w:pPr>
      <w:r>
        <w:rPr>
          <w:rFonts w:ascii="Arial" w:cs="Arial" w:eastAsia="Arial" w:hAnsi="Arial"/>
          <w:sz w:val="14"/>
          <w:szCs w:val="14"/>
          <w:u w:val="single" w:color="auto"/>
          <w:color w:val="auto"/>
        </w:rPr>
        <w:t>/s/ Scott Anderson</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4"/>
          <w:szCs w:val="14"/>
          <w:color w:val="auto"/>
        </w:rPr>
        <w:t>Scott Anderson</w:t>
      </w:r>
    </w:p>
    <w:p>
      <w:pPr>
        <w:spacing w:after="0" w:line="200" w:lineRule="exact"/>
        <w:rPr>
          <w:sz w:val="20"/>
          <w:szCs w:val="20"/>
          <w:color w:val="auto"/>
        </w:rPr>
      </w:pPr>
    </w:p>
    <w:p>
      <w:pPr>
        <w:spacing w:after="0" w:line="240" w:lineRule="exact"/>
        <w:rPr>
          <w:sz w:val="20"/>
          <w:szCs w:val="20"/>
          <w:color w:val="auto"/>
        </w:rPr>
      </w:pPr>
    </w:p>
    <w:p>
      <w:pPr>
        <w:jc w:val="center"/>
        <w:ind w:left="820"/>
        <w:spacing w:after="0"/>
        <w:rPr>
          <w:sz w:val="20"/>
          <w:szCs w:val="20"/>
          <w:color w:val="auto"/>
        </w:rPr>
      </w:pPr>
      <w:r>
        <w:rPr>
          <w:rFonts w:ascii="Arial" w:cs="Arial" w:eastAsia="Arial" w:hAnsi="Arial"/>
          <w:sz w:val="14"/>
          <w:szCs w:val="14"/>
          <w:u w:val="single" w:color="auto"/>
          <w:color w:val="auto"/>
        </w:rPr>
        <w:t>/s/ Bandel Carano</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4"/>
          <w:szCs w:val="14"/>
          <w:color w:val="auto"/>
        </w:rPr>
        <w:t>Bandel Carano</w:t>
      </w:r>
    </w:p>
    <w:p>
      <w:pPr>
        <w:spacing w:after="0" w:line="200" w:lineRule="exact"/>
        <w:rPr>
          <w:sz w:val="20"/>
          <w:szCs w:val="20"/>
          <w:color w:val="auto"/>
        </w:rPr>
      </w:pPr>
    </w:p>
    <w:p>
      <w:pPr>
        <w:spacing w:after="0" w:line="240" w:lineRule="exact"/>
        <w:rPr>
          <w:sz w:val="20"/>
          <w:szCs w:val="20"/>
          <w:color w:val="auto"/>
        </w:rPr>
      </w:pPr>
    </w:p>
    <w:p>
      <w:pPr>
        <w:jc w:val="center"/>
        <w:ind w:left="820"/>
        <w:spacing w:after="0"/>
        <w:rPr>
          <w:sz w:val="20"/>
          <w:szCs w:val="20"/>
          <w:color w:val="auto"/>
        </w:rPr>
      </w:pPr>
      <w:r>
        <w:rPr>
          <w:rFonts w:ascii="Arial" w:cs="Arial" w:eastAsia="Arial" w:hAnsi="Arial"/>
          <w:sz w:val="14"/>
          <w:szCs w:val="14"/>
          <w:u w:val="single" w:color="auto"/>
          <w:color w:val="auto"/>
        </w:rPr>
        <w:t>/s/ William Hoglund</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4"/>
          <w:szCs w:val="14"/>
          <w:color w:val="auto"/>
        </w:rPr>
        <w:t>William Hoglund</w:t>
      </w:r>
    </w:p>
    <w:p>
      <w:pPr>
        <w:spacing w:after="0" w:line="200" w:lineRule="exact"/>
        <w:rPr>
          <w:sz w:val="20"/>
          <w:szCs w:val="20"/>
          <w:color w:val="auto"/>
        </w:rPr>
      </w:pPr>
    </w:p>
    <w:p>
      <w:pPr>
        <w:spacing w:after="0" w:line="240" w:lineRule="exact"/>
        <w:rPr>
          <w:sz w:val="20"/>
          <w:szCs w:val="20"/>
          <w:color w:val="auto"/>
        </w:rPr>
      </w:pPr>
    </w:p>
    <w:p>
      <w:pPr>
        <w:jc w:val="center"/>
        <w:ind w:left="820"/>
        <w:spacing w:after="0"/>
        <w:rPr>
          <w:sz w:val="20"/>
          <w:szCs w:val="20"/>
          <w:color w:val="auto"/>
        </w:rPr>
      </w:pPr>
      <w:r>
        <w:rPr>
          <w:rFonts w:ascii="Arial" w:cs="Arial" w:eastAsia="Arial" w:hAnsi="Arial"/>
          <w:sz w:val="14"/>
          <w:szCs w:val="14"/>
          <w:u w:val="single" w:color="auto"/>
          <w:color w:val="auto"/>
        </w:rPr>
        <w:t>/s/ Scot Jarvis</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4"/>
          <w:szCs w:val="14"/>
          <w:color w:val="auto"/>
        </w:rPr>
        <w:t>Scot Jarvis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820"/>
        <w:spacing w:after="0"/>
        <w:rPr>
          <w:sz w:val="20"/>
          <w:szCs w:val="20"/>
          <w:color w:val="auto"/>
        </w:rPr>
      </w:pPr>
      <w:r>
        <w:rPr>
          <w:rFonts w:ascii="Arial" w:cs="Arial" w:eastAsia="Arial" w:hAnsi="Arial"/>
          <w:sz w:val="14"/>
          <w:szCs w:val="14"/>
          <w:u w:val="single" w:color="auto"/>
          <w:color w:val="auto"/>
        </w:rPr>
        <w:t>/s/ Jane E. Judd</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4"/>
          <w:szCs w:val="14"/>
          <w:color w:val="auto"/>
        </w:rPr>
        <w:t>Jane E. Judd</w:t>
      </w:r>
    </w:p>
    <w:p>
      <w:pPr>
        <w:spacing w:after="0" w:line="200" w:lineRule="exact"/>
        <w:rPr>
          <w:sz w:val="20"/>
          <w:szCs w:val="20"/>
          <w:color w:val="auto"/>
        </w:rPr>
      </w:pPr>
    </w:p>
    <w:p>
      <w:pPr>
        <w:spacing w:after="0" w:line="240" w:lineRule="exact"/>
        <w:rPr>
          <w:sz w:val="20"/>
          <w:szCs w:val="20"/>
          <w:color w:val="auto"/>
        </w:rPr>
      </w:pPr>
    </w:p>
    <w:p>
      <w:pPr>
        <w:jc w:val="center"/>
        <w:ind w:left="820"/>
        <w:spacing w:after="0"/>
        <w:rPr>
          <w:sz w:val="20"/>
          <w:szCs w:val="20"/>
          <w:color w:val="auto"/>
        </w:rPr>
      </w:pPr>
      <w:r>
        <w:rPr>
          <w:rFonts w:ascii="Arial" w:cs="Arial" w:eastAsia="Arial" w:hAnsi="Arial"/>
          <w:sz w:val="14"/>
          <w:szCs w:val="14"/>
          <w:u w:val="single" w:color="auto"/>
          <w:color w:val="auto"/>
        </w:rPr>
        <w:t>/s/ Sam Liberatore</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4"/>
          <w:szCs w:val="14"/>
          <w:color w:val="auto"/>
        </w:rPr>
        <w:t>Sam Liberatore</w:t>
      </w:r>
    </w:p>
    <w:p>
      <w:pPr>
        <w:spacing w:after="0" w:line="200" w:lineRule="exact"/>
        <w:rPr>
          <w:sz w:val="20"/>
          <w:szCs w:val="20"/>
          <w:color w:val="auto"/>
        </w:rPr>
      </w:pPr>
    </w:p>
    <w:p>
      <w:pPr>
        <w:spacing w:after="0" w:line="240" w:lineRule="exact"/>
        <w:rPr>
          <w:sz w:val="20"/>
          <w:szCs w:val="20"/>
          <w:color w:val="auto"/>
        </w:rPr>
      </w:pPr>
    </w:p>
    <w:p>
      <w:pPr>
        <w:jc w:val="center"/>
        <w:ind w:left="680"/>
        <w:spacing w:after="0"/>
        <w:rPr>
          <w:sz w:val="20"/>
          <w:szCs w:val="20"/>
          <w:color w:val="auto"/>
        </w:rPr>
      </w:pPr>
      <w:r>
        <w:rPr>
          <w:rFonts w:ascii="Arial" w:cs="Arial" w:eastAsia="Arial" w:hAnsi="Arial"/>
          <w:sz w:val="14"/>
          <w:szCs w:val="14"/>
          <w:u w:val="single" w:color="auto"/>
          <w:color w:val="auto"/>
        </w:rPr>
        <w:t>/s/ Amy Zegart</w:t>
      </w:r>
    </w:p>
    <w:p>
      <w:pPr>
        <w:spacing w:after="0" w:line="14" w:lineRule="exact"/>
        <w:rPr>
          <w:sz w:val="20"/>
          <w:szCs w:val="20"/>
          <w:color w:val="auto"/>
        </w:rPr>
      </w:pPr>
    </w:p>
    <w:p>
      <w:pPr>
        <w:jc w:val="center"/>
        <w:ind w:left="680"/>
        <w:spacing w:after="0"/>
        <w:rPr>
          <w:sz w:val="20"/>
          <w:szCs w:val="20"/>
          <w:color w:val="auto"/>
        </w:rPr>
      </w:pPr>
      <w:r>
        <w:rPr>
          <w:rFonts w:ascii="Arial" w:cs="Arial" w:eastAsia="Arial" w:hAnsi="Arial"/>
          <w:sz w:val="14"/>
          <w:szCs w:val="14"/>
          <w:color w:val="auto"/>
        </w:rPr>
        <w:t>Amy Zegart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760" w:type="dxa"/>
            <w:vAlign w:val="bottom"/>
          </w:tcPr>
          <w:p>
            <w:pPr>
              <w:ind w:left="2160"/>
              <w:spacing w:after="0"/>
              <w:rPr>
                <w:sz w:val="20"/>
                <w:szCs w:val="20"/>
                <w:color w:val="auto"/>
              </w:rPr>
            </w:pPr>
            <w:r>
              <w:rPr>
                <w:rFonts w:ascii="Arial" w:cs="Arial" w:eastAsia="Arial" w:hAnsi="Arial"/>
                <w:sz w:val="11"/>
                <w:szCs w:val="11"/>
                <w:color w:val="auto"/>
              </w:rPr>
              <w:t>Title</w:t>
            </w:r>
          </w:p>
        </w:tc>
        <w:tc>
          <w:tcPr>
            <w:tcW w:w="1440" w:type="dxa"/>
            <w:vAlign w:val="bottom"/>
          </w:tcPr>
          <w:p>
            <w:pPr>
              <w:jc w:val="center"/>
              <w:ind w:left="352"/>
              <w:spacing w:after="0"/>
              <w:rPr>
                <w:sz w:val="20"/>
                <w:szCs w:val="20"/>
                <w:color w:val="auto"/>
              </w:rPr>
            </w:pPr>
            <w:r>
              <w:rPr>
                <w:rFonts w:ascii="Arial" w:cs="Arial" w:eastAsia="Arial" w:hAnsi="Arial"/>
                <w:sz w:val="11"/>
                <w:szCs w:val="11"/>
                <w:color w:val="auto"/>
                <w:w w:val="94"/>
              </w:rPr>
              <w:t>Date</w:t>
            </w:r>
          </w:p>
        </w:tc>
        <w:tc>
          <w:tcPr>
            <w:tcW w:w="0" w:type="dxa"/>
            <w:vAlign w:val="bottom"/>
          </w:tcPr>
          <w:p>
            <w:pPr>
              <w:spacing w:after="0"/>
              <w:rPr>
                <w:sz w:val="1"/>
                <w:szCs w:val="1"/>
                <w:color w:val="auto"/>
              </w:rPr>
            </w:pPr>
          </w:p>
        </w:tc>
      </w:tr>
      <w:tr>
        <w:trPr>
          <w:trHeight w:val="671"/>
        </w:trPr>
        <w:tc>
          <w:tcPr>
            <w:tcW w:w="4760" w:type="dxa"/>
            <w:vAlign w:val="bottom"/>
          </w:tcPr>
          <w:p>
            <w:pPr>
              <w:spacing w:after="0"/>
              <w:rPr>
                <w:sz w:val="20"/>
                <w:szCs w:val="20"/>
                <w:color w:val="auto"/>
              </w:rPr>
            </w:pPr>
            <w:r>
              <w:rPr>
                <w:rFonts w:ascii="Arial" w:cs="Arial" w:eastAsia="Arial" w:hAnsi="Arial"/>
                <w:sz w:val="14"/>
                <w:szCs w:val="14"/>
                <w:color w:val="auto"/>
              </w:rPr>
              <w:t>President, Chief Executive Officer and Director (Principal Executive Officer)</w:t>
            </w:r>
          </w:p>
        </w:tc>
        <w:tc>
          <w:tcPr>
            <w:tcW w:w="1440" w:type="dxa"/>
            <w:vAlign w:val="bottom"/>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777"/>
        </w:trPr>
        <w:tc>
          <w:tcPr>
            <w:tcW w:w="4760" w:type="dxa"/>
            <w:vAlign w:val="bottom"/>
          </w:tcPr>
          <w:p>
            <w:pPr>
              <w:spacing w:after="0"/>
              <w:rPr>
                <w:sz w:val="20"/>
                <w:szCs w:val="20"/>
                <w:color w:val="auto"/>
              </w:rPr>
            </w:pPr>
            <w:r>
              <w:rPr>
                <w:rFonts w:ascii="Arial" w:cs="Arial" w:eastAsia="Arial" w:hAnsi="Arial"/>
                <w:sz w:val="14"/>
                <w:szCs w:val="14"/>
                <w:color w:val="auto"/>
              </w:rPr>
              <w:t>Executive Vice President, Chief Financial Officer (Principal Financial Officer)</w:t>
            </w:r>
          </w:p>
        </w:tc>
        <w:tc>
          <w:tcPr>
            <w:tcW w:w="1440" w:type="dxa"/>
            <w:vAlign w:val="bottom"/>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684"/>
        </w:trPr>
        <w:tc>
          <w:tcPr>
            <w:tcW w:w="4760" w:type="dxa"/>
            <w:vAlign w:val="bottom"/>
          </w:tcPr>
          <w:p>
            <w:pPr>
              <w:spacing w:after="0"/>
              <w:rPr>
                <w:sz w:val="20"/>
                <w:szCs w:val="20"/>
                <w:color w:val="auto"/>
              </w:rPr>
            </w:pPr>
            <w:r>
              <w:rPr>
                <w:rFonts w:ascii="Arial" w:cs="Arial" w:eastAsia="Arial" w:hAnsi="Arial"/>
                <w:sz w:val="14"/>
                <w:szCs w:val="14"/>
                <w:color w:val="auto"/>
              </w:rPr>
              <w:t>Vice President and Corporate Controller</w:t>
            </w:r>
          </w:p>
        </w:tc>
        <w:tc>
          <w:tcPr>
            <w:tcW w:w="1440" w:type="dxa"/>
            <w:vAlign w:val="bottom"/>
            <w:vMerge w:val="restart"/>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92"/>
        </w:trPr>
        <w:tc>
          <w:tcPr>
            <w:tcW w:w="4760" w:type="dxa"/>
            <w:vAlign w:val="bottom"/>
            <w:vMerge w:val="restart"/>
          </w:tcPr>
          <w:p>
            <w:pPr>
              <w:spacing w:after="0"/>
              <w:rPr>
                <w:sz w:val="20"/>
                <w:szCs w:val="20"/>
                <w:color w:val="auto"/>
              </w:rPr>
            </w:pPr>
            <w:r>
              <w:rPr>
                <w:rFonts w:ascii="Arial" w:cs="Arial" w:eastAsia="Arial" w:hAnsi="Arial"/>
                <w:sz w:val="14"/>
                <w:szCs w:val="14"/>
                <w:color w:val="auto"/>
              </w:rPr>
              <w:t>(Principal Accounting Officer)</w:t>
            </w: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47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4"/>
        </w:trPr>
        <w:tc>
          <w:tcPr>
            <w:tcW w:w="4760" w:type="dxa"/>
            <w:vAlign w:val="bottom"/>
          </w:tcPr>
          <w:p>
            <w:pPr>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777"/>
        </w:trPr>
        <w:tc>
          <w:tcPr>
            <w:tcW w:w="4760" w:type="dxa"/>
            <w:vAlign w:val="bottom"/>
          </w:tcPr>
          <w:p>
            <w:pPr>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777"/>
        </w:trPr>
        <w:tc>
          <w:tcPr>
            <w:tcW w:w="4760" w:type="dxa"/>
            <w:vAlign w:val="bottom"/>
          </w:tcPr>
          <w:p>
            <w:pPr>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777"/>
        </w:trPr>
        <w:tc>
          <w:tcPr>
            <w:tcW w:w="4760" w:type="dxa"/>
            <w:vAlign w:val="bottom"/>
          </w:tcPr>
          <w:p>
            <w:pPr>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984"/>
        </w:trPr>
        <w:tc>
          <w:tcPr>
            <w:tcW w:w="4760" w:type="dxa"/>
            <w:vAlign w:val="bottom"/>
          </w:tcPr>
          <w:p>
            <w:pPr>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777"/>
        </w:trPr>
        <w:tc>
          <w:tcPr>
            <w:tcW w:w="4760" w:type="dxa"/>
            <w:vAlign w:val="bottom"/>
          </w:tcPr>
          <w:p>
            <w:pPr>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766"/>
        </w:trPr>
        <w:tc>
          <w:tcPr>
            <w:tcW w:w="4760" w:type="dxa"/>
            <w:vAlign w:val="bottom"/>
          </w:tcPr>
          <w:p>
            <w:pPr>
              <w:spacing w:after="0"/>
              <w:rPr>
                <w:sz w:val="20"/>
                <w:szCs w:val="20"/>
                <w:color w:val="auto"/>
              </w:rPr>
            </w:pPr>
            <w:r>
              <w:rPr>
                <w:rFonts w:ascii="Arial" w:cs="Arial" w:eastAsia="Arial" w:hAnsi="Arial"/>
                <w:sz w:val="14"/>
                <w:szCs w:val="14"/>
                <w:color w:val="auto"/>
              </w:rPr>
              <w:t>Director</w:t>
            </w:r>
          </w:p>
        </w:tc>
        <w:tc>
          <w:tcPr>
            <w:tcW w:w="1440" w:type="dxa"/>
            <w:vAlign w:val="bottom"/>
          </w:tcPr>
          <w:p>
            <w:pPr>
              <w:jc w:val="center"/>
              <w:ind w:left="352"/>
              <w:spacing w:after="0"/>
              <w:rPr>
                <w:sz w:val="20"/>
                <w:szCs w:val="20"/>
                <w:color w:val="auto"/>
              </w:rPr>
            </w:pPr>
            <w:r>
              <w:rPr>
                <w:rFonts w:ascii="Arial" w:cs="Arial" w:eastAsia="Arial" w:hAnsi="Arial"/>
                <w:sz w:val="14"/>
                <w:szCs w:val="14"/>
                <w:color w:val="auto"/>
                <w:w w:val="89"/>
              </w:rPr>
              <w:t>February 27, 2017</w:t>
            </w:r>
          </w:p>
        </w:tc>
        <w:tc>
          <w:tcPr>
            <w:tcW w:w="0" w:type="dxa"/>
            <w:vAlign w:val="bottom"/>
          </w:tcPr>
          <w:p>
            <w:pPr>
              <w:spacing w:after="0"/>
              <w:rPr>
                <w:sz w:val="1"/>
                <w:szCs w:val="1"/>
                <w:color w:val="auto"/>
              </w:rPr>
            </w:pPr>
          </w:p>
        </w:tc>
      </w:tr>
      <w:tr>
        <w:trPr>
          <w:trHeight w:val="787"/>
        </w:trPr>
        <w:tc>
          <w:tcPr>
            <w:tcW w:w="4760" w:type="dxa"/>
            <w:vAlign w:val="bottom"/>
          </w:tcPr>
          <w:p>
            <w:pPr>
              <w:ind w:left="1020"/>
              <w:spacing w:after="0"/>
              <w:rPr>
                <w:sz w:val="20"/>
                <w:szCs w:val="20"/>
                <w:color w:val="auto"/>
              </w:rPr>
            </w:pPr>
            <w:r>
              <w:rPr>
                <w:rFonts w:ascii="Arial" w:cs="Arial" w:eastAsia="Arial" w:hAnsi="Arial"/>
                <w:sz w:val="14"/>
                <w:szCs w:val="14"/>
                <w:color w:val="auto"/>
              </w:rPr>
              <w:t>59</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920" w:space="720"/>
            <w:col w:w="6200"/>
          </w:cols>
          <w:pgMar w:left="220" w:top="129" w:right="8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9"/>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514"/>
        </w:trPr>
        <w:tc>
          <w:tcPr>
            <w:tcW w:w="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5"/>
          </w:tcPr>
          <w:p>
            <w:pPr>
              <w:jc w:val="center"/>
              <w:ind w:right="1880"/>
              <w:spacing w:after="0"/>
              <w:rPr>
                <w:sz w:val="20"/>
                <w:szCs w:val="20"/>
                <w:color w:val="auto"/>
              </w:rPr>
            </w:pPr>
            <w:r>
              <w:rPr>
                <w:rFonts w:ascii="Arial" w:cs="Arial" w:eastAsia="Arial" w:hAnsi="Arial"/>
                <w:sz w:val="14"/>
                <w:szCs w:val="14"/>
                <w:b w:val="1"/>
                <w:bCs w:val="1"/>
                <w:color w:val="auto"/>
                <w:w w:val="99"/>
              </w:rPr>
              <w:t>INDEX TO CONSOLIDATED FINANCIAL STATEMENTS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9"/>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40" w:type="dxa"/>
            <w:vAlign w:val="bottom"/>
            <w:gridSpan w:val="5"/>
          </w:tcPr>
          <w:p>
            <w:pPr>
              <w:jc w:val="center"/>
              <w:ind w:right="1900"/>
              <w:spacing w:after="0"/>
              <w:rPr>
                <w:sz w:val="20"/>
                <w:szCs w:val="20"/>
                <w:color w:val="auto"/>
              </w:rPr>
            </w:pPr>
            <w:r>
              <w:rPr>
                <w:rFonts w:ascii="Arial" w:cs="Arial" w:eastAsia="Arial" w:hAnsi="Arial"/>
                <w:sz w:val="14"/>
                <w:szCs w:val="14"/>
                <w:b w:val="1"/>
                <w:bCs w:val="1"/>
                <w:color w:val="auto"/>
                <w:w w:val="98"/>
              </w:rPr>
              <w:t>KRATOS DEFENSE &amp; SECURITY SOLUTIONS, INC.</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426"/>
        </w:trPr>
        <w:tc>
          <w:tcPr>
            <w:tcW w:w="20" w:type="dxa"/>
            <w:vAlign w:val="bottom"/>
          </w:tcPr>
          <w:p>
            <w:pPr>
              <w:spacing w:after="0"/>
              <w:rPr>
                <w:sz w:val="24"/>
                <w:szCs w:val="24"/>
                <w:color w:val="auto"/>
              </w:rPr>
            </w:pPr>
          </w:p>
        </w:tc>
        <w:tc>
          <w:tcPr>
            <w:tcW w:w="3240" w:type="dxa"/>
            <w:vAlign w:val="bottom"/>
            <w:gridSpan w:val="3"/>
          </w:tcPr>
          <w:p>
            <w:pPr>
              <w:spacing w:after="0"/>
              <w:rPr>
                <w:rFonts w:ascii="Arial" w:cs="Arial" w:eastAsia="Arial" w:hAnsi="Arial"/>
                <w:sz w:val="14"/>
                <w:szCs w:val="14"/>
                <w:color w:val="0000EE"/>
                <w:w w:val="89"/>
              </w:rPr>
            </w:pPr>
            <w:hyperlink w:anchor="page62">
              <w:r>
                <w:rPr>
                  <w:rFonts w:ascii="Arial" w:cs="Arial" w:eastAsia="Arial" w:hAnsi="Arial"/>
                  <w:sz w:val="14"/>
                  <w:szCs w:val="14"/>
                  <w:color w:val="0000EE"/>
                  <w:w w:val="89"/>
                </w:rPr>
                <w:t>Report of Independent Registered Public Accounting Firm</w:t>
              </w:r>
            </w:hyperlink>
          </w:p>
        </w:tc>
        <w:tc>
          <w:tcPr>
            <w:tcW w:w="6840" w:type="dxa"/>
            <w:vAlign w:val="bottom"/>
            <w:gridSpan w:val="5"/>
          </w:tcPr>
          <w:p>
            <w:pPr>
              <w:spacing w:after="0"/>
              <w:rPr>
                <w:sz w:val="24"/>
                <w:szCs w:val="24"/>
                <w:color w:val="auto"/>
              </w:rPr>
            </w:pPr>
          </w:p>
        </w:tc>
        <w:tc>
          <w:tcPr>
            <w:tcW w:w="1340" w:type="dxa"/>
            <w:vAlign w:val="bottom"/>
            <w:gridSpan w:val="2"/>
          </w:tcPr>
          <w:p>
            <w:pPr>
              <w:ind w:left="1160"/>
              <w:spacing w:after="0"/>
              <w:rPr>
                <w:rFonts w:ascii="Arial" w:cs="Arial" w:eastAsia="Arial" w:hAnsi="Arial"/>
                <w:sz w:val="14"/>
                <w:szCs w:val="14"/>
                <w:color w:val="0000EE"/>
                <w:w w:val="75"/>
              </w:rPr>
            </w:pPr>
            <w:hyperlink w:anchor="page62">
              <w:r>
                <w:rPr>
                  <w:rFonts w:ascii="Arial" w:cs="Arial" w:eastAsia="Arial" w:hAnsi="Arial"/>
                  <w:sz w:val="14"/>
                  <w:szCs w:val="14"/>
                  <w:color w:val="0000EE"/>
                  <w:w w:val="75"/>
                </w:rPr>
                <w:t>F-2</w:t>
              </w:r>
            </w:hyperlink>
          </w:p>
        </w:tc>
      </w:tr>
      <w:tr>
        <w:trPr>
          <w:trHeight w:val="20"/>
        </w:trPr>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380" w:type="dxa"/>
            <w:vAlign w:val="bottom"/>
            <w:gridSpan w:val="4"/>
          </w:tcPr>
          <w:p>
            <w:pPr>
              <w:spacing w:after="0"/>
              <w:rPr>
                <w:rFonts w:ascii="Arial" w:cs="Arial" w:eastAsia="Arial" w:hAnsi="Arial"/>
                <w:sz w:val="14"/>
                <w:szCs w:val="14"/>
                <w:color w:val="0000EE"/>
                <w:w w:val="87"/>
              </w:rPr>
            </w:pPr>
            <w:hyperlink w:anchor="page63">
              <w:r>
                <w:rPr>
                  <w:rFonts w:ascii="Arial" w:cs="Arial" w:eastAsia="Arial" w:hAnsi="Arial"/>
                  <w:sz w:val="14"/>
                  <w:szCs w:val="14"/>
                  <w:color w:val="0000EE"/>
                  <w:w w:val="87"/>
                </w:rPr>
                <w:t>Consolidated Balance Sheets as of December 25, 2016 and December 27, 2015</w:t>
              </w:r>
            </w:hyperlink>
          </w:p>
        </w:tc>
        <w:tc>
          <w:tcPr>
            <w:tcW w:w="5700" w:type="dxa"/>
            <w:vAlign w:val="bottom"/>
            <w:gridSpan w:val="4"/>
          </w:tcPr>
          <w:p>
            <w:pPr>
              <w:spacing w:after="0"/>
              <w:rPr>
                <w:sz w:val="16"/>
                <w:szCs w:val="16"/>
                <w:color w:val="auto"/>
              </w:rPr>
            </w:pPr>
          </w:p>
        </w:tc>
        <w:tc>
          <w:tcPr>
            <w:tcW w:w="1340" w:type="dxa"/>
            <w:vAlign w:val="bottom"/>
            <w:gridSpan w:val="2"/>
          </w:tcPr>
          <w:p>
            <w:pPr>
              <w:ind w:left="1160"/>
              <w:spacing w:after="0"/>
              <w:rPr>
                <w:rFonts w:ascii="Arial" w:cs="Arial" w:eastAsia="Arial" w:hAnsi="Arial"/>
                <w:sz w:val="14"/>
                <w:szCs w:val="14"/>
                <w:color w:val="0000EE"/>
                <w:w w:val="75"/>
              </w:rPr>
            </w:pPr>
            <w:hyperlink w:anchor="page63">
              <w:r>
                <w:rPr>
                  <w:rFonts w:ascii="Arial" w:cs="Arial" w:eastAsia="Arial" w:hAnsi="Arial"/>
                  <w:sz w:val="14"/>
                  <w:szCs w:val="14"/>
                  <w:color w:val="0000EE"/>
                  <w:w w:val="75"/>
                </w:rPr>
                <w:t>F-3</w:t>
              </w:r>
            </w:hyperlink>
          </w:p>
        </w:tc>
      </w:tr>
      <w:tr>
        <w:trPr>
          <w:trHeight w:val="20"/>
        </w:trPr>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920" w:type="dxa"/>
            <w:vAlign w:val="bottom"/>
            <w:gridSpan w:val="7"/>
          </w:tcPr>
          <w:p>
            <w:pPr>
              <w:spacing w:after="0"/>
              <w:rPr>
                <w:rFonts w:ascii="Arial" w:cs="Arial" w:eastAsia="Arial" w:hAnsi="Arial"/>
                <w:sz w:val="14"/>
                <w:szCs w:val="14"/>
                <w:color w:val="0000EE"/>
                <w:w w:val="88"/>
              </w:rPr>
            </w:pPr>
            <w:hyperlink w:anchor="page64">
              <w:r>
                <w:rPr>
                  <w:rFonts w:ascii="Arial" w:cs="Arial" w:eastAsia="Arial" w:hAnsi="Arial"/>
                  <w:sz w:val="14"/>
                  <w:szCs w:val="14"/>
                  <w:color w:val="0000EE"/>
                  <w:w w:val="88"/>
                </w:rPr>
                <w:t>Consolidated Statements of Operations and Comprehensive Income (Loss) for the Years Ended December 25, 2016, December 27, 2015, and December 28, 2014</w:t>
              </w:r>
            </w:hyperlink>
          </w:p>
        </w:tc>
        <w:tc>
          <w:tcPr>
            <w:tcW w:w="1160" w:type="dxa"/>
            <w:vAlign w:val="bottom"/>
          </w:tcPr>
          <w:p>
            <w:pPr>
              <w:spacing w:after="0"/>
              <w:rPr>
                <w:sz w:val="16"/>
                <w:szCs w:val="16"/>
                <w:color w:val="auto"/>
              </w:rPr>
            </w:pPr>
          </w:p>
        </w:tc>
        <w:tc>
          <w:tcPr>
            <w:tcW w:w="1340" w:type="dxa"/>
            <w:vAlign w:val="bottom"/>
            <w:gridSpan w:val="2"/>
          </w:tcPr>
          <w:p>
            <w:pPr>
              <w:ind w:left="1160"/>
              <w:spacing w:after="0"/>
              <w:rPr>
                <w:rFonts w:ascii="Arial" w:cs="Arial" w:eastAsia="Arial" w:hAnsi="Arial"/>
                <w:sz w:val="14"/>
                <w:szCs w:val="14"/>
                <w:color w:val="0000EE"/>
                <w:w w:val="75"/>
              </w:rPr>
            </w:pPr>
            <w:hyperlink w:anchor="page64">
              <w:r>
                <w:rPr>
                  <w:rFonts w:ascii="Arial" w:cs="Arial" w:eastAsia="Arial" w:hAnsi="Arial"/>
                  <w:sz w:val="14"/>
                  <w:szCs w:val="14"/>
                  <w:color w:val="0000EE"/>
                  <w:w w:val="75"/>
                </w:rPr>
                <w:t>F-4</w:t>
              </w:r>
            </w:hyperlink>
          </w:p>
        </w:tc>
      </w:tr>
      <w:tr>
        <w:trPr>
          <w:trHeight w:val="20"/>
        </w:trPr>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45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gridSpan w:val="6"/>
          </w:tcPr>
          <w:p>
            <w:pPr>
              <w:spacing w:after="0"/>
              <w:rPr>
                <w:rFonts w:ascii="Arial" w:cs="Arial" w:eastAsia="Arial" w:hAnsi="Arial"/>
                <w:sz w:val="14"/>
                <w:szCs w:val="14"/>
                <w:color w:val="0000EE"/>
                <w:w w:val="88"/>
              </w:rPr>
            </w:pPr>
            <w:hyperlink w:anchor="page65">
              <w:r>
                <w:rPr>
                  <w:rFonts w:ascii="Arial" w:cs="Arial" w:eastAsia="Arial" w:hAnsi="Arial"/>
                  <w:sz w:val="14"/>
                  <w:szCs w:val="14"/>
                  <w:color w:val="0000EE"/>
                  <w:w w:val="88"/>
                </w:rPr>
                <w:t>Consolidated Statements of Stockholders’ Equity for the Years Ended December 25, 2016, December 27, 2015, and December 28, 2014</w:t>
              </w:r>
            </w:hyperlink>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gridSpan w:val="2"/>
          </w:tcPr>
          <w:p>
            <w:pPr>
              <w:ind w:left="1160"/>
              <w:spacing w:after="0"/>
              <w:rPr>
                <w:rFonts w:ascii="Arial" w:cs="Arial" w:eastAsia="Arial" w:hAnsi="Arial"/>
                <w:sz w:val="14"/>
                <w:szCs w:val="14"/>
                <w:color w:val="0000EE"/>
                <w:w w:val="75"/>
              </w:rPr>
            </w:pPr>
            <w:hyperlink w:anchor="page65">
              <w:r>
                <w:rPr>
                  <w:rFonts w:ascii="Arial" w:cs="Arial" w:eastAsia="Arial" w:hAnsi="Arial"/>
                  <w:sz w:val="14"/>
                  <w:szCs w:val="14"/>
                  <w:color w:val="0000EE"/>
                  <w:w w:val="75"/>
                </w:rPr>
                <w:t>F-5</w:t>
              </w:r>
            </w:hyperlink>
          </w:p>
        </w:tc>
      </w:tr>
      <w:tr>
        <w:trPr>
          <w:trHeight w:val="20"/>
        </w:trPr>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45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000" w:type="dxa"/>
            <w:vAlign w:val="bottom"/>
            <w:gridSpan w:val="5"/>
          </w:tcPr>
          <w:p>
            <w:pPr>
              <w:spacing w:after="0"/>
              <w:rPr>
                <w:rFonts w:ascii="Arial" w:cs="Arial" w:eastAsia="Arial" w:hAnsi="Arial"/>
                <w:sz w:val="14"/>
                <w:szCs w:val="14"/>
                <w:color w:val="0000EE"/>
                <w:w w:val="88"/>
              </w:rPr>
            </w:pPr>
            <w:hyperlink w:anchor="page66">
              <w:r>
                <w:rPr>
                  <w:rFonts w:ascii="Arial" w:cs="Arial" w:eastAsia="Arial" w:hAnsi="Arial"/>
                  <w:sz w:val="14"/>
                  <w:szCs w:val="14"/>
                  <w:color w:val="0000EE"/>
                  <w:w w:val="88"/>
                </w:rPr>
                <w:t>Consolidated Statements of Cash Flows for the Years Ended December 25, 2016, December 27, 2015, and December 28, 2014</w:t>
              </w:r>
            </w:hyperlink>
          </w:p>
        </w:tc>
        <w:tc>
          <w:tcPr>
            <w:tcW w:w="520" w:type="dxa"/>
            <w:vAlign w:val="bottom"/>
          </w:tcPr>
          <w:p>
            <w:pPr>
              <w:spacing w:after="0"/>
              <w:rPr>
                <w:sz w:val="16"/>
                <w:szCs w:val="16"/>
                <w:color w:val="auto"/>
              </w:rPr>
            </w:pPr>
          </w:p>
        </w:tc>
        <w:tc>
          <w:tcPr>
            <w:tcW w:w="2560" w:type="dxa"/>
            <w:vAlign w:val="bottom"/>
            <w:gridSpan w:val="2"/>
          </w:tcPr>
          <w:p>
            <w:pPr>
              <w:spacing w:after="0"/>
              <w:rPr>
                <w:sz w:val="16"/>
                <w:szCs w:val="16"/>
                <w:color w:val="auto"/>
              </w:rPr>
            </w:pPr>
          </w:p>
        </w:tc>
        <w:tc>
          <w:tcPr>
            <w:tcW w:w="1340" w:type="dxa"/>
            <w:vAlign w:val="bottom"/>
            <w:gridSpan w:val="2"/>
          </w:tcPr>
          <w:p>
            <w:pPr>
              <w:ind w:left="1160"/>
              <w:spacing w:after="0"/>
              <w:rPr>
                <w:rFonts w:ascii="Arial" w:cs="Arial" w:eastAsia="Arial" w:hAnsi="Arial"/>
                <w:sz w:val="14"/>
                <w:szCs w:val="14"/>
                <w:color w:val="0000EE"/>
                <w:w w:val="75"/>
              </w:rPr>
            </w:pPr>
            <w:hyperlink w:anchor="page66">
              <w:r>
                <w:rPr>
                  <w:rFonts w:ascii="Arial" w:cs="Arial" w:eastAsia="Arial" w:hAnsi="Arial"/>
                  <w:sz w:val="14"/>
                  <w:szCs w:val="14"/>
                  <w:color w:val="0000EE"/>
                  <w:w w:val="75"/>
                </w:rPr>
                <w:t>F-6</w:t>
              </w:r>
            </w:hyperlink>
          </w:p>
        </w:tc>
      </w:tr>
      <w:tr>
        <w:trPr>
          <w:trHeight w:val="20"/>
        </w:trPr>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4580" w:type="dxa"/>
            <w:vAlign w:val="bottom"/>
            <w:gridSpan w:val="3"/>
            <w:shd w:val="clear" w:color="auto" w:fill="0000EE"/>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000" w:type="dxa"/>
            <w:vAlign w:val="bottom"/>
            <w:gridSpan w:val="5"/>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Notes to Consolidated Financial Statements</w:t>
              </w:r>
            </w:hyperlink>
          </w:p>
        </w:tc>
        <w:tc>
          <w:tcPr>
            <w:tcW w:w="3080" w:type="dxa"/>
            <w:vAlign w:val="bottom"/>
            <w:gridSpan w:val="3"/>
          </w:tcPr>
          <w:p>
            <w:pPr>
              <w:spacing w:after="0"/>
              <w:rPr>
                <w:sz w:val="16"/>
                <w:szCs w:val="16"/>
                <w:color w:val="auto"/>
              </w:rPr>
            </w:pPr>
          </w:p>
        </w:tc>
        <w:tc>
          <w:tcPr>
            <w:tcW w:w="1340" w:type="dxa"/>
            <w:vAlign w:val="bottom"/>
            <w:gridSpan w:val="2"/>
          </w:tcPr>
          <w:p>
            <w:pPr>
              <w:ind w:left="1160"/>
              <w:spacing w:after="0"/>
              <w:rPr>
                <w:rFonts w:ascii="Arial" w:cs="Arial" w:eastAsia="Arial" w:hAnsi="Arial"/>
                <w:sz w:val="14"/>
                <w:szCs w:val="14"/>
                <w:color w:val="0000EE"/>
                <w:w w:val="75"/>
              </w:rPr>
            </w:pPr>
            <w:hyperlink w:anchor="page67">
              <w:r>
                <w:rPr>
                  <w:rFonts w:ascii="Arial" w:cs="Arial" w:eastAsia="Arial" w:hAnsi="Arial"/>
                  <w:sz w:val="14"/>
                  <w:szCs w:val="14"/>
                  <w:color w:val="0000EE"/>
                  <w:w w:val="75"/>
                </w:rPr>
                <w:t>F-7</w:t>
              </w:r>
            </w:hyperlink>
          </w:p>
        </w:tc>
      </w:tr>
      <w:tr>
        <w:trPr>
          <w:trHeight w:val="548"/>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00" w:type="dxa"/>
            <w:vAlign w:val="bottom"/>
            <w:gridSpan w:val="4"/>
          </w:tcPr>
          <w:p>
            <w:pPr>
              <w:jc w:val="center"/>
              <w:ind w:right="3020"/>
              <w:spacing w:after="0"/>
              <w:rPr>
                <w:sz w:val="20"/>
                <w:szCs w:val="20"/>
                <w:color w:val="auto"/>
              </w:rPr>
            </w:pPr>
            <w:r>
              <w:rPr>
                <w:rFonts w:ascii="Arial" w:cs="Arial" w:eastAsia="Arial" w:hAnsi="Arial"/>
                <w:sz w:val="14"/>
                <w:szCs w:val="14"/>
                <w:color w:val="auto"/>
                <w:w w:val="95"/>
              </w:rPr>
              <w:t>F-1</w:t>
            </w:r>
          </w:p>
        </w:tc>
        <w:tc>
          <w:tcPr>
            <w:tcW w:w="1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40"/>
          </w:cols>
          <w:pgMar w:left="220" w:top="113"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Kratos Defense &amp; Security Solutions,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161" w:lineRule="exact"/>
        <w:rPr>
          <w:sz w:val="20"/>
          <w:szCs w:val="20"/>
          <w:color w:val="auto"/>
        </w:rPr>
      </w:pPr>
    </w:p>
    <w:p>
      <w:pPr>
        <w:ind w:right="100"/>
        <w:spacing w:after="0" w:line="274" w:lineRule="auto"/>
        <w:rPr>
          <w:sz w:val="20"/>
          <w:szCs w:val="20"/>
          <w:color w:val="auto"/>
        </w:rPr>
      </w:pPr>
      <w:r>
        <w:rPr>
          <w:rFonts w:ascii="Arial" w:cs="Arial" w:eastAsia="Arial" w:hAnsi="Arial"/>
          <w:sz w:val="13"/>
          <w:szCs w:val="13"/>
          <w:color w:val="auto"/>
        </w:rPr>
        <w:t xml:space="preserve">We have audited the accompanying consolidated balance sheets of Kratos Defense &amp; Security Solutions, Inc. and subsidiaries (the “Company”) as of December 25, 2016 and December 27, 2015, and the related consolidated statements of operations and comprehensive income (loss), stockholders' equity, and cash flows for each of the three fiscal years in the period ended December 25, 2016. We also have audited the Company's internal control over financial reporting as of December 25, 2016,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36"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6"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28" w:lineRule="exact"/>
        <w:rPr>
          <w:sz w:val="20"/>
          <w:szCs w:val="20"/>
          <w:color w:val="auto"/>
        </w:rPr>
      </w:pPr>
    </w:p>
    <w:p>
      <w:pPr>
        <w:ind w:right="100"/>
        <w:spacing w:after="0" w:line="279" w:lineRule="auto"/>
        <w:rPr>
          <w:sz w:val="20"/>
          <w:szCs w:val="20"/>
          <w:color w:val="auto"/>
        </w:rPr>
      </w:pPr>
      <w:r>
        <w:rPr>
          <w:rFonts w:ascii="Arial" w:cs="Arial" w:eastAsia="Arial" w:hAnsi="Arial"/>
          <w:sz w:val="13"/>
          <w:szCs w:val="13"/>
          <w:color w:val="auto"/>
        </w:rPr>
        <w:t xml:space="preserve">In our opinion, the consolidated financial statements referred to above present fairly, in all material respects, the financial position of the Company as of December 25, 2016 and December 27, 2015, and the results of their operations and their cash flows for each of the three fiscal years in the period ended December 25, 2016, in conformity with accounting principles generally accepted in the United States of America. Also, in our opinion, the Company maintained, in all material respects, effective internal control over financial reporting as of December 25, 2016, based on the criteria established in </w:t>
      </w:r>
      <w:r>
        <w:rPr>
          <w:rFonts w:ascii="Arial" w:cs="Arial" w:eastAsia="Arial" w:hAnsi="Arial"/>
          <w:sz w:val="13"/>
          <w:szCs w:val="13"/>
          <w:i w:val="1"/>
          <w:iCs w:val="1"/>
          <w:color w:val="auto"/>
        </w:rPr>
        <w:t>Internal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Control - Integrated Framework (2013) </w:t>
      </w:r>
      <w:r>
        <w:rPr>
          <w:rFonts w:ascii="Arial" w:cs="Arial" w:eastAsia="Arial" w:hAnsi="Arial"/>
          <w:sz w:val="13"/>
          <w:szCs w:val="13"/>
          <w:color w:val="auto"/>
        </w:rPr>
        <w:t>issued by the Committee of Sponsoring Organizations of the Treadway Commission.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DELOITTE &amp; TOUCHE LLP</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February 27, 2017</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40"/>
          </w:cols>
          <w:pgMar w:left="220" w:top="129"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KRATOS DEFENSE &amp; SECURITY SOLUTIONS,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BALANCE SHEETS</w:t>
      </w:r>
    </w:p>
    <w:p>
      <w:pPr>
        <w:jc w:val="center"/>
        <w:ind w:right="-19"/>
        <w:spacing w:after="0"/>
        <w:rPr>
          <w:sz w:val="20"/>
          <w:szCs w:val="20"/>
          <w:color w:val="auto"/>
        </w:rPr>
      </w:pPr>
      <w:r>
        <w:rPr>
          <w:rFonts w:ascii="Arial" w:cs="Arial" w:eastAsia="Arial" w:hAnsi="Arial"/>
          <w:sz w:val="12"/>
          <w:szCs w:val="12"/>
          <w:b w:val="1"/>
          <w:bCs w:val="1"/>
          <w:color w:val="auto"/>
        </w:rPr>
        <w:t>December 25, 2016 and December 27, 2015</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0"/>
          <w:szCs w:val="10"/>
          <w:b w:val="1"/>
          <w:bCs w:val="1"/>
          <w:color w:val="auto"/>
        </w:rPr>
        <w:t>(in millions, except par value and number of shares)</w:t>
      </w:r>
    </w:p>
    <w:p>
      <w:pPr>
        <w:sectPr>
          <w:pgSz w:w="11900" w:h="16838" w:orient="portrait"/>
          <w:cols w:equalWidth="0" w:num="1">
            <w:col w:w="11460"/>
          </w:cols>
          <w:pgMar w:left="220" w:top="129" w:right="219" w:bottom="1440" w:gutter="0" w:footer="0" w:header="0"/>
        </w:sect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6680" w:type="dxa"/>
            <w:vAlign w:val="bottom"/>
          </w:tcPr>
          <w:p>
            <w:pPr>
              <w:spacing w:after="0"/>
              <w:rPr>
                <w:sz w:val="20"/>
                <w:szCs w:val="20"/>
                <w:color w:val="auto"/>
              </w:rPr>
            </w:pPr>
            <w:r>
              <w:rPr>
                <w:rFonts w:ascii="Arial" w:cs="Arial" w:eastAsia="Arial" w:hAnsi="Arial"/>
                <w:sz w:val="11"/>
                <w:szCs w:val="11"/>
                <w:b w:val="1"/>
                <w:bCs w:val="1"/>
                <w:color w:val="auto"/>
              </w:rPr>
              <w:t>Assets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1"/>
                <w:szCs w:val="11"/>
                <w:color w:val="auto"/>
              </w:rPr>
              <w:t>Current assets: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2"/>
        </w:trPr>
        <w:tc>
          <w:tcPr>
            <w:tcW w:w="66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6680" w:type="dxa"/>
            <w:vAlign w:val="bottom"/>
          </w:tcPr>
          <w:p>
            <w:pPr>
              <w:ind w:left="100"/>
              <w:spacing w:after="0"/>
              <w:rPr>
                <w:sz w:val="20"/>
                <w:szCs w:val="20"/>
                <w:color w:val="auto"/>
              </w:rPr>
            </w:pPr>
            <w:r>
              <w:rPr>
                <w:rFonts w:ascii="Arial" w:cs="Arial" w:eastAsia="Arial" w:hAnsi="Arial"/>
                <w:sz w:val="11"/>
                <w:szCs w:val="11"/>
                <w:color w:val="auto"/>
              </w:rPr>
              <w:t>Restricted cash</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Accounts receivable, net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Inventoried costs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Income taxes receivable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Prepaid expenses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280"/>
              <w:spacing w:after="0"/>
              <w:rPr>
                <w:sz w:val="20"/>
                <w:szCs w:val="20"/>
                <w:color w:val="auto"/>
              </w:rPr>
            </w:pPr>
            <w:r>
              <w:rPr>
                <w:rFonts w:ascii="Arial" w:cs="Arial" w:eastAsia="Arial" w:hAnsi="Arial"/>
                <w:sz w:val="11"/>
                <w:szCs w:val="11"/>
                <w:color w:val="auto"/>
              </w:rPr>
              <w:t>Total current assets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80" w:type="dxa"/>
            <w:vAlign w:val="bottom"/>
          </w:tcPr>
          <w:p>
            <w:pPr>
              <w:spacing w:after="0"/>
              <w:rPr>
                <w:sz w:val="20"/>
                <w:szCs w:val="20"/>
                <w:color w:val="auto"/>
              </w:rPr>
            </w:pPr>
            <w:r>
              <w:rPr>
                <w:rFonts w:ascii="Arial" w:cs="Arial" w:eastAsia="Arial" w:hAnsi="Arial"/>
                <w:sz w:val="11"/>
                <w:szCs w:val="11"/>
                <w:color w:val="auto"/>
              </w:rPr>
              <w:t>Property, plant and equipment, net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1"/>
                <w:szCs w:val="11"/>
                <w:color w:val="auto"/>
              </w:rPr>
              <w:t>Goodwill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1"/>
                <w:szCs w:val="11"/>
                <w:color w:val="auto"/>
              </w:rPr>
              <w:t>Intangible assets, net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1"/>
                <w:szCs w:val="11"/>
                <w:color w:val="auto"/>
              </w:rPr>
              <w:t>Other assets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80" w:type="dxa"/>
            <w:vAlign w:val="bottom"/>
          </w:tcPr>
          <w:p>
            <w:pPr>
              <w:ind w:left="280"/>
              <w:spacing w:after="0"/>
              <w:rPr>
                <w:sz w:val="20"/>
                <w:szCs w:val="20"/>
                <w:color w:val="auto"/>
              </w:rPr>
            </w:pPr>
            <w:r>
              <w:rPr>
                <w:rFonts w:ascii="Arial" w:cs="Arial" w:eastAsia="Arial" w:hAnsi="Arial"/>
                <w:sz w:val="11"/>
                <w:szCs w:val="11"/>
                <w:color w:val="auto"/>
              </w:rPr>
              <w:t>Total assets</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6680" w:type="dxa"/>
            <w:vAlign w:val="bottom"/>
          </w:tcPr>
          <w:p>
            <w:pPr>
              <w:spacing w:after="0"/>
              <w:rPr>
                <w:sz w:val="20"/>
                <w:szCs w:val="20"/>
                <w:color w:val="auto"/>
              </w:rPr>
            </w:pPr>
            <w:r>
              <w:rPr>
                <w:rFonts w:ascii="Arial" w:cs="Arial" w:eastAsia="Arial" w:hAnsi="Arial"/>
                <w:sz w:val="11"/>
                <w:szCs w:val="11"/>
                <w:b w:val="1"/>
                <w:bCs w:val="1"/>
                <w:color w:val="auto"/>
              </w:rPr>
              <w:t>Liabilities and Stockholders’ 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1"/>
                <w:szCs w:val="11"/>
                <w:color w:val="auto"/>
              </w:rPr>
              <w:t>Current liabilities: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2"/>
        </w:trPr>
        <w:tc>
          <w:tcPr>
            <w:tcW w:w="66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6680" w:type="dxa"/>
            <w:vAlign w:val="bottom"/>
          </w:tcPr>
          <w:p>
            <w:pPr>
              <w:ind w:left="100"/>
              <w:spacing w:after="0"/>
              <w:rPr>
                <w:sz w:val="20"/>
                <w:szCs w:val="20"/>
                <w:color w:val="auto"/>
              </w:rPr>
            </w:pPr>
            <w:r>
              <w:rPr>
                <w:rFonts w:ascii="Arial" w:cs="Arial" w:eastAsia="Arial" w:hAnsi="Arial"/>
                <w:sz w:val="11"/>
                <w:szCs w:val="11"/>
                <w:color w:val="auto"/>
              </w:rPr>
              <w:t>Accrued expenses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Accrued compensation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Accrued interest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Billings in excess of costs and earnings on uncompleted contracts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Other current liabilities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Current portion of long-term debt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Current liabilities of discontinued operations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280"/>
              <w:spacing w:after="0"/>
              <w:rPr>
                <w:sz w:val="20"/>
                <w:szCs w:val="20"/>
                <w:color w:val="auto"/>
              </w:rPr>
            </w:pPr>
            <w:r>
              <w:rPr>
                <w:rFonts w:ascii="Arial" w:cs="Arial" w:eastAsia="Arial" w:hAnsi="Arial"/>
                <w:sz w:val="11"/>
                <w:szCs w:val="11"/>
                <w:color w:val="auto"/>
              </w:rPr>
              <w:t>Total current liabilities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80" w:type="dxa"/>
            <w:vAlign w:val="bottom"/>
          </w:tcPr>
          <w:p>
            <w:pPr>
              <w:spacing w:after="0"/>
              <w:rPr>
                <w:sz w:val="20"/>
                <w:szCs w:val="20"/>
                <w:color w:val="auto"/>
              </w:rPr>
            </w:pPr>
            <w:r>
              <w:rPr>
                <w:rFonts w:ascii="Arial" w:cs="Arial" w:eastAsia="Arial" w:hAnsi="Arial"/>
                <w:sz w:val="11"/>
                <w:szCs w:val="11"/>
                <w:color w:val="auto"/>
              </w:rPr>
              <w:t>Long-term debt principal, net of current portion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1"/>
                <w:szCs w:val="11"/>
                <w:color w:val="auto"/>
              </w:rPr>
              <w:t>Deferred income tax liability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1"/>
                <w:szCs w:val="11"/>
                <w:color w:val="auto"/>
              </w:rPr>
              <w:t>Other long-term liabilities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1"/>
                <w:szCs w:val="11"/>
                <w:color w:val="auto"/>
              </w:rPr>
              <w:t>Long-term liabilities of discontinued operations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280"/>
              <w:spacing w:after="0"/>
              <w:rPr>
                <w:sz w:val="20"/>
                <w:szCs w:val="20"/>
                <w:color w:val="auto"/>
              </w:rPr>
            </w:pPr>
            <w:r>
              <w:rPr>
                <w:rFonts w:ascii="Arial" w:cs="Arial" w:eastAsia="Arial" w:hAnsi="Arial"/>
                <w:sz w:val="11"/>
                <w:szCs w:val="11"/>
                <w:color w:val="auto"/>
              </w:rPr>
              <w:t>Total liabilities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80" w:type="dxa"/>
            <w:vAlign w:val="bottom"/>
          </w:tcPr>
          <w:p>
            <w:pPr>
              <w:spacing w:after="0"/>
              <w:rPr>
                <w:sz w:val="20"/>
                <w:szCs w:val="20"/>
                <w:color w:val="auto"/>
              </w:rPr>
            </w:pPr>
            <w:r>
              <w:rPr>
                <w:rFonts w:ascii="Arial" w:cs="Arial" w:eastAsia="Arial" w:hAnsi="Arial"/>
                <w:sz w:val="11"/>
                <w:szCs w:val="11"/>
                <w:color w:val="auto"/>
              </w:rPr>
              <w:t>Commitments and contingencies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1"/>
                <w:szCs w:val="11"/>
                <w:color w:val="auto"/>
              </w:rPr>
              <w:t>Stockholders’ equity: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Preferred stock, $0.001 par value, 5,000,000 authorized, 0 shares outstanding at December 25, 2016 and December 27, 2015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80" w:type="dxa"/>
            <w:vAlign w:val="bottom"/>
          </w:tcPr>
          <w:p>
            <w:pPr>
              <w:ind w:left="100"/>
              <w:spacing w:after="0"/>
              <w:rPr>
                <w:sz w:val="20"/>
                <w:szCs w:val="20"/>
                <w:color w:val="auto"/>
              </w:rPr>
            </w:pPr>
            <w:r>
              <w:rPr>
                <w:rFonts w:ascii="Arial" w:cs="Arial" w:eastAsia="Arial" w:hAnsi="Arial"/>
                <w:sz w:val="11"/>
                <w:szCs w:val="11"/>
                <w:color w:val="auto"/>
                <w:w w:val="90"/>
              </w:rPr>
              <w:t>Common stock, $0.001 par value, 195,000,000 shares authorized; 73,945,533 and 59,139,651 shares issued and outstanding at December 25, 2016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80" w:type="dxa"/>
            <w:vAlign w:val="bottom"/>
          </w:tcPr>
          <w:p>
            <w:pPr>
              <w:ind w:left="100"/>
              <w:spacing w:after="0"/>
              <w:rPr>
                <w:sz w:val="20"/>
                <w:szCs w:val="20"/>
                <w:color w:val="auto"/>
              </w:rPr>
            </w:pPr>
            <w:r>
              <w:rPr>
                <w:rFonts w:ascii="Arial" w:cs="Arial" w:eastAsia="Arial" w:hAnsi="Arial"/>
                <w:sz w:val="11"/>
                <w:szCs w:val="11"/>
                <w:color w:val="auto"/>
              </w:rPr>
              <w:t>and December 27, 2015, respectively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80" w:type="dxa"/>
            <w:vAlign w:val="bottom"/>
          </w:tcPr>
          <w:p>
            <w:pPr>
              <w:ind w:left="100"/>
              <w:spacing w:after="0"/>
              <w:rPr>
                <w:sz w:val="20"/>
                <w:szCs w:val="20"/>
                <w:color w:val="auto"/>
              </w:rPr>
            </w:pPr>
            <w:r>
              <w:rPr>
                <w:rFonts w:ascii="Arial" w:cs="Arial" w:eastAsia="Arial" w:hAnsi="Arial"/>
                <w:sz w:val="11"/>
                <w:szCs w:val="11"/>
                <w:color w:val="auto"/>
              </w:rPr>
              <w:t>Additional paid-in capital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Accumulated other comprehensive loss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Arial" w:cs="Arial" w:eastAsia="Arial" w:hAnsi="Arial"/>
                <w:sz w:val="11"/>
                <w:szCs w:val="11"/>
                <w:color w:val="auto"/>
              </w:rPr>
              <w:t>Accumulated deficit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-4668520</wp:posOffset>
            </wp:positionV>
            <wp:extent cx="7278370" cy="131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-4404995</wp:posOffset>
            </wp:positionV>
            <wp:extent cx="7278370" cy="131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-4142105</wp:posOffset>
            </wp:positionV>
            <wp:extent cx="7278370" cy="131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-3879215</wp:posOffset>
            </wp:positionV>
            <wp:extent cx="7278370" cy="131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-3636010</wp:posOffset>
            </wp:positionV>
            <wp:extent cx="7278370" cy="131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-3373120</wp:posOffset>
            </wp:positionV>
            <wp:extent cx="7278370" cy="131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-2860040</wp:posOffset>
            </wp:positionV>
            <wp:extent cx="7278370" cy="131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-2597150</wp:posOffset>
            </wp:positionV>
            <wp:extent cx="7278370" cy="131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-2334260</wp:posOffset>
            </wp:positionV>
            <wp:extent cx="7278370" cy="131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-2071370</wp:posOffset>
            </wp:positionV>
            <wp:extent cx="7278370" cy="131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-1807845</wp:posOffset>
            </wp:positionV>
            <wp:extent cx="7278370" cy="131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-1564640</wp:posOffset>
            </wp:positionV>
            <wp:extent cx="7278370" cy="131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-1301750</wp:posOffset>
            </wp:positionV>
            <wp:extent cx="7278370" cy="131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-788670</wp:posOffset>
            </wp:positionV>
            <wp:extent cx="7278370" cy="131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-525780</wp:posOffset>
            </wp:positionV>
            <wp:extent cx="7278370" cy="170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8370" cy="1708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-223520</wp:posOffset>
            </wp:positionV>
            <wp:extent cx="7278370" cy="131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-1038860</wp:posOffset>
            </wp:positionV>
            <wp:extent cx="7278370" cy="111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-3110230</wp:posOffset>
            </wp:positionV>
            <wp:extent cx="7278370" cy="118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1181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-4931410</wp:posOffset>
            </wp:positionV>
            <wp:extent cx="7278370" cy="131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380" w:type="dxa"/>
            <w:vAlign w:val="bottom"/>
          </w:tcPr>
          <w:p>
            <w:pPr>
              <w:jc w:val="right"/>
              <w:ind w:right="1105"/>
              <w:spacing w:after="0"/>
              <w:rPr>
                <w:sz w:val="20"/>
                <w:szCs w:val="20"/>
                <w:color w:val="auto"/>
              </w:rPr>
            </w:pPr>
            <w:r>
              <w:rPr>
                <w:rFonts w:ascii="Arial" w:cs="Arial" w:eastAsia="Arial" w:hAnsi="Arial"/>
                <w:sz w:val="11"/>
                <w:szCs w:val="11"/>
                <w:b w:val="1"/>
                <w:bCs w:val="1"/>
                <w:color w:val="auto"/>
                <w:w w:val="81"/>
              </w:rPr>
              <w:t>2016</w:t>
            </w:r>
          </w:p>
        </w:tc>
        <w:tc>
          <w:tcPr>
            <w:tcW w:w="5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965"/>
              <w:spacing w:after="0"/>
              <w:rPr>
                <w:sz w:val="20"/>
                <w:szCs w:val="20"/>
                <w:color w:val="auto"/>
              </w:rPr>
            </w:pPr>
            <w:r>
              <w:rPr>
                <w:rFonts w:ascii="Arial" w:cs="Arial" w:eastAsia="Arial" w:hAnsi="Arial"/>
                <w:sz w:val="11"/>
                <w:szCs w:val="11"/>
                <w:b w:val="1"/>
                <w:bCs w:val="1"/>
                <w:color w:val="auto"/>
              </w:rPr>
              <w:t>2015</w:t>
            </w:r>
          </w:p>
        </w:tc>
      </w:tr>
      <w:tr>
        <w:trPr>
          <w:trHeight w:val="59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69.1</w:t>
            </w:r>
          </w:p>
        </w:tc>
        <w:tc>
          <w:tcPr>
            <w:tcW w:w="560" w:type="dxa"/>
            <w:vAlign w:val="bottom"/>
          </w:tcPr>
          <w:p>
            <w:pPr>
              <w:jc w:val="right"/>
              <w:ind w:right="425"/>
              <w:spacing w:after="0"/>
              <w:rPr>
                <w:sz w:val="20"/>
                <w:szCs w:val="20"/>
                <w:color w:val="auto"/>
              </w:rPr>
            </w:pPr>
            <w:r>
              <w:rPr>
                <w:rFonts w:ascii="Arial" w:cs="Arial" w:eastAsia="Arial" w:hAnsi="Arial"/>
                <w:sz w:val="11"/>
                <w:szCs w:val="11"/>
                <w:color w:val="auto"/>
                <w:w w:val="97"/>
              </w:rPr>
              <w:t>$</w:t>
            </w: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28.5</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0.5</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0.7</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229.4</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206.8</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55.4</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55.6</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4.6</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4.6</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8.9</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10.6</w:t>
            </w:r>
          </w:p>
        </w:tc>
      </w:tr>
      <w:tr>
        <w:trPr>
          <w:trHeight w:val="212"/>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5.2</w:t>
            </w:r>
          </w:p>
        </w:tc>
        <w:tc>
          <w:tcPr>
            <w:tcW w:w="5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13.6</w:t>
            </w:r>
          </w:p>
        </w:tc>
      </w:tr>
      <w:tr>
        <w:trPr>
          <w:trHeight w:val="151"/>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373.1</w:t>
            </w:r>
          </w:p>
        </w:tc>
        <w:tc>
          <w:tcPr>
            <w:tcW w:w="560" w:type="dxa"/>
            <w:vAlign w:val="bottom"/>
          </w:tcPr>
          <w:p>
            <w:pPr>
              <w:spacing w:after="0"/>
              <w:rPr>
                <w:sz w:val="13"/>
                <w:szCs w:val="13"/>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320.4</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49.8</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56.2</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485.4</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483.4</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32.6</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36.5</w:t>
            </w:r>
          </w:p>
        </w:tc>
      </w:tr>
      <w:tr>
        <w:trPr>
          <w:trHeight w:val="212"/>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7.7</w:t>
            </w:r>
          </w:p>
        </w:tc>
        <w:tc>
          <w:tcPr>
            <w:tcW w:w="5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6.8</w:t>
            </w:r>
          </w:p>
        </w:tc>
      </w:tr>
      <w:tr>
        <w:trPr>
          <w:trHeight w:val="156"/>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948.6</w:t>
            </w:r>
          </w:p>
        </w:tc>
        <w:tc>
          <w:tcPr>
            <w:tcW w:w="560" w:type="dxa"/>
            <w:vAlign w:val="bottom"/>
            <w:tcBorders>
              <w:bottom w:val="single" w:sz="8" w:color="auto"/>
            </w:tcBorders>
          </w:tcPr>
          <w:p>
            <w:pPr>
              <w:jc w:val="right"/>
              <w:ind w:right="425"/>
              <w:spacing w:after="0"/>
              <w:rPr>
                <w:sz w:val="20"/>
                <w:szCs w:val="20"/>
                <w:color w:val="auto"/>
              </w:rPr>
            </w:pPr>
            <w:r>
              <w:rPr>
                <w:rFonts w:ascii="Arial" w:cs="Arial" w:eastAsia="Arial" w:hAnsi="Arial"/>
                <w:sz w:val="11"/>
                <w:szCs w:val="11"/>
                <w:color w:val="auto"/>
                <w:w w:val="97"/>
              </w:rPr>
              <w:t>$</w:t>
            </w:r>
          </w:p>
        </w:tc>
        <w:tc>
          <w:tcPr>
            <w:tcW w:w="17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903.3</w:t>
            </w:r>
          </w:p>
        </w:tc>
      </w:tr>
      <w:tr>
        <w:trPr>
          <w:trHeight w:val="20"/>
        </w:trPr>
        <w:tc>
          <w:tcPr>
            <w:tcW w:w="1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56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52.7</w:t>
            </w:r>
          </w:p>
        </w:tc>
        <w:tc>
          <w:tcPr>
            <w:tcW w:w="560" w:type="dxa"/>
            <w:vAlign w:val="bottom"/>
          </w:tcPr>
          <w:p>
            <w:pPr>
              <w:jc w:val="right"/>
              <w:ind w:right="425"/>
              <w:spacing w:after="0"/>
              <w:rPr>
                <w:sz w:val="20"/>
                <w:szCs w:val="20"/>
                <w:color w:val="auto"/>
              </w:rPr>
            </w:pPr>
            <w:r>
              <w:rPr>
                <w:rFonts w:ascii="Arial" w:cs="Arial" w:eastAsia="Arial" w:hAnsi="Arial"/>
                <w:sz w:val="11"/>
                <w:szCs w:val="11"/>
                <w:color w:val="auto"/>
                <w:w w:val="97"/>
              </w:rPr>
              <w:t>$</w:t>
            </w: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48.3</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50.0</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33.1</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39.1</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36.8</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3.6</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3.9</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41.8</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42.3</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6.7</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5.1</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1.0</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1.0</w:t>
            </w:r>
          </w:p>
        </w:tc>
      </w:tr>
      <w:tr>
        <w:trPr>
          <w:trHeight w:val="212"/>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1.6</w:t>
            </w:r>
          </w:p>
        </w:tc>
        <w:tc>
          <w:tcPr>
            <w:tcW w:w="5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1.9</w:t>
            </w:r>
          </w:p>
        </w:tc>
      </w:tr>
      <w:tr>
        <w:trPr>
          <w:trHeight w:val="151"/>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196.5</w:t>
            </w:r>
          </w:p>
        </w:tc>
        <w:tc>
          <w:tcPr>
            <w:tcW w:w="560" w:type="dxa"/>
            <w:vAlign w:val="bottom"/>
          </w:tcPr>
          <w:p>
            <w:pPr>
              <w:spacing w:after="0"/>
              <w:rPr>
                <w:sz w:val="13"/>
                <w:szCs w:val="13"/>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172.4</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431.0</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444.1</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17.3</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10.5</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23.7</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18.0</w:t>
            </w:r>
          </w:p>
        </w:tc>
      </w:tr>
      <w:tr>
        <w:trPr>
          <w:trHeight w:val="212"/>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3.7</w:t>
            </w:r>
          </w:p>
        </w:tc>
        <w:tc>
          <w:tcPr>
            <w:tcW w:w="5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4.1</w:t>
            </w:r>
          </w:p>
        </w:tc>
      </w:tr>
      <w:tr>
        <w:trPr>
          <w:trHeight w:val="156"/>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672.2</w:t>
            </w:r>
          </w:p>
        </w:tc>
        <w:tc>
          <w:tcPr>
            <w:tcW w:w="5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649.1</w:t>
            </w:r>
          </w:p>
        </w:tc>
      </w:tr>
      <w:tr>
        <w:trPr>
          <w:trHeight w:val="6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4"/>
                <w:szCs w:val="24"/>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w:t>
            </w:r>
          </w:p>
        </w:tc>
      </w:tr>
      <w:tr>
        <w:trPr>
          <w:trHeight w:val="269"/>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23"/>
                <w:szCs w:val="23"/>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w:t>
            </w:r>
          </w:p>
        </w:tc>
      </w:tr>
      <w:tr>
        <w:trPr>
          <w:trHeight w:val="207"/>
        </w:trPr>
        <w:tc>
          <w:tcPr>
            <w:tcW w:w="1380" w:type="dxa"/>
            <w:vAlign w:val="bottom"/>
          </w:tcPr>
          <w:p>
            <w:pPr>
              <w:jc w:val="right"/>
              <w:ind w:right="185"/>
              <w:spacing w:after="0"/>
              <w:rPr>
                <w:sz w:val="20"/>
                <w:szCs w:val="20"/>
                <w:color w:val="auto"/>
              </w:rPr>
            </w:pPr>
            <w:r>
              <w:rPr>
                <w:rFonts w:ascii="Arial" w:cs="Arial" w:eastAsia="Arial" w:hAnsi="Arial"/>
                <w:sz w:val="11"/>
                <w:szCs w:val="11"/>
                <w:color w:val="auto"/>
              </w:rPr>
              <w:t>956.2</w:t>
            </w:r>
          </w:p>
        </w:tc>
        <w:tc>
          <w:tcPr>
            <w:tcW w:w="560" w:type="dxa"/>
            <w:vAlign w:val="bottom"/>
          </w:tcPr>
          <w:p>
            <w:pPr>
              <w:spacing w:after="0"/>
              <w:rPr>
                <w:sz w:val="18"/>
                <w:szCs w:val="18"/>
                <w:color w:val="auto"/>
              </w:rPr>
            </w:pPr>
          </w:p>
        </w:tc>
        <w:tc>
          <w:tcPr>
            <w:tcW w:w="1720" w:type="dxa"/>
            <w:vAlign w:val="bottom"/>
          </w:tcPr>
          <w:p>
            <w:pPr>
              <w:jc w:val="right"/>
              <w:ind w:right="45"/>
              <w:spacing w:after="0"/>
              <w:rPr>
                <w:sz w:val="20"/>
                <w:szCs w:val="20"/>
                <w:color w:val="auto"/>
              </w:rPr>
            </w:pPr>
            <w:r>
              <w:rPr>
                <w:rFonts w:ascii="Arial" w:cs="Arial" w:eastAsia="Arial" w:hAnsi="Arial"/>
                <w:sz w:val="11"/>
                <w:szCs w:val="11"/>
                <w:color w:val="auto"/>
              </w:rPr>
              <w:t>873.2</w:t>
            </w:r>
          </w:p>
        </w:tc>
      </w:tr>
      <w:tr>
        <w:trPr>
          <w:trHeight w:val="207"/>
        </w:trPr>
        <w:tc>
          <w:tcPr>
            <w:tcW w:w="1380" w:type="dxa"/>
            <w:vAlign w:val="bottom"/>
          </w:tcPr>
          <w:p>
            <w:pPr>
              <w:jc w:val="right"/>
              <w:ind w:right="145"/>
              <w:spacing w:after="0"/>
              <w:rPr>
                <w:sz w:val="20"/>
                <w:szCs w:val="20"/>
                <w:color w:val="auto"/>
              </w:rPr>
            </w:pPr>
            <w:r>
              <w:rPr>
                <w:rFonts w:ascii="Arial" w:cs="Arial" w:eastAsia="Arial" w:hAnsi="Arial"/>
                <w:sz w:val="11"/>
                <w:szCs w:val="11"/>
                <w:color w:val="auto"/>
              </w:rPr>
              <w:t>(1.7)</w:t>
            </w:r>
          </w:p>
        </w:tc>
        <w:tc>
          <w:tcPr>
            <w:tcW w:w="560" w:type="dxa"/>
            <w:vAlign w:val="bottom"/>
          </w:tcPr>
          <w:p>
            <w:pPr>
              <w:spacing w:after="0"/>
              <w:rPr>
                <w:sz w:val="18"/>
                <w:szCs w:val="18"/>
                <w:color w:val="auto"/>
              </w:rPr>
            </w:pPr>
          </w:p>
        </w:tc>
        <w:tc>
          <w:tcPr>
            <w:tcW w:w="1720" w:type="dxa"/>
            <w:vAlign w:val="bottom"/>
          </w:tcPr>
          <w:p>
            <w:pPr>
              <w:jc w:val="right"/>
              <w:ind w:right="25"/>
              <w:spacing w:after="0"/>
              <w:rPr>
                <w:sz w:val="20"/>
                <w:szCs w:val="20"/>
                <w:color w:val="auto"/>
              </w:rPr>
            </w:pPr>
            <w:r>
              <w:rPr>
                <w:rFonts w:ascii="Arial" w:cs="Arial" w:eastAsia="Arial" w:hAnsi="Arial"/>
                <w:sz w:val="11"/>
                <w:szCs w:val="11"/>
                <w:color w:val="auto"/>
              </w:rPr>
              <w:t>(1.4)</w:t>
            </w:r>
          </w:p>
        </w:tc>
      </w:tr>
      <w:tr>
        <w:trPr>
          <w:trHeight w:val="207"/>
        </w:trPr>
        <w:tc>
          <w:tcPr>
            <w:tcW w:w="1380" w:type="dxa"/>
            <w:vAlign w:val="bottom"/>
          </w:tcPr>
          <w:p>
            <w:pPr>
              <w:jc w:val="right"/>
              <w:ind w:right="145"/>
              <w:spacing w:after="0"/>
              <w:rPr>
                <w:sz w:val="20"/>
                <w:szCs w:val="20"/>
                <w:color w:val="auto"/>
              </w:rPr>
            </w:pPr>
            <w:r>
              <w:rPr>
                <w:rFonts w:ascii="Arial" w:cs="Arial" w:eastAsia="Arial" w:hAnsi="Arial"/>
                <w:sz w:val="11"/>
                <w:szCs w:val="11"/>
                <w:color w:val="auto"/>
              </w:rPr>
              <w:t>(678.1)</w:t>
            </w:r>
          </w:p>
        </w:tc>
        <w:tc>
          <w:tcPr>
            <w:tcW w:w="560" w:type="dxa"/>
            <w:vAlign w:val="bottom"/>
          </w:tcPr>
          <w:p>
            <w:pPr>
              <w:spacing w:after="0"/>
              <w:rPr>
                <w:sz w:val="18"/>
                <w:szCs w:val="18"/>
                <w:color w:val="auto"/>
              </w:rPr>
            </w:pPr>
          </w:p>
        </w:tc>
        <w:tc>
          <w:tcPr>
            <w:tcW w:w="1720" w:type="dxa"/>
            <w:vAlign w:val="bottom"/>
          </w:tcPr>
          <w:p>
            <w:pPr>
              <w:jc w:val="right"/>
              <w:ind w:right="25"/>
              <w:spacing w:after="0"/>
              <w:rPr>
                <w:sz w:val="20"/>
                <w:szCs w:val="20"/>
                <w:color w:val="auto"/>
              </w:rPr>
            </w:pPr>
            <w:r>
              <w:rPr>
                <w:rFonts w:ascii="Arial" w:cs="Arial" w:eastAsia="Arial" w:hAnsi="Arial"/>
                <w:sz w:val="11"/>
                <w:szCs w:val="11"/>
                <w:color w:val="auto"/>
              </w:rPr>
              <w:t>(617.6)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-960120</wp:posOffset>
            </wp:positionV>
            <wp:extent cx="145288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2880" cy="635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-1709420</wp:posOffset>
            </wp:positionV>
            <wp:extent cx="145288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2880" cy="635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-3018155</wp:posOffset>
            </wp:positionV>
            <wp:extent cx="145288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52880" cy="635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-3780790</wp:posOffset>
            </wp:positionV>
            <wp:extent cx="145288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2880" cy="63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080" w:space="720"/>
            <w:col w:w="3660"/>
          </w:cols>
          <w:pgMar w:left="220" w:top="129" w:right="21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67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Total stockholders’ equity</w:t>
            </w: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276.4</w:t>
            </w: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254.2</w:t>
            </w:r>
          </w:p>
        </w:tc>
      </w:tr>
      <w:tr>
        <w:trPr>
          <w:trHeight w:val="151"/>
        </w:trPr>
        <w:tc>
          <w:tcPr>
            <w:tcW w:w="6780" w:type="dxa"/>
            <w:vAlign w:val="bottom"/>
          </w:tcPr>
          <w:p>
            <w:pPr>
              <w:ind w:left="300"/>
              <w:spacing w:after="0"/>
              <w:rPr>
                <w:sz w:val="20"/>
                <w:szCs w:val="20"/>
                <w:color w:val="auto"/>
              </w:rPr>
            </w:pPr>
            <w:r>
              <w:rPr>
                <w:rFonts w:ascii="Arial" w:cs="Arial" w:eastAsia="Arial" w:hAnsi="Arial"/>
                <w:sz w:val="11"/>
                <w:szCs w:val="11"/>
                <w:color w:val="auto"/>
              </w:rPr>
              <w:t>Total liabilities and stockholders’ equity</w:t>
            </w:r>
          </w:p>
        </w:tc>
        <w:tc>
          <w:tcPr>
            <w:tcW w:w="1000" w:type="dxa"/>
            <w:vAlign w:val="bottom"/>
            <w:tcBorders>
              <w:bottom w:val="single" w:sz="8" w:color="auto"/>
            </w:tcBorders>
          </w:tcPr>
          <w:p>
            <w:pPr>
              <w:jc w:val="right"/>
              <w:ind w:right="865"/>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948.6</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865"/>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903.3</w:t>
            </w:r>
          </w:p>
        </w:tc>
      </w:tr>
      <w:tr>
        <w:trPr>
          <w:trHeight w:val="20"/>
        </w:trPr>
        <w:tc>
          <w:tcPr>
            <w:tcW w:w="6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60"/>
          </w:cols>
          <w:pgMar w:left="220" w:top="129" w:right="21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KRATOS DEFENSE &amp; SECURITY SOLUTIONS,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INCOME (LOSS)</w:t>
      </w:r>
    </w:p>
    <w:p>
      <w:pPr>
        <w:jc w:val="center"/>
        <w:spacing w:after="0" w:line="235" w:lineRule="auto"/>
        <w:rPr>
          <w:sz w:val="20"/>
          <w:szCs w:val="20"/>
          <w:color w:val="auto"/>
        </w:rPr>
      </w:pPr>
      <w:r>
        <w:rPr>
          <w:rFonts w:ascii="Arial" w:cs="Arial" w:eastAsia="Arial" w:hAnsi="Arial"/>
          <w:sz w:val="11"/>
          <w:szCs w:val="11"/>
          <w:b w:val="1"/>
          <w:bCs w:val="1"/>
          <w:color w:val="auto"/>
        </w:rPr>
        <w:t>Years ended December 25, 2016, December 27, 2015, and December 28, 2014,</w:t>
      </w:r>
    </w:p>
    <w:p>
      <w:pPr>
        <w:jc w:val="center"/>
        <w:spacing w:after="0"/>
        <w:rPr>
          <w:sz w:val="20"/>
          <w:szCs w:val="20"/>
          <w:color w:val="auto"/>
        </w:rPr>
      </w:pPr>
      <w:r>
        <w:rPr>
          <w:rFonts w:ascii="Arial" w:cs="Arial" w:eastAsia="Arial" w:hAnsi="Arial"/>
          <w:sz w:val="11"/>
          <w:szCs w:val="11"/>
          <w:b w:val="1"/>
          <w:bCs w:val="1"/>
          <w:color w:val="auto"/>
        </w:rPr>
        <w:t>(in millions, except per share amounts)</w:t>
      </w:r>
    </w:p>
    <w:p>
      <w:pPr>
        <w:sectPr>
          <w:pgSz w:w="11900" w:h="16838" w:orient="portrait"/>
          <w:cols w:equalWidth="0" w:num="1">
            <w:col w:w="11460"/>
          </w:cols>
          <w:pgMar w:left="220" w:top="129" w:right="219" w:bottom="1440" w:gutter="0" w:footer="0" w:header="0"/>
        </w:sect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900" w:type="dxa"/>
            <w:vAlign w:val="bottom"/>
          </w:tcPr>
          <w:p>
            <w:pPr>
              <w:spacing w:after="0"/>
              <w:rPr>
                <w:sz w:val="20"/>
                <w:szCs w:val="20"/>
                <w:color w:val="auto"/>
              </w:rPr>
            </w:pPr>
            <w:r>
              <w:rPr>
                <w:rFonts w:ascii="Arial" w:cs="Arial" w:eastAsia="Arial" w:hAnsi="Arial"/>
                <w:sz w:val="11"/>
                <w:szCs w:val="11"/>
                <w:color w:val="auto"/>
              </w:rPr>
              <w:t>Service revenues</w:t>
            </w:r>
          </w:p>
        </w:tc>
        <w:tc>
          <w:tcPr>
            <w:tcW w:w="2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2"/>
        </w:trPr>
        <w:tc>
          <w:tcPr>
            <w:tcW w:w="290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900" w:type="dxa"/>
            <w:vAlign w:val="bottom"/>
          </w:tcPr>
          <w:p>
            <w:pPr>
              <w:spacing w:after="0"/>
              <w:rPr>
                <w:sz w:val="20"/>
                <w:szCs w:val="20"/>
                <w:color w:val="auto"/>
              </w:rPr>
            </w:pPr>
            <w:r>
              <w:rPr>
                <w:rFonts w:ascii="Arial" w:cs="Arial" w:eastAsia="Arial" w:hAnsi="Arial"/>
                <w:sz w:val="11"/>
                <w:szCs w:val="11"/>
                <w:color w:val="auto"/>
              </w:rPr>
              <w:t>Product sales</w:t>
            </w: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Total revenues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Cost of service revenues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Cost of product sales</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Total costs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1"/>
          <w:szCs w:val="11"/>
          <w:color w:val="auto"/>
        </w:rPr>
        <w:t>Gross profit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1"/>
          <w:szCs w:val="11"/>
          <w:color w:val="auto"/>
        </w:rPr>
        <w:t>Selling, general and administrative expenses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Merger and acquisition related items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Research and development expenses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Unused office space and other restructuring</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1"/>
          <w:szCs w:val="11"/>
          <w:color w:val="auto"/>
        </w:rPr>
        <w:t>Operating income (loss) from continuing operations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income (expense):</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Interest expense, net</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Gain (loss) on extinguishment of debt</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Other income (expense), net</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Total other expense, net</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from continuing operations before income taxes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Provision (benefit) for income taxes from continuing operations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Loss from continuing operations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Discontinued operations (Note 8)</w:t>
      </w:r>
    </w:p>
    <w:p>
      <w:pPr>
        <w:spacing w:after="0" w:line="91" w:lineRule="exact"/>
        <w:rPr>
          <w:sz w:val="20"/>
          <w:szCs w:val="20"/>
          <w:color w:val="auto"/>
        </w:rPr>
      </w:pPr>
    </w:p>
    <w:p>
      <w:pPr>
        <w:ind w:left="120" w:right="280"/>
        <w:spacing w:after="0" w:line="239" w:lineRule="auto"/>
        <w:rPr>
          <w:sz w:val="20"/>
          <w:szCs w:val="20"/>
          <w:color w:val="auto"/>
        </w:rPr>
      </w:pPr>
      <w:r>
        <w:rPr>
          <w:rFonts w:ascii="Arial" w:cs="Arial" w:eastAsia="Arial" w:hAnsi="Arial"/>
          <w:sz w:val="11"/>
          <w:szCs w:val="11"/>
          <w:color w:val="auto"/>
        </w:rPr>
        <w:t>Income (loss) from operations of discontinued component (including gain on disposal of $80.8 million for the year ended December 27, 2015)</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Income tax expense</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920" w:type="dxa"/>
            <w:vAlign w:val="bottom"/>
          </w:tcPr>
          <w:p>
            <w:pPr>
              <w:spacing w:after="0"/>
              <w:rPr>
                <w:sz w:val="20"/>
                <w:szCs w:val="20"/>
                <w:color w:val="auto"/>
              </w:rPr>
            </w:pPr>
            <w:r>
              <w:rPr>
                <w:rFonts w:ascii="Arial" w:cs="Arial" w:eastAsia="Arial" w:hAnsi="Arial"/>
                <w:sz w:val="11"/>
                <w:szCs w:val="11"/>
                <w:color w:val="auto"/>
              </w:rPr>
              <w:t>Income (loss) from discontinued operations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920" w:type="dxa"/>
            <w:vAlign w:val="bottom"/>
          </w:tcPr>
          <w:p>
            <w:pPr>
              <w:ind w:left="280"/>
              <w:spacing w:after="0"/>
              <w:rPr>
                <w:sz w:val="20"/>
                <w:szCs w:val="20"/>
                <w:color w:val="auto"/>
              </w:rPr>
            </w:pPr>
            <w:r>
              <w:rPr>
                <w:rFonts w:ascii="Arial" w:cs="Arial" w:eastAsia="Arial" w:hAnsi="Arial"/>
                <w:sz w:val="11"/>
                <w:szCs w:val="11"/>
                <w:color w:val="auto"/>
              </w:rPr>
              <w:t>Net income (loss)</w:t>
            </w: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1"/>
        </w:trPr>
        <w:tc>
          <w:tcPr>
            <w:tcW w:w="39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Arial" w:cs="Arial" w:eastAsia="Arial" w:hAnsi="Arial"/>
                <w:sz w:val="11"/>
                <w:szCs w:val="11"/>
                <w:color w:val="auto"/>
              </w:rPr>
              <w:t>Basic income and loss per common share: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20" w:type="dxa"/>
            <w:vAlign w:val="bottom"/>
          </w:tcPr>
          <w:p>
            <w:pPr>
              <w:ind w:left="100"/>
              <w:spacing w:after="0"/>
              <w:rPr>
                <w:sz w:val="20"/>
                <w:szCs w:val="20"/>
                <w:color w:val="auto"/>
              </w:rPr>
            </w:pPr>
            <w:r>
              <w:rPr>
                <w:rFonts w:ascii="Arial" w:cs="Arial" w:eastAsia="Arial" w:hAnsi="Arial"/>
                <w:sz w:val="11"/>
                <w:szCs w:val="11"/>
                <w:color w:val="auto"/>
              </w:rPr>
              <w:t>Loss from continuing operations</w:t>
            </w: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2"/>
        </w:trPr>
        <w:tc>
          <w:tcPr>
            <w:tcW w:w="39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920" w:type="dxa"/>
            <w:vAlign w:val="bottom"/>
          </w:tcPr>
          <w:p>
            <w:pPr>
              <w:ind w:left="100"/>
              <w:spacing w:after="0"/>
              <w:rPr>
                <w:sz w:val="20"/>
                <w:szCs w:val="20"/>
                <w:color w:val="auto"/>
              </w:rPr>
            </w:pPr>
            <w:r>
              <w:rPr>
                <w:rFonts w:ascii="Arial" w:cs="Arial" w:eastAsia="Arial" w:hAnsi="Arial"/>
                <w:sz w:val="11"/>
                <w:szCs w:val="11"/>
                <w:color w:val="auto"/>
              </w:rPr>
              <w:t>Income (loss) from discontinued operations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920" w:type="dxa"/>
            <w:vAlign w:val="bottom"/>
          </w:tcPr>
          <w:p>
            <w:pPr>
              <w:ind w:left="280"/>
              <w:spacing w:after="0"/>
              <w:rPr>
                <w:sz w:val="20"/>
                <w:szCs w:val="20"/>
                <w:color w:val="auto"/>
              </w:rPr>
            </w:pPr>
            <w:r>
              <w:rPr>
                <w:rFonts w:ascii="Arial" w:cs="Arial" w:eastAsia="Arial" w:hAnsi="Arial"/>
                <w:sz w:val="11"/>
                <w:szCs w:val="11"/>
                <w:color w:val="auto"/>
              </w:rPr>
              <w:t>Net income (loss) per common share</w:t>
            </w: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1"/>
        </w:trPr>
        <w:tc>
          <w:tcPr>
            <w:tcW w:w="39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Arial" w:cs="Arial" w:eastAsia="Arial" w:hAnsi="Arial"/>
                <w:sz w:val="11"/>
                <w:szCs w:val="11"/>
                <w:color w:val="auto"/>
              </w:rPr>
              <w:t>Diluted income and loss per common share: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20" w:type="dxa"/>
            <w:vAlign w:val="bottom"/>
          </w:tcPr>
          <w:p>
            <w:pPr>
              <w:ind w:left="100"/>
              <w:spacing w:after="0"/>
              <w:rPr>
                <w:sz w:val="20"/>
                <w:szCs w:val="20"/>
                <w:color w:val="auto"/>
              </w:rPr>
            </w:pPr>
            <w:r>
              <w:rPr>
                <w:rFonts w:ascii="Arial" w:cs="Arial" w:eastAsia="Arial" w:hAnsi="Arial"/>
                <w:sz w:val="11"/>
                <w:szCs w:val="11"/>
                <w:color w:val="auto"/>
              </w:rPr>
              <w:t>Loss from continuing operations</w:t>
            </w: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2"/>
        </w:trPr>
        <w:tc>
          <w:tcPr>
            <w:tcW w:w="39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920" w:type="dxa"/>
            <w:vAlign w:val="bottom"/>
          </w:tcPr>
          <w:p>
            <w:pPr>
              <w:ind w:left="100"/>
              <w:spacing w:after="0"/>
              <w:rPr>
                <w:sz w:val="20"/>
                <w:szCs w:val="20"/>
                <w:color w:val="auto"/>
              </w:rPr>
            </w:pPr>
            <w:r>
              <w:rPr>
                <w:rFonts w:ascii="Arial" w:cs="Arial" w:eastAsia="Arial" w:hAnsi="Arial"/>
                <w:sz w:val="11"/>
                <w:szCs w:val="11"/>
                <w:color w:val="auto"/>
              </w:rPr>
              <w:t>Income (loss) from discontinued operations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920" w:type="dxa"/>
            <w:vAlign w:val="bottom"/>
          </w:tcPr>
          <w:p>
            <w:pPr>
              <w:ind w:left="280"/>
              <w:spacing w:after="0"/>
              <w:rPr>
                <w:sz w:val="20"/>
                <w:szCs w:val="20"/>
                <w:color w:val="auto"/>
              </w:rPr>
            </w:pPr>
            <w:r>
              <w:rPr>
                <w:rFonts w:ascii="Arial" w:cs="Arial" w:eastAsia="Arial" w:hAnsi="Arial"/>
                <w:sz w:val="11"/>
                <w:szCs w:val="11"/>
                <w:color w:val="auto"/>
              </w:rPr>
              <w:t>Net income (loss) per common share</w:t>
            </w: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1"/>
        </w:trPr>
        <w:tc>
          <w:tcPr>
            <w:tcW w:w="39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Arial" w:cs="Arial" w:eastAsia="Arial" w:hAnsi="Arial"/>
                <w:sz w:val="11"/>
                <w:szCs w:val="11"/>
                <w:color w:val="auto"/>
              </w:rPr>
              <w:t>Weighted average common shares outstanding:</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20" w:type="dxa"/>
            <w:vAlign w:val="bottom"/>
          </w:tcPr>
          <w:p>
            <w:pPr>
              <w:ind w:left="100"/>
              <w:spacing w:after="0"/>
              <w:rPr>
                <w:sz w:val="20"/>
                <w:szCs w:val="20"/>
                <w:color w:val="auto"/>
              </w:rPr>
            </w:pPr>
            <w:r>
              <w:rPr>
                <w:rFonts w:ascii="Arial" w:cs="Arial" w:eastAsia="Arial" w:hAnsi="Arial"/>
                <w:sz w:val="11"/>
                <w:szCs w:val="11"/>
                <w:color w:val="auto"/>
              </w:rPr>
              <w:t>Basic</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920" w:type="dxa"/>
            <w:vAlign w:val="bottom"/>
          </w:tcPr>
          <w:p>
            <w:pPr>
              <w:ind w:left="100"/>
              <w:spacing w:after="0"/>
              <w:rPr>
                <w:sz w:val="20"/>
                <w:szCs w:val="20"/>
                <w:color w:val="auto"/>
              </w:rPr>
            </w:pPr>
            <w:r>
              <w:rPr>
                <w:rFonts w:ascii="Arial" w:cs="Arial" w:eastAsia="Arial" w:hAnsi="Arial"/>
                <w:sz w:val="11"/>
                <w:szCs w:val="11"/>
                <w:color w:val="auto"/>
              </w:rPr>
              <w:t>Diluted</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20"/>
                <w:szCs w:val="20"/>
                <w:color w:val="auto"/>
              </w:rPr>
            </w:pPr>
            <w:r>
              <w:rPr>
                <w:rFonts w:ascii="Arial" w:cs="Arial" w:eastAsia="Arial" w:hAnsi="Arial"/>
                <w:sz w:val="11"/>
                <w:szCs w:val="11"/>
                <w:color w:val="auto"/>
              </w:rPr>
              <w:t>Net income (loss) from above</w:t>
            </w: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2"/>
        </w:trPr>
        <w:tc>
          <w:tcPr>
            <w:tcW w:w="39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100"/>
              <w:spacing w:after="0"/>
              <w:rPr>
                <w:sz w:val="20"/>
                <w:szCs w:val="20"/>
                <w:color w:val="auto"/>
              </w:rPr>
            </w:pPr>
            <w:r>
              <w:rPr>
                <w:rFonts w:ascii="Arial" w:cs="Arial" w:eastAsia="Arial" w:hAnsi="Arial"/>
                <w:sz w:val="11"/>
                <w:szCs w:val="11"/>
                <w:color w:val="auto"/>
              </w:rPr>
              <w:t>Change in cumulative translation adjustment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tcPr>
          <w:p>
            <w:pPr>
              <w:ind w:left="100"/>
              <w:spacing w:after="0"/>
              <w:rPr>
                <w:sz w:val="20"/>
                <w:szCs w:val="20"/>
                <w:color w:val="auto"/>
              </w:rPr>
            </w:pPr>
            <w:r>
              <w:rPr>
                <w:rFonts w:ascii="Arial" w:cs="Arial" w:eastAsia="Arial" w:hAnsi="Arial"/>
                <w:sz w:val="11"/>
                <w:szCs w:val="11"/>
                <w:color w:val="auto"/>
              </w:rPr>
              <w:t>Postretirement benefit reserve adjustment net of tax expense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tcPr>
          <w:p>
            <w:pPr>
              <w:spacing w:after="0"/>
              <w:rPr>
                <w:sz w:val="20"/>
                <w:szCs w:val="20"/>
                <w:color w:val="auto"/>
              </w:rPr>
            </w:pPr>
            <w:r>
              <w:rPr>
                <w:rFonts w:ascii="Arial" w:cs="Arial" w:eastAsia="Arial" w:hAnsi="Arial"/>
                <w:sz w:val="11"/>
                <w:szCs w:val="11"/>
                <w:color w:val="auto"/>
              </w:rPr>
              <w:t>Other comprehensive income (loss), net of tax</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tcPr>
          <w:p>
            <w:pPr>
              <w:spacing w:after="0"/>
              <w:rPr>
                <w:sz w:val="20"/>
                <w:szCs w:val="20"/>
                <w:color w:val="auto"/>
              </w:rPr>
            </w:pPr>
            <w:r>
              <w:rPr>
                <w:rFonts w:ascii="Arial" w:cs="Arial" w:eastAsia="Arial" w:hAnsi="Arial"/>
                <w:sz w:val="11"/>
                <w:szCs w:val="11"/>
                <w:color w:val="auto"/>
              </w:rPr>
              <w:t>Comprehensive income (loss)</w:t>
            </w: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1"/>
        </w:trPr>
        <w:tc>
          <w:tcPr>
            <w:tcW w:w="39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260" w:type="dxa"/>
            <w:vAlign w:val="bottom"/>
          </w:tcPr>
          <w:p>
            <w:pPr>
              <w:jc w:val="right"/>
              <w:ind w:right="985"/>
              <w:spacing w:after="0"/>
              <w:rPr>
                <w:sz w:val="20"/>
                <w:szCs w:val="20"/>
                <w:color w:val="auto"/>
              </w:rPr>
            </w:pPr>
            <w:r>
              <w:rPr>
                <w:rFonts w:ascii="Arial" w:cs="Arial" w:eastAsia="Arial" w:hAnsi="Arial"/>
                <w:sz w:val="11"/>
                <w:szCs w:val="11"/>
                <w:b w:val="1"/>
                <w:bCs w:val="1"/>
                <w:color w:val="auto"/>
                <w:w w:val="81"/>
              </w:rPr>
              <w:t>2016</w:t>
            </w:r>
          </w:p>
        </w:tc>
        <w:tc>
          <w:tcPr>
            <w:tcW w:w="4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865"/>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865"/>
              <w:spacing w:after="0"/>
              <w:rPr>
                <w:sz w:val="20"/>
                <w:szCs w:val="20"/>
                <w:color w:val="auto"/>
              </w:rPr>
            </w:pPr>
            <w:r>
              <w:rPr>
                <w:rFonts w:ascii="Arial" w:cs="Arial" w:eastAsia="Arial" w:hAnsi="Arial"/>
                <w:sz w:val="11"/>
                <w:szCs w:val="11"/>
                <w:b w:val="1"/>
                <w:bCs w:val="1"/>
                <w:color w:val="auto"/>
              </w:rPr>
              <w:t>2014</w:t>
            </w:r>
          </w:p>
        </w:tc>
      </w:tr>
      <w:tr>
        <w:trPr>
          <w:trHeight w:val="18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348.1</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580" w:type="dxa"/>
            <w:vAlign w:val="bottom"/>
          </w:tcPr>
          <w:p>
            <w:pPr>
              <w:jc w:val="right"/>
              <w:ind w:right="65"/>
              <w:spacing w:after="0"/>
              <w:rPr>
                <w:sz w:val="20"/>
                <w:szCs w:val="20"/>
                <w:color w:val="auto"/>
              </w:rPr>
            </w:pPr>
            <w:r>
              <w:rPr>
                <w:rFonts w:ascii="Arial" w:cs="Arial" w:eastAsia="Arial" w:hAnsi="Arial"/>
                <w:sz w:val="11"/>
                <w:szCs w:val="11"/>
                <w:color w:val="auto"/>
              </w:rPr>
              <w:t>354.2</w:t>
            </w:r>
          </w:p>
        </w:tc>
        <w:tc>
          <w:tcPr>
            <w:tcW w:w="100" w:type="dxa"/>
            <w:vAlign w:val="bottom"/>
          </w:tcPr>
          <w:p>
            <w:pPr>
              <w:spacing w:after="0"/>
              <w:rPr>
                <w:sz w:val="15"/>
                <w:szCs w:val="15"/>
                <w:color w:val="auto"/>
              </w:rPr>
            </w:pPr>
          </w:p>
        </w:tc>
        <w:tc>
          <w:tcPr>
            <w:tcW w:w="500" w:type="dxa"/>
            <w:vAlign w:val="bottom"/>
          </w:tcPr>
          <w:p>
            <w:pPr>
              <w:jc w:val="right"/>
              <w:ind w:right="365"/>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ind w:right="45"/>
              <w:spacing w:after="0"/>
              <w:rPr>
                <w:sz w:val="20"/>
                <w:szCs w:val="20"/>
                <w:color w:val="auto"/>
              </w:rPr>
            </w:pPr>
            <w:r>
              <w:rPr>
                <w:rFonts w:ascii="Arial" w:cs="Arial" w:eastAsia="Arial" w:hAnsi="Arial"/>
                <w:sz w:val="11"/>
                <w:szCs w:val="11"/>
                <w:color w:val="auto"/>
              </w:rPr>
              <w:t>390.8</w:t>
            </w:r>
          </w:p>
        </w:tc>
      </w:tr>
      <w:tr>
        <w:trPr>
          <w:trHeight w:val="21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320.6</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302.9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372.2</w:t>
            </w:r>
          </w:p>
        </w:tc>
      </w:tr>
      <w:tr>
        <w:trPr>
          <w:trHeight w:val="187"/>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668.7</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657.1</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763.0</w:t>
            </w:r>
          </w:p>
        </w:tc>
      </w:tr>
      <w:tr>
        <w:trPr>
          <w:trHeight w:val="18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255.8</w:t>
            </w:r>
          </w:p>
        </w:tc>
        <w:tc>
          <w:tcPr>
            <w:tcW w:w="480" w:type="dxa"/>
            <w:vAlign w:val="bottom"/>
          </w:tcPr>
          <w:p>
            <w:pPr>
              <w:spacing w:after="0"/>
              <w:rPr>
                <w:sz w:val="15"/>
                <w:szCs w:val="15"/>
                <w:color w:val="auto"/>
              </w:rPr>
            </w:pPr>
          </w:p>
        </w:tc>
        <w:tc>
          <w:tcPr>
            <w:tcW w:w="1580" w:type="dxa"/>
            <w:vAlign w:val="bottom"/>
          </w:tcPr>
          <w:p>
            <w:pPr>
              <w:jc w:val="right"/>
              <w:ind w:right="65"/>
              <w:spacing w:after="0"/>
              <w:rPr>
                <w:sz w:val="20"/>
                <w:szCs w:val="20"/>
                <w:color w:val="auto"/>
              </w:rPr>
            </w:pPr>
            <w:r>
              <w:rPr>
                <w:rFonts w:ascii="Arial" w:cs="Arial" w:eastAsia="Arial" w:hAnsi="Arial"/>
                <w:sz w:val="11"/>
                <w:szCs w:val="11"/>
                <w:color w:val="auto"/>
              </w:rPr>
              <w:t>266.5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jc w:val="right"/>
              <w:ind w:right="45"/>
              <w:spacing w:after="0"/>
              <w:rPr>
                <w:sz w:val="20"/>
                <w:szCs w:val="20"/>
                <w:color w:val="auto"/>
              </w:rPr>
            </w:pPr>
            <w:r>
              <w:rPr>
                <w:rFonts w:ascii="Arial" w:cs="Arial" w:eastAsia="Arial" w:hAnsi="Arial"/>
                <w:sz w:val="11"/>
                <w:szCs w:val="11"/>
                <w:color w:val="auto"/>
              </w:rPr>
              <w:t>304.6</w:t>
            </w:r>
          </w:p>
        </w:tc>
      </w:tr>
      <w:tr>
        <w:trPr>
          <w:trHeight w:val="21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259.3</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228.8</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279.0</w:t>
            </w:r>
          </w:p>
        </w:tc>
      </w:tr>
      <w:tr>
        <w:trPr>
          <w:trHeight w:val="187"/>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515.1</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495.3</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583.6</w:t>
            </w:r>
          </w:p>
        </w:tc>
      </w:tr>
      <w:tr>
        <w:trPr>
          <w:trHeight w:val="18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153.6</w:t>
            </w:r>
          </w:p>
        </w:tc>
        <w:tc>
          <w:tcPr>
            <w:tcW w:w="480" w:type="dxa"/>
            <w:vAlign w:val="bottom"/>
          </w:tcPr>
          <w:p>
            <w:pPr>
              <w:spacing w:after="0"/>
              <w:rPr>
                <w:sz w:val="15"/>
                <w:szCs w:val="15"/>
                <w:color w:val="auto"/>
              </w:rPr>
            </w:pPr>
          </w:p>
        </w:tc>
        <w:tc>
          <w:tcPr>
            <w:tcW w:w="1580" w:type="dxa"/>
            <w:vAlign w:val="bottom"/>
          </w:tcPr>
          <w:p>
            <w:pPr>
              <w:jc w:val="right"/>
              <w:ind w:right="65"/>
              <w:spacing w:after="0"/>
              <w:rPr>
                <w:sz w:val="20"/>
                <w:szCs w:val="20"/>
                <w:color w:val="auto"/>
              </w:rPr>
            </w:pPr>
            <w:r>
              <w:rPr>
                <w:rFonts w:ascii="Arial" w:cs="Arial" w:eastAsia="Arial" w:hAnsi="Arial"/>
                <w:sz w:val="11"/>
                <w:szCs w:val="11"/>
                <w:color w:val="auto"/>
              </w:rPr>
              <w:t>161.8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jc w:val="right"/>
              <w:ind w:right="45"/>
              <w:spacing w:after="0"/>
              <w:rPr>
                <w:sz w:val="20"/>
                <w:szCs w:val="20"/>
                <w:color w:val="auto"/>
              </w:rPr>
            </w:pPr>
            <w:r>
              <w:rPr>
                <w:rFonts w:ascii="Arial" w:cs="Arial" w:eastAsia="Arial" w:hAnsi="Arial"/>
                <w:sz w:val="11"/>
                <w:szCs w:val="11"/>
                <w:color w:val="auto"/>
              </w:rPr>
              <w:t>179.4</w:t>
            </w:r>
          </w:p>
        </w:tc>
      </w:tr>
      <w:tr>
        <w:trPr>
          <w:trHeight w:val="207"/>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146.3</w:t>
            </w:r>
          </w:p>
        </w:tc>
        <w:tc>
          <w:tcPr>
            <w:tcW w:w="480" w:type="dxa"/>
            <w:vAlign w:val="bottom"/>
          </w:tcPr>
          <w:p>
            <w:pPr>
              <w:spacing w:after="0"/>
              <w:rPr>
                <w:sz w:val="18"/>
                <w:szCs w:val="18"/>
                <w:color w:val="auto"/>
              </w:rPr>
            </w:pPr>
          </w:p>
        </w:tc>
        <w:tc>
          <w:tcPr>
            <w:tcW w:w="1580" w:type="dxa"/>
            <w:vAlign w:val="bottom"/>
          </w:tcPr>
          <w:p>
            <w:pPr>
              <w:jc w:val="right"/>
              <w:ind w:right="65"/>
              <w:spacing w:after="0"/>
              <w:rPr>
                <w:sz w:val="20"/>
                <w:szCs w:val="20"/>
                <w:color w:val="auto"/>
              </w:rPr>
            </w:pPr>
            <w:r>
              <w:rPr>
                <w:rFonts w:ascii="Arial" w:cs="Arial" w:eastAsia="Arial" w:hAnsi="Arial"/>
                <w:sz w:val="11"/>
                <w:szCs w:val="11"/>
                <w:color w:val="auto"/>
              </w:rPr>
              <w:t>150.7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45"/>
              <w:spacing w:after="0"/>
              <w:rPr>
                <w:sz w:val="20"/>
                <w:szCs w:val="20"/>
                <w:color w:val="auto"/>
              </w:rPr>
            </w:pPr>
            <w:r>
              <w:rPr>
                <w:rFonts w:ascii="Arial" w:cs="Arial" w:eastAsia="Arial" w:hAnsi="Arial"/>
                <w:sz w:val="11"/>
                <w:szCs w:val="11"/>
                <w:color w:val="auto"/>
              </w:rPr>
              <w:t>153.6</w:t>
            </w:r>
          </w:p>
        </w:tc>
      </w:tr>
      <w:tr>
        <w:trPr>
          <w:trHeight w:val="207"/>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1.9</w:t>
            </w:r>
          </w:p>
        </w:tc>
        <w:tc>
          <w:tcPr>
            <w:tcW w:w="480" w:type="dxa"/>
            <w:vAlign w:val="bottom"/>
          </w:tcPr>
          <w:p>
            <w:pPr>
              <w:spacing w:after="0"/>
              <w:rPr>
                <w:sz w:val="18"/>
                <w:szCs w:val="18"/>
                <w:color w:val="auto"/>
              </w:rPr>
            </w:pPr>
          </w:p>
        </w:tc>
        <w:tc>
          <w:tcPr>
            <w:tcW w:w="1580" w:type="dxa"/>
            <w:vAlign w:val="bottom"/>
          </w:tcPr>
          <w:p>
            <w:pPr>
              <w:jc w:val="right"/>
              <w:ind w:right="65"/>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45"/>
              <w:spacing w:after="0"/>
              <w:rPr>
                <w:sz w:val="20"/>
                <w:szCs w:val="20"/>
                <w:color w:val="auto"/>
              </w:rPr>
            </w:pPr>
            <w:r>
              <w:rPr>
                <w:rFonts w:ascii="Arial" w:cs="Arial" w:eastAsia="Arial" w:hAnsi="Arial"/>
                <w:sz w:val="11"/>
                <w:szCs w:val="11"/>
                <w:color w:val="auto"/>
              </w:rPr>
              <w:t>0.2</w:t>
            </w:r>
          </w:p>
        </w:tc>
      </w:tr>
      <w:tr>
        <w:trPr>
          <w:trHeight w:val="207"/>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13.9</w:t>
            </w:r>
          </w:p>
        </w:tc>
        <w:tc>
          <w:tcPr>
            <w:tcW w:w="480" w:type="dxa"/>
            <w:vAlign w:val="bottom"/>
          </w:tcPr>
          <w:p>
            <w:pPr>
              <w:spacing w:after="0"/>
              <w:rPr>
                <w:sz w:val="18"/>
                <w:szCs w:val="18"/>
                <w:color w:val="auto"/>
              </w:rPr>
            </w:pPr>
          </w:p>
        </w:tc>
        <w:tc>
          <w:tcPr>
            <w:tcW w:w="1580" w:type="dxa"/>
            <w:vAlign w:val="bottom"/>
          </w:tcPr>
          <w:p>
            <w:pPr>
              <w:jc w:val="right"/>
              <w:ind w:right="65"/>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45"/>
              <w:spacing w:after="0"/>
              <w:rPr>
                <w:sz w:val="20"/>
                <w:szCs w:val="20"/>
                <w:color w:val="auto"/>
              </w:rPr>
            </w:pPr>
            <w:r>
              <w:rPr>
                <w:rFonts w:ascii="Arial" w:cs="Arial" w:eastAsia="Arial" w:hAnsi="Arial"/>
                <w:sz w:val="11"/>
                <w:szCs w:val="11"/>
                <w:color w:val="auto"/>
              </w:rPr>
              <w:t>18.6</w:t>
            </w:r>
          </w:p>
        </w:tc>
      </w:tr>
      <w:tr>
        <w:trPr>
          <w:trHeight w:val="21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10.1</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1.7</w:t>
            </w:r>
          </w:p>
        </w:tc>
      </w:tr>
      <w:tr>
        <w:trPr>
          <w:trHeight w:val="187"/>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(18.6)</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5.3</w:t>
            </w:r>
          </w:p>
        </w:tc>
      </w:tr>
      <w:tr>
        <w:trPr>
          <w:trHeight w:val="400"/>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(34.7)</w:t>
            </w:r>
          </w:p>
        </w:tc>
        <w:tc>
          <w:tcPr>
            <w:tcW w:w="480" w:type="dxa"/>
            <w:vAlign w:val="bottom"/>
          </w:tcPr>
          <w:p>
            <w:pPr>
              <w:spacing w:after="0"/>
              <w:rPr>
                <w:sz w:val="24"/>
                <w:szCs w:val="24"/>
                <w:color w:val="auto"/>
              </w:rPr>
            </w:pPr>
          </w:p>
        </w:tc>
        <w:tc>
          <w:tcPr>
            <w:tcW w:w="1580" w:type="dxa"/>
            <w:vAlign w:val="bottom"/>
          </w:tcPr>
          <w:p>
            <w:pPr>
              <w:jc w:val="right"/>
              <w:ind w:right="25"/>
              <w:spacing w:after="0"/>
              <w:rPr>
                <w:sz w:val="20"/>
                <w:szCs w:val="20"/>
                <w:color w:val="auto"/>
              </w:rPr>
            </w:pPr>
            <w:r>
              <w:rPr>
                <w:rFonts w:ascii="Arial" w:cs="Arial" w:eastAsia="Arial" w:hAnsi="Arial"/>
                <w:sz w:val="11"/>
                <w:szCs w:val="11"/>
                <w:color w:val="auto"/>
              </w:rPr>
              <w:t>(36.0)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jc w:val="right"/>
              <w:ind w:right="25"/>
              <w:spacing w:after="0"/>
              <w:rPr>
                <w:sz w:val="20"/>
                <w:szCs w:val="20"/>
                <w:color w:val="auto"/>
              </w:rPr>
            </w:pPr>
            <w:r>
              <w:rPr>
                <w:rFonts w:ascii="Arial" w:cs="Arial" w:eastAsia="Arial" w:hAnsi="Arial"/>
                <w:sz w:val="11"/>
                <w:szCs w:val="11"/>
                <w:color w:val="auto"/>
              </w:rPr>
              <w:t>(39.2)</w:t>
            </w:r>
          </w:p>
        </w:tc>
      </w:tr>
      <w:tr>
        <w:trPr>
          <w:trHeight w:val="207"/>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0.2</w:t>
            </w:r>
          </w:p>
        </w:tc>
        <w:tc>
          <w:tcPr>
            <w:tcW w:w="480" w:type="dxa"/>
            <w:vAlign w:val="bottom"/>
          </w:tcPr>
          <w:p>
            <w:pPr>
              <w:spacing w:after="0"/>
              <w:rPr>
                <w:sz w:val="18"/>
                <w:szCs w:val="18"/>
                <w:color w:val="auto"/>
              </w:rPr>
            </w:pPr>
          </w:p>
        </w:tc>
        <w:tc>
          <w:tcPr>
            <w:tcW w:w="1580" w:type="dxa"/>
            <w:vAlign w:val="bottom"/>
          </w:tcPr>
          <w:p>
            <w:pPr>
              <w:jc w:val="right"/>
              <w:ind w:right="25"/>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25"/>
              <w:spacing w:after="0"/>
              <w:rPr>
                <w:sz w:val="20"/>
                <w:szCs w:val="20"/>
                <w:color w:val="auto"/>
              </w:rPr>
            </w:pPr>
            <w:r>
              <w:rPr>
                <w:rFonts w:ascii="Arial" w:cs="Arial" w:eastAsia="Arial" w:hAnsi="Arial"/>
                <w:sz w:val="11"/>
                <w:szCs w:val="11"/>
                <w:color w:val="auto"/>
              </w:rPr>
              <w:t>(39.1)</w:t>
            </w:r>
          </w:p>
        </w:tc>
      </w:tr>
      <w:tr>
        <w:trPr>
          <w:trHeight w:val="21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0.8</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1.2</w:t>
            </w:r>
          </w:p>
        </w:tc>
      </w:tr>
      <w:tr>
        <w:trPr>
          <w:trHeight w:val="187"/>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(33.7)</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(40.1)</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(77.1)</w:t>
            </w:r>
          </w:p>
        </w:tc>
      </w:tr>
      <w:tr>
        <w:trPr>
          <w:trHeight w:val="182"/>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(52.3)</w:t>
            </w:r>
          </w:p>
        </w:tc>
        <w:tc>
          <w:tcPr>
            <w:tcW w:w="480" w:type="dxa"/>
            <w:vAlign w:val="bottom"/>
          </w:tcPr>
          <w:p>
            <w:pPr>
              <w:spacing w:after="0"/>
              <w:rPr>
                <w:sz w:val="15"/>
                <w:szCs w:val="15"/>
                <w:color w:val="auto"/>
              </w:rPr>
            </w:pPr>
          </w:p>
        </w:tc>
        <w:tc>
          <w:tcPr>
            <w:tcW w:w="1580" w:type="dxa"/>
            <w:vAlign w:val="bottom"/>
          </w:tcPr>
          <w:p>
            <w:pPr>
              <w:jc w:val="right"/>
              <w:ind w:right="25"/>
              <w:spacing w:after="0"/>
              <w:rPr>
                <w:sz w:val="20"/>
                <w:szCs w:val="20"/>
                <w:color w:val="auto"/>
              </w:rPr>
            </w:pPr>
            <w:r>
              <w:rPr>
                <w:rFonts w:ascii="Arial" w:cs="Arial" w:eastAsia="Arial" w:hAnsi="Arial"/>
                <w:sz w:val="11"/>
                <w:szCs w:val="11"/>
                <w:color w:val="auto"/>
              </w:rPr>
              <w:t>(44.6)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jc w:val="right"/>
              <w:ind w:right="25"/>
              <w:spacing w:after="0"/>
              <w:rPr>
                <w:sz w:val="20"/>
                <w:szCs w:val="20"/>
                <w:color w:val="auto"/>
              </w:rPr>
            </w:pPr>
            <w:r>
              <w:rPr>
                <w:rFonts w:ascii="Arial" w:cs="Arial" w:eastAsia="Arial" w:hAnsi="Arial"/>
                <w:sz w:val="11"/>
                <w:szCs w:val="11"/>
                <w:color w:val="auto"/>
              </w:rPr>
              <w:t>(71.8)</w:t>
            </w:r>
          </w:p>
        </w:tc>
      </w:tr>
      <w:tr>
        <w:trPr>
          <w:trHeight w:val="21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8.1</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3.9</w:t>
            </w:r>
          </w:p>
        </w:tc>
      </w:tr>
      <w:tr>
        <w:trPr>
          <w:trHeight w:val="187"/>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(60.4)</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(33.2)</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(75.7)</w:t>
            </w:r>
          </w:p>
        </w:tc>
      </w:tr>
      <w:tr>
        <w:trPr>
          <w:trHeight w:val="462"/>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(0.1)</w:t>
            </w:r>
          </w:p>
        </w:tc>
        <w:tc>
          <w:tcPr>
            <w:tcW w:w="480" w:type="dxa"/>
            <w:vAlign w:val="bottom"/>
          </w:tcPr>
          <w:p>
            <w:pPr>
              <w:spacing w:after="0"/>
              <w:rPr>
                <w:sz w:val="24"/>
                <w:szCs w:val="24"/>
                <w:color w:val="auto"/>
              </w:rPr>
            </w:pPr>
          </w:p>
        </w:tc>
        <w:tc>
          <w:tcPr>
            <w:tcW w:w="1580" w:type="dxa"/>
            <w:vAlign w:val="bottom"/>
          </w:tcPr>
          <w:p>
            <w:pPr>
              <w:jc w:val="right"/>
              <w:ind w:right="65"/>
              <w:spacing w:after="0"/>
              <w:rPr>
                <w:sz w:val="20"/>
                <w:szCs w:val="20"/>
                <w:color w:val="auto"/>
              </w:rPr>
            </w:pPr>
            <w:r>
              <w:rPr>
                <w:rFonts w:ascii="Arial" w:cs="Arial" w:eastAsia="Arial" w:hAnsi="Arial"/>
                <w:sz w:val="11"/>
                <w:szCs w:val="11"/>
                <w:color w:val="auto"/>
              </w:rPr>
              <w:t>75.5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jc w:val="right"/>
              <w:ind w:right="25"/>
              <w:spacing w:after="0"/>
              <w:rPr>
                <w:sz w:val="20"/>
                <w:szCs w:val="20"/>
                <w:color w:val="auto"/>
              </w:rPr>
            </w:pPr>
            <w:r>
              <w:rPr>
                <w:rFonts w:ascii="Arial" w:cs="Arial" w:eastAsia="Arial" w:hAnsi="Arial"/>
                <w:sz w:val="11"/>
                <w:szCs w:val="11"/>
                <w:color w:val="auto"/>
              </w:rPr>
              <w:t>(1.1)</w:t>
            </w:r>
          </w:p>
        </w:tc>
      </w:tr>
      <w:tr>
        <w:trPr>
          <w:trHeight w:val="21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1.2</w:t>
            </w:r>
          </w:p>
        </w:tc>
      </w:tr>
      <w:tr>
        <w:trPr>
          <w:trHeight w:val="187"/>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(0.1)</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53.0</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(2.3)</w:t>
            </w:r>
          </w:p>
        </w:tc>
      </w:tr>
      <w:tr>
        <w:trPr>
          <w:trHeight w:val="177"/>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(60.5)</w:t>
            </w: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(78.0)</w:t>
            </w:r>
          </w:p>
        </w:tc>
      </w:tr>
      <w:tr>
        <w:trPr>
          <w:trHeight w:val="20"/>
        </w:trPr>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81"/>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(0.99)</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580" w:type="dxa"/>
            <w:vAlign w:val="bottom"/>
          </w:tcPr>
          <w:p>
            <w:pPr>
              <w:jc w:val="right"/>
              <w:ind w:right="25"/>
              <w:spacing w:after="0"/>
              <w:rPr>
                <w:sz w:val="20"/>
                <w:szCs w:val="20"/>
                <w:color w:val="auto"/>
              </w:rPr>
            </w:pPr>
            <w:r>
              <w:rPr>
                <w:rFonts w:ascii="Arial" w:cs="Arial" w:eastAsia="Arial" w:hAnsi="Arial"/>
                <w:sz w:val="11"/>
                <w:szCs w:val="11"/>
                <w:color w:val="auto"/>
              </w:rPr>
              <w:t>(0.56)</w:t>
            </w:r>
          </w:p>
        </w:tc>
        <w:tc>
          <w:tcPr>
            <w:tcW w:w="100" w:type="dxa"/>
            <w:vAlign w:val="bottom"/>
          </w:tcPr>
          <w:p>
            <w:pPr>
              <w:spacing w:after="0"/>
              <w:rPr>
                <w:sz w:val="24"/>
                <w:szCs w:val="24"/>
                <w:color w:val="auto"/>
              </w:rPr>
            </w:pPr>
          </w:p>
        </w:tc>
        <w:tc>
          <w:tcPr>
            <w:tcW w:w="500" w:type="dxa"/>
            <w:vAlign w:val="bottom"/>
          </w:tcPr>
          <w:p>
            <w:pPr>
              <w:jc w:val="right"/>
              <w:ind w:right="365"/>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ind w:right="25"/>
              <w:spacing w:after="0"/>
              <w:rPr>
                <w:sz w:val="20"/>
                <w:szCs w:val="20"/>
                <w:color w:val="auto"/>
              </w:rPr>
            </w:pPr>
            <w:r>
              <w:rPr>
                <w:rFonts w:ascii="Arial" w:cs="Arial" w:eastAsia="Arial" w:hAnsi="Arial"/>
                <w:sz w:val="11"/>
                <w:szCs w:val="11"/>
                <w:color w:val="auto"/>
              </w:rPr>
              <w:t>(1.31)</w:t>
            </w:r>
          </w:p>
        </w:tc>
      </w:tr>
      <w:tr>
        <w:trPr>
          <w:trHeight w:val="21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0.90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(0.04)</w:t>
            </w:r>
          </w:p>
        </w:tc>
      </w:tr>
      <w:tr>
        <w:trPr>
          <w:trHeight w:val="177"/>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(0.99)</w:t>
            </w: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0.34</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(1.35)</w:t>
            </w:r>
          </w:p>
        </w:tc>
      </w:tr>
      <w:tr>
        <w:trPr>
          <w:trHeight w:val="20"/>
        </w:trPr>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81"/>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(0.99)</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580" w:type="dxa"/>
            <w:vAlign w:val="bottom"/>
          </w:tcPr>
          <w:p>
            <w:pPr>
              <w:jc w:val="right"/>
              <w:ind w:right="25"/>
              <w:spacing w:after="0"/>
              <w:rPr>
                <w:sz w:val="20"/>
                <w:szCs w:val="20"/>
                <w:color w:val="auto"/>
              </w:rPr>
            </w:pPr>
            <w:r>
              <w:rPr>
                <w:rFonts w:ascii="Arial" w:cs="Arial" w:eastAsia="Arial" w:hAnsi="Arial"/>
                <w:sz w:val="11"/>
                <w:szCs w:val="11"/>
                <w:color w:val="auto"/>
              </w:rPr>
              <w:t>(0.56)</w:t>
            </w:r>
          </w:p>
        </w:tc>
        <w:tc>
          <w:tcPr>
            <w:tcW w:w="100" w:type="dxa"/>
            <w:vAlign w:val="bottom"/>
          </w:tcPr>
          <w:p>
            <w:pPr>
              <w:spacing w:after="0"/>
              <w:rPr>
                <w:sz w:val="24"/>
                <w:szCs w:val="24"/>
                <w:color w:val="auto"/>
              </w:rPr>
            </w:pPr>
          </w:p>
        </w:tc>
        <w:tc>
          <w:tcPr>
            <w:tcW w:w="500" w:type="dxa"/>
            <w:vAlign w:val="bottom"/>
          </w:tcPr>
          <w:p>
            <w:pPr>
              <w:jc w:val="right"/>
              <w:ind w:right="365"/>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ind w:right="25"/>
              <w:spacing w:after="0"/>
              <w:rPr>
                <w:sz w:val="20"/>
                <w:szCs w:val="20"/>
                <w:color w:val="auto"/>
              </w:rPr>
            </w:pPr>
            <w:r>
              <w:rPr>
                <w:rFonts w:ascii="Arial" w:cs="Arial" w:eastAsia="Arial" w:hAnsi="Arial"/>
                <w:sz w:val="11"/>
                <w:szCs w:val="11"/>
                <w:color w:val="auto"/>
              </w:rPr>
              <w:t>(1.31)</w:t>
            </w:r>
          </w:p>
        </w:tc>
      </w:tr>
      <w:tr>
        <w:trPr>
          <w:trHeight w:val="21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0.90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(0.04)</w:t>
            </w:r>
          </w:p>
        </w:tc>
      </w:tr>
      <w:tr>
        <w:trPr>
          <w:trHeight w:val="177"/>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(0.99)</w:t>
            </w: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0.34</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(1.35)</w:t>
            </w:r>
          </w:p>
        </w:tc>
      </w:tr>
      <w:tr>
        <w:trPr>
          <w:trHeight w:val="20"/>
        </w:trPr>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75"/>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61.3</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58.7</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57.6</w:t>
            </w:r>
          </w:p>
        </w:tc>
      </w:tr>
      <w:tr>
        <w:trPr>
          <w:trHeight w:val="20"/>
        </w:trPr>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47"/>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61.3</w:t>
            </w:r>
          </w:p>
        </w:tc>
        <w:tc>
          <w:tcPr>
            <w:tcW w:w="4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58.7</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57.6</w:t>
            </w:r>
          </w:p>
        </w:tc>
      </w:tr>
      <w:tr>
        <w:trPr>
          <w:trHeight w:val="20"/>
        </w:trPr>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85"/>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(60.5)</w:t>
            </w: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(78.0)</w:t>
            </w:r>
          </w:p>
        </w:tc>
      </w:tr>
      <w:tr>
        <w:trPr>
          <w:trHeight w:val="400"/>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(0.5)</w:t>
            </w:r>
          </w:p>
        </w:tc>
        <w:tc>
          <w:tcPr>
            <w:tcW w:w="480" w:type="dxa"/>
            <w:vAlign w:val="bottom"/>
          </w:tcPr>
          <w:p>
            <w:pPr>
              <w:spacing w:after="0"/>
              <w:rPr>
                <w:sz w:val="24"/>
                <w:szCs w:val="24"/>
                <w:color w:val="auto"/>
              </w:rPr>
            </w:pPr>
          </w:p>
        </w:tc>
        <w:tc>
          <w:tcPr>
            <w:tcW w:w="1580" w:type="dxa"/>
            <w:vAlign w:val="bottom"/>
          </w:tcPr>
          <w:p>
            <w:pPr>
              <w:jc w:val="right"/>
              <w:ind w:right="65"/>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jc w:val="right"/>
              <w:ind w:right="25"/>
              <w:spacing w:after="0"/>
              <w:rPr>
                <w:sz w:val="20"/>
                <w:szCs w:val="20"/>
                <w:color w:val="auto"/>
              </w:rPr>
            </w:pPr>
            <w:r>
              <w:rPr>
                <w:rFonts w:ascii="Arial" w:cs="Arial" w:eastAsia="Arial" w:hAnsi="Arial"/>
                <w:sz w:val="11"/>
                <w:szCs w:val="11"/>
                <w:color w:val="auto"/>
              </w:rPr>
              <w:t>(0.4)</w:t>
            </w:r>
          </w:p>
        </w:tc>
      </w:tr>
      <w:tr>
        <w:trPr>
          <w:trHeight w:val="212"/>
        </w:trPr>
        <w:tc>
          <w:tcPr>
            <w:tcW w:w="1260" w:type="dxa"/>
            <w:vAlign w:val="bottom"/>
          </w:tcPr>
          <w:p>
            <w:pPr>
              <w:jc w:val="right"/>
              <w:ind w:right="185"/>
              <w:spacing w:after="0"/>
              <w:rPr>
                <w:sz w:val="20"/>
                <w:szCs w:val="20"/>
                <w:color w:val="auto"/>
              </w:rPr>
            </w:pPr>
            <w:r>
              <w:rPr>
                <w:rFonts w:ascii="Arial" w:cs="Arial" w:eastAsia="Arial" w:hAnsi="Arial"/>
                <w:sz w:val="11"/>
                <w:szCs w:val="11"/>
                <w:color w:val="auto"/>
              </w:rPr>
              <w:t>0.2</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(0.5)</w:t>
            </w:r>
          </w:p>
        </w:tc>
      </w:tr>
      <w:tr>
        <w:trPr>
          <w:trHeight w:val="187"/>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(0.3)</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(0.9)</w:t>
            </w:r>
          </w:p>
        </w:tc>
      </w:tr>
      <w:tr>
        <w:trPr>
          <w:trHeight w:val="177"/>
        </w:trPr>
        <w:tc>
          <w:tcPr>
            <w:tcW w:w="1260" w:type="dxa"/>
            <w:vAlign w:val="bottom"/>
          </w:tcPr>
          <w:p>
            <w:pPr>
              <w:jc w:val="right"/>
              <w:ind w:right="145"/>
              <w:spacing w:after="0"/>
              <w:rPr>
                <w:sz w:val="20"/>
                <w:szCs w:val="20"/>
                <w:color w:val="auto"/>
              </w:rPr>
            </w:pPr>
            <w:r>
              <w:rPr>
                <w:rFonts w:ascii="Arial" w:cs="Arial" w:eastAsia="Arial" w:hAnsi="Arial"/>
                <w:sz w:val="11"/>
                <w:szCs w:val="11"/>
                <w:color w:val="auto"/>
              </w:rPr>
              <w:t>(60.8)</w:t>
            </w: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20.1</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(78.9)</w:t>
            </w:r>
          </w:p>
        </w:tc>
      </w:tr>
      <w:tr>
        <w:trPr>
          <w:trHeight w:val="20"/>
        </w:trPr>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-5779135</wp:posOffset>
            </wp:positionV>
            <wp:extent cx="7278370" cy="5779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8370" cy="577977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5260" w:space="720"/>
            <w:col w:w="5480"/>
          </w:cols>
          <w:pgMar w:left="220" w:top="129"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60"/>
          </w:cols>
          <w:pgMar w:left="220" w:top="129" w:right="21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KRATOS DEFENSE &amp; SECURITY SOLUTIONS,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STOCKHOLDERS’ EQUITY</w:t>
      </w:r>
    </w:p>
    <w:p>
      <w:pPr>
        <w:jc w:val="center"/>
        <w:spacing w:after="0" w:line="235" w:lineRule="auto"/>
        <w:rPr>
          <w:sz w:val="20"/>
          <w:szCs w:val="20"/>
          <w:color w:val="auto"/>
        </w:rPr>
      </w:pPr>
      <w:r>
        <w:rPr>
          <w:rFonts w:ascii="Arial" w:cs="Arial" w:eastAsia="Arial" w:hAnsi="Arial"/>
          <w:sz w:val="11"/>
          <w:szCs w:val="11"/>
          <w:b w:val="1"/>
          <w:bCs w:val="1"/>
          <w:color w:val="auto"/>
        </w:rPr>
        <w:t>Years ended December 25, 2016, December 27, 2015, and December 28, 2014</w:t>
      </w:r>
    </w:p>
    <w:p>
      <w:pPr>
        <w:jc w:val="center"/>
        <w:spacing w:after="0"/>
        <w:rPr>
          <w:sz w:val="20"/>
          <w:szCs w:val="20"/>
          <w:color w:val="auto"/>
        </w:rPr>
      </w:pPr>
      <w:r>
        <w:rPr>
          <w:rFonts w:ascii="Arial" w:cs="Arial" w:eastAsia="Arial" w:hAnsi="Arial"/>
          <w:sz w:val="11"/>
          <w:szCs w:val="11"/>
          <w:b w:val="1"/>
          <w:bCs w:val="1"/>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jc w:val="right"/>
              <w:ind w:right="405"/>
              <w:spacing w:after="0"/>
              <w:rPr>
                <w:sz w:val="20"/>
                <w:szCs w:val="20"/>
                <w:color w:val="auto"/>
              </w:rPr>
            </w:pPr>
            <w:r>
              <w:rPr>
                <w:rFonts w:ascii="Arial" w:cs="Arial" w:eastAsia="Arial" w:hAnsi="Arial"/>
                <w:sz w:val="11"/>
                <w:szCs w:val="11"/>
                <w:b w:val="1"/>
                <w:bCs w:val="1"/>
                <w:color w:val="auto"/>
                <w:w w:val="91"/>
              </w:rPr>
              <w:t>Common Stock</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2"/>
              </w:rPr>
              <w:t>Accumulated Other</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47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3"/>
            <w:vMerge w:val="restart"/>
          </w:tcPr>
          <w:p>
            <w:pPr>
              <w:ind w:left="80"/>
              <w:spacing w:after="0" w:line="107" w:lineRule="exact"/>
              <w:rPr>
                <w:sz w:val="20"/>
                <w:szCs w:val="20"/>
                <w:color w:val="auto"/>
              </w:rPr>
            </w:pPr>
            <w:r>
              <w:rPr>
                <w:rFonts w:ascii="Arial" w:cs="Arial" w:eastAsia="Arial" w:hAnsi="Arial"/>
                <w:sz w:val="11"/>
                <w:szCs w:val="11"/>
                <w:b w:val="1"/>
                <w:bCs w:val="1"/>
                <w:color w:val="auto"/>
              </w:rPr>
              <w:t>Additional Paid-In</w:t>
            </w:r>
          </w:p>
        </w:tc>
        <w:tc>
          <w:tcPr>
            <w:tcW w:w="120" w:type="dxa"/>
            <w:vAlign w:val="bottom"/>
          </w:tcPr>
          <w:p>
            <w:pPr>
              <w:spacing w:after="0"/>
              <w:rPr>
                <w:sz w:val="3"/>
                <w:szCs w:val="3"/>
                <w:color w:val="auto"/>
              </w:rPr>
            </w:pPr>
          </w:p>
        </w:tc>
        <w:tc>
          <w:tcPr>
            <w:tcW w:w="1020" w:type="dxa"/>
            <w:vAlign w:val="bottom"/>
            <w:gridSpan w:val="2"/>
            <w:vMerge w:val="restart"/>
          </w:tcPr>
          <w:p>
            <w:pPr>
              <w:jc w:val="center"/>
              <w:ind w:right="240"/>
              <w:spacing w:after="0" w:line="107" w:lineRule="exact"/>
              <w:rPr>
                <w:sz w:val="20"/>
                <w:szCs w:val="20"/>
                <w:color w:val="auto"/>
              </w:rPr>
            </w:pPr>
            <w:r>
              <w:rPr>
                <w:rFonts w:ascii="Arial" w:cs="Arial" w:eastAsia="Arial" w:hAnsi="Arial"/>
                <w:sz w:val="11"/>
                <w:szCs w:val="11"/>
                <w:b w:val="1"/>
                <w:bCs w:val="1"/>
                <w:color w:val="auto"/>
                <w:w w:val="89"/>
              </w:rPr>
              <w:t>Comprehensive</w:t>
            </w: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right"/>
              <w:spacing w:after="0" w:line="107" w:lineRule="exact"/>
              <w:rPr>
                <w:sz w:val="20"/>
                <w:szCs w:val="20"/>
                <w:color w:val="auto"/>
              </w:rPr>
            </w:pPr>
            <w:r>
              <w:rPr>
                <w:rFonts w:ascii="Arial" w:cs="Arial" w:eastAsia="Arial" w:hAnsi="Arial"/>
                <w:sz w:val="11"/>
                <w:szCs w:val="11"/>
                <w:b w:val="1"/>
                <w:bCs w:val="1"/>
                <w:color w:val="auto"/>
                <w:w w:val="93"/>
              </w:rPr>
              <w:t>Total Stockholders’</w:t>
            </w:r>
          </w:p>
        </w:tc>
        <w:tc>
          <w:tcPr>
            <w:tcW w:w="0" w:type="dxa"/>
            <w:vAlign w:val="bottom"/>
          </w:tcPr>
          <w:p>
            <w:pPr>
              <w:spacing w:after="0"/>
              <w:rPr>
                <w:sz w:val="1"/>
                <w:szCs w:val="1"/>
                <w:color w:val="auto"/>
              </w:rPr>
            </w:pPr>
          </w:p>
        </w:tc>
      </w:tr>
      <w:tr>
        <w:trPr>
          <w:trHeight w:val="46"/>
        </w:trPr>
        <w:tc>
          <w:tcPr>
            <w:tcW w:w="4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47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w w:val="87"/>
              </w:rPr>
              <w:t>Shares</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Amounts</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0"/>
              </w:rPr>
              <w:t>Accumulated Deficit</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29, 2013</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3"/>
              </w:rPr>
              <w:t>57.0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25"/>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856.0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1"/>
                <w:szCs w:val="11"/>
                <w:color w:val="auto"/>
              </w:rPr>
              <w:t>(559.4)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295.8</w:t>
            </w:r>
          </w:p>
        </w:tc>
        <w:tc>
          <w:tcPr>
            <w:tcW w:w="0" w:type="dxa"/>
            <w:vAlign w:val="bottom"/>
          </w:tcPr>
          <w:p>
            <w:pPr>
              <w:spacing w:after="0"/>
              <w:rPr>
                <w:sz w:val="1"/>
                <w:szCs w:val="1"/>
                <w:color w:val="auto"/>
              </w:rPr>
            </w:pPr>
          </w:p>
        </w:tc>
      </w:tr>
      <w:tr>
        <w:trPr>
          <w:trHeight w:val="202"/>
        </w:trPr>
        <w:tc>
          <w:tcPr>
            <w:tcW w:w="5420" w:type="dxa"/>
            <w:vAlign w:val="bottom"/>
            <w:gridSpan w:val="2"/>
          </w:tcPr>
          <w:p>
            <w:pPr>
              <w:ind w:left="120"/>
              <w:spacing w:after="0"/>
              <w:rPr>
                <w:sz w:val="20"/>
                <w:szCs w:val="20"/>
                <w:color w:val="auto"/>
              </w:rPr>
            </w:pPr>
            <w:r>
              <w:rPr>
                <w:rFonts w:ascii="Arial" w:cs="Arial" w:eastAsia="Arial" w:hAnsi="Arial"/>
                <w:sz w:val="11"/>
                <w:szCs w:val="11"/>
                <w:color w:val="auto"/>
              </w:rPr>
              <w:t>Stock-based compensation</w:t>
            </w: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7"/>
                <w:szCs w:val="17"/>
                <w:color w:val="auto"/>
              </w:rPr>
            </w:pPr>
          </w:p>
        </w:tc>
        <w:tc>
          <w:tcPr>
            <w:tcW w:w="800" w:type="dxa"/>
            <w:vAlign w:val="bottom"/>
          </w:tcPr>
          <w:p>
            <w:pPr>
              <w:jc w:val="right"/>
              <w:ind w:right="45"/>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212"/>
        </w:trPr>
        <w:tc>
          <w:tcPr>
            <w:tcW w:w="5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Issuance of common stock for employee stock purchase plan, options and warrants</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0.7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202"/>
        </w:trPr>
        <w:tc>
          <w:tcPr>
            <w:tcW w:w="5420" w:type="dxa"/>
            <w:vAlign w:val="bottom"/>
            <w:gridSpan w:val="2"/>
          </w:tcPr>
          <w:p>
            <w:pPr>
              <w:ind w:left="120"/>
              <w:spacing w:after="0"/>
              <w:rPr>
                <w:sz w:val="20"/>
                <w:szCs w:val="20"/>
                <w:color w:val="auto"/>
              </w:rPr>
            </w:pPr>
            <w:r>
              <w:rPr>
                <w:rFonts w:ascii="Arial" w:cs="Arial" w:eastAsia="Arial" w:hAnsi="Arial"/>
                <w:sz w:val="11"/>
                <w:szCs w:val="11"/>
                <w:color w:val="auto"/>
              </w:rPr>
              <w:t>Restricted stock issued and related taxes</w:t>
            </w:r>
          </w:p>
        </w:tc>
        <w:tc>
          <w:tcPr>
            <w:tcW w:w="340" w:type="dxa"/>
            <w:vAlign w:val="bottom"/>
          </w:tcPr>
          <w:p>
            <w:pPr>
              <w:jc w:val="right"/>
              <w:ind w:right="63"/>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7"/>
                <w:szCs w:val="17"/>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212"/>
        </w:trPr>
        <w:tc>
          <w:tcPr>
            <w:tcW w:w="5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Net loss</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 comprehensive loss, net of tax</w:t>
            </w: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(0.9)</w:t>
            </w:r>
          </w:p>
        </w:tc>
        <w:tc>
          <w:tcPr>
            <w:tcW w:w="0" w:type="dxa"/>
            <w:vAlign w:val="bottom"/>
          </w:tcPr>
          <w:p>
            <w:pPr>
              <w:spacing w:after="0"/>
              <w:rPr>
                <w:sz w:val="1"/>
                <w:szCs w:val="1"/>
                <w:color w:val="auto"/>
              </w:rPr>
            </w:pPr>
          </w:p>
        </w:tc>
      </w:tr>
      <w:tr>
        <w:trPr>
          <w:trHeight w:val="19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28, 2014</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3"/>
              </w:rPr>
              <w:t>57.8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863.4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1"/>
                <w:szCs w:val="11"/>
                <w:color w:val="auto"/>
              </w:rPr>
              <w:t>(637.4)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224.3</w:t>
            </w:r>
          </w:p>
        </w:tc>
        <w:tc>
          <w:tcPr>
            <w:tcW w:w="0" w:type="dxa"/>
            <w:vAlign w:val="bottom"/>
          </w:tcPr>
          <w:p>
            <w:pPr>
              <w:spacing w:after="0"/>
              <w:rPr>
                <w:sz w:val="1"/>
                <w:szCs w:val="1"/>
                <w:color w:val="auto"/>
              </w:rPr>
            </w:pPr>
          </w:p>
        </w:tc>
      </w:tr>
      <w:tr>
        <w:trPr>
          <w:trHeight w:val="202"/>
        </w:trPr>
        <w:tc>
          <w:tcPr>
            <w:tcW w:w="5420" w:type="dxa"/>
            <w:vAlign w:val="bottom"/>
            <w:gridSpan w:val="2"/>
          </w:tcPr>
          <w:p>
            <w:pPr>
              <w:ind w:left="120"/>
              <w:spacing w:after="0"/>
              <w:rPr>
                <w:sz w:val="20"/>
                <w:szCs w:val="20"/>
                <w:color w:val="auto"/>
              </w:rPr>
            </w:pPr>
            <w:r>
              <w:rPr>
                <w:rFonts w:ascii="Arial" w:cs="Arial" w:eastAsia="Arial" w:hAnsi="Arial"/>
                <w:sz w:val="11"/>
                <w:szCs w:val="11"/>
                <w:color w:val="auto"/>
              </w:rPr>
              <w:t>Stock-based compensation</w:t>
            </w: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45"/>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212"/>
        </w:trPr>
        <w:tc>
          <w:tcPr>
            <w:tcW w:w="5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Issuance of common stock for employee stock purchase plan, options and warrants</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0.9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202"/>
        </w:trPr>
        <w:tc>
          <w:tcPr>
            <w:tcW w:w="5420" w:type="dxa"/>
            <w:vAlign w:val="bottom"/>
            <w:gridSpan w:val="2"/>
          </w:tcPr>
          <w:p>
            <w:pPr>
              <w:ind w:left="120"/>
              <w:spacing w:after="0"/>
              <w:rPr>
                <w:sz w:val="20"/>
                <w:szCs w:val="20"/>
                <w:color w:val="auto"/>
              </w:rPr>
            </w:pPr>
            <w:r>
              <w:rPr>
                <w:rFonts w:ascii="Arial" w:cs="Arial" w:eastAsia="Arial" w:hAnsi="Arial"/>
                <w:sz w:val="11"/>
                <w:szCs w:val="11"/>
                <w:color w:val="auto"/>
              </w:rPr>
              <w:t>Restricted stock issued and related taxes</w:t>
            </w:r>
          </w:p>
        </w:tc>
        <w:tc>
          <w:tcPr>
            <w:tcW w:w="340" w:type="dxa"/>
            <w:vAlign w:val="bottom"/>
          </w:tcPr>
          <w:p>
            <w:pPr>
              <w:jc w:val="right"/>
              <w:ind w:right="63"/>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Arial" w:cs="Arial" w:eastAsia="Arial" w:hAnsi="Arial"/>
                <w:sz w:val="11"/>
                <w:szCs w:val="11"/>
                <w:color w:val="auto"/>
              </w:rPr>
              <w:t>(0.6)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212"/>
        </w:trPr>
        <w:tc>
          <w:tcPr>
            <w:tcW w:w="5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Net income</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1"/>
                <w:szCs w:val="11"/>
                <w:color w:val="auto"/>
              </w:rPr>
              <w:t>19.8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 comprehensive income, net of tax</w:t>
            </w: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9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27, 2015</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3"/>
              </w:rPr>
              <w:t>59.1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873.2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1"/>
                <w:szCs w:val="11"/>
                <w:color w:val="auto"/>
              </w:rPr>
              <w:t>(617.6)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254.2</w:t>
            </w:r>
          </w:p>
        </w:tc>
        <w:tc>
          <w:tcPr>
            <w:tcW w:w="0" w:type="dxa"/>
            <w:vAlign w:val="bottom"/>
          </w:tcPr>
          <w:p>
            <w:pPr>
              <w:spacing w:after="0"/>
              <w:rPr>
                <w:sz w:val="1"/>
                <w:szCs w:val="1"/>
                <w:color w:val="auto"/>
              </w:rPr>
            </w:pPr>
          </w:p>
        </w:tc>
      </w:tr>
      <w:tr>
        <w:trPr>
          <w:trHeight w:val="202"/>
        </w:trPr>
        <w:tc>
          <w:tcPr>
            <w:tcW w:w="5420" w:type="dxa"/>
            <w:vAlign w:val="bottom"/>
            <w:gridSpan w:val="2"/>
          </w:tcPr>
          <w:p>
            <w:pPr>
              <w:ind w:left="120"/>
              <w:spacing w:after="0"/>
              <w:rPr>
                <w:sz w:val="20"/>
                <w:szCs w:val="20"/>
                <w:color w:val="auto"/>
              </w:rPr>
            </w:pPr>
            <w:r>
              <w:rPr>
                <w:rFonts w:ascii="Arial" w:cs="Arial" w:eastAsia="Arial" w:hAnsi="Arial"/>
                <w:sz w:val="11"/>
                <w:szCs w:val="11"/>
                <w:color w:val="auto"/>
              </w:rPr>
              <w:t>Stock-based compensation</w:t>
            </w:r>
          </w:p>
        </w:tc>
        <w:tc>
          <w:tcPr>
            <w:tcW w:w="4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45"/>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212"/>
        </w:trPr>
        <w:tc>
          <w:tcPr>
            <w:tcW w:w="5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Issuance of common stock for cash</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3"/>
              </w:rPr>
              <w:t>13.4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1"/>
                <w:szCs w:val="11"/>
                <w:color w:val="auto"/>
              </w:rPr>
              <w:t>75.8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75.8</w:t>
            </w:r>
          </w:p>
        </w:tc>
        <w:tc>
          <w:tcPr>
            <w:tcW w:w="0" w:type="dxa"/>
            <w:vAlign w:val="bottom"/>
          </w:tcPr>
          <w:p>
            <w:pPr>
              <w:spacing w:after="0"/>
              <w:rPr>
                <w:sz w:val="1"/>
                <w:szCs w:val="1"/>
                <w:color w:val="auto"/>
              </w:rPr>
            </w:pPr>
          </w:p>
        </w:tc>
      </w:tr>
      <w:tr>
        <w:trPr>
          <w:trHeight w:val="202"/>
        </w:trPr>
        <w:tc>
          <w:tcPr>
            <w:tcW w:w="5420" w:type="dxa"/>
            <w:vAlign w:val="bottom"/>
            <w:gridSpan w:val="2"/>
          </w:tcPr>
          <w:p>
            <w:pPr>
              <w:ind w:left="120"/>
              <w:spacing w:after="0"/>
              <w:rPr>
                <w:sz w:val="20"/>
                <w:szCs w:val="20"/>
                <w:color w:val="auto"/>
              </w:rPr>
            </w:pPr>
            <w:r>
              <w:rPr>
                <w:rFonts w:ascii="Arial" w:cs="Arial" w:eastAsia="Arial" w:hAnsi="Arial"/>
                <w:sz w:val="11"/>
                <w:szCs w:val="11"/>
                <w:color w:val="auto"/>
              </w:rPr>
              <w:t>Issuance of common stock for employee stock purchase plan, options and warrants</w:t>
            </w:r>
          </w:p>
        </w:tc>
        <w:tc>
          <w:tcPr>
            <w:tcW w:w="340" w:type="dxa"/>
            <w:vAlign w:val="bottom"/>
          </w:tcPr>
          <w:p>
            <w:pPr>
              <w:jc w:val="right"/>
              <w:ind w:right="63"/>
              <w:spacing w:after="0"/>
              <w:rPr>
                <w:sz w:val="20"/>
                <w:szCs w:val="20"/>
                <w:color w:val="auto"/>
              </w:rPr>
            </w:pPr>
            <w:r>
              <w:rPr>
                <w:rFonts w:ascii="Arial" w:cs="Arial" w:eastAsia="Arial" w:hAnsi="Arial"/>
                <w:sz w:val="11"/>
                <w:szCs w:val="11"/>
                <w:color w:val="auto"/>
              </w:rPr>
              <w:t>0.8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45"/>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212"/>
        </w:trPr>
        <w:tc>
          <w:tcPr>
            <w:tcW w:w="5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Restricted stock issued and related taxes</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0.6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202"/>
        </w:trPr>
        <w:tc>
          <w:tcPr>
            <w:tcW w:w="5420" w:type="dxa"/>
            <w:vAlign w:val="bottom"/>
            <w:gridSpan w:val="2"/>
          </w:tcPr>
          <w:p>
            <w:pPr>
              <w:ind w:left="120"/>
              <w:spacing w:after="0"/>
              <w:rPr>
                <w:sz w:val="20"/>
                <w:szCs w:val="20"/>
                <w:color w:val="auto"/>
              </w:rPr>
            </w:pPr>
            <w:r>
              <w:rPr>
                <w:rFonts w:ascii="Arial" w:cs="Arial" w:eastAsia="Arial" w:hAnsi="Arial"/>
                <w:sz w:val="11"/>
                <w:szCs w:val="11"/>
                <w:color w:val="auto"/>
              </w:rPr>
              <w:t>Net loss</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1"/>
                <w:szCs w:val="11"/>
                <w:color w:val="auto"/>
              </w:rPr>
              <w:t>(60.5)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(60.5)</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comprehensive loss, net of tax</w:t>
            </w:r>
          </w:p>
        </w:tc>
        <w:tc>
          <w:tcPr>
            <w:tcW w:w="7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81"/>
        </w:trPr>
        <w:tc>
          <w:tcPr>
            <w:tcW w:w="5420" w:type="dxa"/>
            <w:vAlign w:val="bottom"/>
            <w:gridSpan w:val="2"/>
          </w:tcPr>
          <w:p>
            <w:pPr>
              <w:ind w:left="20"/>
              <w:spacing w:after="0"/>
              <w:rPr>
                <w:sz w:val="20"/>
                <w:szCs w:val="20"/>
                <w:color w:val="auto"/>
              </w:rPr>
            </w:pPr>
            <w:r>
              <w:rPr>
                <w:rFonts w:ascii="Arial" w:cs="Arial" w:eastAsia="Arial" w:hAnsi="Arial"/>
                <w:sz w:val="11"/>
                <w:szCs w:val="11"/>
                <w:b w:val="1"/>
                <w:bCs w:val="1"/>
                <w:color w:val="auto"/>
              </w:rPr>
              <w:t>Balance, December 25, 2016</w:t>
            </w:r>
          </w:p>
        </w:tc>
        <w:tc>
          <w:tcPr>
            <w:tcW w:w="340" w:type="dxa"/>
            <w:vAlign w:val="bottom"/>
          </w:tcPr>
          <w:p>
            <w:pPr>
              <w:jc w:val="right"/>
              <w:ind w:right="63"/>
              <w:spacing w:after="0"/>
              <w:rPr>
                <w:sz w:val="20"/>
                <w:szCs w:val="20"/>
                <w:color w:val="auto"/>
              </w:rPr>
            </w:pPr>
            <w:r>
              <w:rPr>
                <w:rFonts w:ascii="Arial" w:cs="Arial" w:eastAsia="Arial" w:hAnsi="Arial"/>
                <w:sz w:val="11"/>
                <w:szCs w:val="11"/>
                <w:color w:val="auto"/>
                <w:w w:val="93"/>
              </w:rPr>
              <w:t>73.9</w:t>
            </w:r>
          </w:p>
        </w:tc>
        <w:tc>
          <w:tcPr>
            <w:tcW w:w="120" w:type="dxa"/>
            <w:vAlign w:val="bottom"/>
          </w:tcPr>
          <w:p>
            <w:pPr>
              <w:spacing w:after="0"/>
              <w:rPr>
                <w:sz w:val="15"/>
                <w:szCs w:val="15"/>
                <w:color w:val="auto"/>
              </w:rPr>
            </w:pPr>
          </w:p>
        </w:tc>
        <w:tc>
          <w:tcPr>
            <w:tcW w:w="760" w:type="dxa"/>
            <w:vAlign w:val="bottom"/>
          </w:tcPr>
          <w:p>
            <w:pPr>
              <w:jc w:val="right"/>
              <w:ind w:right="625"/>
              <w:spacing w:after="0"/>
              <w:rPr>
                <w:sz w:val="20"/>
                <w:szCs w:val="20"/>
                <w:color w:val="auto"/>
              </w:rPr>
            </w:pPr>
            <w:r>
              <w:rPr>
                <w:rFonts w:ascii="Arial" w:cs="Arial" w:eastAsia="Arial" w:hAnsi="Arial"/>
                <w:sz w:val="11"/>
                <w:szCs w:val="11"/>
                <w:color w:val="auto"/>
                <w:w w:val="97"/>
              </w:rPr>
              <w:t>$</w:t>
            </w: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5"/>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42"/>
              <w:spacing w:after="0"/>
              <w:rPr>
                <w:sz w:val="20"/>
                <w:szCs w:val="20"/>
                <w:color w:val="auto"/>
              </w:rPr>
            </w:pPr>
            <w:r>
              <w:rPr>
                <w:rFonts w:ascii="Arial" w:cs="Arial" w:eastAsia="Arial" w:hAnsi="Arial"/>
                <w:sz w:val="11"/>
                <w:szCs w:val="11"/>
                <w:color w:val="auto"/>
              </w:rPr>
              <w:t>956.2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9"/>
              <w:spacing w:after="0"/>
              <w:rPr>
                <w:sz w:val="20"/>
                <w:szCs w:val="20"/>
                <w:color w:val="auto"/>
              </w:rPr>
            </w:pPr>
            <w:r>
              <w:rPr>
                <w:rFonts w:ascii="Arial" w:cs="Arial" w:eastAsia="Arial" w:hAnsi="Arial"/>
                <w:sz w:val="11"/>
                <w:szCs w:val="11"/>
                <w:color w:val="auto"/>
              </w:rPr>
              <w:t>(678.1)</w:t>
            </w:r>
          </w:p>
        </w:tc>
        <w:tc>
          <w:tcPr>
            <w:tcW w:w="120" w:type="dxa"/>
            <w:vAlign w:val="bottom"/>
          </w:tcPr>
          <w:p>
            <w:pPr>
              <w:spacing w:after="0"/>
              <w:rPr>
                <w:sz w:val="15"/>
                <w:szCs w:val="15"/>
                <w:color w:val="auto"/>
              </w:rPr>
            </w:pPr>
          </w:p>
        </w:tc>
        <w:tc>
          <w:tcPr>
            <w:tcW w:w="220" w:type="dxa"/>
            <w:vAlign w:val="bottom"/>
          </w:tcPr>
          <w:p>
            <w:pPr>
              <w:jc w:val="right"/>
              <w:ind w:right="85"/>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45"/>
              <w:spacing w:after="0"/>
              <w:rPr>
                <w:sz w:val="20"/>
                <w:szCs w:val="20"/>
                <w:color w:val="auto"/>
              </w:rPr>
            </w:pPr>
            <w:r>
              <w:rPr>
                <w:rFonts w:ascii="Arial" w:cs="Arial" w:eastAsia="Arial" w:hAnsi="Arial"/>
                <w:sz w:val="11"/>
                <w:szCs w:val="11"/>
                <w:color w:val="auto"/>
              </w:rPr>
              <w:t>276.4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60"/>
          </w:cols>
          <w:pgMar w:left="220" w:top="129" w:right="21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KRATOS DEFENSE &amp; SECURITY SOLUTIONS,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Years ended December 25, 2016, December 27, 2015, and December 28, 2014</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460"/>
          </w:cols>
          <w:pgMar w:left="220" w:top="129" w:right="2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278370" cy="1377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137795"/>
                    </a:xfrm>
                    <a:prstGeom prst="rect">
                      <a:avLst/>
                    </a:prstGeom>
                    <a:noFill/>
                  </pic:spPr>
                </pic:pic>
              </a:graphicData>
            </a:graphic>
          </wp:anchor>
        </w:drawing>
      </w:r>
    </w:p>
    <w:p>
      <w:pPr>
        <w:spacing w:after="0" w:line="59" w:lineRule="exact"/>
        <w:rPr>
          <w:sz w:val="20"/>
          <w:szCs w:val="20"/>
          <w:color w:val="auto"/>
        </w:rPr>
      </w:pPr>
    </w:p>
    <w:p>
      <w:pPr>
        <w:ind w:left="120"/>
        <w:spacing w:after="0"/>
        <w:tabs>
          <w:tab w:leader="none" w:pos="7120" w:val="left"/>
        </w:tabs>
        <w:rPr>
          <w:sz w:val="20"/>
          <w:szCs w:val="20"/>
          <w:color w:val="auto"/>
        </w:rPr>
      </w:pPr>
      <w:r>
        <w:rPr>
          <w:rFonts w:ascii="Arial" w:cs="Arial" w:eastAsia="Arial" w:hAnsi="Arial"/>
          <w:sz w:val="12"/>
          <w:szCs w:val="12"/>
          <w:color w:val="auto"/>
        </w:rPr>
        <w:t>Net income (loss)</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Income (loss) from discontinued operations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1"/>
          <w:szCs w:val="11"/>
          <w:color w:val="auto"/>
        </w:rPr>
        <w:t>Adjustments to reconcile loss from continuing operations to net cash provided by (used in) operating activities from continuing operations:</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Deferred income taxes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Loss (gain) on extinguishment of debt</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Non-cash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Amortization of deferred financing costs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Amortization of premium and discount on Senior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Provision for doubtful accounts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Litigation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Provision for non-cash restructuring charges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Change in accrual for excess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44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8370"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618"/>
              <w:spacing w:after="0"/>
              <w:rPr>
                <w:sz w:val="20"/>
                <w:szCs w:val="20"/>
                <w:color w:val="auto"/>
              </w:rPr>
            </w:pPr>
            <w:r>
              <w:rPr>
                <w:rFonts w:ascii="Arial" w:cs="Arial" w:eastAsia="Arial" w:hAnsi="Arial"/>
                <w:sz w:val="12"/>
                <w:szCs w:val="12"/>
                <w:b w:val="1"/>
                <w:bCs w:val="1"/>
                <w:color w:val="auto"/>
                <w:w w:val="89"/>
              </w:rPr>
              <w:t>2016</w:t>
            </w:r>
          </w:p>
        </w:tc>
        <w:tc>
          <w:tcPr>
            <w:tcW w:w="320" w:type="dxa"/>
            <w:vAlign w:val="bottom"/>
          </w:tcPr>
          <w:p>
            <w:pPr>
              <w:spacing w:after="0"/>
              <w:rPr>
                <w:sz w:val="13"/>
                <w:szCs w:val="13"/>
                <w:color w:val="auto"/>
              </w:rPr>
            </w:pPr>
          </w:p>
        </w:tc>
        <w:tc>
          <w:tcPr>
            <w:tcW w:w="1040" w:type="dxa"/>
            <w:vAlign w:val="bottom"/>
          </w:tcPr>
          <w:p>
            <w:pPr>
              <w:jc w:val="right"/>
              <w:ind w:right="498"/>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98"/>
              <w:spacing w:after="0"/>
              <w:rPr>
                <w:sz w:val="20"/>
                <w:szCs w:val="20"/>
                <w:color w:val="auto"/>
              </w:rPr>
            </w:pPr>
            <w:r>
              <w:rPr>
                <w:rFonts w:ascii="Arial" w:cs="Arial" w:eastAsia="Arial" w:hAnsi="Arial"/>
                <w:sz w:val="12"/>
                <w:szCs w:val="12"/>
                <w:b w:val="1"/>
                <w:bCs w:val="1"/>
                <w:color w:val="auto"/>
              </w:rPr>
              <w:t>2014</w:t>
            </w:r>
          </w:p>
        </w:tc>
      </w:tr>
      <w:tr>
        <w:trPr>
          <w:trHeight w:val="26"/>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78"/>
        </w:trPr>
        <w:tc>
          <w:tcPr>
            <w:tcW w:w="940" w:type="dxa"/>
            <w:vAlign w:val="bottom"/>
          </w:tcPr>
          <w:p>
            <w:pPr>
              <w:jc w:val="right"/>
              <w:ind w:right="118"/>
              <w:spacing w:after="0"/>
              <w:rPr>
                <w:sz w:val="20"/>
                <w:szCs w:val="20"/>
                <w:color w:val="auto"/>
              </w:rPr>
            </w:pPr>
            <w:r>
              <w:rPr>
                <w:rFonts w:ascii="Arial" w:cs="Arial" w:eastAsia="Arial" w:hAnsi="Arial"/>
                <w:sz w:val="12"/>
                <w:szCs w:val="12"/>
                <w:color w:val="auto"/>
              </w:rPr>
              <w:t>(60.5)</w:t>
            </w:r>
          </w:p>
        </w:tc>
        <w:tc>
          <w:tcPr>
            <w:tcW w:w="320" w:type="dxa"/>
            <w:vAlign w:val="bottom"/>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19.8</w:t>
            </w:r>
          </w:p>
        </w:tc>
        <w:tc>
          <w:tcPr>
            <w:tcW w:w="120" w:type="dxa"/>
            <w:vAlign w:val="bottom"/>
          </w:tcPr>
          <w:p>
            <w:pPr>
              <w:spacing w:after="0"/>
              <w:rPr>
                <w:sz w:val="24"/>
                <w:szCs w:val="24"/>
                <w:color w:val="auto"/>
              </w:rPr>
            </w:pPr>
          </w:p>
        </w:tc>
        <w:tc>
          <w:tcPr>
            <w:tcW w:w="320" w:type="dxa"/>
            <w:vAlign w:val="bottom"/>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(78.0)</w:t>
            </w:r>
          </w:p>
        </w:tc>
      </w:tr>
      <w:tr>
        <w:trPr>
          <w:trHeight w:val="207"/>
        </w:trPr>
        <w:tc>
          <w:tcPr>
            <w:tcW w:w="940" w:type="dxa"/>
            <w:vAlign w:val="bottom"/>
          </w:tcPr>
          <w:p>
            <w:pPr>
              <w:jc w:val="right"/>
              <w:ind w:right="118"/>
              <w:spacing w:after="0"/>
              <w:rPr>
                <w:sz w:val="20"/>
                <w:szCs w:val="20"/>
                <w:color w:val="auto"/>
              </w:rPr>
            </w:pPr>
            <w:r>
              <w:rPr>
                <w:rFonts w:ascii="Arial" w:cs="Arial" w:eastAsia="Arial" w:hAnsi="Arial"/>
                <w:sz w:val="12"/>
                <w:szCs w:val="12"/>
                <w:color w:val="auto"/>
              </w:rPr>
              <w:t>(0.1)</w:t>
            </w: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53.0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26"/>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1"/>
        </w:trPr>
        <w:tc>
          <w:tcPr>
            <w:tcW w:w="940" w:type="dxa"/>
            <w:vAlign w:val="bottom"/>
          </w:tcPr>
          <w:p>
            <w:pPr>
              <w:jc w:val="right"/>
              <w:ind w:right="118"/>
              <w:spacing w:after="0"/>
              <w:rPr>
                <w:sz w:val="20"/>
                <w:szCs w:val="20"/>
                <w:color w:val="auto"/>
              </w:rPr>
            </w:pPr>
            <w:r>
              <w:rPr>
                <w:rFonts w:ascii="Arial" w:cs="Arial" w:eastAsia="Arial" w:hAnsi="Arial"/>
                <w:sz w:val="12"/>
                <w:szCs w:val="12"/>
                <w:color w:val="auto"/>
              </w:rPr>
              <w:t>(60.4)</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(33.2)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(75.7)</w:t>
            </w:r>
          </w:p>
        </w:tc>
      </w:tr>
      <w:tr>
        <w:trPr>
          <w:trHeight w:val="414"/>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22.8</w:t>
            </w:r>
          </w:p>
        </w:tc>
        <w:tc>
          <w:tcPr>
            <w:tcW w:w="320" w:type="dxa"/>
            <w:vAlign w:val="bottom"/>
          </w:tcPr>
          <w:p>
            <w:pPr>
              <w:spacing w:after="0"/>
              <w:rPr>
                <w:sz w:val="24"/>
                <w:szCs w:val="24"/>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25.5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32.4</w:t>
            </w:r>
          </w:p>
        </w:tc>
      </w:tr>
      <w:tr>
        <w:trPr>
          <w:trHeight w:val="207"/>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4.7</w:t>
            </w: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1.8</w:t>
            </w:r>
          </w:p>
        </w:tc>
      </w:tr>
      <w:tr>
        <w:trPr>
          <w:trHeight w:val="207"/>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5.1</w:t>
            </w: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3.6</w:t>
            </w:r>
          </w:p>
        </w:tc>
      </w:tr>
      <w:tr>
        <w:trPr>
          <w:trHeight w:val="207"/>
        </w:trPr>
        <w:tc>
          <w:tcPr>
            <w:tcW w:w="940" w:type="dxa"/>
            <w:vAlign w:val="bottom"/>
          </w:tcPr>
          <w:p>
            <w:pPr>
              <w:jc w:val="right"/>
              <w:ind w:right="118"/>
              <w:spacing w:after="0"/>
              <w:rPr>
                <w:sz w:val="20"/>
                <w:szCs w:val="20"/>
                <w:color w:val="auto"/>
              </w:rPr>
            </w:pPr>
            <w:r>
              <w:rPr>
                <w:rFonts w:ascii="Arial" w:cs="Arial" w:eastAsia="Arial" w:hAnsi="Arial"/>
                <w:sz w:val="12"/>
                <w:szCs w:val="12"/>
                <w:color w:val="auto"/>
              </w:rPr>
              <w:t>(0.2)</w:t>
            </w: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39.1</w:t>
            </w:r>
          </w:p>
        </w:tc>
      </w:tr>
      <w:tr>
        <w:trPr>
          <w:trHeight w:val="207"/>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1.5</w:t>
            </w: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3.2</w:t>
            </w:r>
          </w:p>
        </w:tc>
      </w:tr>
      <w:tr>
        <w:trPr>
          <w:trHeight w:val="207"/>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0.9</w:t>
            </w: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(0.9)</w:t>
            </w:r>
          </w:p>
        </w:tc>
      </w:tr>
      <w:tr>
        <w:trPr>
          <w:trHeight w:val="207"/>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0.3</w:t>
            </w: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1.5</w:t>
            </w:r>
          </w:p>
        </w:tc>
      </w:tr>
      <w:tr>
        <w:trPr>
          <w:trHeight w:val="207"/>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1.7</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9.1</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9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2"/>
                <w:szCs w:val="12"/>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-1692275</wp:posOffset>
            </wp:positionV>
            <wp:extent cx="88074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074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480"/>
            <w:col w:w="3780"/>
          </w:cols>
          <w:pgMar w:left="220" w:top="129" w:right="219" w:bottom="1440" w:gutter="0" w:footer="0" w:header="0"/>
          <w:type w:val="continuous"/>
        </w:sectPr>
      </w:pPr>
    </w:p>
    <w:p>
      <w:pPr>
        <w:spacing w:after="0" w:line="6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Changes in assets and liabilities, net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Accounts receivable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Inventoried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Prepaid expenses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Accounts payable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Accrued compensation</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Billings in excess of costs and earnings on uncompleted contracts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Income tax receivable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 liabilities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Net cash provided by (used in) operating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77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8370" cy="13779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Investing activities: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Cash paid for 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Proceeds from sale of assets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Capital expenditures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Net cash used in investing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8370" cy="13779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Financing activities: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Proceeds from the issuance of long-term debt,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59" w:lineRule="exact"/>
        <w:rPr>
          <w:sz w:val="20"/>
          <w:szCs w:val="20"/>
          <w:color w:val="auto"/>
        </w:rPr>
      </w:pPr>
    </w:p>
    <w:p>
      <w:pPr>
        <w:ind w:left="80"/>
        <w:spacing w:after="0"/>
        <w:rPr>
          <w:sz w:val="20"/>
          <w:szCs w:val="20"/>
          <w:color w:val="auto"/>
        </w:rPr>
      </w:pPr>
      <w:r>
        <w:rPr>
          <w:rFonts w:ascii="Arial" w:cs="Arial" w:eastAsia="Arial" w:hAnsi="Arial"/>
          <w:sz w:val="12"/>
          <w:szCs w:val="12"/>
          <w:color w:val="auto"/>
        </w:rPr>
        <w:t>Extinguishment of long-term debt</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Borrowing under credit facility</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Repayments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278370" cy="131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Cash paid for contingent acquisition consideration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278370" cy="131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8370" cy="13144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1"/>
          <w:szCs w:val="11"/>
          <w:color w:val="auto"/>
        </w:rPr>
        <w:t>Proceeds from exercise of restricted stock units, employee stock options, and employee stock purchase plan</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380" w:type="dxa"/>
            <w:vAlign w:val="bottom"/>
          </w:tcPr>
          <w:p>
            <w:pPr>
              <w:jc w:val="right"/>
              <w:spacing w:after="0"/>
              <w:rPr>
                <w:sz w:val="20"/>
                <w:szCs w:val="20"/>
                <w:color w:val="auto"/>
              </w:rPr>
            </w:pPr>
            <w:r>
              <w:rPr>
                <w:rFonts w:ascii="Arial" w:cs="Arial" w:eastAsia="Arial" w:hAnsi="Arial"/>
                <w:sz w:val="12"/>
                <w:szCs w:val="12"/>
                <w:color w:val="auto"/>
              </w:rPr>
              <w:t>(24.7)</w:t>
            </w:r>
          </w:p>
        </w:tc>
        <w:tc>
          <w:tcPr>
            <w:tcW w:w="120" w:type="dxa"/>
            <w:vAlign w:val="bottom"/>
          </w:tcPr>
          <w:p>
            <w:pPr>
              <w:spacing w:after="0"/>
              <w:rPr>
                <w:sz w:val="13"/>
                <w:szCs w:val="13"/>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10.3</w:t>
            </w:r>
          </w:p>
        </w:tc>
        <w:tc>
          <w:tcPr>
            <w:tcW w:w="120" w:type="dxa"/>
            <w:vAlign w:val="bottom"/>
          </w:tcPr>
          <w:p>
            <w:pPr>
              <w:spacing w:after="0"/>
              <w:rPr>
                <w:sz w:val="13"/>
                <w:szCs w:val="13"/>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14.8</w:t>
            </w:r>
          </w:p>
        </w:tc>
      </w:tr>
      <w:tr>
        <w:trPr>
          <w:trHeight w:val="207"/>
        </w:trPr>
        <w:tc>
          <w:tcPr>
            <w:tcW w:w="1380" w:type="dxa"/>
            <w:vAlign w:val="bottom"/>
          </w:tcPr>
          <w:p>
            <w:pPr>
              <w:jc w:val="right"/>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2.7</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2.7</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1.3</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(11.6)</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16.5</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0.6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1.0</w:t>
            </w:r>
          </w:p>
        </w:tc>
      </w:tr>
      <w:tr>
        <w:trPr>
          <w:trHeight w:val="207"/>
        </w:trPr>
        <w:tc>
          <w:tcPr>
            <w:tcW w:w="1380" w:type="dxa"/>
            <w:vAlign w:val="bottom"/>
          </w:tcPr>
          <w:p>
            <w:pPr>
              <w:jc w:val="right"/>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0.4</w:t>
            </w:r>
          </w:p>
        </w:tc>
      </w:tr>
      <w:tr>
        <w:trPr>
          <w:trHeight w:val="207"/>
        </w:trPr>
        <w:tc>
          <w:tcPr>
            <w:tcW w:w="1380" w:type="dxa"/>
            <w:vAlign w:val="bottom"/>
          </w:tcPr>
          <w:p>
            <w:pPr>
              <w:jc w:val="right"/>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(0.9)</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0.4</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26"/>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1"/>
        </w:trPr>
        <w:tc>
          <w:tcPr>
            <w:tcW w:w="1380" w:type="dxa"/>
            <w:vAlign w:val="bottom"/>
          </w:tcPr>
          <w:p>
            <w:pPr>
              <w:jc w:val="right"/>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(29.7)</w:t>
            </w:r>
          </w:p>
        </w:tc>
        <w:tc>
          <w:tcPr>
            <w:tcW w:w="120" w:type="dxa"/>
            <w:vAlign w:val="bottom"/>
          </w:tcPr>
          <w:p>
            <w:pPr>
              <w:spacing w:after="0"/>
              <w:rPr>
                <w:sz w:val="13"/>
                <w:szCs w:val="13"/>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2.5</w:t>
            </w:r>
          </w:p>
        </w:tc>
      </w:tr>
      <w:tr>
        <w:trPr>
          <w:trHeight w:val="26"/>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78"/>
        </w:trPr>
        <w:tc>
          <w:tcPr>
            <w:tcW w:w="1380" w:type="dxa"/>
            <w:vAlign w:val="bottom"/>
          </w:tcPr>
          <w:p>
            <w:pPr>
              <w:jc w:val="right"/>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0.9</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207"/>
        </w:trPr>
        <w:tc>
          <w:tcPr>
            <w:tcW w:w="1380" w:type="dxa"/>
            <w:vAlign w:val="bottom"/>
          </w:tcPr>
          <w:p>
            <w:pPr>
              <w:jc w:val="right"/>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(11.6)</w:t>
            </w:r>
          </w:p>
        </w:tc>
      </w:tr>
      <w:tr>
        <w:trPr>
          <w:trHeight w:val="26"/>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1"/>
        </w:trPr>
        <w:tc>
          <w:tcPr>
            <w:tcW w:w="1380" w:type="dxa"/>
            <w:vAlign w:val="bottom"/>
          </w:tcPr>
          <w:p>
            <w:pPr>
              <w:jc w:val="right"/>
              <w:spacing w:after="0"/>
              <w:rPr>
                <w:sz w:val="20"/>
                <w:szCs w:val="20"/>
                <w:color w:val="auto"/>
              </w:rPr>
            </w:pPr>
            <w:r>
              <w:rPr>
                <w:rFonts w:ascii="Arial" w:cs="Arial" w:eastAsia="Arial" w:hAnsi="Arial"/>
                <w:sz w:val="12"/>
                <w:szCs w:val="12"/>
                <w:color w:val="auto"/>
              </w:rPr>
              <w:t>(13.9)</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6"/>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78"/>
        </w:trPr>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618.5</w:t>
            </w:r>
          </w:p>
        </w:tc>
      </w:tr>
      <w:tr>
        <w:trPr>
          <w:trHeight w:val="207"/>
        </w:trPr>
        <w:tc>
          <w:tcPr>
            <w:tcW w:w="1380" w:type="dxa"/>
            <w:vAlign w:val="bottom"/>
          </w:tcPr>
          <w:p>
            <w:pPr>
              <w:jc w:val="right"/>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(175.0)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(661.5)</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76.2</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41.0</w:t>
            </w:r>
          </w:p>
        </w:tc>
      </w:tr>
      <w:tr>
        <w:trPr>
          <w:trHeight w:val="207"/>
        </w:trPr>
        <w:tc>
          <w:tcPr>
            <w:tcW w:w="138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(42.0)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07"/>
        </w:trPr>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07"/>
        </w:trPr>
        <w:tc>
          <w:tcPr>
            <w:tcW w:w="1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207"/>
        </w:trPr>
        <w:tc>
          <w:tcPr>
            <w:tcW w:w="1380" w:type="dxa"/>
            <w:vAlign w:val="bottom"/>
          </w:tcPr>
          <w:p>
            <w:pPr>
              <w:jc w:val="right"/>
              <w:ind w:right="38"/>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8"/>
                <w:szCs w:val="18"/>
                <w:color w:val="auto"/>
              </w:rPr>
            </w:pP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3.3</w:t>
            </w:r>
          </w:p>
        </w:tc>
      </w:tr>
    </w:tbl>
    <w:p>
      <w:pPr>
        <w:spacing w:after="0" w:line="6" w:lineRule="exact"/>
        <w:rPr>
          <w:sz w:val="20"/>
          <w:szCs w:val="20"/>
          <w:color w:val="auto"/>
        </w:rPr>
      </w:pPr>
    </w:p>
    <w:p>
      <w:pPr>
        <w:sectPr>
          <w:pgSz w:w="11900" w:h="16838" w:orient="portrait"/>
          <w:cols w:equalWidth="0" w:num="2">
            <w:col w:w="6400" w:space="720"/>
            <w:col w:w="4340"/>
          </w:cols>
          <w:pgMar w:left="220" w:top="129" w:right="2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7120" w:type="dxa"/>
            <w:vAlign w:val="bottom"/>
          </w:tcPr>
          <w:p>
            <w:pPr>
              <w:ind w:left="540"/>
              <w:spacing w:after="0"/>
              <w:rPr>
                <w:sz w:val="20"/>
                <w:szCs w:val="20"/>
                <w:color w:val="auto"/>
              </w:rPr>
            </w:pPr>
            <w:r>
              <w:rPr>
                <w:rFonts w:ascii="Arial" w:cs="Arial" w:eastAsia="Arial" w:hAnsi="Arial"/>
                <w:sz w:val="12"/>
                <w:szCs w:val="12"/>
                <w:color w:val="auto"/>
              </w:rPr>
              <w:t>Net cash provided by (used in) financing activities from continuing operations</w:t>
            </w:r>
          </w:p>
        </w:tc>
        <w:tc>
          <w:tcPr>
            <w:tcW w:w="5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63.1</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(214.7)</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26"/>
        </w:trPr>
        <w:tc>
          <w:tcPr>
            <w:tcW w:w="7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flows of continuing operations</w:t>
            </w: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36.8</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(250.1)</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2"/>
                <w:szCs w:val="12"/>
                <w:color w:val="auto"/>
              </w:rPr>
              <w:t>Net operating cash flows of discontinued operations</w:t>
            </w:r>
          </w:p>
        </w:tc>
        <w:tc>
          <w:tcPr>
            <w:tcW w:w="56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26"/>
        </w:trPr>
        <w:tc>
          <w:tcPr>
            <w:tcW w:w="7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investing cash flows of discontinued operations</w:t>
            </w: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4.0</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242.5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2"/>
                <w:szCs w:val="12"/>
                <w:color w:val="auto"/>
              </w:rPr>
              <w:t>Effect of exchange rate changes on cash and cash equivalents</w:t>
            </w: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26"/>
        </w:trPr>
        <w:tc>
          <w:tcPr>
            <w:tcW w:w="7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40.6</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2"/>
                <w:szCs w:val="12"/>
                <w:color w:val="auto"/>
              </w:rPr>
              <w:t>Cash and cash equivalents at beginning of year</w:t>
            </w:r>
          </w:p>
        </w:tc>
        <w:tc>
          <w:tcPr>
            <w:tcW w:w="56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28.5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33.5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54.2</w:t>
            </w:r>
          </w:p>
        </w:tc>
        <w:tc>
          <w:tcPr>
            <w:tcW w:w="0" w:type="dxa"/>
            <w:vAlign w:val="bottom"/>
          </w:tcPr>
          <w:p>
            <w:pPr>
              <w:spacing w:after="0"/>
              <w:rPr>
                <w:sz w:val="1"/>
                <w:szCs w:val="1"/>
                <w:color w:val="auto"/>
              </w:rPr>
            </w:pPr>
          </w:p>
        </w:tc>
      </w:tr>
      <w:tr>
        <w:trPr>
          <w:trHeight w:val="26"/>
        </w:trPr>
        <w:tc>
          <w:tcPr>
            <w:tcW w:w="7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 at end of year</w:t>
            </w:r>
          </w:p>
        </w:tc>
        <w:tc>
          <w:tcPr>
            <w:tcW w:w="56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69.1</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58"/>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28.5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33.5</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Supplemental disclosure of cash flow information:</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1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Cash paid during the year for interest</w:t>
            </w:r>
          </w:p>
        </w:tc>
        <w:tc>
          <w:tcPr>
            <w:tcW w:w="56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32.4</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58"/>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43.8</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57.1</w:t>
            </w:r>
          </w:p>
        </w:tc>
        <w:tc>
          <w:tcPr>
            <w:tcW w:w="0" w:type="dxa"/>
            <w:vAlign w:val="bottom"/>
          </w:tcPr>
          <w:p>
            <w:pPr>
              <w:spacing w:after="0"/>
              <w:rPr>
                <w:sz w:val="1"/>
                <w:szCs w:val="1"/>
                <w:color w:val="auto"/>
              </w:rPr>
            </w:pPr>
          </w:p>
        </w:tc>
      </w:tr>
      <w:tr>
        <w:trPr>
          <w:trHeight w:val="181"/>
        </w:trPr>
        <w:tc>
          <w:tcPr>
            <w:tcW w:w="7120" w:type="dxa"/>
            <w:vAlign w:val="bottom"/>
          </w:tcPr>
          <w:p>
            <w:pPr>
              <w:ind w:left="140"/>
              <w:spacing w:after="0"/>
              <w:rPr>
                <w:sz w:val="20"/>
                <w:szCs w:val="20"/>
                <w:color w:val="auto"/>
              </w:rPr>
            </w:pPr>
            <w:r>
              <w:rPr>
                <w:rFonts w:ascii="Arial" w:cs="Arial" w:eastAsia="Arial" w:hAnsi="Arial"/>
                <w:sz w:val="12"/>
                <w:szCs w:val="12"/>
                <w:color w:val="auto"/>
              </w:rPr>
              <w:t>Net cash paid during the year for income taxes</w:t>
            </w: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358"/>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5"/>
                <w:szCs w:val="15"/>
                <w:color w:val="auto"/>
              </w:rPr>
            </w:pPr>
          </w:p>
        </w:tc>
        <w:tc>
          <w:tcPr>
            <w:tcW w:w="540" w:type="dxa"/>
            <w:vAlign w:val="bottom"/>
          </w:tcPr>
          <w:p>
            <w:pPr>
              <w:jc w:val="right"/>
              <w:ind w:right="39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6"/>
        </w:trPr>
        <w:tc>
          <w:tcPr>
            <w:tcW w:w="7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Non-cash financing and investing activities:</w:t>
            </w: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120" w:type="dxa"/>
            <w:vAlign w:val="bottom"/>
          </w:tcPr>
          <w:p>
            <w:pPr>
              <w:ind w:left="140"/>
              <w:spacing w:after="0"/>
              <w:rPr>
                <w:sz w:val="20"/>
                <w:szCs w:val="20"/>
                <w:color w:val="auto"/>
              </w:rPr>
            </w:pPr>
            <w:r>
              <w:rPr>
                <w:rFonts w:ascii="Arial" w:cs="Arial" w:eastAsia="Arial" w:hAnsi="Arial"/>
                <w:sz w:val="12"/>
                <w:szCs w:val="12"/>
                <w:color w:val="auto"/>
              </w:rPr>
              <w:t>Capital expenditures included in accounts payable and accrued expenses</w:t>
            </w: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5"/>
                <w:szCs w:val="15"/>
                <w:color w:val="auto"/>
              </w:rPr>
            </w:pPr>
          </w:p>
        </w:tc>
        <w:tc>
          <w:tcPr>
            <w:tcW w:w="500" w:type="dxa"/>
            <w:vAlign w:val="bottom"/>
          </w:tcPr>
          <w:p>
            <w:pPr>
              <w:jc w:val="right"/>
              <w:ind w:right="358"/>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39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7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Liability for contingent consideration and goodwill related to acquisition</w:t>
            </w: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8"/>
              <w:spacing w:after="0"/>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39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7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60"/>
          </w:cols>
          <w:pgMar w:left="220" w:top="129" w:right="21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KRATOS DEFENSE &amp; SECURITY SOLUTIONS,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23"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Organization and Summary of Significant Accounting Policies</w:t>
      </w:r>
    </w:p>
    <w:p>
      <w:pPr>
        <w:spacing w:after="0" w:line="170" w:lineRule="exact"/>
        <w:rPr>
          <w:sz w:val="20"/>
          <w:szCs w:val="20"/>
          <w:color w:val="auto"/>
        </w:rPr>
      </w:pPr>
    </w:p>
    <w:p>
      <w:pPr>
        <w:ind w:left="500" w:hanging="497"/>
        <w:spacing w:after="0"/>
        <w:tabs>
          <w:tab w:leader="none" w:pos="5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74" w:lineRule="exact"/>
        <w:rPr>
          <w:sz w:val="20"/>
          <w:szCs w:val="20"/>
          <w:color w:val="auto"/>
        </w:rPr>
      </w:pPr>
    </w:p>
    <w:p>
      <w:pPr>
        <w:ind w:right="260" w:firstLine="497"/>
        <w:spacing w:after="0" w:line="276" w:lineRule="auto"/>
        <w:rPr>
          <w:sz w:val="20"/>
          <w:szCs w:val="20"/>
          <w:color w:val="auto"/>
        </w:rPr>
      </w:pPr>
      <w:r>
        <w:rPr>
          <w:rFonts w:ascii="Arial" w:cs="Arial" w:eastAsia="Arial" w:hAnsi="Arial"/>
          <w:sz w:val="13"/>
          <w:szCs w:val="13"/>
          <w:color w:val="auto"/>
        </w:rPr>
        <w:t>Kratos is a mid-tier government contractor at the forefront of the U.S. Department of Defense’s (the “DoD”) Third Offset Strategy. Kratos is a leading technology, intellectual property and proprietary product and solution company focused on the U.S. and its allies’ national security. Kratos’ primary focus areas are unmanned systems, satellite communications, microwave electronics, cyber security/warfare, missile defense and combat systems. We believe that our technology, intellectual property, proprietary products and designed-in positions on our customers’ platforms and systems is a competitive advantage and high barrier to entry to our markets. Our work force is primarily technically oriented, highly skilled with a significant number holding national security clearances. Our entire organization is focused on executing our strategy of becoming the leading technology and intellectual property based company in our industry.</w:t>
      </w:r>
    </w:p>
    <w:p>
      <w:pPr>
        <w:spacing w:after="0" w:line="134" w:lineRule="exact"/>
        <w:rPr>
          <w:sz w:val="20"/>
          <w:szCs w:val="20"/>
          <w:color w:val="auto"/>
        </w:rPr>
      </w:pPr>
    </w:p>
    <w:p>
      <w:pPr>
        <w:ind w:right="180" w:firstLine="497"/>
        <w:spacing w:after="0" w:line="267" w:lineRule="auto"/>
        <w:rPr>
          <w:sz w:val="20"/>
          <w:szCs w:val="20"/>
          <w:color w:val="auto"/>
        </w:rPr>
      </w:pPr>
      <w:r>
        <w:rPr>
          <w:rFonts w:ascii="Arial" w:cs="Arial" w:eastAsia="Arial" w:hAnsi="Arial"/>
          <w:sz w:val="14"/>
          <w:szCs w:val="14"/>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39" w:lineRule="exact"/>
        <w:rPr>
          <w:sz w:val="20"/>
          <w:szCs w:val="20"/>
          <w:color w:val="auto"/>
        </w:rPr>
      </w:pPr>
    </w:p>
    <w:p>
      <w:pPr>
        <w:ind w:right="80" w:firstLine="497"/>
        <w:spacing w:after="0" w:line="301" w:lineRule="auto"/>
        <w:rPr>
          <w:sz w:val="20"/>
          <w:szCs w:val="20"/>
          <w:color w:val="auto"/>
        </w:rPr>
      </w:pPr>
      <w:r>
        <w:rPr>
          <w:rFonts w:ascii="Arial" w:cs="Arial" w:eastAsia="Arial" w:hAnsi="Arial"/>
          <w:sz w:val="12"/>
          <w:szCs w:val="12"/>
          <w:color w:val="auto"/>
        </w:rPr>
        <w:t>The Company operates in three reportable segments. The Kratos Government Solutions (“KGS”) reportable segment is comprised of an aggregation of operating segments, including its microwave electronic products, satellite communications, modular systems and rocket support operating segments. The Unmanned Systems (“US”) reportable segment consists of its unmanned aerial system and unmanned ground and seaborne system businesses. The Public Safety &amp; Security (“PSS”) reportable segment consists of its businesses that provide independent integrated solutions for advanced homeland security, public safety, critical infrastructure, and security and surveillance systems for government and commercial applications. The Company organizes its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13 of these Notes to Consolidated Financial Statements.</w:t>
      </w:r>
    </w:p>
    <w:p>
      <w:pPr>
        <w:spacing w:after="0" w:line="117" w:lineRule="exact"/>
        <w:rPr>
          <w:sz w:val="20"/>
          <w:szCs w:val="20"/>
          <w:color w:val="auto"/>
        </w:rPr>
      </w:pPr>
    </w:p>
    <w:p>
      <w:pPr>
        <w:ind w:left="500" w:hanging="497"/>
        <w:spacing w:after="0"/>
        <w:tabs>
          <w:tab w:leader="none" w:pos="5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Principles of Consolidation and Basis of Presentation</w:t>
      </w:r>
    </w:p>
    <w:p>
      <w:pPr>
        <w:spacing w:after="0" w:line="174"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3"/>
          <w:szCs w:val="13"/>
          <w:color w:val="auto"/>
        </w:rPr>
        <w:t>The Consolidated Financial Statements include the accounts of Kratos and its 100% owned subsidiaries, for which all intercompany transactions have been eliminated in consolidation.</w:t>
      </w:r>
    </w:p>
    <w:p>
      <w:pPr>
        <w:spacing w:after="0" w:line="182" w:lineRule="exact"/>
        <w:rPr>
          <w:sz w:val="20"/>
          <w:szCs w:val="20"/>
          <w:color w:val="auto"/>
        </w:rPr>
      </w:pPr>
    </w:p>
    <w:p>
      <w:pPr>
        <w:ind w:right="100" w:firstLine="497"/>
        <w:spacing w:after="0" w:line="257" w:lineRule="auto"/>
        <w:rPr>
          <w:sz w:val="20"/>
          <w:szCs w:val="20"/>
          <w:color w:val="auto"/>
        </w:rPr>
      </w:pPr>
      <w:r>
        <w:rPr>
          <w:rFonts w:ascii="Arial" w:cs="Arial" w:eastAsia="Arial" w:hAnsi="Arial"/>
          <w:sz w:val="14"/>
          <w:szCs w:val="14"/>
          <w:color w:val="auto"/>
        </w:rPr>
        <w:t>As discussed in “Discontinued Operations” in Note 8 of these Notes to Consolidated Financial Statements, these consolidated financial statements have been recast for 2015 and prior periods presented to reflect the disposition of the Company’s 100% owned subsidiary Herley Industries, Inc. (“Herley”) and certain of Herley’s subsidiaries, including Herley-CTI, Inc., EW Simulation Technology, Ltd. and Stapor Research, Inc. (collectively, the “Herley Entities”) as discontinued operations.</w:t>
      </w:r>
    </w:p>
    <w:p>
      <w:pPr>
        <w:spacing w:after="0" w:line="14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(c)</w:t>
      </w:r>
      <w:r>
        <w:rPr>
          <w:sz w:val="20"/>
          <w:szCs w:val="20"/>
          <w:color w:val="auto"/>
        </w:rPr>
        <w:tab/>
      </w:r>
      <w:r>
        <w:rPr>
          <w:rFonts w:ascii="Arial" w:cs="Arial" w:eastAsia="Arial" w:hAnsi="Arial"/>
          <w:sz w:val="12"/>
          <w:szCs w:val="12"/>
          <w:b w:val="1"/>
          <w:bCs w:val="1"/>
          <w:color w:val="auto"/>
        </w:rPr>
        <w:t>Fiscal Year</w:t>
      </w:r>
    </w:p>
    <w:p>
      <w:pPr>
        <w:spacing w:after="0" w:line="174" w:lineRule="exact"/>
        <w:rPr>
          <w:sz w:val="20"/>
          <w:szCs w:val="20"/>
          <w:color w:val="auto"/>
        </w:rPr>
      </w:pPr>
    </w:p>
    <w:p>
      <w:pPr>
        <w:ind w:right="280" w:firstLine="497"/>
        <w:spacing w:after="0" w:line="267" w:lineRule="auto"/>
        <w:rPr>
          <w:sz w:val="20"/>
          <w:szCs w:val="20"/>
          <w:color w:val="auto"/>
        </w:rPr>
      </w:pPr>
      <w:r>
        <w:rPr>
          <w:rFonts w:ascii="Arial" w:cs="Arial" w:eastAsia="Arial" w:hAnsi="Arial"/>
          <w:sz w:val="14"/>
          <w:szCs w:val="14"/>
          <w:color w:val="auto"/>
        </w:rPr>
        <w:t>The Company has a 52/53 week fiscal year ending on the last Sunday of the calendar year, with interim fiscal periods ending on the last Sunday of each calendar quarter. There were 52 calendar weeks in the fiscal years ended on December 25, 2016, December 27, 2015 and December 28, 2014.</w:t>
      </w:r>
    </w:p>
    <w:p>
      <w:pPr>
        <w:spacing w:after="0" w:line="135" w:lineRule="exact"/>
        <w:rPr>
          <w:sz w:val="20"/>
          <w:szCs w:val="20"/>
          <w:color w:val="auto"/>
        </w:rPr>
      </w:pPr>
    </w:p>
    <w:p>
      <w:pPr>
        <w:ind w:left="500" w:hanging="497"/>
        <w:spacing w:after="0"/>
        <w:tabs>
          <w:tab w:leader="none" w:pos="50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Use of Estimates</w:t>
      </w:r>
    </w:p>
    <w:p>
      <w:pPr>
        <w:spacing w:after="0" w:line="174" w:lineRule="exact"/>
        <w:rPr>
          <w:sz w:val="20"/>
          <w:szCs w:val="20"/>
          <w:color w:val="auto"/>
        </w:rPr>
      </w:pPr>
    </w:p>
    <w:p>
      <w:pPr>
        <w:ind w:firstLine="497"/>
        <w:spacing w:after="0" w:line="253"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40"/>
          </w:cols>
          <w:pgMar w:left="220" w:top="129"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uncertain tax positions, contingencies and litigation, contingent acquisition consideration, stock-based compensation, and losses on unused office space.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41" w:lineRule="exact"/>
        <w:rPr>
          <w:sz w:val="20"/>
          <w:szCs w:val="20"/>
          <w:color w:val="auto"/>
        </w:rPr>
      </w:pPr>
    </w:p>
    <w:p>
      <w:pPr>
        <w:ind w:left="500" w:hanging="497"/>
        <w:spacing w:after="0"/>
        <w:tabs>
          <w:tab w:leader="none" w:pos="50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Revenue Recognition</w:t>
      </w:r>
    </w:p>
    <w:p>
      <w:pPr>
        <w:spacing w:after="0" w:line="174" w:lineRule="exact"/>
        <w:rPr>
          <w:sz w:val="20"/>
          <w:szCs w:val="20"/>
          <w:color w:val="auto"/>
        </w:rPr>
      </w:pPr>
    </w:p>
    <w:p>
      <w:pPr>
        <w:ind w:right="80" w:firstLine="497"/>
        <w:spacing w:after="0" w:line="251" w:lineRule="auto"/>
        <w:rPr>
          <w:sz w:val="20"/>
          <w:szCs w:val="20"/>
          <w:color w:val="auto"/>
        </w:rPr>
      </w:pPr>
      <w:r>
        <w:rPr>
          <w:rFonts w:ascii="Arial" w:cs="Arial" w:eastAsia="Arial" w:hAnsi="Arial"/>
          <w:sz w:val="14"/>
          <w:szCs w:val="14"/>
          <w:color w:val="auto"/>
        </w:rPr>
        <w:t>The Company generates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its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49" w:lineRule="exact"/>
        <w:rPr>
          <w:sz w:val="20"/>
          <w:szCs w:val="20"/>
          <w:color w:val="auto"/>
        </w:rPr>
      </w:pPr>
    </w:p>
    <w:p>
      <w:pPr>
        <w:ind w:right="60" w:firstLine="497"/>
        <w:spacing w:after="0" w:line="293" w:lineRule="auto"/>
        <w:rPr>
          <w:sz w:val="20"/>
          <w:szCs w:val="20"/>
          <w:color w:val="auto"/>
        </w:rPr>
      </w:pPr>
      <w:r>
        <w:rPr>
          <w:rFonts w:ascii="Arial" w:cs="Arial" w:eastAsia="Arial" w:hAnsi="Arial"/>
          <w:sz w:val="12"/>
          <w:szCs w:val="12"/>
          <w:color w:val="auto"/>
        </w:rPr>
        <w:t xml:space="preserve">The Company has three basic categories of fixed-price contracts: fixed unit price, fixed-price-level of effort, and fixed-price-completion.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2"/>
          <w:szCs w:val="12"/>
          <w:i w:val="1"/>
          <w:iCs w:val="1"/>
          <w:color w:val="auto"/>
        </w:rPr>
        <w:t>Accounting Standards Codification</w:t>
      </w:r>
      <w:r>
        <w:rPr>
          <w:rFonts w:ascii="Arial" w:cs="Arial" w:eastAsia="Arial" w:hAnsi="Arial"/>
          <w:sz w:val="12"/>
          <w:szCs w:val="12"/>
          <w:color w:val="auto"/>
        </w:rPr>
        <w:t xml:space="preserve"> (“ASC”) </w:t>
      </w:r>
      <w:r>
        <w:rPr>
          <w:rFonts w:ascii="Arial" w:cs="Arial" w:eastAsia="Arial" w:hAnsi="Arial"/>
          <w:sz w:val="12"/>
          <w:szCs w:val="12"/>
          <w:i w:val="1"/>
          <w:iCs w:val="1"/>
          <w:color w:val="auto"/>
        </w:rPr>
        <w:t xml:space="preserve">Topic 605, Revenue Recognition </w:t>
      </w:r>
      <w:r>
        <w:rPr>
          <w:rFonts w:ascii="Arial" w:cs="Arial" w:eastAsia="Arial" w:hAnsi="Arial"/>
          <w:sz w:val="12"/>
          <w:szCs w:val="12"/>
          <w:color w:val="auto"/>
        </w:rPr>
        <w:t>(“</w:t>
      </w:r>
      <w:r>
        <w:rPr>
          <w:rFonts w:ascii="Arial" w:cs="Arial" w:eastAsia="Arial" w:hAnsi="Arial"/>
          <w:sz w:val="12"/>
          <w:szCs w:val="12"/>
          <w:i w:val="1"/>
          <w:iCs w:val="1"/>
          <w:color w:val="auto"/>
        </w:rPr>
        <w:t>Topic 605</w:t>
      </w:r>
      <w:r>
        <w:rPr>
          <w:rFonts w:ascii="Arial" w:cs="Arial" w:eastAsia="Arial" w:hAnsi="Arial"/>
          <w:sz w:val="12"/>
          <w:szCs w:val="12"/>
          <w:color w:val="auto"/>
        </w:rPr>
        <w:t>”), specifically</w:t>
      </w:r>
      <w:r>
        <w:rPr>
          <w:rFonts w:ascii="Arial" w:cs="Arial" w:eastAsia="Arial" w:hAnsi="Arial"/>
          <w:sz w:val="12"/>
          <w:szCs w:val="12"/>
          <w:i w:val="1"/>
          <w:iCs w:val="1"/>
          <w:color w:val="auto"/>
        </w:rPr>
        <w:t xml:space="preserve"> Topic 605-10-S99</w:t>
      </w:r>
      <w:r>
        <w:rPr>
          <w:rFonts w:ascii="Arial" w:cs="Arial" w:eastAsia="Arial" w:hAnsi="Arial"/>
          <w:sz w:val="12"/>
          <w:szCs w:val="12"/>
          <w:color w:val="auto"/>
        </w:rPr>
        <w:t>, which generally requires revenue to be deferred until all of the following have occurred: (1) there is a contract in place;</w:t>
      </w:r>
    </w:p>
    <w:p>
      <w:pPr>
        <w:spacing w:after="0" w:line="1" w:lineRule="exact"/>
        <w:rPr>
          <w:sz w:val="20"/>
          <w:szCs w:val="20"/>
          <w:color w:val="auto"/>
        </w:rPr>
      </w:pPr>
    </w:p>
    <w:p>
      <w:pPr>
        <w:ind w:right="80" w:firstLine="3"/>
        <w:spacing w:after="0" w:line="250" w:lineRule="auto"/>
        <w:tabs>
          <w:tab w:leader="none" w:pos="195"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delivery has occurred or services have been provided; (3) the price is fixed or determinable; and (4) collectability is reasonably assured. Revenues on fixed-price contracts that require delivery of specific items may be recorded based on a price per unit as units are delivered. Revenue for fixed-price contracts in which the Company is paid a specific amount to provide services for a stated period of time is recognized ratably over the service period.</w:t>
      </w:r>
    </w:p>
    <w:p>
      <w:pPr>
        <w:spacing w:after="0" w:line="150" w:lineRule="exact"/>
        <w:rPr>
          <w:sz w:val="20"/>
          <w:szCs w:val="20"/>
          <w:color w:val="auto"/>
        </w:rPr>
      </w:pPr>
    </w:p>
    <w:p>
      <w:pPr>
        <w:ind w:right="60" w:firstLine="497"/>
        <w:spacing w:after="0" w:line="309" w:lineRule="auto"/>
        <w:rPr>
          <w:sz w:val="20"/>
          <w:szCs w:val="20"/>
          <w:color w:val="auto"/>
        </w:rPr>
      </w:pPr>
      <w:r>
        <w:rPr>
          <w:rFonts w:ascii="Arial" w:cs="Arial" w:eastAsia="Arial" w:hAnsi="Arial"/>
          <w:sz w:val="12"/>
          <w:szCs w:val="12"/>
          <w:color w:val="auto"/>
        </w:rPr>
        <w:t xml:space="preserve">On a portion of the fixed price-completion contracts, revenue is recognized in accordance with </w:t>
      </w:r>
      <w:r>
        <w:rPr>
          <w:rFonts w:ascii="Arial" w:cs="Arial" w:eastAsia="Arial" w:hAnsi="Arial"/>
          <w:sz w:val="12"/>
          <w:szCs w:val="12"/>
          <w:i w:val="1"/>
          <w:iCs w:val="1"/>
          <w:color w:val="auto"/>
        </w:rPr>
        <w:t>Topic 605</w:t>
      </w:r>
      <w:r>
        <w:rPr>
          <w:rFonts w:ascii="Arial" w:cs="Arial" w:eastAsia="Arial" w:hAnsi="Arial"/>
          <w:sz w:val="12"/>
          <w:szCs w:val="12"/>
          <w:color w:val="auto"/>
        </w:rPr>
        <w:t xml:space="preserve"> using the percentage-of-completion method based on the ratio of total costs incurred to date compared to estimated total costs to complete the contract. Estimates of costs to complete include material, direct labor, overhead, and allowable indirect expenses for government contracts. These cost estimates are reviewed and, if necessary, revised on a contract-by-contract basis. If, as a result of this review, management determines that a loss on a contract is probable, then the full amount of estimated loss is charged to operations in the period. As of December 25, 2016 and December 27, 2015, accrued expenses included the accrual for losses on contracts of $17.7 million and $3.5 million, respectively.</w:t>
      </w:r>
    </w:p>
    <w:p>
      <w:pPr>
        <w:spacing w:after="0" w:line="118" w:lineRule="exact"/>
        <w:rPr>
          <w:sz w:val="20"/>
          <w:szCs w:val="20"/>
          <w:color w:val="auto"/>
        </w:rPr>
      </w:pPr>
    </w:p>
    <w:p>
      <w:pPr>
        <w:ind w:firstLine="497"/>
        <w:spacing w:after="0" w:line="306" w:lineRule="auto"/>
        <w:rPr>
          <w:sz w:val="20"/>
          <w:szCs w:val="20"/>
          <w:color w:val="auto"/>
        </w:rPr>
      </w:pPr>
      <w:r>
        <w:rPr>
          <w:rFonts w:ascii="Arial" w:cs="Arial" w:eastAsia="Arial" w:hAnsi="Arial"/>
          <w:sz w:val="13"/>
          <w:szCs w:val="13"/>
          <w:color w:val="auto"/>
        </w:rPr>
        <w:t>In certain instances, when the Company’s customers have requested that it commence work prior to receipt of the contract award and funding and it has incurred costs related to that specific anticipated contract, and the Company believes recoverability of the costs is probable, it may defer those costs incurred until the associated contract has been awarded and funded by the customer.</w:t>
      </w:r>
    </w:p>
    <w:p>
      <w:pPr>
        <w:spacing w:after="0" w:line="116" w:lineRule="exact"/>
        <w:rPr>
          <w:sz w:val="20"/>
          <w:szCs w:val="20"/>
          <w:color w:val="auto"/>
        </w:rPr>
      </w:pPr>
    </w:p>
    <w:p>
      <w:pPr>
        <w:ind w:right="60" w:firstLine="497"/>
        <w:spacing w:after="0" w:line="276" w:lineRule="auto"/>
        <w:rPr>
          <w:sz w:val="20"/>
          <w:szCs w:val="20"/>
          <w:color w:val="auto"/>
        </w:rPr>
      </w:pPr>
      <w:r>
        <w:rPr>
          <w:rFonts w:ascii="Arial" w:cs="Arial" w:eastAsia="Arial" w:hAnsi="Arial"/>
          <w:sz w:val="13"/>
          <w:szCs w:val="13"/>
          <w:color w:val="auto"/>
        </w:rPr>
        <w:t xml:space="preserve">In accounting for the Company’s long-term contracts for production of products provided to the U.S. Government, the Company utilizes both cost-to-cost and units delivered measures under the percentage-of-completion method of accounting under the provisions of </w:t>
      </w:r>
      <w:r>
        <w:rPr>
          <w:rFonts w:ascii="Arial" w:cs="Arial" w:eastAsia="Arial" w:hAnsi="Arial"/>
          <w:sz w:val="13"/>
          <w:szCs w:val="13"/>
          <w:i w:val="1"/>
          <w:iCs w:val="1"/>
          <w:color w:val="auto"/>
        </w:rPr>
        <w:t>Topic 605</w:t>
      </w:r>
      <w:r>
        <w:rPr>
          <w:rFonts w:ascii="Arial" w:cs="Arial" w:eastAsia="Arial" w:hAnsi="Arial"/>
          <w:sz w:val="13"/>
          <w:szCs w:val="13"/>
          <w:color w:val="auto"/>
        </w:rPr>
        <w:t>. Under the units delivered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delivered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34" w:lineRule="exact"/>
        <w:rPr>
          <w:sz w:val="20"/>
          <w:szCs w:val="20"/>
          <w:color w:val="auto"/>
        </w:rPr>
      </w:pPr>
    </w:p>
    <w:p>
      <w:pPr>
        <w:jc w:val="both"/>
        <w:ind w:right="300" w:firstLine="497"/>
        <w:spacing w:after="0" w:line="253" w:lineRule="auto"/>
        <w:rPr>
          <w:sz w:val="20"/>
          <w:szCs w:val="20"/>
          <w:color w:val="auto"/>
        </w:rPr>
      </w:pPr>
      <w:r>
        <w:rPr>
          <w:rFonts w:ascii="Arial" w:cs="Arial" w:eastAsia="Arial" w:hAnsi="Arial"/>
          <w:sz w:val="14"/>
          <w:szCs w:val="14"/>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the Company’s gross margins for the period in which the contract is modified or canceled. Under certain circumstances, a cancellation or negative modification could result in the Company having to reverse revenue that was recognized in a prior period, thus significantly reducing the amount of revenues recognized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60"/>
          </w:cols>
          <w:pgMar w:left="220" w:top="129" w:right="21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260"/>
        <w:spacing w:after="0" w:line="279" w:lineRule="auto"/>
        <w:rPr>
          <w:sz w:val="20"/>
          <w:szCs w:val="20"/>
          <w:color w:val="auto"/>
        </w:rPr>
      </w:pPr>
      <w:r>
        <w:rPr>
          <w:rFonts w:ascii="Arial" w:cs="Arial" w:eastAsia="Arial" w:hAnsi="Arial"/>
          <w:sz w:val="13"/>
          <w:szCs w:val="13"/>
          <w:color w:val="auto"/>
        </w:rPr>
        <w:t>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Changes in contract estimates are reviewed on a contract-by-contract basis and are revised periodically throughout the life of the contract such that adjustments to profit resulting from revisions are made cumulative to the date of the revision in accordance with GAAP. Material differences may result in the amount and timing of the Company’s revenue for any period if management made different judgments or utilized different estimates.</w:t>
      </w:r>
    </w:p>
    <w:p>
      <w:pPr>
        <w:spacing w:after="0" w:line="133" w:lineRule="exact"/>
        <w:rPr>
          <w:sz w:val="20"/>
          <w:szCs w:val="20"/>
          <w:color w:val="auto"/>
        </w:rPr>
      </w:pPr>
    </w:p>
    <w:p>
      <w:pPr>
        <w:ind w:firstLine="497"/>
        <w:spacing w:after="0" w:line="320" w:lineRule="auto"/>
        <w:rPr>
          <w:sz w:val="20"/>
          <w:szCs w:val="20"/>
          <w:color w:val="auto"/>
        </w:rPr>
      </w:pPr>
      <w:r>
        <w:rPr>
          <w:rFonts w:ascii="Arial" w:cs="Arial" w:eastAsia="Arial" w:hAnsi="Arial"/>
          <w:sz w:val="12"/>
          <w:szCs w:val="12"/>
          <w:color w:val="auto"/>
        </w:rPr>
        <w:t xml:space="preserve">It is the Company’s policy to review any arrangement containing software or software deliverables and services against the criteria contained in ASC </w:t>
      </w:r>
      <w:r>
        <w:rPr>
          <w:rFonts w:ascii="Arial" w:cs="Arial" w:eastAsia="Arial" w:hAnsi="Arial"/>
          <w:sz w:val="12"/>
          <w:szCs w:val="12"/>
          <w:i w:val="1"/>
          <w:iCs w:val="1"/>
          <w:color w:val="auto"/>
        </w:rPr>
        <w:t>Topic 985, Software</w:t>
      </w:r>
      <w:r>
        <w:rPr>
          <w:rFonts w:ascii="Arial" w:cs="Arial" w:eastAsia="Arial" w:hAnsi="Arial"/>
          <w:sz w:val="12"/>
          <w:szCs w:val="12"/>
          <w:color w:val="auto"/>
        </w:rPr>
        <w:t xml:space="preserve"> (“</w:t>
      </w:r>
      <w:r>
        <w:rPr>
          <w:rFonts w:ascii="Arial" w:cs="Arial" w:eastAsia="Arial" w:hAnsi="Arial"/>
          <w:sz w:val="12"/>
          <w:szCs w:val="12"/>
          <w:i w:val="1"/>
          <w:iCs w:val="1"/>
          <w:color w:val="auto"/>
        </w:rPr>
        <w:t>Topic 985</w:t>
      </w:r>
      <w:r>
        <w:rPr>
          <w:rFonts w:ascii="Arial" w:cs="Arial" w:eastAsia="Arial" w:hAnsi="Arial"/>
          <w:sz w:val="12"/>
          <w:szCs w:val="12"/>
          <w:color w:val="auto"/>
        </w:rPr>
        <w:t>”)</w:t>
      </w:r>
      <w:r>
        <w:rPr>
          <w:rFonts w:ascii="Arial" w:cs="Arial" w:eastAsia="Arial" w:hAnsi="Arial"/>
          <w:sz w:val="12"/>
          <w:szCs w:val="12"/>
          <w:i w:val="1"/>
          <w:iCs w:val="1"/>
          <w:color w:val="auto"/>
        </w:rPr>
        <w:t>.</w:t>
      </w:r>
      <w:r>
        <w:rPr>
          <w:rFonts w:ascii="Arial" w:cs="Arial" w:eastAsia="Arial" w:hAnsi="Arial"/>
          <w:sz w:val="12"/>
          <w:szCs w:val="12"/>
          <w:color w:val="auto"/>
        </w:rPr>
        <w:t xml:space="preserve"> Under the provisions of </w:t>
      </w:r>
      <w:r>
        <w:rPr>
          <w:rFonts w:ascii="Arial" w:cs="Arial" w:eastAsia="Arial" w:hAnsi="Arial"/>
          <w:sz w:val="12"/>
          <w:szCs w:val="12"/>
          <w:i w:val="1"/>
          <w:iCs w:val="1"/>
          <w:color w:val="auto"/>
        </w:rPr>
        <w:t>Topic 985</w:t>
      </w:r>
      <w:r>
        <w:rPr>
          <w:rFonts w:ascii="Arial" w:cs="Arial" w:eastAsia="Arial" w:hAnsi="Arial"/>
          <w:sz w:val="12"/>
          <w:szCs w:val="12"/>
          <w:color w:val="auto"/>
        </w:rPr>
        <w:t xml:space="preserve">, the Company reviews the contract value of software deliverables and services and determines allocations of the contract value based on vendor-specific objective evidence (“VSOE”) of fair value for each of the software elements. All software arrangements requiring significant production, modification, or customization of the software are accounted for in conformity with </w:t>
      </w:r>
      <w:r>
        <w:rPr>
          <w:rFonts w:ascii="Arial" w:cs="Arial" w:eastAsia="Arial" w:hAnsi="Arial"/>
          <w:sz w:val="12"/>
          <w:szCs w:val="12"/>
          <w:i w:val="1"/>
          <w:iCs w:val="1"/>
          <w:color w:val="auto"/>
        </w:rPr>
        <w:t>Topic 605</w:t>
      </w:r>
      <w:r>
        <w:rPr>
          <w:rFonts w:ascii="Arial" w:cs="Arial" w:eastAsia="Arial" w:hAnsi="Arial"/>
          <w:sz w:val="12"/>
          <w:szCs w:val="12"/>
          <w:color w:val="auto"/>
        </w:rPr>
        <w:t>.</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xml:space="preserve">The Company’s contracts may include the provision of more than one of its services (“multiple element arrangements”). In these situations, the Company applies the guidance of </w:t>
      </w:r>
      <w:r>
        <w:rPr>
          <w:rFonts w:ascii="Arial" w:cs="Arial" w:eastAsia="Arial" w:hAnsi="Arial"/>
          <w:sz w:val="13"/>
          <w:szCs w:val="13"/>
          <w:i w:val="1"/>
          <w:iCs w:val="1"/>
          <w:color w:val="auto"/>
        </w:rPr>
        <w:t>Topic 605</w:t>
      </w:r>
      <w:r>
        <w:rPr>
          <w:rFonts w:ascii="Arial" w:cs="Arial" w:eastAsia="Arial" w:hAnsi="Arial"/>
          <w:sz w:val="13"/>
          <w:szCs w:val="13"/>
          <w:color w:val="auto"/>
        </w:rPr>
        <w:t>.</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Accordingly, for applicable arrangements, revenue recognition includes the proper identification of separate units of accounting and the allocation of revenue across all elements based on relative fair values.</w:t>
      </w:r>
    </w:p>
    <w:p>
      <w:pPr>
        <w:spacing w:after="0" w:line="184" w:lineRule="exact"/>
        <w:rPr>
          <w:sz w:val="20"/>
          <w:szCs w:val="20"/>
          <w:color w:val="auto"/>
        </w:rPr>
      </w:pPr>
    </w:p>
    <w:p>
      <w:pPr>
        <w:jc w:val="both"/>
        <w:ind w:right="60" w:firstLine="497"/>
        <w:spacing w:after="0" w:line="257" w:lineRule="auto"/>
        <w:rPr>
          <w:sz w:val="20"/>
          <w:szCs w:val="20"/>
          <w:color w:val="auto"/>
        </w:rPr>
      </w:pPr>
      <w:r>
        <w:rPr>
          <w:rFonts w:ascii="Arial" w:cs="Arial" w:eastAsia="Arial" w:hAnsi="Arial"/>
          <w:sz w:val="14"/>
          <w:szCs w:val="14"/>
          <w:color w:val="auto"/>
        </w:rPr>
        <w:t>For multiple element arrangements that include hardware products containing software essential to the hardware products’ functionality, the Company allocates revenue to all deliverables based on their relative selling prices. In such circumstances, the Company uses a hierarchy to determine the selling price to be used for allocating revenue to deliverables: (i) VSOE, (ii) third-party evidence of selling price (“TPE”), and (iii) best estimate of the selling price (“ESP”).</w:t>
      </w:r>
    </w:p>
    <w:p>
      <w:pPr>
        <w:spacing w:after="0" w:line="145" w:lineRule="exact"/>
        <w:rPr>
          <w:sz w:val="20"/>
          <w:szCs w:val="20"/>
          <w:color w:val="auto"/>
        </w:rPr>
      </w:pPr>
    </w:p>
    <w:p>
      <w:pPr>
        <w:ind w:right="80" w:firstLine="497"/>
        <w:spacing w:after="0" w:line="274" w:lineRule="auto"/>
        <w:rPr>
          <w:sz w:val="20"/>
          <w:szCs w:val="20"/>
          <w:color w:val="auto"/>
        </w:rPr>
      </w:pPr>
      <w:r>
        <w:rPr>
          <w:rFonts w:ascii="Arial" w:cs="Arial" w:eastAsia="Arial" w:hAnsi="Arial"/>
          <w:sz w:val="13"/>
          <w:szCs w:val="13"/>
          <w:color w:val="auto"/>
        </w:rPr>
        <w:t>VSOE generally exists only when the Company sells the deliverable separately and is the price actually charged by the Company for that deliverable. TPE is determined based on competitor prices for similar deliverables when sold separately. Generally, the Company’s offerings contain significant differentiation such that comparable pricing of products with similar functionality cannot be obtained. Furthermore, the Company is unable to reliably determine what similar competitor products’ selling prices are on a stand-alone basis. Therefore, the Company typically is unable to obtain TPE of selling price. ESP reflects the Company’s best estimates of what the selling prices of elements would be if they were sold regularly on a stand-alone basis. The Company determines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management, taking into consideration the Company’s marketing strategy.</w:t>
      </w:r>
    </w:p>
    <w:p>
      <w:pPr>
        <w:spacing w:after="0" w:line="136" w:lineRule="exact"/>
        <w:rPr>
          <w:sz w:val="20"/>
          <w:szCs w:val="20"/>
          <w:color w:val="auto"/>
        </w:rPr>
      </w:pPr>
    </w:p>
    <w:p>
      <w:pPr>
        <w:ind w:right="100" w:firstLine="497"/>
        <w:spacing w:after="0" w:line="251" w:lineRule="auto"/>
        <w:rPr>
          <w:sz w:val="20"/>
          <w:szCs w:val="20"/>
          <w:color w:val="auto"/>
        </w:rPr>
      </w:pPr>
      <w:r>
        <w:rPr>
          <w:rFonts w:ascii="Arial" w:cs="Arial" w:eastAsia="Arial" w:hAnsi="Arial"/>
          <w:sz w:val="14"/>
          <w:szCs w:val="14"/>
          <w:color w:val="auto"/>
        </w:rPr>
        <w:t xml:space="preserve">The Company accounts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the Company cannot objectively determine the fair value of any undelivered element included in such multiple element arrangements, the Company defers revenue until all elements are delivered and services have been performed, or until fair value can objectively be determined for any remaining undelivered elements. Under certain of the Company’s contractual arrangements, the Company may also recognize revenue for out-of-pocket expenses in accordance with </w:t>
      </w:r>
      <w:r>
        <w:rPr>
          <w:rFonts w:ascii="Arial" w:cs="Arial" w:eastAsia="Arial" w:hAnsi="Arial"/>
          <w:sz w:val="14"/>
          <w:szCs w:val="14"/>
          <w:i w:val="1"/>
          <w:iCs w:val="1"/>
          <w:color w:val="auto"/>
        </w:rPr>
        <w:t>Topic 605.</w:t>
      </w:r>
      <w:r>
        <w:rPr>
          <w:rFonts w:ascii="Arial" w:cs="Arial" w:eastAsia="Arial" w:hAnsi="Arial"/>
          <w:sz w:val="14"/>
          <w:szCs w:val="14"/>
          <w:color w:val="auto"/>
        </w:rPr>
        <w:t xml:space="preserve"> Depending on the contractual arrangement, these expenses may be reimbursed with or without a fee.</w:t>
      </w:r>
    </w:p>
    <w:p>
      <w:pPr>
        <w:spacing w:after="0" w:line="149" w:lineRule="exact"/>
        <w:rPr>
          <w:sz w:val="20"/>
          <w:szCs w:val="20"/>
          <w:color w:val="auto"/>
        </w:rPr>
      </w:pPr>
    </w:p>
    <w:p>
      <w:pPr>
        <w:ind w:right="140" w:firstLine="497"/>
        <w:spacing w:after="0" w:line="352" w:lineRule="auto"/>
        <w:rPr>
          <w:sz w:val="20"/>
          <w:szCs w:val="20"/>
          <w:color w:val="auto"/>
        </w:rPr>
      </w:pPr>
      <w:r>
        <w:rPr>
          <w:rFonts w:ascii="Arial" w:cs="Arial" w:eastAsia="Arial" w:hAnsi="Arial"/>
          <w:sz w:val="12"/>
          <w:szCs w:val="12"/>
          <w:color w:val="auto"/>
        </w:rPr>
        <w:t xml:space="preserve">Under certain of its contracts, the Company provides supplier procurement services and materials for its customers. The Company records revenue on these arrangements on a gross or net basis in accordance with </w:t>
      </w:r>
      <w:r>
        <w:rPr>
          <w:rFonts w:ascii="Arial" w:cs="Arial" w:eastAsia="Arial" w:hAnsi="Arial"/>
          <w:sz w:val="12"/>
          <w:szCs w:val="12"/>
          <w:i w:val="1"/>
          <w:iCs w:val="1"/>
          <w:color w:val="auto"/>
        </w:rPr>
        <w:t>Topic 605,</w:t>
      </w:r>
      <w:r>
        <w:rPr>
          <w:rFonts w:ascii="Arial" w:cs="Arial" w:eastAsia="Arial" w:hAnsi="Arial"/>
          <w:sz w:val="12"/>
          <w:szCs w:val="12"/>
          <w:color w:val="auto"/>
        </w:rPr>
        <w:t xml:space="preserve"> depending on the specific circumstances of the arrangement. The Company considers the following criteria, among others, for recording revenue on a gross or net basis:</w:t>
      </w:r>
    </w:p>
    <w:p>
      <w:pPr>
        <w:spacing w:after="0" w:line="92" w:lineRule="exact"/>
        <w:rPr>
          <w:sz w:val="20"/>
          <w:szCs w:val="20"/>
          <w:color w:val="auto"/>
        </w:rPr>
      </w:pPr>
    </w:p>
    <w:p>
      <w:pPr>
        <w:ind w:left="840" w:hanging="361"/>
        <w:spacing w:after="0"/>
        <w:tabs>
          <w:tab w:leader="none" w:pos="8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whether the Company acts as a principal in the transaction;</w:t>
      </w:r>
    </w:p>
    <w:p>
      <w:pPr>
        <w:spacing w:after="0" w:line="13" w:lineRule="exact"/>
        <w:rPr>
          <w:rFonts w:ascii="Arial" w:cs="Arial" w:eastAsia="Arial" w:hAnsi="Arial"/>
          <w:sz w:val="14"/>
          <w:szCs w:val="14"/>
          <w:color w:val="auto"/>
        </w:rPr>
      </w:pPr>
    </w:p>
    <w:p>
      <w:pPr>
        <w:ind w:left="840" w:hanging="361"/>
        <w:spacing w:after="0"/>
        <w:tabs>
          <w:tab w:leader="none" w:pos="8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whether the Company takes title to the products;</w:t>
      </w:r>
    </w:p>
    <w:p>
      <w:pPr>
        <w:spacing w:after="0" w:line="4" w:lineRule="exact"/>
        <w:rPr>
          <w:rFonts w:ascii="Arial" w:cs="Arial" w:eastAsia="Arial" w:hAnsi="Arial"/>
          <w:sz w:val="14"/>
          <w:szCs w:val="14"/>
          <w:color w:val="auto"/>
        </w:rPr>
      </w:pPr>
    </w:p>
    <w:p>
      <w:pPr>
        <w:ind w:left="840" w:hanging="361"/>
        <w:spacing w:after="0"/>
        <w:tabs>
          <w:tab w:leader="none" w:pos="8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whether the Company assumes risks and rewards of ownership, such as risk of loss for collection, delivery or returns;</w:t>
      </w:r>
    </w:p>
    <w:p>
      <w:pPr>
        <w:spacing w:after="0" w:line="4" w:lineRule="exact"/>
        <w:rPr>
          <w:rFonts w:ascii="Arial" w:cs="Arial" w:eastAsia="Arial" w:hAnsi="Arial"/>
          <w:sz w:val="14"/>
          <w:szCs w:val="14"/>
          <w:color w:val="auto"/>
        </w:rPr>
      </w:pPr>
    </w:p>
    <w:p>
      <w:pPr>
        <w:ind w:left="840" w:hanging="361"/>
        <w:spacing w:after="0"/>
        <w:tabs>
          <w:tab w:leader="none" w:pos="8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whether the Company serves as an agent or broker, with compensation on a commission or fee basis; and,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20" w:top="129" w:right="25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840" w:hanging="361"/>
        <w:spacing w:after="0"/>
        <w:tabs>
          <w:tab w:leader="none" w:pos="8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whether the Company assumes the credit risk for the amount billed to the customer subsequent to delivery.</w:t>
      </w:r>
    </w:p>
    <w:p>
      <w:pPr>
        <w:spacing w:after="0" w:line="170" w:lineRule="exact"/>
        <w:rPr>
          <w:sz w:val="20"/>
          <w:szCs w:val="20"/>
          <w:color w:val="auto"/>
        </w:rPr>
      </w:pPr>
    </w:p>
    <w:p>
      <w:pPr>
        <w:ind w:right="20" w:firstLine="497"/>
        <w:spacing w:after="0" w:line="250" w:lineRule="auto"/>
        <w:rPr>
          <w:sz w:val="20"/>
          <w:szCs w:val="20"/>
          <w:color w:val="auto"/>
        </w:rPr>
      </w:pPr>
      <w:r>
        <w:rPr>
          <w:rFonts w:ascii="Arial" w:cs="Arial" w:eastAsia="Arial" w:hAnsi="Arial"/>
          <w:sz w:val="14"/>
          <w:szCs w:val="14"/>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the consistent application of its critical accounting policies and compliance with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w:t>
      </w:r>
    </w:p>
    <w:p>
      <w:pPr>
        <w:spacing w:after="0" w:line="151" w:lineRule="exact"/>
        <w:rPr>
          <w:sz w:val="20"/>
          <w:szCs w:val="20"/>
          <w:color w:val="auto"/>
        </w:rPr>
      </w:pPr>
    </w:p>
    <w:p>
      <w:pPr>
        <w:ind w:right="160" w:firstLine="497"/>
        <w:spacing w:after="0" w:line="252" w:lineRule="auto"/>
        <w:rPr>
          <w:sz w:val="20"/>
          <w:szCs w:val="20"/>
          <w:color w:val="auto"/>
        </w:rPr>
      </w:pPr>
      <w:r>
        <w:rPr>
          <w:rFonts w:ascii="Arial" w:cs="Arial" w:eastAsia="Arial" w:hAnsi="Arial"/>
          <w:sz w:val="14"/>
          <w:szCs w:val="14"/>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customer, communications with the customer regarding funding status, and its knowledge of available funding for the contract or program. As of December 25, 2016 and December 27, 2015, approximately $2.0 million and $1.7 million, respectively, of the Company’s unbilled accounts receivable balance were under an authorization to proceed or work order from its customers where a formal purchase order had not yet been received.</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Costs incurred for shipping and handling are included in cost of product sales at the time the related revenue is recognized. Amounts billed to a customer for shipping and handling are reported as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157" w:lineRule="exact"/>
        <w:rPr>
          <w:sz w:val="20"/>
          <w:szCs w:val="20"/>
          <w:color w:val="auto"/>
        </w:rPr>
      </w:pPr>
    </w:p>
    <w:p>
      <w:pPr>
        <w:ind w:left="500" w:hanging="497"/>
        <w:spacing w:after="0"/>
        <w:tabs>
          <w:tab w:leader="none" w:pos="50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Inventoried costs</w:t>
      </w:r>
    </w:p>
    <w:p>
      <w:pPr>
        <w:spacing w:after="0" w:line="174"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color w:val="auto"/>
        </w:rPr>
        <w:t>Inventoried costs are stated at the lower of cost or market. Cost is determined using the average cost or first-in, first-out methods and the applicable method is applied consistently within an operating entity. Inventoried costs primarily relate to work under fixed-price contracts using the units-of-delivery method of percentage-of-completion accounting.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34" w:lineRule="exact"/>
        <w:rPr>
          <w:sz w:val="20"/>
          <w:szCs w:val="20"/>
          <w:color w:val="auto"/>
        </w:rPr>
      </w:pPr>
    </w:p>
    <w:p>
      <w:pPr>
        <w:ind w:firstLine="497"/>
        <w:spacing w:after="0" w:line="267" w:lineRule="auto"/>
        <w:rPr>
          <w:sz w:val="20"/>
          <w:szCs w:val="20"/>
          <w:color w:val="auto"/>
        </w:rPr>
      </w:pPr>
      <w:r>
        <w:rPr>
          <w:rFonts w:ascii="Arial" w:cs="Arial" w:eastAsia="Arial" w:hAnsi="Arial"/>
          <w:sz w:val="14"/>
          <w:szCs w:val="14"/>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3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(g)</w:t>
      </w:r>
      <w:r>
        <w:rPr>
          <w:sz w:val="20"/>
          <w:szCs w:val="20"/>
          <w:color w:val="auto"/>
        </w:rPr>
        <w:tab/>
      </w:r>
      <w:r>
        <w:rPr>
          <w:rFonts w:ascii="Arial" w:cs="Arial" w:eastAsia="Arial" w:hAnsi="Arial"/>
          <w:sz w:val="12"/>
          <w:szCs w:val="12"/>
          <w:b w:val="1"/>
          <w:bCs w:val="1"/>
          <w:color w:val="auto"/>
        </w:rPr>
        <w:t>Research and Development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Costs incurred in research and development activities are expensed as incurred in accordance with </w:t>
      </w:r>
      <w:r>
        <w:rPr>
          <w:rFonts w:ascii="Arial" w:cs="Arial" w:eastAsia="Arial" w:hAnsi="Arial"/>
          <w:sz w:val="12"/>
          <w:szCs w:val="12"/>
          <w:i w:val="1"/>
          <w:iCs w:val="1"/>
          <w:color w:val="auto"/>
        </w:rPr>
        <w:t>Financial Accounting Standards Board</w:t>
      </w:r>
      <w:r>
        <w:rPr>
          <w:rFonts w:ascii="Arial" w:cs="Arial" w:eastAsia="Arial" w:hAnsi="Arial"/>
          <w:sz w:val="12"/>
          <w:szCs w:val="12"/>
          <w:color w:val="auto"/>
        </w:rPr>
        <w:t xml:space="preserve"> (“FASB”) ASC </w:t>
      </w:r>
      <w:r>
        <w:rPr>
          <w:rFonts w:ascii="Arial" w:cs="Arial" w:eastAsia="Arial" w:hAnsi="Arial"/>
          <w:sz w:val="12"/>
          <w:szCs w:val="12"/>
          <w:i w:val="1"/>
          <w:iCs w:val="1"/>
          <w:color w:val="auto"/>
        </w:rPr>
        <w:t>Topic 730, Research and Development.</w:t>
      </w:r>
    </w:p>
    <w:p>
      <w:pPr>
        <w:spacing w:after="0" w:line="189" w:lineRule="exact"/>
        <w:rPr>
          <w:sz w:val="20"/>
          <w:szCs w:val="20"/>
          <w:color w:val="auto"/>
        </w:rPr>
      </w:pPr>
    </w:p>
    <w:p>
      <w:pPr>
        <w:ind w:left="500" w:hanging="497"/>
        <w:spacing w:after="0"/>
        <w:tabs>
          <w:tab w:leader="none" w:pos="50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74" w:lineRule="exact"/>
        <w:rPr>
          <w:sz w:val="20"/>
          <w:szCs w:val="20"/>
          <w:color w:val="auto"/>
        </w:rPr>
      </w:pPr>
    </w:p>
    <w:p>
      <w:pPr>
        <w:ind w:right="40" w:firstLine="497"/>
        <w:spacing w:after="0" w:line="320" w:lineRule="auto"/>
        <w:rPr>
          <w:sz w:val="20"/>
          <w:szCs w:val="20"/>
          <w:color w:val="auto"/>
        </w:rPr>
      </w:pPr>
      <w:r>
        <w:rPr>
          <w:rFonts w:ascii="Arial" w:cs="Arial" w:eastAsia="Arial" w:hAnsi="Arial"/>
          <w:sz w:val="12"/>
          <w:szCs w:val="12"/>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11" w:lineRule="exact"/>
        <w:rPr>
          <w:sz w:val="20"/>
          <w:szCs w:val="20"/>
          <w:color w:val="auto"/>
        </w:rPr>
      </w:pPr>
    </w:p>
    <w:p>
      <w:pPr>
        <w:ind w:right="220" w:firstLine="497"/>
        <w:spacing w:after="0" w:line="267" w:lineRule="auto"/>
        <w:rPr>
          <w:sz w:val="20"/>
          <w:szCs w:val="20"/>
          <w:color w:val="auto"/>
        </w:rPr>
      </w:pPr>
      <w:r>
        <w:rPr>
          <w:rFonts w:ascii="Arial" w:cs="Arial" w:eastAsia="Arial" w:hAnsi="Arial"/>
          <w:sz w:val="14"/>
          <w:szCs w:val="14"/>
          <w:color w:val="auto"/>
        </w:rPr>
        <w:t>The Company maintains a valuation allowance on the deferred tax assets for which it is more likely than not that the Company will not realize the benefits of these tax assets in future tax periods. The valuation allowance is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60"/>
          </w:cols>
          <w:pgMar w:left="220" w:top="129" w:right="21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based on estimates of future taxable income by tax jurisdiction in which the Company operates, the number of years over which the deferred tax assets will be recoverable, and scheduled reversals of deferred tax liabilities.</w:t>
      </w:r>
    </w:p>
    <w:p>
      <w:pPr>
        <w:spacing w:after="0" w:line="139" w:lineRule="exact"/>
        <w:rPr>
          <w:sz w:val="20"/>
          <w:szCs w:val="20"/>
          <w:color w:val="auto"/>
        </w:rPr>
      </w:pPr>
    </w:p>
    <w:p>
      <w:pPr>
        <w:ind w:right="40" w:firstLine="497"/>
        <w:spacing w:after="0" w:line="279" w:lineRule="auto"/>
        <w:rPr>
          <w:sz w:val="20"/>
          <w:szCs w:val="20"/>
          <w:color w:val="auto"/>
        </w:rPr>
      </w:pPr>
      <w:r>
        <w:rPr>
          <w:rFonts w:ascii="Arial" w:cs="Arial" w:eastAsia="Arial" w:hAnsi="Arial"/>
          <w:sz w:val="13"/>
          <w:szCs w:val="13"/>
          <w:color w:val="auto"/>
        </w:rPr>
        <w:t xml:space="preserve">In accordance with the recognition standards established by ASC </w:t>
      </w:r>
      <w:r>
        <w:rPr>
          <w:rFonts w:ascii="Arial" w:cs="Arial" w:eastAsia="Arial" w:hAnsi="Arial"/>
          <w:sz w:val="13"/>
          <w:szCs w:val="13"/>
          <w:i w:val="1"/>
          <w:iCs w:val="1"/>
          <w:color w:val="auto"/>
        </w:rPr>
        <w:t>Topic 740, Income Taxes</w:t>
      </w:r>
      <w:r>
        <w:rPr>
          <w:rFonts w:ascii="Arial" w:cs="Arial" w:eastAsia="Arial" w:hAnsi="Arial"/>
          <w:sz w:val="13"/>
          <w:szCs w:val="13"/>
          <w:color w:val="auto"/>
        </w:rPr>
        <w:t xml:space="preserve"> (“</w:t>
      </w:r>
      <w:r>
        <w:rPr>
          <w:rFonts w:ascii="Arial" w:cs="Arial" w:eastAsia="Arial" w:hAnsi="Arial"/>
          <w:sz w:val="13"/>
          <w:szCs w:val="13"/>
          <w:i w:val="1"/>
          <w:iCs w:val="1"/>
          <w:color w:val="auto"/>
        </w:rPr>
        <w:t>Topic 740</w:t>
      </w:r>
      <w:r>
        <w:rPr>
          <w:rFonts w:ascii="Arial" w:cs="Arial" w:eastAsia="Arial" w:hAnsi="Arial"/>
          <w:sz w:val="13"/>
          <w:szCs w:val="13"/>
          <w:color w:val="auto"/>
        </w:rPr>
        <w:t>”),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29" w:lineRule="exact"/>
        <w:rPr>
          <w:sz w:val="20"/>
          <w:szCs w:val="20"/>
          <w:color w:val="auto"/>
        </w:rPr>
      </w:pPr>
    </w:p>
    <w:p>
      <w:pPr>
        <w:ind w:left="500" w:hanging="497"/>
        <w:spacing w:after="0"/>
        <w:tabs>
          <w:tab w:leader="none" w:pos="50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74" w:lineRule="exact"/>
        <w:rPr>
          <w:sz w:val="20"/>
          <w:szCs w:val="20"/>
          <w:color w:val="auto"/>
        </w:rPr>
      </w:pPr>
    </w:p>
    <w:p>
      <w:pPr>
        <w:ind w:right="80" w:firstLine="497"/>
        <w:spacing w:after="0" w:line="272" w:lineRule="auto"/>
        <w:rPr>
          <w:sz w:val="20"/>
          <w:szCs w:val="20"/>
          <w:color w:val="auto"/>
        </w:rPr>
      </w:pPr>
      <w:r>
        <w:rPr>
          <w:rFonts w:ascii="Arial" w:cs="Arial" w:eastAsia="Arial" w:hAnsi="Arial"/>
          <w:sz w:val="13"/>
          <w:szCs w:val="13"/>
          <w:color w:val="auto"/>
        </w:rPr>
        <w:t xml:space="preserve">The Company accounts for stock-based compensation in accordance with ASC </w:t>
      </w:r>
      <w:r>
        <w:rPr>
          <w:rFonts w:ascii="Arial" w:cs="Arial" w:eastAsia="Arial" w:hAnsi="Arial"/>
          <w:sz w:val="13"/>
          <w:szCs w:val="13"/>
          <w:i w:val="1"/>
          <w:iCs w:val="1"/>
          <w:color w:val="auto"/>
        </w:rPr>
        <w:t>Topic 718, Compensation-Stock Compensation</w:t>
      </w:r>
      <w:r>
        <w:rPr>
          <w:rFonts w:ascii="Arial" w:cs="Arial" w:eastAsia="Arial" w:hAnsi="Arial"/>
          <w:sz w:val="13"/>
          <w:szCs w:val="13"/>
          <w:color w:val="auto"/>
        </w:rPr>
        <w:t xml:space="preserve"> (“</w:t>
      </w:r>
      <w:r>
        <w:rPr>
          <w:rFonts w:ascii="Arial" w:cs="Arial" w:eastAsia="Arial" w:hAnsi="Arial"/>
          <w:sz w:val="13"/>
          <w:szCs w:val="13"/>
          <w:i w:val="1"/>
          <w:iCs w:val="1"/>
          <w:color w:val="auto"/>
        </w:rPr>
        <w:t>Topic 718</w:t>
      </w:r>
      <w:r>
        <w:rPr>
          <w:rFonts w:ascii="Arial" w:cs="Arial" w:eastAsia="Arial" w:hAnsi="Arial"/>
          <w:sz w:val="13"/>
          <w:szCs w:val="13"/>
          <w:color w:val="auto"/>
        </w:rPr>
        <w:t xml:space="preserve">”). All of the Company’s stock-based compensation plans are considered equity plans under </w:t>
      </w:r>
      <w:r>
        <w:rPr>
          <w:rFonts w:ascii="Arial" w:cs="Arial" w:eastAsia="Arial" w:hAnsi="Arial"/>
          <w:sz w:val="13"/>
          <w:szCs w:val="13"/>
          <w:i w:val="1"/>
          <w:iCs w:val="1"/>
          <w:color w:val="auto"/>
        </w:rPr>
        <w:t>Topic 718</w:t>
      </w:r>
      <w:r>
        <w:rPr>
          <w:rFonts w:ascii="Arial" w:cs="Arial" w:eastAsia="Arial" w:hAnsi="Arial"/>
          <w:sz w:val="13"/>
          <w:szCs w:val="13"/>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39" w:lineRule="exact"/>
        <w:rPr>
          <w:sz w:val="20"/>
          <w:szCs w:val="20"/>
          <w:color w:val="auto"/>
        </w:rPr>
      </w:pPr>
    </w:p>
    <w:p>
      <w:pPr>
        <w:ind w:right="120" w:firstLine="497"/>
        <w:spacing w:after="0" w:line="257" w:lineRule="auto"/>
        <w:rPr>
          <w:sz w:val="20"/>
          <w:szCs w:val="20"/>
          <w:color w:val="auto"/>
        </w:rPr>
      </w:pPr>
      <w:r>
        <w:rPr>
          <w:rFonts w:ascii="Arial" w:cs="Arial" w:eastAsia="Arial" w:hAnsi="Arial"/>
          <w:sz w:val="14"/>
          <w:szCs w:val="14"/>
          <w:color w:val="auto"/>
        </w:rPr>
        <w:t>For the years ended December 25, 2016, December 27, 2015 and December 28, 2014, there were no incremental tax benefits from stock options exercised in the periods. The following table shows the amounts recognized in the Consolidated Financial Statements for 2016, 2015 and 2014 for stock-based compensation expense related to stock options, stock awards and to stock offered under the Company’s employee stock purchase plan (in millions,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740" w:type="dxa"/>
            <w:vAlign w:val="bottom"/>
            <w:tcBorders>
              <w:bottom w:val="single" w:sz="8" w:color="CCEEFF"/>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w w:val="95"/>
              </w:rPr>
              <w:t>Total cost of employee stock-based compensation included in operating income (loss) from continuing operations</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Impact on net income (loss) per common share:</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gridSpan w:val="2"/>
          </w:tcPr>
          <w:p>
            <w:pPr>
              <w:ind w:left="120"/>
              <w:spacing w:after="0"/>
              <w:rPr>
                <w:sz w:val="20"/>
                <w:szCs w:val="20"/>
                <w:color w:val="auto"/>
              </w:rPr>
            </w:pPr>
            <w:r>
              <w:rPr>
                <w:rFonts w:ascii="Arial" w:cs="Arial" w:eastAsia="Arial" w:hAnsi="Arial"/>
                <w:sz w:val="14"/>
                <w:szCs w:val="14"/>
                <w:color w:val="auto"/>
              </w:rPr>
              <w:t>Basic and diluted</w:t>
            </w: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
        </w:trPr>
        <w:tc>
          <w:tcPr>
            <w:tcW w:w="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w:t>
            </w:r>
          </w:p>
        </w:tc>
        <w:tc>
          <w:tcPr>
            <w:tcW w:w="64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Allowance for Doubtful Accounts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 w:type="dxa"/>
            <w:vAlign w:val="bottom"/>
            <w:gridSpan w:val="2"/>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97"/>
        <w:spacing w:after="0" w:line="272" w:lineRule="auto"/>
        <w:rPr>
          <w:sz w:val="20"/>
          <w:szCs w:val="20"/>
          <w:color w:val="auto"/>
        </w:rPr>
      </w:pPr>
      <w:r>
        <w:rPr>
          <w:rFonts w:ascii="Arial" w:cs="Arial" w:eastAsia="Arial" w:hAnsi="Arial"/>
          <w:sz w:val="13"/>
          <w:szCs w:val="13"/>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60"/>
          </w:cols>
          <w:pgMar w:left="220" w:top="129" w:right="21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80" w:firstLine="497"/>
        <w:spacing w:after="0" w:line="267" w:lineRule="auto"/>
        <w:rPr>
          <w:sz w:val="20"/>
          <w:szCs w:val="20"/>
          <w:color w:val="auto"/>
        </w:rPr>
      </w:pPr>
      <w:r>
        <w:rPr>
          <w:rFonts w:ascii="Arial" w:cs="Arial" w:eastAsia="Arial" w:hAnsi="Arial"/>
          <w:sz w:val="14"/>
          <w:szCs w:val="14"/>
          <w:color w:val="auto"/>
        </w:rPr>
        <w:t>The following table outlines the balance of the Company’s Allowance for Doubtful Accounts for 2016, 2015 and 2014. The table identifies the additional provisions each year as well as the write-offs that utilized the allowance (in millions).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3460" w:type="dxa"/>
            <w:vAlign w:val="bottom"/>
          </w:tcPr>
          <w:p>
            <w:pPr>
              <w:ind w:left="20"/>
              <w:spacing w:after="0"/>
              <w:rPr>
                <w:sz w:val="20"/>
                <w:szCs w:val="20"/>
                <w:color w:val="auto"/>
              </w:rPr>
            </w:pPr>
            <w:r>
              <w:rPr>
                <w:rFonts w:ascii="Arial" w:cs="Arial" w:eastAsia="Arial" w:hAnsi="Arial"/>
                <w:sz w:val="11"/>
                <w:szCs w:val="11"/>
                <w:b w:val="1"/>
                <w:bCs w:val="1"/>
                <w:color w:val="auto"/>
              </w:rPr>
              <w:t>Allowance for Doubtful Accounts</w:t>
            </w:r>
          </w:p>
        </w:tc>
        <w:tc>
          <w:tcPr>
            <w:tcW w:w="3300" w:type="dxa"/>
            <w:vAlign w:val="bottom"/>
            <w:gridSpan w:val="3"/>
          </w:tcPr>
          <w:p>
            <w:pPr>
              <w:ind w:left="1760"/>
              <w:spacing w:after="0"/>
              <w:rPr>
                <w:sz w:val="20"/>
                <w:szCs w:val="20"/>
                <w:color w:val="auto"/>
              </w:rPr>
            </w:pPr>
            <w:r>
              <w:rPr>
                <w:rFonts w:ascii="Arial" w:cs="Arial" w:eastAsia="Arial" w:hAnsi="Arial"/>
                <w:sz w:val="11"/>
                <w:szCs w:val="11"/>
                <w:b w:val="1"/>
                <w:bCs w:val="1"/>
                <w:color w:val="auto"/>
                <w:w w:val="99"/>
              </w:rPr>
              <w:t>Balance at Beginning of Year</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Provisions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Write-offs/Recoveries</w:t>
            </w:r>
          </w:p>
        </w:tc>
        <w:tc>
          <w:tcPr>
            <w:tcW w:w="140" w:type="dxa"/>
            <w:vAlign w:val="bottom"/>
          </w:tcPr>
          <w:p>
            <w:pPr>
              <w:spacing w:after="0"/>
              <w:rPr>
                <w:sz w:val="12"/>
                <w:szCs w:val="12"/>
                <w:color w:val="auto"/>
              </w:rPr>
            </w:pPr>
          </w:p>
        </w:tc>
        <w:tc>
          <w:tcPr>
            <w:tcW w:w="1340" w:type="dxa"/>
            <w:vAlign w:val="bottom"/>
          </w:tcPr>
          <w:p>
            <w:pPr>
              <w:jc w:val="right"/>
              <w:ind w:right="134"/>
              <w:spacing w:after="0"/>
              <w:rPr>
                <w:sz w:val="20"/>
                <w:szCs w:val="20"/>
                <w:color w:val="auto"/>
              </w:rPr>
            </w:pPr>
            <w:r>
              <w:rPr>
                <w:rFonts w:ascii="Arial" w:cs="Arial" w:eastAsia="Arial" w:hAnsi="Arial"/>
                <w:sz w:val="11"/>
                <w:szCs w:val="11"/>
                <w:b w:val="1"/>
                <w:bCs w:val="1"/>
                <w:color w:val="auto"/>
                <w:w w:val="93"/>
              </w:rPr>
              <w:t>Balance at End of Year</w:t>
            </w:r>
          </w:p>
        </w:tc>
      </w:tr>
      <w:tr>
        <w:trPr>
          <w:trHeight w:val="182"/>
        </w:trPr>
        <w:tc>
          <w:tcPr>
            <w:tcW w:w="3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28, 2014</w:t>
            </w:r>
          </w:p>
        </w:tc>
        <w:tc>
          <w:tcPr>
            <w:tcW w:w="2340" w:type="dxa"/>
            <w:vAlign w:val="bottom"/>
            <w:tcBorders>
              <w:top w:val="single" w:sz="8" w:color="auto"/>
              <w:bottom w:val="single" w:sz="8" w:color="CCEEFF"/>
            </w:tcBorders>
            <w:shd w:val="clear" w:color="auto" w:fill="CCEEFF"/>
          </w:tcPr>
          <w:p>
            <w:pPr>
              <w:jc w:val="right"/>
              <w:ind w:right="494"/>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1.9</w:t>
            </w:r>
          </w:p>
        </w:tc>
      </w:tr>
      <w:tr>
        <w:trPr>
          <w:trHeight w:val="185"/>
        </w:trPr>
        <w:tc>
          <w:tcPr>
            <w:tcW w:w="3460" w:type="dxa"/>
            <w:vAlign w:val="bottom"/>
          </w:tcPr>
          <w:p>
            <w:pPr>
              <w:ind w:left="20"/>
              <w:spacing w:after="0"/>
              <w:rPr>
                <w:sz w:val="20"/>
                <w:szCs w:val="20"/>
                <w:color w:val="auto"/>
              </w:rPr>
            </w:pPr>
            <w:r>
              <w:rPr>
                <w:rFonts w:ascii="Arial" w:cs="Arial" w:eastAsia="Arial" w:hAnsi="Arial"/>
                <w:sz w:val="14"/>
                <w:szCs w:val="14"/>
                <w:color w:val="auto"/>
              </w:rPr>
              <w:t>Year ended December 27, 2015</w:t>
            </w:r>
          </w:p>
        </w:tc>
        <w:tc>
          <w:tcPr>
            <w:tcW w:w="2340" w:type="dxa"/>
            <w:vAlign w:val="bottom"/>
          </w:tcPr>
          <w:p>
            <w:pPr>
              <w:jc w:val="right"/>
              <w:ind w:right="494"/>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54"/>
              <w:spacing w:after="0"/>
              <w:rPr>
                <w:sz w:val="20"/>
                <w:szCs w:val="20"/>
                <w:color w:val="auto"/>
              </w:rPr>
            </w:pPr>
            <w:r>
              <w:rPr>
                <w:rFonts w:ascii="Arial" w:cs="Arial" w:eastAsia="Arial" w:hAnsi="Arial"/>
                <w:sz w:val="14"/>
                <w:szCs w:val="14"/>
                <w:color w:val="auto"/>
              </w:rPr>
              <w:t>1.8</w:t>
            </w:r>
          </w:p>
        </w:tc>
      </w:tr>
      <w:tr>
        <w:trPr>
          <w:trHeight w:val="22"/>
        </w:trPr>
        <w:tc>
          <w:tcPr>
            <w:tcW w:w="3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5"/>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ended December 25, 2016</w:t>
            </w:r>
          </w:p>
        </w:tc>
        <w:tc>
          <w:tcPr>
            <w:tcW w:w="2340" w:type="dxa"/>
            <w:vAlign w:val="bottom"/>
            <w:shd w:val="clear" w:color="auto" w:fill="CCEEFF"/>
          </w:tcPr>
          <w:p>
            <w:pPr>
              <w:jc w:val="right"/>
              <w:ind w:right="494"/>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1.7</w:t>
            </w:r>
          </w:p>
        </w:tc>
      </w:tr>
      <w:tr>
        <w:trPr>
          <w:trHeight w:val="22"/>
        </w:trPr>
        <w:tc>
          <w:tcPr>
            <w:tcW w:w="34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51" w:lineRule="exact"/>
        <w:rPr>
          <w:sz w:val="20"/>
          <w:szCs w:val="20"/>
          <w:color w:val="auto"/>
        </w:rPr>
      </w:pPr>
    </w:p>
    <w:p>
      <w:pPr>
        <w:ind w:left="500" w:hanging="497"/>
        <w:spacing w:after="0"/>
        <w:tabs>
          <w:tab w:leader="none" w:pos="50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Cash and Cash Equivalents</w:t>
      </w:r>
    </w:p>
    <w:p>
      <w:pPr>
        <w:spacing w:after="0" w:line="174"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The Company’s cash equivalents consist of its highly liquid investments with an original maturity of three months or less when purchased by the Company.</w:t>
      </w:r>
    </w:p>
    <w:p>
      <w:pPr>
        <w:spacing w:after="0" w:line="170" w:lineRule="exact"/>
        <w:rPr>
          <w:sz w:val="20"/>
          <w:szCs w:val="20"/>
          <w:color w:val="auto"/>
        </w:rPr>
      </w:pPr>
    </w:p>
    <w:p>
      <w:pPr>
        <w:ind w:right="40" w:firstLine="497"/>
        <w:spacing w:after="0" w:line="267" w:lineRule="auto"/>
        <w:rPr>
          <w:sz w:val="20"/>
          <w:szCs w:val="20"/>
          <w:color w:val="auto"/>
        </w:rPr>
      </w:pPr>
      <w:r>
        <w:rPr>
          <w:rFonts w:ascii="Arial" w:cs="Arial" w:eastAsia="Arial" w:hAnsi="Arial"/>
          <w:sz w:val="14"/>
          <w:szCs w:val="14"/>
          <w:color w:val="auto"/>
        </w:rPr>
        <w:t>The Company has restricted cash accounts of approximately $0.5 million at December 25, 2016 and $0.7 million at December 27, 2015. As of December 25, 2016 and December 27, 2015, restricted cash consists primarily of a deposit securing foreign letters of credit related to payment and performance bonds on international contracts.</w:t>
      </w:r>
    </w:p>
    <w:p>
      <w:pPr>
        <w:spacing w:after="0" w:line="135" w:lineRule="exact"/>
        <w:rPr>
          <w:sz w:val="20"/>
          <w:szCs w:val="20"/>
          <w:color w:val="auto"/>
        </w:rPr>
      </w:pPr>
    </w:p>
    <w:p>
      <w:pPr>
        <w:ind w:left="500" w:hanging="497"/>
        <w:spacing w:after="0"/>
        <w:tabs>
          <w:tab w:leader="none" w:pos="50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 Net</w:t>
      </w:r>
    </w:p>
    <w:p>
      <w:pPr>
        <w:spacing w:after="0" w:line="174" w:lineRule="exact"/>
        <w:rPr>
          <w:sz w:val="20"/>
          <w:szCs w:val="20"/>
          <w:color w:val="auto"/>
        </w:rPr>
      </w:pPr>
    </w:p>
    <w:p>
      <w:pPr>
        <w:jc w:val="both"/>
        <w:ind w:right="100" w:firstLine="497"/>
        <w:spacing w:after="0" w:line="257" w:lineRule="auto"/>
        <w:rPr>
          <w:sz w:val="20"/>
          <w:szCs w:val="20"/>
          <w:color w:val="auto"/>
        </w:rPr>
      </w:pPr>
      <w:r>
        <w:rPr>
          <w:rFonts w:ascii="Arial" w:cs="Arial" w:eastAsia="Arial" w:hAnsi="Arial"/>
          <w:sz w:val="14"/>
          <w:szCs w:val="14"/>
          <w:color w:val="auto"/>
        </w:rPr>
        <w:t>Property and equipment, net owned by the Company is depreciated over the estimated useful lives of individual assets. Equipment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Assets are depreciated predominately using the straight-line method, with the following lives: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906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Years</w:t>
            </w:r>
          </w:p>
        </w:tc>
      </w:tr>
      <w:tr>
        <w:trPr>
          <w:trHeight w:val="182"/>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 – 39</w:t>
            </w:r>
          </w:p>
        </w:tc>
      </w:tr>
      <w:tr>
        <w:trPr>
          <w:trHeight w:val="185"/>
        </w:trPr>
        <w:tc>
          <w:tcPr>
            <w:tcW w:w="906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2400" w:type="dxa"/>
            <w:vAlign w:val="bottom"/>
          </w:tcPr>
          <w:p>
            <w:pPr>
              <w:jc w:val="center"/>
              <w:spacing w:after="0"/>
              <w:rPr>
                <w:sz w:val="20"/>
                <w:szCs w:val="20"/>
                <w:color w:val="auto"/>
              </w:rPr>
            </w:pPr>
            <w:r>
              <w:rPr>
                <w:rFonts w:ascii="Arial" w:cs="Arial" w:eastAsia="Arial" w:hAnsi="Arial"/>
                <w:sz w:val="14"/>
                <w:szCs w:val="14"/>
                <w:color w:val="auto"/>
                <w:w w:val="87"/>
              </w:rPr>
              <w:t>3 – 10</w:t>
            </w:r>
          </w:p>
        </w:tc>
      </w:tr>
      <w:tr>
        <w:trPr>
          <w:trHeight w:val="22"/>
        </w:trPr>
        <w:tc>
          <w:tcPr>
            <w:tcW w:w="9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rPr>
              <w:t>1 – 10</w:t>
            </w:r>
          </w:p>
        </w:tc>
      </w:tr>
      <w:tr>
        <w:trPr>
          <w:trHeight w:val="185"/>
        </w:trPr>
        <w:tc>
          <w:tcPr>
            <w:tcW w:w="9060" w:type="dxa"/>
            <w:vAlign w:val="bottom"/>
          </w:tcPr>
          <w:p>
            <w:pPr>
              <w:ind w:left="20"/>
              <w:spacing w:after="0"/>
              <w:rPr>
                <w:sz w:val="20"/>
                <w:szCs w:val="20"/>
                <w:color w:val="auto"/>
              </w:rPr>
            </w:pPr>
            <w:r>
              <w:rPr>
                <w:rFonts w:ascii="Arial" w:cs="Arial" w:eastAsia="Arial" w:hAnsi="Arial"/>
                <w:sz w:val="14"/>
                <w:szCs w:val="14"/>
                <w:color w:val="auto"/>
              </w:rPr>
              <w:t>Vehicles, furniture, and office equipment</w:t>
            </w:r>
          </w:p>
        </w:tc>
        <w:tc>
          <w:tcPr>
            <w:tcW w:w="240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22"/>
        </w:trPr>
        <w:tc>
          <w:tcPr>
            <w:tcW w:w="9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5"/>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Shorter of useful life or length of lease</w:t>
            </w:r>
          </w:p>
        </w:tc>
      </w:tr>
      <w:tr>
        <w:trPr>
          <w:trHeight w:val="22"/>
        </w:trPr>
        <w:tc>
          <w:tcPr>
            <w:tcW w:w="906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The Company classifies assets and liabilities as held for sale (“disposal group”) when management, having the authority to approve the action, commits to a plan to sell the disposal group, the sale is probable within one year, and the disposal group is available for immediate sale in its present condition. The Company also considers whether an active program to locate a buyer has been initiated, whether the disposal group is marketed actively for sale at a price that is reasonable in relation to its current fair value, and whether actions required to complete the plan indicate that it is unlikely that significant changes to the plan will be made or the plan will be withdrawn.</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 the time of classifying assets as held for sale and at the end of each reporting period, the Company compares the carrying value of these assets to estimates of fair value to assess for impairment.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We compare the carrying value to estimates of fair value utilizing the assistance of third-party broker opinions of value to assist in our fair value estimates.</w:t>
      </w:r>
    </w:p>
    <w:p>
      <w:pPr>
        <w:spacing w:after="0" w:line="161" w:lineRule="exact"/>
        <w:rPr>
          <w:sz w:val="20"/>
          <w:szCs w:val="20"/>
          <w:color w:val="auto"/>
        </w:rPr>
      </w:pPr>
    </w:p>
    <w:p>
      <w:pPr>
        <w:ind w:right="180" w:firstLine="497"/>
        <w:spacing w:after="0" w:line="253" w:lineRule="auto"/>
        <w:rPr>
          <w:sz w:val="20"/>
          <w:szCs w:val="20"/>
          <w:color w:val="auto"/>
        </w:rPr>
      </w:pPr>
      <w:r>
        <w:rPr>
          <w:rFonts w:ascii="Arial" w:cs="Arial" w:eastAsia="Arial" w:hAnsi="Arial"/>
          <w:sz w:val="14"/>
          <w:szCs w:val="14"/>
          <w:color w:val="auto"/>
        </w:rPr>
        <w:t xml:space="preserve">In the third quarter of 2016, the Company’s management, following the closure of its manufacturing facility in South Carolina, committed to a plan to sell the Walterboro building facility reported within the KGS segment. At that time, the building facility had a carrying value of $1.9 million and was classified as held for sale. In the fourth quarter of 2016, after not receiving any viable offers to purchase the building facility, the Company decided to reclassify the building facility from held for sale to held for use. In accordance with ASC </w:t>
      </w:r>
      <w:r>
        <w:rPr>
          <w:rFonts w:ascii="Arial" w:cs="Arial" w:eastAsia="Arial" w:hAnsi="Arial"/>
          <w:sz w:val="14"/>
          <w:szCs w:val="14"/>
          <w:i w:val="1"/>
          <w:iCs w:val="1"/>
          <w:color w:val="auto"/>
        </w:rPr>
        <w:t>Topic 360-10, Property, Plant and Equipment - Disposal of</w:t>
      </w:r>
      <w:r>
        <w:rPr>
          <w:rFonts w:ascii="Arial" w:cs="Arial" w:eastAsia="Arial" w:hAnsi="Arial"/>
          <w:sz w:val="14"/>
          <w:szCs w:val="14"/>
          <w:color w:val="auto"/>
        </w:rPr>
        <w:t xml:space="preserve"> </w:t>
      </w:r>
      <w:r>
        <w:rPr>
          <w:rFonts w:ascii="Arial" w:cs="Arial" w:eastAsia="Arial" w:hAnsi="Arial"/>
          <w:sz w:val="14"/>
          <w:szCs w:val="14"/>
          <w:i w:val="1"/>
          <w:iCs w:val="1"/>
          <w:color w:val="auto"/>
        </w:rPr>
        <w:t>Long-Lived Assets</w:t>
      </w:r>
      <w:r>
        <w:rPr>
          <w:rFonts w:ascii="Arial" w:cs="Arial" w:eastAsia="Arial" w:hAnsi="Arial"/>
          <w:sz w:val="14"/>
          <w:szCs w:val="14"/>
          <w:color w:val="auto"/>
        </w:rPr>
        <w:t>, utilizing the assistance of a third-party broker to assist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60"/>
          </w:cols>
          <w:pgMar w:left="220" w:top="129" w:right="21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estimating of fair value, the remeasured fair value of the building was determined to be $500,000. The impairment loss of $1.4 million was recorded at that time and is reflected in unused office space and other restructuring in the Consolidated Statements of Operations and Comprehensive Income (Loss) for the year ended December 25, 2016.</w:t>
      </w:r>
    </w:p>
    <w:p>
      <w:pPr>
        <w:spacing w:after="0" w:line="135" w:lineRule="exact"/>
        <w:rPr>
          <w:sz w:val="20"/>
          <w:szCs w:val="20"/>
          <w:color w:val="auto"/>
        </w:rPr>
      </w:pPr>
    </w:p>
    <w:p>
      <w:pPr>
        <w:ind w:left="500" w:hanging="497"/>
        <w:spacing w:after="0"/>
        <w:tabs>
          <w:tab w:leader="none" w:pos="50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74" w:lineRule="exact"/>
        <w:rPr>
          <w:sz w:val="20"/>
          <w:szCs w:val="20"/>
          <w:color w:val="auto"/>
        </w:rPr>
      </w:pPr>
    </w:p>
    <w:p>
      <w:pPr>
        <w:ind w:right="440" w:firstLine="497"/>
        <w:spacing w:after="0" w:line="267" w:lineRule="auto"/>
        <w:rPr>
          <w:sz w:val="20"/>
          <w:szCs w:val="20"/>
          <w:color w:val="auto"/>
        </w:rPr>
      </w:pPr>
      <w:r>
        <w:rPr>
          <w:rFonts w:ascii="Arial" w:cs="Arial" w:eastAsia="Arial" w:hAnsi="Arial"/>
          <w:sz w:val="14"/>
          <w:szCs w:val="14"/>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39" w:lineRule="exact"/>
        <w:rPr>
          <w:sz w:val="20"/>
          <w:szCs w:val="20"/>
          <w:color w:val="auto"/>
        </w:rPr>
      </w:pPr>
    </w:p>
    <w:p>
      <w:pPr>
        <w:ind w:right="120" w:firstLine="497"/>
        <w:spacing w:after="0" w:line="252" w:lineRule="auto"/>
        <w:rPr>
          <w:sz w:val="20"/>
          <w:szCs w:val="20"/>
          <w:color w:val="auto"/>
        </w:rPr>
      </w:pPr>
      <w:r>
        <w:rPr>
          <w:rFonts w:ascii="Arial" w:cs="Arial" w:eastAsia="Arial" w:hAnsi="Arial"/>
          <w:sz w:val="14"/>
          <w:szCs w:val="14"/>
          <w:color w:val="auto"/>
        </w:rPr>
        <w:t>Most lease agreements for real property contain incentives for tenant improvements, rent holidays, or rent escalation clauses. For incentives for tenant improvements, the Company capitalizes the leasehold improvements which are depreciated over the shorter of the lease term or their estimated useful life and records a deferred rent liability which is amortized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310" w:lineRule="exact"/>
        <w:rPr>
          <w:sz w:val="20"/>
          <w:szCs w:val="20"/>
          <w:color w:val="auto"/>
        </w:rPr>
      </w:pPr>
    </w:p>
    <w:p>
      <w:pPr>
        <w:ind w:left="500" w:hanging="497"/>
        <w:spacing w:after="0"/>
        <w:tabs>
          <w:tab w:leader="none" w:pos="50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 Assets, Net</w:t>
      </w:r>
    </w:p>
    <w:p>
      <w:pPr>
        <w:spacing w:after="0" w:line="174" w:lineRule="exact"/>
        <w:rPr>
          <w:sz w:val="20"/>
          <w:szCs w:val="20"/>
          <w:color w:val="auto"/>
        </w:rPr>
      </w:pPr>
    </w:p>
    <w:p>
      <w:pPr>
        <w:ind w:firstLine="497"/>
        <w:spacing w:after="0" w:line="253" w:lineRule="auto"/>
        <w:rPr>
          <w:sz w:val="20"/>
          <w:szCs w:val="20"/>
          <w:color w:val="auto"/>
        </w:rPr>
      </w:pPr>
      <w:r>
        <w:rPr>
          <w:rFonts w:ascii="Arial" w:cs="Arial" w:eastAsia="Arial" w:hAnsi="Arial"/>
          <w:sz w:val="14"/>
          <w:szCs w:val="14"/>
          <w:color w:val="auto"/>
        </w:rPr>
        <w:t xml:space="preserve">In accordance with the provisions of ASC </w:t>
      </w:r>
      <w:r>
        <w:rPr>
          <w:rFonts w:ascii="Arial" w:cs="Arial" w:eastAsia="Arial" w:hAnsi="Arial"/>
          <w:sz w:val="14"/>
          <w:szCs w:val="14"/>
          <w:i w:val="1"/>
          <w:iCs w:val="1"/>
          <w:color w:val="auto"/>
        </w:rPr>
        <w:t>Topic 350, Intangibles-Goodwill and Other</w:t>
      </w:r>
      <w:r>
        <w:rPr>
          <w:rFonts w:ascii="Arial" w:cs="Arial" w:eastAsia="Arial" w:hAnsi="Arial"/>
          <w:sz w:val="14"/>
          <w:szCs w:val="14"/>
          <w:color w:val="auto"/>
        </w:rPr>
        <w:t xml:space="preserve"> (“</w:t>
      </w:r>
      <w:r>
        <w:rPr>
          <w:rFonts w:ascii="Arial" w:cs="Arial" w:eastAsia="Arial" w:hAnsi="Arial"/>
          <w:sz w:val="14"/>
          <w:szCs w:val="14"/>
          <w:i w:val="1"/>
          <w:iCs w:val="1"/>
          <w:color w:val="auto"/>
        </w:rPr>
        <w:t>Topic 350</w:t>
      </w:r>
      <w:r>
        <w:rPr>
          <w:rFonts w:ascii="Arial" w:cs="Arial" w:eastAsia="Arial" w:hAnsi="Arial"/>
          <w:sz w:val="14"/>
          <w:szCs w:val="14"/>
          <w:color w:val="auto"/>
        </w:rPr>
        <w:t>”),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149" w:lineRule="exact"/>
        <w:rPr>
          <w:sz w:val="20"/>
          <w:szCs w:val="20"/>
          <w:color w:val="auto"/>
        </w:rPr>
      </w:pPr>
    </w:p>
    <w:p>
      <w:pPr>
        <w:ind w:right="100" w:firstLine="497"/>
        <w:spacing w:after="0" w:line="253" w:lineRule="auto"/>
        <w:rPr>
          <w:sz w:val="20"/>
          <w:szCs w:val="20"/>
          <w:color w:val="auto"/>
        </w:rPr>
      </w:pPr>
      <w:r>
        <w:rPr>
          <w:rFonts w:ascii="Arial" w:cs="Arial" w:eastAsia="Arial" w:hAnsi="Arial"/>
          <w:sz w:val="14"/>
          <w:szCs w:val="14"/>
          <w:color w:val="auto"/>
        </w:rPr>
        <w:t xml:space="preserve">In accordance with </w:t>
      </w:r>
      <w:r>
        <w:rPr>
          <w:rFonts w:ascii="Arial" w:cs="Arial" w:eastAsia="Arial" w:hAnsi="Arial"/>
          <w:sz w:val="14"/>
          <w:szCs w:val="14"/>
          <w:i w:val="1"/>
          <w:iCs w:val="1"/>
          <w:color w:val="auto"/>
        </w:rPr>
        <w:t>Topic 350</w:t>
      </w:r>
      <w:r>
        <w:rPr>
          <w:rFonts w:ascii="Arial" w:cs="Arial" w:eastAsia="Arial" w:hAnsi="Arial"/>
          <w:sz w:val="14"/>
          <w:szCs w:val="14"/>
          <w:color w:val="auto"/>
        </w:rPr>
        <w:t>, the Company classifies intangible assets into three categories: (1) intangible assets with finite lives subject to amortization, (2) intangible assets with indefinite lives not subject to amortization, and (3) goodwill.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49"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31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(o)</w:t>
      </w:r>
      <w:r>
        <w:rPr>
          <w:sz w:val="20"/>
          <w:szCs w:val="20"/>
          <w:color w:val="auto"/>
        </w:rPr>
        <w:tab/>
      </w:r>
      <w:r>
        <w:rPr>
          <w:rFonts w:ascii="Arial" w:cs="Arial" w:eastAsia="Arial" w:hAnsi="Arial"/>
          <w:sz w:val="12"/>
          <w:szCs w:val="12"/>
          <w:b w:val="1"/>
          <w:bCs w:val="1"/>
          <w:color w:val="auto"/>
        </w:rPr>
        <w:t>Impairment of Long-Lived Assets and Long-Lived Assets to Be Disposed Of</w:t>
      </w:r>
    </w:p>
    <w:p>
      <w:pPr>
        <w:spacing w:after="0" w:line="174" w:lineRule="exact"/>
        <w:rPr>
          <w:sz w:val="20"/>
          <w:szCs w:val="20"/>
          <w:color w:val="auto"/>
        </w:rPr>
      </w:pPr>
    </w:p>
    <w:p>
      <w:pPr>
        <w:ind w:right="80" w:firstLine="497"/>
        <w:spacing w:after="0" w:line="279" w:lineRule="auto"/>
        <w:rPr>
          <w:sz w:val="20"/>
          <w:szCs w:val="20"/>
          <w:color w:val="auto"/>
        </w:rPr>
      </w:pPr>
      <w:r>
        <w:rPr>
          <w:rFonts w:ascii="Arial" w:cs="Arial" w:eastAsia="Arial" w:hAnsi="Arial"/>
          <w:sz w:val="13"/>
          <w:szCs w:val="13"/>
          <w:color w:val="auto"/>
        </w:rPr>
        <w:t xml:space="preserve">Long-lived assets and certain identifiable intangibles are reviewed for impairment in accordance with ASC </w:t>
      </w:r>
      <w:r>
        <w:rPr>
          <w:rFonts w:ascii="Arial" w:cs="Arial" w:eastAsia="Arial" w:hAnsi="Arial"/>
          <w:sz w:val="13"/>
          <w:szCs w:val="13"/>
          <w:i w:val="1"/>
          <w:iCs w:val="1"/>
          <w:color w:val="auto"/>
        </w:rPr>
        <w:t>Topic 360, Property, Plant, and Equipment</w:t>
      </w:r>
      <w:r>
        <w:rPr>
          <w:rFonts w:ascii="Arial" w:cs="Arial" w:eastAsia="Arial" w:hAnsi="Arial"/>
          <w:sz w:val="13"/>
          <w:szCs w:val="13"/>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29" w:lineRule="exact"/>
        <w:rPr>
          <w:sz w:val="20"/>
          <w:szCs w:val="20"/>
          <w:color w:val="auto"/>
        </w:rPr>
      </w:pPr>
    </w:p>
    <w:p>
      <w:pPr>
        <w:ind w:left="500" w:hanging="497"/>
        <w:spacing w:after="0"/>
        <w:tabs>
          <w:tab w:leader="none" w:pos="50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174" w:lineRule="exact"/>
        <w:rPr>
          <w:sz w:val="20"/>
          <w:szCs w:val="20"/>
          <w:color w:val="auto"/>
        </w:rPr>
      </w:pPr>
    </w:p>
    <w:p>
      <w:pPr>
        <w:ind w:right="400" w:firstLine="497"/>
        <w:spacing w:after="0" w:line="267" w:lineRule="auto"/>
        <w:rPr>
          <w:sz w:val="20"/>
          <w:szCs w:val="20"/>
          <w:color w:val="auto"/>
        </w:rPr>
      </w:pPr>
      <w:r>
        <w:rPr>
          <w:rFonts w:ascii="Arial" w:cs="Arial" w:eastAsia="Arial" w:hAnsi="Arial"/>
          <w:sz w:val="14"/>
          <w:szCs w:val="14"/>
          <w:color w:val="auto"/>
        </w:rPr>
        <w:t xml:space="preserve">ASC </w:t>
      </w:r>
      <w:r>
        <w:rPr>
          <w:rFonts w:ascii="Arial" w:cs="Arial" w:eastAsia="Arial" w:hAnsi="Arial"/>
          <w:sz w:val="14"/>
          <w:szCs w:val="14"/>
          <w:i w:val="1"/>
          <w:iCs w:val="1"/>
          <w:color w:val="auto"/>
        </w:rPr>
        <w:t>Topic 825, Financial Instruments,</w:t>
      </w:r>
      <w:r>
        <w:rPr>
          <w:rFonts w:ascii="Arial" w:cs="Arial" w:eastAsia="Arial" w:hAnsi="Arial"/>
          <w:sz w:val="14"/>
          <w:szCs w:val="14"/>
          <w:color w:val="auto"/>
        </w:rPr>
        <w:t xml:space="preserve"> requires that fair values be disclosed for the Company’s financial instruments. The carrying amounts of cash equivalents, accounts receivable, accounts payable, accrued expenses,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60"/>
          </w:cols>
          <w:pgMar w:left="220" w:top="129" w:right="21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60"/>
        <w:spacing w:after="0" w:line="352" w:lineRule="auto"/>
        <w:rPr>
          <w:sz w:val="20"/>
          <w:szCs w:val="20"/>
          <w:color w:val="auto"/>
        </w:rPr>
      </w:pPr>
      <w:r>
        <w:rPr>
          <w:rFonts w:ascii="Arial" w:cs="Arial" w:eastAsia="Arial" w:hAnsi="Arial"/>
          <w:sz w:val="12"/>
          <w:szCs w:val="12"/>
          <w:color w:val="auto"/>
        </w:rPr>
        <w:t>billings in excess of costs and earnings on uncompleted contracts, and income taxes payable, approximate fair value due to the short-term nature of these instruments. The fair value of the Company’s long-term debt is based upon actual trading activity. The fair value of capital lease obligations is estimated based on quoted market prices for the same or similar obligations with the same remaining maturities.</w:t>
      </w:r>
    </w:p>
    <w:p>
      <w:pPr>
        <w:spacing w:after="0" w:line="88" w:lineRule="exact"/>
        <w:rPr>
          <w:sz w:val="20"/>
          <w:szCs w:val="20"/>
          <w:color w:val="auto"/>
        </w:rPr>
      </w:pPr>
    </w:p>
    <w:p>
      <w:pPr>
        <w:ind w:left="500" w:hanging="497"/>
        <w:spacing w:after="0"/>
        <w:tabs>
          <w:tab w:leader="none" w:pos="50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Concentrations and Uncertainties</w:t>
      </w:r>
    </w:p>
    <w:p>
      <w:pPr>
        <w:spacing w:after="0" w:line="174" w:lineRule="exact"/>
        <w:rPr>
          <w:sz w:val="20"/>
          <w:szCs w:val="20"/>
          <w:color w:val="auto"/>
        </w:rPr>
      </w:pPr>
    </w:p>
    <w:p>
      <w:pPr>
        <w:ind w:right="520" w:firstLine="497"/>
        <w:spacing w:after="0" w:line="352" w:lineRule="auto"/>
        <w:rPr>
          <w:sz w:val="20"/>
          <w:szCs w:val="20"/>
          <w:color w:val="auto"/>
        </w:rPr>
      </w:pPr>
      <w:r>
        <w:rPr>
          <w:rFonts w:ascii="Arial" w:cs="Arial" w:eastAsia="Arial" w:hAnsi="Arial"/>
          <w:sz w:val="12"/>
          <w:szCs w:val="12"/>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92" w:lineRule="exact"/>
        <w:rPr>
          <w:sz w:val="20"/>
          <w:szCs w:val="20"/>
          <w:color w:val="auto"/>
        </w:rPr>
      </w:pPr>
    </w:p>
    <w:p>
      <w:pPr>
        <w:ind w:right="100" w:firstLine="497"/>
        <w:spacing w:after="0" w:line="279" w:lineRule="auto"/>
        <w:rPr>
          <w:sz w:val="20"/>
          <w:szCs w:val="20"/>
          <w:color w:val="auto"/>
        </w:rPr>
      </w:pPr>
      <w:r>
        <w:rPr>
          <w:rFonts w:ascii="Arial" w:cs="Arial" w:eastAsia="Arial" w:hAnsi="Arial"/>
          <w:sz w:val="13"/>
          <w:szCs w:val="13"/>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of these Notes to Consolidated Financial Statements for a discussion of the Company’s significant customers.</w:t>
      </w:r>
    </w:p>
    <w:p>
      <w:pPr>
        <w:spacing w:after="0" w:line="1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(r)</w:t>
      </w:r>
      <w:r>
        <w:rPr>
          <w:sz w:val="20"/>
          <w:szCs w:val="20"/>
          <w:color w:val="auto"/>
        </w:rPr>
        <w:tab/>
      </w:r>
      <w:r>
        <w:rPr>
          <w:rFonts w:ascii="Arial" w:cs="Arial" w:eastAsia="Arial" w:hAnsi="Arial"/>
          <w:sz w:val="10"/>
          <w:szCs w:val="10"/>
          <w:b w:val="1"/>
          <w:bCs w:val="1"/>
          <w:color w:val="auto"/>
        </w:rPr>
        <w:t>Debt Issuance Costs</w:t>
      </w:r>
    </w:p>
    <w:p>
      <w:pPr>
        <w:spacing w:after="0" w:line="174" w:lineRule="exact"/>
        <w:rPr>
          <w:sz w:val="20"/>
          <w:szCs w:val="20"/>
          <w:color w:val="auto"/>
        </w:rPr>
      </w:pPr>
    </w:p>
    <w:p>
      <w:pPr>
        <w:ind w:right="180" w:firstLine="497"/>
        <w:spacing w:after="0" w:line="253" w:lineRule="auto"/>
        <w:rPr>
          <w:sz w:val="20"/>
          <w:szCs w:val="20"/>
          <w:color w:val="auto"/>
        </w:rPr>
      </w:pPr>
      <w:r>
        <w:rPr>
          <w:rFonts w:ascii="Arial" w:cs="Arial" w:eastAsia="Arial" w:hAnsi="Arial"/>
          <w:sz w:val="14"/>
          <w:szCs w:val="14"/>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 as a direct deduction from the carrying amount of the associated debt liability. Issuance costs related to a revolving credit facility are included in other assets in the Consolidated Balance Sheet.</w:t>
      </w:r>
    </w:p>
    <w:p>
      <w:pPr>
        <w:spacing w:after="0" w:line="145" w:lineRule="exact"/>
        <w:rPr>
          <w:sz w:val="20"/>
          <w:szCs w:val="20"/>
          <w:color w:val="auto"/>
        </w:rPr>
      </w:pPr>
    </w:p>
    <w:p>
      <w:pPr>
        <w:ind w:left="500" w:hanging="497"/>
        <w:spacing w:after="0"/>
        <w:tabs>
          <w:tab w:leader="none" w:pos="50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Interest Expense, Net</w:t>
      </w:r>
    </w:p>
    <w:p>
      <w:pPr>
        <w:spacing w:after="0" w:line="174"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Interest expense, net in the Consolidated Statements of Operations and Comprehensive Income (Loss) is summarized in the following table (in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2"/>
                <w:szCs w:val="12"/>
                <w:b w:val="1"/>
                <w:bCs w:val="1"/>
                <w:color w:val="auto"/>
              </w:rPr>
              <w:t>2016</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2"/>
                <w:szCs w:val="12"/>
                <w:b w:val="1"/>
                <w:bCs w:val="1"/>
                <w:color w:val="auto"/>
              </w:rPr>
              <w:t>2015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740" w:type="dxa"/>
            <w:vAlign w:val="bottom"/>
            <w:tcBorders>
              <w:bottom w:val="single" w:sz="8" w:color="CCEEFF"/>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 incurred primarily on the Company’s Senior Secured Notes</w:t>
            </w:r>
          </w:p>
        </w:tc>
        <w:tc>
          <w:tcPr>
            <w:tcW w:w="100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740" w:type="dxa"/>
            <w:vAlign w:val="bottom"/>
            <w:gridSpan w:val="2"/>
          </w:tcPr>
          <w:p>
            <w:pPr>
              <w:ind w:left="20"/>
              <w:spacing w:after="0"/>
              <w:rPr>
                <w:sz w:val="20"/>
                <w:szCs w:val="20"/>
                <w:color w:val="auto"/>
              </w:rPr>
            </w:pPr>
            <w:r>
              <w:rPr>
                <w:rFonts w:ascii="Arial" w:cs="Arial" w:eastAsia="Arial" w:hAnsi="Arial"/>
                <w:sz w:val="14"/>
                <w:szCs w:val="14"/>
                <w:color w:val="auto"/>
              </w:rPr>
              <w:t>Miscellaneous interest income</w:t>
            </w:r>
          </w:p>
        </w:tc>
        <w:tc>
          <w:tcPr>
            <w:tcW w:w="10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740" w:type="dxa"/>
            <w:vAlign w:val="bottom"/>
            <w:tcBorders>
              <w:bottom w:val="single" w:sz="8" w:color="CCEEFF"/>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100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0"/>
        </w:trPr>
        <w:tc>
          <w:tcPr>
            <w:tcW w:w="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w:t>
            </w:r>
          </w:p>
        </w:tc>
        <w:tc>
          <w:tcPr>
            <w:tcW w:w="64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Foreign Currency</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20" w:type="dxa"/>
            <w:vAlign w:val="bottom"/>
            <w:gridSpan w:val="2"/>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380" w:firstLine="497"/>
        <w:spacing w:after="0" w:line="257" w:lineRule="auto"/>
        <w:rPr>
          <w:sz w:val="20"/>
          <w:szCs w:val="20"/>
          <w:color w:val="auto"/>
        </w:rPr>
      </w:pPr>
      <w:r>
        <w:rPr>
          <w:rFonts w:ascii="Arial" w:cs="Arial" w:eastAsia="Arial" w:hAnsi="Arial"/>
          <w:sz w:val="14"/>
          <w:szCs w:val="14"/>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 in the Consolidated Statements of Stockholders’ Equity.</w:t>
      </w:r>
    </w:p>
    <w:p>
      <w:pPr>
        <w:spacing w:after="0" w:line="145" w:lineRule="exact"/>
        <w:rPr>
          <w:sz w:val="20"/>
          <w:szCs w:val="20"/>
          <w:color w:val="auto"/>
        </w:rPr>
      </w:pPr>
    </w:p>
    <w:p>
      <w:pPr>
        <w:ind w:right="60" w:firstLine="497"/>
        <w:spacing w:after="0" w:line="257" w:lineRule="auto"/>
        <w:rPr>
          <w:sz w:val="20"/>
          <w:szCs w:val="20"/>
          <w:color w:val="auto"/>
        </w:rPr>
      </w:pPr>
      <w:r>
        <w:rPr>
          <w:rFonts w:ascii="Arial" w:cs="Arial" w:eastAsia="Arial" w:hAnsi="Arial"/>
          <w:sz w:val="14"/>
          <w:szCs w:val="14"/>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145" w:lineRule="exact"/>
        <w:rPr>
          <w:sz w:val="20"/>
          <w:szCs w:val="20"/>
          <w:color w:val="auto"/>
        </w:rPr>
      </w:pPr>
    </w:p>
    <w:p>
      <w:pPr>
        <w:ind w:right="60" w:firstLine="497"/>
        <w:spacing w:after="0" w:line="352" w:lineRule="auto"/>
        <w:rPr>
          <w:sz w:val="20"/>
          <w:szCs w:val="20"/>
          <w:color w:val="auto"/>
        </w:rPr>
      </w:pPr>
      <w:r>
        <w:rPr>
          <w:rFonts w:ascii="Arial" w:cs="Arial" w:eastAsia="Arial" w:hAnsi="Arial"/>
          <w:sz w:val="12"/>
          <w:szCs w:val="12"/>
          <w:color w:val="auto"/>
        </w:rPr>
        <w:t>The aggregate foreign currency transaction gain (loss) included in determining net loss for the years ended December 25, 2016, December 27, 2015, and December 28, 2014 was approximately $0.4 million, $(0.8) million, and $0.0 million, respectively, which is included in other income (expense), net on the accompanying Consolidated Statements of Operations and Comprehensive Income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60"/>
          </w:cols>
          <w:pgMar w:left="220" w:top="129" w:right="21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(u)</w:t>
      </w:r>
      <w:r>
        <w:rPr>
          <w:sz w:val="20"/>
          <w:szCs w:val="20"/>
          <w:color w:val="auto"/>
        </w:rPr>
        <w:tab/>
      </w:r>
      <w:r>
        <w:rPr>
          <w:rFonts w:ascii="Arial" w:cs="Arial" w:eastAsia="Arial" w:hAnsi="Arial"/>
          <w:sz w:val="12"/>
          <w:szCs w:val="12"/>
          <w:b w:val="1"/>
          <w:bCs w:val="1"/>
          <w:color w:val="auto"/>
        </w:rPr>
        <w:t>Recent Accounting Pronouncements</w:t>
      </w:r>
    </w:p>
    <w:p>
      <w:pPr>
        <w:spacing w:after="0" w:line="174" w:lineRule="exact"/>
        <w:rPr>
          <w:sz w:val="20"/>
          <w:szCs w:val="20"/>
          <w:color w:val="auto"/>
        </w:rPr>
      </w:pPr>
    </w:p>
    <w:p>
      <w:pPr>
        <w:ind w:right="20" w:firstLine="497"/>
        <w:spacing w:after="0" w:line="251" w:lineRule="auto"/>
        <w:rPr>
          <w:sz w:val="20"/>
          <w:szCs w:val="20"/>
          <w:color w:val="auto"/>
        </w:rPr>
      </w:pPr>
      <w:r>
        <w:rPr>
          <w:rFonts w:ascii="Arial" w:cs="Arial" w:eastAsia="Arial" w:hAnsi="Arial"/>
          <w:sz w:val="14"/>
          <w:szCs w:val="14"/>
          <w:color w:val="auto"/>
        </w:rPr>
        <w:t xml:space="preserve">In October 2016, the Financial Accounting Standards Board (“FASB”) issued Accounting Standard Update (“ASU”) 2016-16 (“ASU 2016-16”), </w:t>
      </w:r>
      <w:r>
        <w:rPr>
          <w:rFonts w:ascii="Arial" w:cs="Arial" w:eastAsia="Arial" w:hAnsi="Arial"/>
          <w:sz w:val="14"/>
          <w:szCs w:val="14"/>
          <w:i w:val="1"/>
          <w:iCs w:val="1"/>
          <w:color w:val="auto"/>
        </w:rPr>
        <w:t>Income Taxes (Topic 740), Intra-Entity Transfers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Assets Other Than Inventory. </w:t>
      </w:r>
      <w:r>
        <w:rPr>
          <w:rFonts w:ascii="Arial" w:cs="Arial" w:eastAsia="Arial" w:hAnsi="Arial"/>
          <w:sz w:val="14"/>
          <w:szCs w:val="14"/>
          <w:color w:val="auto"/>
        </w:rPr>
        <w:t>ASU 2016-16 requires that entities recognize the income tax consequences of an intra-entity transfer of an asset other than inventory when the transfer occurs, rather than when</w:t>
      </w:r>
      <w:r>
        <w:rPr>
          <w:rFonts w:ascii="Arial" w:cs="Arial" w:eastAsia="Arial" w:hAnsi="Arial"/>
          <w:sz w:val="14"/>
          <w:szCs w:val="14"/>
          <w:i w:val="1"/>
          <w:iCs w:val="1"/>
          <w:color w:val="auto"/>
        </w:rPr>
        <w:t xml:space="preserve"> </w:t>
      </w:r>
      <w:r>
        <w:rPr>
          <w:rFonts w:ascii="Arial" w:cs="Arial" w:eastAsia="Arial" w:hAnsi="Arial"/>
          <w:sz w:val="14"/>
          <w:szCs w:val="14"/>
          <w:color w:val="auto"/>
        </w:rPr>
        <w:t>the asset is sold to an outside party. ASU 2016-16 is effective for annual reporting periods beginning after December 15, 2017, including interim periods within those annual reporting periods. Early adoption is permitted as of the beginning of an annual reporting period (as of the first interim period if an entity issues interim financial statements). ASU 2016-16 requires adoption on a modified retrospective basis through a cumulative-effect adjustment directly to retained earnings as of the beginning of the period of adoption. The Company does not believe that the adoption of this guidance will have a material impact on its consolidated financial statements.</w:t>
      </w:r>
    </w:p>
    <w:p>
      <w:pPr>
        <w:spacing w:after="0" w:line="149" w:lineRule="exact"/>
        <w:rPr>
          <w:sz w:val="20"/>
          <w:szCs w:val="20"/>
          <w:color w:val="auto"/>
        </w:rPr>
      </w:pPr>
    </w:p>
    <w:p>
      <w:pPr>
        <w:ind w:firstLine="497"/>
        <w:spacing w:after="0" w:line="279" w:lineRule="auto"/>
        <w:rPr>
          <w:sz w:val="20"/>
          <w:szCs w:val="20"/>
          <w:color w:val="auto"/>
        </w:rPr>
      </w:pPr>
      <w:r>
        <w:rPr>
          <w:rFonts w:ascii="Arial" w:cs="Arial" w:eastAsia="Arial" w:hAnsi="Arial"/>
          <w:sz w:val="13"/>
          <w:szCs w:val="13"/>
          <w:color w:val="auto"/>
        </w:rPr>
        <w:t xml:space="preserve">In August 2016, the FASB issued ASU 2016-15 (“ASU 2016-15”), </w:t>
      </w:r>
      <w:r>
        <w:rPr>
          <w:rFonts w:ascii="Arial" w:cs="Arial" w:eastAsia="Arial" w:hAnsi="Arial"/>
          <w:sz w:val="13"/>
          <w:szCs w:val="13"/>
          <w:i w:val="1"/>
          <w:iCs w:val="1"/>
          <w:color w:val="auto"/>
        </w:rPr>
        <w:t>Statement of Cash Flows (Topic 230): Classification of Certain Cash Receipts and Cash Payments.</w:t>
      </w:r>
      <w:r>
        <w:rPr>
          <w:rFonts w:ascii="Arial" w:cs="Arial" w:eastAsia="Arial" w:hAnsi="Arial"/>
          <w:sz w:val="13"/>
          <w:szCs w:val="13"/>
          <w:color w:val="auto"/>
        </w:rPr>
        <w:t xml:space="preserve"> The objective of ASU 2016-15 is to reduce existing diversity in practice by addressing eight specific cash flow issues related to how certain cash receipts and cash payments are presented and classified in the statement of cash flows. ASU 2016-15 is effective for fiscal years beginning after December 15, 2017, including interim periods within those fiscal years. Early adoption is permitted. If early adopted, an entity must adopt all of the amendments in the same period. The Company is currently evaluating the impact of the adoption of ASU 2016-15 on its consolidated financial statements.</w:t>
      </w:r>
    </w:p>
    <w:p>
      <w:pPr>
        <w:spacing w:after="0" w:line="133"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 xml:space="preserve">In March 2016, the FASB issued ASU 2016-09 (“ASU 2016-09”), </w:t>
      </w:r>
      <w:r>
        <w:rPr>
          <w:rFonts w:ascii="Arial" w:cs="Arial" w:eastAsia="Arial" w:hAnsi="Arial"/>
          <w:sz w:val="14"/>
          <w:szCs w:val="14"/>
          <w:i w:val="1"/>
          <w:iCs w:val="1"/>
          <w:color w:val="auto"/>
        </w:rPr>
        <w:t>Compensation - Stock Compensation (Topic 718): Improvements to Employee Share-Based Payment Accounting.</w:t>
      </w:r>
      <w:r>
        <w:rPr>
          <w:rFonts w:ascii="Arial" w:cs="Arial" w:eastAsia="Arial" w:hAnsi="Arial"/>
          <w:sz w:val="14"/>
          <w:szCs w:val="14"/>
          <w:color w:val="auto"/>
        </w:rPr>
        <w:t xml:space="preserve"> ASU 2016-09 simplifies several aspects of the accounting for employee share-based payments, including accounting for income taxes, forfeitures, statutory tax withholding requirements, and classification on the statement of cash flows. The amendments in this ASU are effective for annual periods beginning after December 15, 2016. Early adoption is permitted. The Company early adopted this standard in the quarter ended December 25, 2016, which did not have a material impact on its consolidated financial statements.</w:t>
      </w:r>
    </w:p>
    <w:p>
      <w:pPr>
        <w:spacing w:after="0" w:line="149" w:lineRule="exact"/>
        <w:rPr>
          <w:sz w:val="20"/>
          <w:szCs w:val="20"/>
          <w:color w:val="auto"/>
        </w:rPr>
      </w:pPr>
    </w:p>
    <w:p>
      <w:pPr>
        <w:ind w:right="60" w:firstLine="497"/>
        <w:spacing w:after="0" w:line="286" w:lineRule="auto"/>
        <w:rPr>
          <w:sz w:val="20"/>
          <w:szCs w:val="20"/>
          <w:color w:val="auto"/>
        </w:rPr>
      </w:pPr>
      <w:r>
        <w:rPr>
          <w:rFonts w:ascii="Arial" w:cs="Arial" w:eastAsia="Arial" w:hAnsi="Arial"/>
          <w:sz w:val="13"/>
          <w:szCs w:val="13"/>
          <w:color w:val="auto"/>
        </w:rPr>
        <w:t xml:space="preserve">In February 2016, the FASB issued ASU 2016-02 (“ASU 2016-02”), </w:t>
      </w:r>
      <w:r>
        <w:rPr>
          <w:rFonts w:ascii="Arial" w:cs="Arial" w:eastAsia="Arial" w:hAnsi="Arial"/>
          <w:sz w:val="13"/>
          <w:szCs w:val="13"/>
          <w:i w:val="1"/>
          <w:iCs w:val="1"/>
          <w:color w:val="auto"/>
        </w:rPr>
        <w:t>Leases</w:t>
      </w:r>
      <w:r>
        <w:rPr>
          <w:rFonts w:ascii="Arial" w:cs="Arial" w:eastAsia="Arial" w:hAnsi="Arial"/>
          <w:sz w:val="13"/>
          <w:szCs w:val="13"/>
          <w:color w:val="auto"/>
        </w:rPr>
        <w:t>. ASU 2016-02 requires that lessees recognize assets and liabilities for the rights and obligations underlying leases with a lease term of more than one year. The amendments in this ASU are effective for annual periods ending after December 15, 2018. Early adoption is permitted. The standard must be applied using a modified retrospective approach. The Company is currently evaluating the impact of the adoption of ASU 2016-02 on its consolidated financial statements.</w:t>
      </w:r>
    </w:p>
    <w:p>
      <w:pPr>
        <w:spacing w:after="0" w:line="128" w:lineRule="exact"/>
        <w:rPr>
          <w:sz w:val="20"/>
          <w:szCs w:val="20"/>
          <w:color w:val="auto"/>
        </w:rPr>
      </w:pPr>
    </w:p>
    <w:p>
      <w:pPr>
        <w:ind w:right="180" w:firstLine="497"/>
        <w:spacing w:after="0" w:line="276" w:lineRule="auto"/>
        <w:rPr>
          <w:sz w:val="20"/>
          <w:szCs w:val="20"/>
          <w:color w:val="auto"/>
        </w:rPr>
      </w:pPr>
      <w:r>
        <w:rPr>
          <w:rFonts w:ascii="Arial" w:cs="Arial" w:eastAsia="Arial" w:hAnsi="Arial"/>
          <w:sz w:val="13"/>
          <w:szCs w:val="13"/>
          <w:color w:val="auto"/>
        </w:rPr>
        <w:t xml:space="preserve">In January 2015, the FASB issued ASU 2015-01 (“ASU 2015-01”), </w:t>
      </w:r>
      <w:r>
        <w:rPr>
          <w:rFonts w:ascii="Arial" w:cs="Arial" w:eastAsia="Arial" w:hAnsi="Arial"/>
          <w:sz w:val="13"/>
          <w:szCs w:val="13"/>
          <w:i w:val="1"/>
          <w:iCs w:val="1"/>
          <w:color w:val="auto"/>
        </w:rPr>
        <w:t>Income Statement - Extraordinary and Unusual Items (Subtopic 225-20): Simplifying Income Statement Presentation by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Eliminating the Concept of Extraordinary Items. </w:t>
      </w:r>
      <w:r>
        <w:rPr>
          <w:rFonts w:ascii="Arial" w:cs="Arial" w:eastAsia="Arial" w:hAnsi="Arial"/>
          <w:sz w:val="13"/>
          <w:szCs w:val="13"/>
          <w:color w:val="auto"/>
        </w:rPr>
        <w:t>ASU 2015-01 eliminates from GAAP the concept of extraordinary items. Subtopic 225-20,</w:t>
      </w:r>
      <w:r>
        <w:rPr>
          <w:rFonts w:ascii="Arial" w:cs="Arial" w:eastAsia="Arial" w:hAnsi="Arial"/>
          <w:sz w:val="13"/>
          <w:szCs w:val="13"/>
          <w:i w:val="1"/>
          <w:iCs w:val="1"/>
          <w:color w:val="auto"/>
        </w:rPr>
        <w:t xml:space="preserve"> Income Statement - Extraordinary and Unusual Items</w:t>
      </w:r>
      <w:r>
        <w:rPr>
          <w:rFonts w:ascii="Arial" w:cs="Arial" w:eastAsia="Arial" w:hAnsi="Arial"/>
          <w:sz w:val="13"/>
          <w:szCs w:val="13"/>
          <w:color w:val="auto"/>
        </w:rPr>
        <w:t>, required</w:t>
      </w:r>
      <w:r>
        <w:rPr>
          <w:rFonts w:ascii="Arial" w:cs="Arial" w:eastAsia="Arial" w:hAnsi="Arial"/>
          <w:sz w:val="13"/>
          <w:szCs w:val="13"/>
          <w:i w:val="1"/>
          <w:iCs w:val="1"/>
          <w:color w:val="auto"/>
        </w:rPr>
        <w:t xml:space="preserve"> </w:t>
      </w:r>
      <w:r>
        <w:rPr>
          <w:rFonts w:ascii="Arial" w:cs="Arial" w:eastAsia="Arial" w:hAnsi="Arial"/>
          <w:sz w:val="13"/>
          <w:szCs w:val="13"/>
          <w:color w:val="auto"/>
        </w:rPr>
        <w:t>that an entity separately classify, present, and disclose extraordinary events and transactions. Presently, an event or transaction is presumed to be an ordinary and usual activity of the reporting entity unless evidence clearly supports its classification as an extraordinary item. The amendments in this ASU are effective for fiscal years, and interim periods within those fiscal years, beginning after December 15, 2015. The Company adopted this standard in the quarter ended March 27, 2016, which did not have a material impact on its consolidated financial statements.</w:t>
      </w:r>
    </w:p>
    <w:p>
      <w:pPr>
        <w:spacing w:after="0" w:line="134" w:lineRule="exact"/>
        <w:rPr>
          <w:sz w:val="20"/>
          <w:szCs w:val="20"/>
          <w:color w:val="auto"/>
        </w:rPr>
      </w:pPr>
    </w:p>
    <w:p>
      <w:pPr>
        <w:ind w:right="120" w:firstLine="497"/>
        <w:spacing w:after="0" w:line="298" w:lineRule="auto"/>
        <w:rPr>
          <w:sz w:val="20"/>
          <w:szCs w:val="20"/>
          <w:color w:val="auto"/>
        </w:rPr>
      </w:pPr>
      <w:r>
        <w:rPr>
          <w:rFonts w:ascii="Arial" w:cs="Arial" w:eastAsia="Arial" w:hAnsi="Arial"/>
          <w:sz w:val="12"/>
          <w:szCs w:val="12"/>
          <w:color w:val="auto"/>
        </w:rPr>
        <w:t xml:space="preserve">In May 2014, the FASB issued ASU 2014-09 (“ASU 2014-09”),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ASU 2014-09 establishes a broad principle that would require an entity to recognize revenue to depict the transfer of promised goods or services to customers in an amount that reflects the consideration to which the entity expects to be entitled in exchange for those goods or services. To achieve this principle, an entity identifies the contract with a customer, identifies the separate performance obligations in the contract, determines the transaction price, allocates the transaction price to the separate performance obligations and recognizes revenue when each separate performance obligation is satisfied. ASU 2014-09 was further updated in March, April, May, and December 2016 to provide clarification on a number of specific issues as well as requiring additional disclosures. ASU 2014-09 may be applied either retrospectively or through the use of a modified-retrospective method. The full retrospective method requires companies to recast each prior reporting period presented as if the new guidance had always existed. Under the modified retrospective method, companies would recognize the cumulative effect of initially applying the standard as an adjustment to opening retained earnings at the date of initial application. On July 9, 2015, the FASB approved a one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60"/>
          </w:cols>
          <w:pgMar w:left="220" w:top="129" w:right="21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year deferral of the effective date of ASU 2014-09 to annual reporting periods beginning after December 15, 2017. The Company plans to adopt the new revenue standard effective January 1, 2018.</w:t>
      </w:r>
    </w:p>
    <w:p>
      <w:pPr>
        <w:spacing w:after="0" w:line="182" w:lineRule="exact"/>
        <w:rPr>
          <w:sz w:val="20"/>
          <w:szCs w:val="20"/>
          <w:color w:val="auto"/>
        </w:rPr>
      </w:pPr>
    </w:p>
    <w:p>
      <w:pPr>
        <w:ind w:right="120" w:firstLine="497"/>
        <w:spacing w:after="0" w:line="251" w:lineRule="auto"/>
        <w:rPr>
          <w:sz w:val="20"/>
          <w:szCs w:val="20"/>
          <w:color w:val="auto"/>
        </w:rPr>
      </w:pPr>
      <w:r>
        <w:rPr>
          <w:rFonts w:ascii="Arial" w:cs="Arial" w:eastAsia="Arial" w:hAnsi="Arial"/>
          <w:sz w:val="14"/>
          <w:szCs w:val="14"/>
          <w:color w:val="auto"/>
        </w:rPr>
        <w:t>While the Company has not yet completed its evaluation of the impact of the new standard upon adoption, based upon an assessment of material active contracts, the Company does not expect the impact on the results of operations or cash flows in the periods after adoption to be material. Under ASU 2014-09, revenue is recognized as control transfers to the customer. As such, revenue for the Company’s contracts will generally be recognized over time using the cost-to-cost method, which is consistent with the revenue recognition model currently in use for the majority of contracts. For those contracts where revenue is currently recognized as units are delivered, in most cases the accounting for those contracts will change under ASU 2014-09 such that revenue will be recognized as costs are incurred. This change will generally result in an acceleration of revenue as compared with the current revenue recognition method for those contracts. The Company expects to adopt the new standard using the modified retrospective method.</w:t>
      </w:r>
    </w:p>
    <w:p>
      <w:pPr>
        <w:spacing w:after="0" w:line="31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2.</w:t>
      </w:r>
      <w:r>
        <w:rPr>
          <w:sz w:val="20"/>
          <w:szCs w:val="20"/>
          <w:color w:val="auto"/>
        </w:rPr>
        <w:tab/>
      </w:r>
      <w:r>
        <w:rPr>
          <w:rFonts w:ascii="Arial" w:cs="Arial" w:eastAsia="Arial" w:hAnsi="Arial"/>
          <w:sz w:val="12"/>
          <w:szCs w:val="12"/>
          <w:b w:val="1"/>
          <w:bCs w:val="1"/>
          <w:color w:val="auto"/>
        </w:rPr>
        <w:t>Goodwill and Other Intangible Assets</w:t>
      </w:r>
    </w:p>
    <w:p>
      <w:pPr>
        <w:spacing w:after="0" w:line="170" w:lineRule="exact"/>
        <w:rPr>
          <w:sz w:val="20"/>
          <w:szCs w:val="20"/>
          <w:color w:val="auto"/>
        </w:rPr>
      </w:pPr>
    </w:p>
    <w:p>
      <w:pPr>
        <w:ind w:left="500" w:hanging="497"/>
        <w:spacing w:after="0"/>
        <w:tabs>
          <w:tab w:leader="none" w:pos="50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Goodwill</w:t>
      </w:r>
    </w:p>
    <w:p>
      <w:pPr>
        <w:spacing w:after="0" w:line="174"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3"/>
          <w:szCs w:val="13"/>
          <w:color w:val="auto"/>
        </w:rPr>
        <w:t xml:space="preserve">The Company performs its annual impairment test for goodwill in accordance with </w:t>
      </w:r>
      <w:r>
        <w:rPr>
          <w:rFonts w:ascii="Arial" w:cs="Arial" w:eastAsia="Arial" w:hAnsi="Arial"/>
          <w:sz w:val="13"/>
          <w:szCs w:val="13"/>
          <w:i w:val="1"/>
          <w:iCs w:val="1"/>
          <w:color w:val="auto"/>
        </w:rPr>
        <w:t>Topic 350</w:t>
      </w:r>
      <w:r>
        <w:rPr>
          <w:rFonts w:ascii="Arial" w:cs="Arial" w:eastAsia="Arial" w:hAnsi="Arial"/>
          <w:sz w:val="13"/>
          <w:szCs w:val="13"/>
          <w:color w:val="auto"/>
        </w:rPr>
        <w:t xml:space="preserve"> as of the last day of its fiscal October or when evidence of potential impairment exists.</w:t>
      </w:r>
    </w:p>
    <w:p>
      <w:pPr>
        <w:spacing w:after="0" w:line="182" w:lineRule="exact"/>
        <w:rPr>
          <w:sz w:val="20"/>
          <w:szCs w:val="20"/>
          <w:color w:val="auto"/>
        </w:rPr>
      </w:pPr>
    </w:p>
    <w:p>
      <w:pPr>
        <w:ind w:right="20" w:firstLine="497"/>
        <w:spacing w:after="0" w:line="253" w:lineRule="auto"/>
        <w:rPr>
          <w:sz w:val="20"/>
          <w:szCs w:val="20"/>
          <w:color w:val="auto"/>
        </w:rPr>
      </w:pPr>
      <w:r>
        <w:rPr>
          <w:rFonts w:ascii="Arial" w:cs="Arial" w:eastAsia="Arial" w:hAnsi="Arial"/>
          <w:sz w:val="14"/>
          <w:szCs w:val="14"/>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49" w:lineRule="exact"/>
        <w:rPr>
          <w:sz w:val="20"/>
          <w:szCs w:val="20"/>
          <w:color w:val="auto"/>
        </w:rPr>
      </w:pPr>
    </w:p>
    <w:p>
      <w:pPr>
        <w:ind w:firstLine="497"/>
        <w:spacing w:after="0" w:line="274" w:lineRule="auto"/>
        <w:rPr>
          <w:sz w:val="20"/>
          <w:szCs w:val="20"/>
          <w:color w:val="auto"/>
        </w:rPr>
      </w:pPr>
      <w:r>
        <w:rPr>
          <w:rFonts w:ascii="Arial" w:cs="Arial" w:eastAsia="Arial" w:hAnsi="Arial"/>
          <w:sz w:val="13"/>
          <w:szCs w:val="13"/>
          <w:color w:val="auto"/>
        </w:rPr>
        <w:t>In determining the fair value for the reporting units, there are key assumptions relating to future operating performance and revenue growth. If the actual operating performance and financial results are not consistent with our assumptions, an impairment in our $485.4 million goodwill and $32.6 million long-lived intangible assets could occur in future periods. Market factors that could impact our ability to successfully develop new products include the successful completion of certain unmanned system platforms, and the successful acceptance of new unmanned system platforms, including from a political and budgetary standpoint. For example, the US reporting unit fair value includes assumptions that the development of the high performance Unmanned Combat Aerial System (“UCAS”) product is successful and we are awarded future contracts for the UCAS product and other new tactical aerial systems. Additionally, the US reporting unit fair value assumes that we will receive follow on orders for the Sub-Sonic Aerial Target, which is currently under contract with the U.S. Navy.</w:t>
      </w:r>
    </w:p>
    <w:p>
      <w:pPr>
        <w:spacing w:after="0" w:line="136" w:lineRule="exact"/>
        <w:rPr>
          <w:sz w:val="20"/>
          <w:szCs w:val="20"/>
          <w:color w:val="auto"/>
        </w:rPr>
      </w:pPr>
    </w:p>
    <w:p>
      <w:pPr>
        <w:ind w:right="80" w:firstLine="497"/>
        <w:spacing w:after="0" w:line="276" w:lineRule="auto"/>
        <w:rPr>
          <w:sz w:val="20"/>
          <w:szCs w:val="20"/>
          <w:color w:val="auto"/>
        </w:rPr>
      </w:pPr>
      <w:r>
        <w:rPr>
          <w:rFonts w:ascii="Arial" w:cs="Arial" w:eastAsia="Arial" w:hAnsi="Arial"/>
          <w:sz w:val="13"/>
          <w:szCs w:val="13"/>
          <w:color w:val="auto"/>
        </w:rPr>
        <w:t>The KGS reportable segment has four operating segments: Defense Rocket Support Services (“DRSS”), Microwave Electronics (“ME”), Technical and Training Solutions (“TTS”), and Modular Systems (“MS”). All of the KGS operating segments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PSS reportable business segment provides integrated solutions for advanced homeland security, public safety, critical infrastructure security, and security and surveillance systems for government, industrial and commercial customers. The US reportable segment consists of our unmanned aerial system and unmanned ground and seaborne system businesses.</w:t>
      </w:r>
    </w:p>
    <w:p>
      <w:pPr>
        <w:spacing w:after="0" w:line="103" w:lineRule="exact"/>
        <w:rPr>
          <w:sz w:val="20"/>
          <w:szCs w:val="20"/>
          <w:color w:val="auto"/>
        </w:rPr>
      </w:pPr>
    </w:p>
    <w:p>
      <w:pPr>
        <w:ind w:right="80" w:firstLine="497"/>
        <w:spacing w:after="0" w:line="304" w:lineRule="auto"/>
        <w:rPr>
          <w:sz w:val="20"/>
          <w:szCs w:val="20"/>
          <w:color w:val="auto"/>
        </w:rPr>
      </w:pPr>
      <w:r>
        <w:rPr>
          <w:rFonts w:ascii="Arial" w:cs="Arial" w:eastAsia="Arial" w:hAnsi="Arial"/>
          <w:sz w:val="12"/>
          <w:szCs w:val="12"/>
          <w:color w:val="auto"/>
        </w:rPr>
        <w:t>Concurrent with the sale on August 21, 2015 of the U.S. and U.K. operations of its Electronic Products Division to Ultra Electronics Holdings plc (see Note 8) the Company changed the name of its Electronic Products Division to the Microwave Electronics Division (“ME”). In the second quarter of 2015, as a result of the pending disposition of the Herley Entities, the Company performed a valuation analysis to apportion the carrying value of the goodwill of its EP reportable unit to the retained ME products business and the Herley Entities which were subsequently sold. As a result, the KGS reportable segment is comprised of an aggregation of Kratos’ Government Solutions operating segments, including our microwave products, satellite communications, modular systems and rocket support operating segments. The Company identified its reporting units to be the DRSS, ME, TTS, MS, US and PSS operating segments, which were tested for potential impairment in the fiscal year 2016 annual test.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60"/>
          </w:cols>
          <w:pgMar w:left="220" w:top="129" w:right="21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firstLine="497"/>
        <w:spacing w:after="0" w:line="274" w:lineRule="auto"/>
        <w:rPr>
          <w:sz w:val="20"/>
          <w:szCs w:val="20"/>
          <w:color w:val="auto"/>
        </w:rPr>
      </w:pPr>
      <w:r>
        <w:rPr>
          <w:rFonts w:ascii="Arial" w:cs="Arial" w:eastAsia="Arial" w:hAnsi="Arial"/>
          <w:sz w:val="13"/>
          <w:szCs w:val="13"/>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based upon the last business day of fiscal October and assumes a control premium. The Company uses this methodology to determine the fair value of its reporting units for comparison to their corresponding book values because there are no observable inputs available, a Level 3 measurement (See Note 9 of these Notes to Consolidated Financial Statements). If the book value exceeds the estimated fair value for a reporting unit a potential impairment is indicated, and </w:t>
      </w:r>
      <w:r>
        <w:rPr>
          <w:rFonts w:ascii="Arial" w:cs="Arial" w:eastAsia="Arial" w:hAnsi="Arial"/>
          <w:sz w:val="13"/>
          <w:szCs w:val="13"/>
          <w:i w:val="1"/>
          <w:iCs w:val="1"/>
          <w:color w:val="auto"/>
        </w:rPr>
        <w:t>Topic</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350 </w:t>
      </w:r>
      <w:r>
        <w:rPr>
          <w:rFonts w:ascii="Arial" w:cs="Arial" w:eastAsia="Arial" w:hAnsi="Arial"/>
          <w:sz w:val="13"/>
          <w:szCs w:val="13"/>
          <w:color w:val="auto"/>
        </w:rPr>
        <w:t>prescribes the approach for determining the impairment amount, if any.</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Company concluded that its goodwill was not impaired at the annual test at October 31, 2016 and the interim assessment at December 25, 2016.</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carrying amounts of goodwill as of December 25, 2016 and December 27, 2015 by reportable segment are as follows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5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1"/>
                <w:szCs w:val="11"/>
                <w:b w:val="1"/>
                <w:bCs w:val="1"/>
                <w:color w:val="auto"/>
                <w:w w:val="89"/>
              </w:rPr>
              <w:t>As of December 25, 2016</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97"/>
        </w:trPr>
        <w:tc>
          <w:tcPr>
            <w:tcW w:w="65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PSS</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US</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KGS</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Total</w:t>
            </w:r>
          </w:p>
        </w:tc>
      </w:tr>
      <w:tr>
        <w:trPr>
          <w:trHeight w:val="182"/>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value</w:t>
            </w:r>
          </w:p>
        </w:tc>
        <w:tc>
          <w:tcPr>
            <w:tcW w:w="66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87"/>
              </w:rPr>
              <w:t>53.9</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111.1</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6"/>
              </w:rPr>
              <w:t>567.8</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732.8</w:t>
            </w:r>
          </w:p>
        </w:tc>
      </w:tr>
      <w:tr>
        <w:trPr>
          <w:trHeight w:val="185"/>
        </w:trPr>
        <w:tc>
          <w:tcPr>
            <w:tcW w:w="6540" w:type="dxa"/>
            <w:vAlign w:val="bottom"/>
          </w:tcPr>
          <w:p>
            <w:pPr>
              <w:ind w:left="20"/>
              <w:spacing w:after="0"/>
              <w:rPr>
                <w:sz w:val="20"/>
                <w:szCs w:val="20"/>
                <w:color w:val="auto"/>
              </w:rPr>
            </w:pPr>
            <w:r>
              <w:rPr>
                <w:rFonts w:ascii="Arial" w:cs="Arial" w:eastAsia="Arial" w:hAnsi="Arial"/>
                <w:sz w:val="14"/>
                <w:szCs w:val="14"/>
                <w:color w:val="auto"/>
              </w:rPr>
              <w:t>Less accumulated impairment</w:t>
            </w:r>
          </w:p>
        </w:tc>
        <w:tc>
          <w:tcPr>
            <w:tcW w:w="660" w:type="dxa"/>
            <w:vAlign w:val="bottom"/>
          </w:tcPr>
          <w:p>
            <w:pPr>
              <w:spacing w:after="0"/>
              <w:rPr>
                <w:sz w:val="16"/>
                <w:szCs w:val="16"/>
                <w:color w:val="auto"/>
              </w:rPr>
            </w:pP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87"/>
              </w:rPr>
              <w:t>18.3</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w w:val="96"/>
              </w:rPr>
              <w:t>215.3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247.4</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87"/>
              </w:rPr>
              <w:t>35.6</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97.3</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6"/>
              </w:rPr>
              <w:t>352.5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485.4</w:t>
            </w:r>
          </w:p>
        </w:tc>
      </w:tr>
      <w:tr>
        <w:trPr>
          <w:trHeight w:val="20"/>
        </w:trPr>
        <w:tc>
          <w:tcPr>
            <w:tcW w:w="6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49"/>
        </w:trPr>
        <w:tc>
          <w:tcPr>
            <w:tcW w:w="65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1"/>
                <w:szCs w:val="11"/>
                <w:b w:val="1"/>
                <w:bCs w:val="1"/>
                <w:color w:val="auto"/>
                <w:w w:val="89"/>
              </w:rPr>
              <w:t>As of December 27, 2015</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97"/>
        </w:trPr>
        <w:tc>
          <w:tcPr>
            <w:tcW w:w="65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PSS</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US</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KGS</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Total</w:t>
            </w:r>
          </w:p>
        </w:tc>
      </w:tr>
      <w:tr>
        <w:trPr>
          <w:trHeight w:val="182"/>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value</w:t>
            </w:r>
          </w:p>
        </w:tc>
        <w:tc>
          <w:tcPr>
            <w:tcW w:w="66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87"/>
              </w:rPr>
              <w:t>53.9</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111.1</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6"/>
              </w:rPr>
              <w:t>565.8</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730.8</w:t>
            </w:r>
          </w:p>
        </w:tc>
      </w:tr>
      <w:tr>
        <w:trPr>
          <w:trHeight w:val="185"/>
        </w:trPr>
        <w:tc>
          <w:tcPr>
            <w:tcW w:w="6540" w:type="dxa"/>
            <w:vAlign w:val="bottom"/>
          </w:tcPr>
          <w:p>
            <w:pPr>
              <w:ind w:left="20"/>
              <w:spacing w:after="0"/>
              <w:rPr>
                <w:sz w:val="20"/>
                <w:szCs w:val="20"/>
                <w:color w:val="auto"/>
              </w:rPr>
            </w:pPr>
            <w:r>
              <w:rPr>
                <w:rFonts w:ascii="Arial" w:cs="Arial" w:eastAsia="Arial" w:hAnsi="Arial"/>
                <w:sz w:val="14"/>
                <w:szCs w:val="14"/>
                <w:color w:val="auto"/>
              </w:rPr>
              <w:t>Less accumulated impairment</w:t>
            </w:r>
          </w:p>
        </w:tc>
        <w:tc>
          <w:tcPr>
            <w:tcW w:w="660" w:type="dxa"/>
            <w:vAlign w:val="bottom"/>
          </w:tcPr>
          <w:p>
            <w:pPr>
              <w:spacing w:after="0"/>
              <w:rPr>
                <w:sz w:val="16"/>
                <w:szCs w:val="16"/>
                <w:color w:val="auto"/>
              </w:rPr>
            </w:pPr>
          </w:p>
        </w:tc>
        <w:tc>
          <w:tcPr>
            <w:tcW w:w="400" w:type="dxa"/>
            <w:vAlign w:val="bottom"/>
          </w:tcPr>
          <w:p>
            <w:pPr>
              <w:jc w:val="right"/>
              <w:ind w:right="71"/>
              <w:spacing w:after="0"/>
              <w:rPr>
                <w:sz w:val="20"/>
                <w:szCs w:val="20"/>
                <w:color w:val="auto"/>
              </w:rPr>
            </w:pPr>
            <w:r>
              <w:rPr>
                <w:rFonts w:ascii="Arial" w:cs="Arial" w:eastAsia="Arial" w:hAnsi="Arial"/>
                <w:sz w:val="14"/>
                <w:szCs w:val="14"/>
                <w:color w:val="auto"/>
                <w:w w:val="87"/>
              </w:rPr>
              <w:t>18.3</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w w:val="96"/>
              </w:rPr>
              <w:t>215.3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247.4</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87"/>
              </w:rPr>
              <w:t>35.6</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97.3</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6"/>
              </w:rPr>
              <w:t>350.5</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483.4</w:t>
            </w:r>
          </w:p>
        </w:tc>
      </w:tr>
      <w:tr>
        <w:trPr>
          <w:trHeight w:val="20"/>
        </w:trPr>
        <w:tc>
          <w:tcPr>
            <w:tcW w:w="6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20" w:firstLine="497"/>
        <w:spacing w:after="0" w:line="267" w:lineRule="auto"/>
        <w:rPr>
          <w:sz w:val="20"/>
          <w:szCs w:val="20"/>
          <w:color w:val="auto"/>
        </w:rPr>
      </w:pPr>
      <w:r>
        <w:rPr>
          <w:rFonts w:ascii="Arial" w:cs="Arial" w:eastAsia="Arial" w:hAnsi="Arial"/>
          <w:sz w:val="14"/>
          <w:szCs w:val="14"/>
          <w:color w:val="auto"/>
        </w:rPr>
        <w:t>The $2.0 million increase in goodwill is related to a strategic initial investment in a satellite signal monitoring, signal intelligence and location identification technology and product line to enhance our existing satellite communications business offering completed in November, 2016.</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460"/>
          </w:cols>
          <w:pgMar w:left="220" w:top="129" w:right="21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500" w:hanging="497"/>
        <w:spacing w:after="0"/>
        <w:tabs>
          <w:tab w:leader="none" w:pos="50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Purchased Intangible Assets</w:t>
      </w:r>
    </w:p>
    <w:p>
      <w:pPr>
        <w:spacing w:after="0" w:line="174"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sets forth information for acquired finite-lived and indefinite-lived intangible assets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3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As of December 25, 2016</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89"/>
              </w:rPr>
              <w:t>As of December 27, 2015</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13"/>
        </w:trPr>
        <w:tc>
          <w:tcPr>
            <w:tcW w:w="334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Arial" w:cs="Arial" w:eastAsia="Arial" w:hAnsi="Arial"/>
                <w:sz w:val="11"/>
                <w:szCs w:val="11"/>
                <w:b w:val="1"/>
                <w:bCs w:val="1"/>
                <w:color w:val="auto"/>
              </w:rPr>
              <w:t>Gross</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ind w:left="120"/>
              <w:spacing w:after="0" w:line="113" w:lineRule="exact"/>
              <w:rPr>
                <w:sz w:val="20"/>
                <w:szCs w:val="20"/>
                <w:color w:val="auto"/>
              </w:rPr>
            </w:pPr>
            <w:r>
              <w:rPr>
                <w:rFonts w:ascii="Arial" w:cs="Arial" w:eastAsia="Arial" w:hAnsi="Arial"/>
                <w:sz w:val="11"/>
                <w:szCs w:val="11"/>
                <w:b w:val="1"/>
                <w:bCs w:val="1"/>
                <w:color w:val="auto"/>
              </w:rPr>
              <w:t>Accumulated</w:t>
            </w:r>
          </w:p>
        </w:tc>
        <w:tc>
          <w:tcPr>
            <w:tcW w:w="280" w:type="dxa"/>
            <w:vAlign w:val="bottom"/>
          </w:tcPr>
          <w:p>
            <w:pPr>
              <w:spacing w:after="0"/>
              <w:rPr>
                <w:sz w:val="9"/>
                <w:szCs w:val="9"/>
                <w:color w:val="auto"/>
              </w:rPr>
            </w:pPr>
          </w:p>
        </w:tc>
        <w:tc>
          <w:tcPr>
            <w:tcW w:w="1080" w:type="dxa"/>
            <w:vAlign w:val="bottom"/>
            <w:gridSpan w:val="2"/>
          </w:tcPr>
          <w:p>
            <w:pPr>
              <w:jc w:val="center"/>
              <w:ind w:right="400"/>
              <w:spacing w:after="0" w:line="113" w:lineRule="exact"/>
              <w:rPr>
                <w:sz w:val="20"/>
                <w:szCs w:val="20"/>
                <w:color w:val="auto"/>
              </w:rPr>
            </w:pPr>
            <w:r>
              <w:rPr>
                <w:rFonts w:ascii="Arial" w:cs="Arial" w:eastAsia="Arial" w:hAnsi="Arial"/>
                <w:sz w:val="11"/>
                <w:szCs w:val="11"/>
                <w:b w:val="1"/>
                <w:bCs w:val="1"/>
                <w:color w:val="auto"/>
                <w:w w:val="90"/>
              </w:rPr>
              <w:t>Net</w:t>
            </w:r>
          </w:p>
        </w:tc>
        <w:tc>
          <w:tcPr>
            <w:tcW w:w="280" w:type="dxa"/>
            <w:vAlign w:val="bottom"/>
          </w:tcPr>
          <w:p>
            <w:pPr>
              <w:spacing w:after="0"/>
              <w:rPr>
                <w:sz w:val="9"/>
                <w:szCs w:val="9"/>
                <w:color w:val="auto"/>
              </w:rPr>
            </w:pPr>
          </w:p>
        </w:tc>
        <w:tc>
          <w:tcPr>
            <w:tcW w:w="1080" w:type="dxa"/>
            <w:vAlign w:val="bottom"/>
            <w:gridSpan w:val="2"/>
          </w:tcPr>
          <w:p>
            <w:pPr>
              <w:ind w:left="200"/>
              <w:spacing w:after="0" w:line="113" w:lineRule="exact"/>
              <w:rPr>
                <w:sz w:val="20"/>
                <w:szCs w:val="20"/>
                <w:color w:val="auto"/>
              </w:rPr>
            </w:pPr>
            <w:r>
              <w:rPr>
                <w:rFonts w:ascii="Arial" w:cs="Arial" w:eastAsia="Arial" w:hAnsi="Arial"/>
                <w:sz w:val="11"/>
                <w:szCs w:val="11"/>
                <w:b w:val="1"/>
                <w:bCs w:val="1"/>
                <w:color w:val="auto"/>
              </w:rPr>
              <w:t>Gross</w:t>
            </w:r>
          </w:p>
        </w:tc>
        <w:tc>
          <w:tcPr>
            <w:tcW w:w="200" w:type="dxa"/>
            <w:vAlign w:val="bottom"/>
          </w:tcPr>
          <w:p>
            <w:pPr>
              <w:spacing w:after="0"/>
              <w:rPr>
                <w:sz w:val="9"/>
                <w:szCs w:val="9"/>
                <w:color w:val="auto"/>
              </w:rPr>
            </w:pPr>
          </w:p>
        </w:tc>
        <w:tc>
          <w:tcPr>
            <w:tcW w:w="1180" w:type="dxa"/>
            <w:vAlign w:val="bottom"/>
            <w:gridSpan w:val="2"/>
          </w:tcPr>
          <w:p>
            <w:pPr>
              <w:jc w:val="center"/>
              <w:ind w:right="320"/>
              <w:spacing w:after="0" w:line="113" w:lineRule="exact"/>
              <w:rPr>
                <w:sz w:val="20"/>
                <w:szCs w:val="20"/>
                <w:color w:val="auto"/>
              </w:rPr>
            </w:pPr>
            <w:r>
              <w:rPr>
                <w:rFonts w:ascii="Arial" w:cs="Arial" w:eastAsia="Arial" w:hAnsi="Arial"/>
                <w:sz w:val="11"/>
                <w:szCs w:val="11"/>
                <w:b w:val="1"/>
                <w:bCs w:val="1"/>
                <w:color w:val="auto"/>
                <w:w w:val="89"/>
              </w:rPr>
              <w:t>Accumulated</w:t>
            </w:r>
          </w:p>
        </w:tc>
        <w:tc>
          <w:tcPr>
            <w:tcW w:w="280" w:type="dxa"/>
            <w:vAlign w:val="bottom"/>
          </w:tcPr>
          <w:p>
            <w:pPr>
              <w:spacing w:after="0"/>
              <w:rPr>
                <w:sz w:val="9"/>
                <w:szCs w:val="9"/>
                <w:color w:val="auto"/>
              </w:rPr>
            </w:pPr>
          </w:p>
        </w:tc>
        <w:tc>
          <w:tcPr>
            <w:tcW w:w="960" w:type="dxa"/>
            <w:vAlign w:val="bottom"/>
          </w:tcPr>
          <w:p>
            <w:pPr>
              <w:jc w:val="right"/>
              <w:ind w:right="474"/>
              <w:spacing w:after="0" w:line="113" w:lineRule="exact"/>
              <w:rPr>
                <w:sz w:val="20"/>
                <w:szCs w:val="20"/>
                <w:color w:val="auto"/>
              </w:rPr>
            </w:pPr>
            <w:r>
              <w:rPr>
                <w:rFonts w:ascii="Arial" w:cs="Arial" w:eastAsia="Arial" w:hAnsi="Arial"/>
                <w:sz w:val="11"/>
                <w:szCs w:val="11"/>
                <w:b w:val="1"/>
                <w:bCs w:val="1"/>
                <w:color w:val="auto"/>
              </w:rPr>
              <w:t>Net</w:t>
            </w:r>
          </w:p>
        </w:tc>
      </w:tr>
      <w:tr>
        <w:trPr>
          <w:trHeight w:val="147"/>
        </w:trPr>
        <w:tc>
          <w:tcPr>
            <w:tcW w:w="3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Value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Amortization</w:t>
            </w:r>
          </w:p>
        </w:tc>
        <w:tc>
          <w:tcPr>
            <w:tcW w:w="280" w:type="dxa"/>
            <w:vAlign w:val="bottom"/>
          </w:tcPr>
          <w:p>
            <w:pPr>
              <w:spacing w:after="0"/>
              <w:rPr>
                <w:sz w:val="12"/>
                <w:szCs w:val="12"/>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5"/>
              </w:rPr>
              <w:t>Value</w:t>
            </w:r>
          </w:p>
        </w:tc>
        <w:tc>
          <w:tcPr>
            <w:tcW w:w="280" w:type="dxa"/>
            <w:vAlign w:val="bottom"/>
          </w:tcPr>
          <w:p>
            <w:pPr>
              <w:spacing w:after="0"/>
              <w:rPr>
                <w:sz w:val="12"/>
                <w:szCs w:val="12"/>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Value</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Amortization</w:t>
            </w:r>
          </w:p>
        </w:tc>
        <w:tc>
          <w:tcPr>
            <w:tcW w:w="280" w:type="dxa"/>
            <w:vAlign w:val="bottom"/>
          </w:tcPr>
          <w:p>
            <w:pPr>
              <w:spacing w:after="0"/>
              <w:rPr>
                <w:sz w:val="12"/>
                <w:szCs w:val="12"/>
                <w:color w:val="auto"/>
              </w:rPr>
            </w:pPr>
          </w:p>
        </w:tc>
        <w:tc>
          <w:tcPr>
            <w:tcW w:w="960" w:type="dxa"/>
            <w:vAlign w:val="bottom"/>
          </w:tcPr>
          <w:p>
            <w:pPr>
              <w:jc w:val="right"/>
              <w:ind w:right="414"/>
              <w:spacing w:after="0"/>
              <w:rPr>
                <w:sz w:val="20"/>
                <w:szCs w:val="20"/>
                <w:color w:val="auto"/>
              </w:rPr>
            </w:pPr>
            <w:r>
              <w:rPr>
                <w:rFonts w:ascii="Arial" w:cs="Arial" w:eastAsia="Arial" w:hAnsi="Arial"/>
                <w:sz w:val="11"/>
                <w:szCs w:val="11"/>
                <w:b w:val="1"/>
                <w:bCs w:val="1"/>
                <w:color w:val="auto"/>
              </w:rPr>
              <w:t>Value</w:t>
            </w:r>
          </w:p>
        </w:tc>
      </w:tr>
      <w:tr>
        <w:trPr>
          <w:trHeight w:val="172"/>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finite-lived intangible assets:</w:t>
            </w: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85"/>
        </w:trPr>
        <w:tc>
          <w:tcPr>
            <w:tcW w:w="3340" w:type="dxa"/>
            <w:vAlign w:val="bottom"/>
          </w:tcPr>
          <w:p>
            <w:pPr>
              <w:ind w:left="120"/>
              <w:spacing w:after="0"/>
              <w:rPr>
                <w:sz w:val="20"/>
                <w:szCs w:val="20"/>
                <w:color w:val="auto"/>
              </w:rPr>
            </w:pPr>
            <w:r>
              <w:rPr>
                <w:rFonts w:ascii="Arial" w:cs="Arial" w:eastAsia="Arial" w:hAnsi="Arial"/>
                <w:sz w:val="14"/>
                <w:szCs w:val="14"/>
                <w:color w:val="auto"/>
              </w:rPr>
              <w:t>Customer relationships</w:t>
            </w:r>
          </w:p>
        </w:tc>
        <w:tc>
          <w:tcPr>
            <w:tcW w:w="820" w:type="dxa"/>
            <w:vAlign w:val="bottom"/>
          </w:tcPr>
          <w:p>
            <w:pPr>
              <w:jc w:val="right"/>
              <w:ind w:right="67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4"/>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4"/>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4"/>
              <w:spacing w:after="0"/>
              <w:rPr>
                <w:sz w:val="20"/>
                <w:szCs w:val="20"/>
                <w:color w:val="auto"/>
              </w:rPr>
            </w:pPr>
            <w:r>
              <w:rPr>
                <w:rFonts w:ascii="Arial" w:cs="Arial" w:eastAsia="Arial" w:hAnsi="Arial"/>
                <w:sz w:val="14"/>
                <w:szCs w:val="14"/>
                <w:color w:val="auto"/>
              </w:rPr>
              <w:t>16.6</w:t>
            </w:r>
          </w:p>
        </w:tc>
      </w:tr>
      <w:tr>
        <w:trPr>
          <w:trHeight w:val="22"/>
        </w:trPr>
        <w:tc>
          <w:tcPr>
            <w:tcW w:w="3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7"/>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Contracts and backlog</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71.3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1.9</w:t>
            </w:r>
          </w:p>
        </w:tc>
      </w:tr>
      <w:tr>
        <w:trPr>
          <w:trHeight w:val="185"/>
        </w:trPr>
        <w:tc>
          <w:tcPr>
            <w:tcW w:w="3340" w:type="dxa"/>
            <w:vAlign w:val="bottom"/>
          </w:tcPr>
          <w:p>
            <w:pPr>
              <w:ind w:left="120"/>
              <w:spacing w:after="0"/>
              <w:rPr>
                <w:sz w:val="20"/>
                <w:szCs w:val="20"/>
                <w:color w:val="auto"/>
              </w:rPr>
            </w:pPr>
            <w:r>
              <w:rPr>
                <w:rFonts w:ascii="Arial" w:cs="Arial" w:eastAsia="Arial" w:hAnsi="Arial"/>
                <w:sz w:val="14"/>
                <w:szCs w:val="14"/>
                <w:color w:val="auto"/>
              </w:rPr>
              <w:t>Developed technology and technical know-how</w:t>
            </w:r>
          </w:p>
        </w:tc>
        <w:tc>
          <w:tcPr>
            <w:tcW w:w="82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color w:val="auto"/>
              </w:rPr>
              <w:t>9.8</w:t>
            </w:r>
          </w:p>
        </w:tc>
      </w:tr>
      <w:tr>
        <w:trPr>
          <w:trHeight w:val="22"/>
        </w:trPr>
        <w:tc>
          <w:tcPr>
            <w:tcW w:w="3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7"/>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Trade names</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0.4</w:t>
            </w:r>
          </w:p>
        </w:tc>
      </w:tr>
      <w:tr>
        <w:trPr>
          <w:trHeight w:val="185"/>
        </w:trPr>
        <w:tc>
          <w:tcPr>
            <w:tcW w:w="3340" w:type="dxa"/>
            <w:vAlign w:val="bottom"/>
          </w:tcPr>
          <w:p>
            <w:pPr>
              <w:ind w:left="120"/>
              <w:spacing w:after="0"/>
              <w:rPr>
                <w:sz w:val="20"/>
                <w:szCs w:val="20"/>
                <w:color w:val="auto"/>
              </w:rPr>
            </w:pPr>
            <w:r>
              <w:rPr>
                <w:rFonts w:ascii="Arial" w:cs="Arial" w:eastAsia="Arial" w:hAnsi="Arial"/>
                <w:sz w:val="14"/>
                <w:szCs w:val="14"/>
                <w:color w:val="auto"/>
              </w:rPr>
              <w:t>Favorable operating lease</w:t>
            </w:r>
          </w:p>
        </w:tc>
        <w:tc>
          <w:tcPr>
            <w:tcW w:w="8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color w:val="auto"/>
              </w:rPr>
              <w:t>0.9</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finite-lived intangible assets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1"/>
              </w:rPr>
              <w:t>111.1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185.2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29.6</w:t>
            </w:r>
          </w:p>
        </w:tc>
      </w:tr>
      <w:tr>
        <w:trPr>
          <w:trHeight w:val="185"/>
        </w:trPr>
        <w:tc>
          <w:tcPr>
            <w:tcW w:w="3340" w:type="dxa"/>
            <w:vAlign w:val="bottom"/>
          </w:tcPr>
          <w:p>
            <w:pPr>
              <w:ind w:left="20"/>
              <w:spacing w:after="0"/>
              <w:rPr>
                <w:sz w:val="20"/>
                <w:szCs w:val="20"/>
                <w:color w:val="auto"/>
              </w:rPr>
            </w:pPr>
            <w:r>
              <w:rPr>
                <w:rFonts w:ascii="Arial" w:cs="Arial" w:eastAsia="Arial" w:hAnsi="Arial"/>
                <w:sz w:val="14"/>
                <w:szCs w:val="14"/>
                <w:color w:val="auto"/>
              </w:rPr>
              <w:t>Indefinite-lived trade names</w:t>
            </w:r>
          </w:p>
        </w:tc>
        <w:tc>
          <w:tcPr>
            <w:tcW w:w="82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color w:val="auto"/>
              </w:rPr>
              <w:t>6.9</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w:t>
            </w:r>
          </w:p>
        </w:tc>
        <w:tc>
          <w:tcPr>
            <w:tcW w:w="82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1"/>
              </w:rPr>
              <w:t>118.0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192.1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36.5</w:t>
            </w:r>
          </w:p>
        </w:tc>
      </w:tr>
      <w:tr>
        <w:trPr>
          <w:trHeight w:val="20"/>
        </w:trPr>
        <w:tc>
          <w:tcPr>
            <w:tcW w:w="3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right="240" w:firstLine="497"/>
        <w:spacing w:after="0" w:line="257" w:lineRule="auto"/>
        <w:rPr>
          <w:sz w:val="20"/>
          <w:szCs w:val="20"/>
          <w:color w:val="auto"/>
        </w:rPr>
      </w:pPr>
      <w:r>
        <w:rPr>
          <w:rFonts w:ascii="Arial" w:cs="Arial" w:eastAsia="Arial" w:hAnsi="Arial"/>
          <w:sz w:val="14"/>
          <w:szCs w:val="14"/>
          <w:color w:val="auto"/>
        </w:rPr>
        <w:t>The aggregate amortization expense for finite-lived intangible assets was $10.5 million, $13.0 million and $19.1 million, for the years ended December 25, 2016, December 27, 2015, and December 28, 2014, respectively. The Company records all amortization expense in selling, general and administrative expenses in the Consolidated Statements of Operations and Comprehensive Income (Loss).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estimated future amortization expense of acquired intangible assets with finite lives as of December 25, 2016 is as follows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Fiscal Year</w:t>
            </w:r>
          </w:p>
        </w:tc>
        <w:tc>
          <w:tcPr>
            <w:tcW w:w="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Amount</w:t>
            </w:r>
          </w:p>
        </w:tc>
      </w:tr>
      <w:tr>
        <w:trPr>
          <w:trHeight w:val="182"/>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10.5</w:t>
            </w:r>
          </w:p>
        </w:tc>
      </w:tr>
      <w:tr>
        <w:trPr>
          <w:trHeight w:val="185"/>
        </w:trPr>
        <w:tc>
          <w:tcPr>
            <w:tcW w:w="9740" w:type="dxa"/>
            <w:vAlign w:val="bottom"/>
          </w:tcPr>
          <w:p>
            <w:pPr>
              <w:ind w:left="20"/>
              <w:spacing w:after="0"/>
              <w:rPr>
                <w:sz w:val="20"/>
                <w:szCs w:val="20"/>
                <w:color w:val="auto"/>
              </w:rPr>
            </w:pPr>
            <w:r>
              <w:rPr>
                <w:rFonts w:ascii="Arial" w:cs="Arial" w:eastAsia="Arial" w:hAnsi="Arial"/>
                <w:sz w:val="14"/>
                <w:szCs w:val="14"/>
                <w:color w:val="auto"/>
              </w:rPr>
              <w:t>2018</w:t>
            </w:r>
          </w:p>
        </w:tc>
        <w:tc>
          <w:tcPr>
            <w:tcW w:w="380" w:type="dxa"/>
            <w:vAlign w:val="bottom"/>
          </w:tcPr>
          <w:p>
            <w:pPr>
              <w:spacing w:after="0"/>
              <w:rPr>
                <w:sz w:val="16"/>
                <w:szCs w:val="16"/>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color w:val="auto"/>
              </w:rPr>
              <w:t>5.9</w:t>
            </w:r>
          </w:p>
        </w:tc>
      </w:tr>
      <w:tr>
        <w:trPr>
          <w:trHeight w:val="22"/>
        </w:trPr>
        <w:tc>
          <w:tcPr>
            <w:tcW w:w="9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7"/>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5.1</w:t>
            </w:r>
          </w:p>
        </w:tc>
      </w:tr>
      <w:tr>
        <w:trPr>
          <w:trHeight w:val="185"/>
        </w:trPr>
        <w:tc>
          <w:tcPr>
            <w:tcW w:w="9740" w:type="dxa"/>
            <w:vAlign w:val="bottom"/>
          </w:tcPr>
          <w:p>
            <w:pPr>
              <w:ind w:left="20"/>
              <w:spacing w:after="0"/>
              <w:rPr>
                <w:sz w:val="20"/>
                <w:szCs w:val="20"/>
                <w:color w:val="auto"/>
              </w:rPr>
            </w:pPr>
            <w:r>
              <w:rPr>
                <w:rFonts w:ascii="Arial" w:cs="Arial" w:eastAsia="Arial" w:hAnsi="Arial"/>
                <w:sz w:val="14"/>
                <w:szCs w:val="14"/>
                <w:color w:val="auto"/>
              </w:rPr>
              <w:t>2020</w:t>
            </w:r>
          </w:p>
        </w:tc>
        <w:tc>
          <w:tcPr>
            <w:tcW w:w="380" w:type="dxa"/>
            <w:vAlign w:val="bottom"/>
          </w:tcPr>
          <w:p>
            <w:pPr>
              <w:spacing w:after="0"/>
              <w:rPr>
                <w:sz w:val="16"/>
                <w:szCs w:val="16"/>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color w:val="auto"/>
              </w:rPr>
              <w:t>3.1</w:t>
            </w:r>
          </w:p>
        </w:tc>
      </w:tr>
      <w:tr>
        <w:trPr>
          <w:trHeight w:val="22"/>
        </w:trPr>
        <w:tc>
          <w:tcPr>
            <w:tcW w:w="9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7"/>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1.1</w:t>
            </w:r>
          </w:p>
        </w:tc>
      </w:tr>
      <w:tr>
        <w:trPr>
          <w:trHeight w:val="192"/>
        </w:trPr>
        <w:tc>
          <w:tcPr>
            <w:tcW w:w="9740" w:type="dxa"/>
            <w:vAlign w:val="bottom"/>
          </w:tcPr>
          <w:p>
            <w:pPr>
              <w:ind w:left="120"/>
              <w:spacing w:after="0"/>
              <w:rPr>
                <w:sz w:val="20"/>
                <w:szCs w:val="20"/>
                <w:color w:val="auto"/>
              </w:rPr>
            </w:pPr>
            <w:r>
              <w:rPr>
                <w:rFonts w:ascii="Arial" w:cs="Arial" w:eastAsia="Arial" w:hAnsi="Arial"/>
                <w:sz w:val="14"/>
                <w:szCs w:val="14"/>
                <w:color w:val="auto"/>
              </w:rPr>
              <w:t>Total</w:t>
            </w:r>
          </w:p>
        </w:tc>
        <w:tc>
          <w:tcPr>
            <w:tcW w:w="3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25.7</w:t>
            </w:r>
          </w:p>
        </w:tc>
      </w:tr>
      <w:tr>
        <w:trPr>
          <w:trHeight w:val="20"/>
        </w:trPr>
        <w:tc>
          <w:tcPr>
            <w:tcW w:w="9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3.</w:t>
      </w:r>
      <w:r>
        <w:rPr>
          <w:sz w:val="20"/>
          <w:szCs w:val="20"/>
          <w:color w:val="auto"/>
        </w:rPr>
        <w:tab/>
      </w:r>
      <w:r>
        <w:rPr>
          <w:rFonts w:ascii="Arial" w:cs="Arial" w:eastAsia="Arial" w:hAnsi="Arial"/>
          <w:sz w:val="12"/>
          <w:szCs w:val="12"/>
          <w:b w:val="1"/>
          <w:bCs w:val="1"/>
          <w:color w:val="auto"/>
        </w:rPr>
        <w:t>Balance Sheet Details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detail of certain assets in the Consolidated Balance Sheets consists of the following (in millions).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and cash equivalents</w:t>
      </w:r>
    </w:p>
    <w:p>
      <w:pPr>
        <w:spacing w:after="0" w:line="170" w:lineRule="exact"/>
        <w:rPr>
          <w:sz w:val="20"/>
          <w:szCs w:val="20"/>
          <w:color w:val="auto"/>
        </w:rPr>
      </w:pPr>
    </w:p>
    <w:p>
      <w:pPr>
        <w:ind w:right="220" w:firstLine="497"/>
        <w:spacing w:after="0" w:line="267" w:lineRule="auto"/>
        <w:rPr>
          <w:sz w:val="20"/>
          <w:szCs w:val="20"/>
          <w:color w:val="auto"/>
        </w:rPr>
      </w:pPr>
      <w:r>
        <w:rPr>
          <w:rFonts w:ascii="Arial" w:cs="Arial" w:eastAsia="Arial" w:hAnsi="Arial"/>
          <w:sz w:val="14"/>
          <w:szCs w:val="14"/>
          <w:color w:val="auto"/>
        </w:rPr>
        <w:t>The Company’s cash equivalents consist of overnight cash sweep accounts that are invested on a daily basis. Cash and cash equivalents at December 25, 2016 and December 27, 2015 were $69.1 million and $28.5 million, respectively and approximated their fair value.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460"/>
          </w:cols>
          <w:pgMar w:left="220" w:top="129" w:right="21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 net (in millions)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Receivables including amounts due under long-term contracts are summarized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6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w w:val="94"/>
              </w:rPr>
              <w:t>December 25, 2016</w:t>
            </w: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w w:val="94"/>
              </w:rPr>
              <w:t>December 27, 2015</w:t>
            </w:r>
          </w:p>
        </w:tc>
      </w:tr>
      <w:tr>
        <w:trPr>
          <w:trHeight w:val="182"/>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Billed, current</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102.8</w:t>
            </w:r>
          </w:p>
        </w:tc>
        <w:tc>
          <w:tcPr>
            <w:tcW w:w="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96.6</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Unbilled, current</w:t>
            </w:r>
          </w:p>
        </w:tc>
        <w:tc>
          <w:tcPr>
            <w:tcW w:w="180" w:type="dxa"/>
            <w:vAlign w:val="bottom"/>
          </w:tcPr>
          <w:p>
            <w:pPr>
              <w:spacing w:after="0"/>
              <w:rPr>
                <w:sz w:val="16"/>
                <w:szCs w:val="16"/>
                <w:color w:val="auto"/>
              </w:rPr>
            </w:pPr>
          </w:p>
        </w:tc>
        <w:tc>
          <w:tcPr>
            <w:tcW w:w="1240" w:type="dxa"/>
            <w:vAlign w:val="bottom"/>
          </w:tcPr>
          <w:p>
            <w:pPr>
              <w:jc w:val="right"/>
              <w:ind w:right="73"/>
              <w:spacing w:after="0"/>
              <w:rPr>
                <w:sz w:val="20"/>
                <w:szCs w:val="20"/>
                <w:color w:val="auto"/>
              </w:rPr>
            </w:pPr>
            <w:r>
              <w:rPr>
                <w:rFonts w:ascii="Arial" w:cs="Arial" w:eastAsia="Arial" w:hAnsi="Arial"/>
                <w:sz w:val="14"/>
                <w:szCs w:val="14"/>
                <w:color w:val="auto"/>
              </w:rPr>
              <w:t>128.3</w:t>
            </w:r>
          </w:p>
        </w:tc>
        <w:tc>
          <w:tcPr>
            <w:tcW w:w="240" w:type="dxa"/>
            <w:vAlign w:val="bottom"/>
          </w:tcPr>
          <w:p>
            <w:pPr>
              <w:spacing w:after="0"/>
              <w:rPr>
                <w:sz w:val="16"/>
                <w:szCs w:val="16"/>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112.0</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accounts receivable</w:t>
            </w: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231.1</w:t>
            </w: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208.6</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Allowance for doubtful accounts</w:t>
            </w:r>
          </w:p>
        </w:tc>
        <w:tc>
          <w:tcPr>
            <w:tcW w:w="18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accounts receivable, net</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229.4</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206.8</w:t>
            </w: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40" w:firstLine="497"/>
        <w:spacing w:after="0" w:line="257" w:lineRule="auto"/>
        <w:rPr>
          <w:sz w:val="20"/>
          <w:szCs w:val="20"/>
          <w:color w:val="auto"/>
        </w:rPr>
      </w:pPr>
      <w:r>
        <w:rPr>
          <w:rFonts w:ascii="Arial" w:cs="Arial" w:eastAsia="Arial" w:hAnsi="Arial"/>
          <w:sz w:val="14"/>
          <w:szCs w:val="14"/>
          <w:color w:val="auto"/>
        </w:rPr>
        <w:t>Unbilled receivables represent the balance of recoverable costs and accrued profit, composed principally of revenue recognized on contracts for which billings have not been presented to the customer because the amounts were earned but not contractually billable as of the balance sheet date. Retainages receivable were $6.2 million as of December 25, 2016 and $6.4 million as of December 27, 2015 and are included in accounts receivable, net in the Consolidated Balance Sheets.</w:t>
      </w:r>
    </w:p>
    <w:p>
      <w:pPr>
        <w:spacing w:after="0" w:line="145" w:lineRule="exact"/>
        <w:rPr>
          <w:sz w:val="20"/>
          <w:szCs w:val="20"/>
          <w:color w:val="auto"/>
        </w:rPr>
      </w:pPr>
    </w:p>
    <w:p>
      <w:pPr>
        <w:ind w:right="100" w:firstLine="497"/>
        <w:spacing w:after="0" w:line="267" w:lineRule="auto"/>
        <w:rPr>
          <w:sz w:val="20"/>
          <w:szCs w:val="20"/>
          <w:color w:val="auto"/>
        </w:rPr>
      </w:pPr>
      <w:r>
        <w:rPr>
          <w:rFonts w:ascii="Arial" w:cs="Arial" w:eastAsia="Arial" w:hAnsi="Arial"/>
          <w:sz w:val="14"/>
          <w:szCs w:val="14"/>
          <w:color w:val="auto"/>
        </w:rPr>
        <w:t>Substantially all accounts receivable at December 25, 2016, are expected to be collected in 2017. The Company does not believe it has significant exposure to credit risk, as accounts receivable and the related unbilled amounts are primarily from contracts where the end customer is the U.S. Government.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Government contract receivables where the Company is the prime contractor included in accounts receivable, net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December 25, 2016</w:t>
            </w: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88"/>
              </w:rPr>
              <w:t>December 27, 2015</w:t>
            </w:r>
          </w:p>
        </w:tc>
        <w:tc>
          <w:tcPr>
            <w:tcW w:w="0" w:type="dxa"/>
            <w:vAlign w:val="bottom"/>
          </w:tcPr>
          <w:p>
            <w:pPr>
              <w:spacing w:after="0"/>
              <w:rPr>
                <w:sz w:val="1"/>
                <w:szCs w:val="1"/>
                <w:color w:val="auto"/>
              </w:rPr>
            </w:pPr>
          </w:p>
        </w:tc>
      </w:tr>
      <w:tr>
        <w:trPr>
          <w:trHeight w:val="182"/>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Billed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4"/>
                <w:szCs w:val="14"/>
                <w:color w:val="auto"/>
              </w:rPr>
              <w:t>15.6</w:t>
            </w:r>
          </w:p>
        </w:tc>
        <w:tc>
          <w:tcPr>
            <w:tcW w:w="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5"/>
        </w:trPr>
        <w:tc>
          <w:tcPr>
            <w:tcW w:w="8840" w:type="dxa"/>
            <w:vAlign w:val="bottom"/>
          </w:tcPr>
          <w:p>
            <w:pPr>
              <w:ind w:left="20"/>
              <w:spacing w:after="0"/>
              <w:rPr>
                <w:sz w:val="20"/>
                <w:szCs w:val="20"/>
                <w:color w:val="auto"/>
              </w:rPr>
            </w:pPr>
            <w:r>
              <w:rPr>
                <w:rFonts w:ascii="Arial" w:cs="Arial" w:eastAsia="Arial" w:hAnsi="Arial"/>
                <w:sz w:val="14"/>
                <w:szCs w:val="14"/>
                <w:color w:val="auto"/>
              </w:rPr>
              <w:t>Unbilled</w:t>
            </w:r>
          </w:p>
        </w:tc>
        <w:tc>
          <w:tcPr>
            <w:tcW w:w="100" w:type="dxa"/>
            <w:vAlign w:val="bottom"/>
          </w:tcPr>
          <w:p>
            <w:pPr>
              <w:spacing w:after="0"/>
              <w:rPr>
                <w:sz w:val="16"/>
                <w:szCs w:val="16"/>
                <w:color w:val="auto"/>
              </w:rPr>
            </w:pPr>
          </w:p>
        </w:tc>
        <w:tc>
          <w:tcPr>
            <w:tcW w:w="1060" w:type="dxa"/>
            <w:vAlign w:val="bottom"/>
          </w:tcPr>
          <w:p>
            <w:pPr>
              <w:jc w:val="right"/>
              <w:ind w:right="58"/>
              <w:spacing w:after="0"/>
              <w:rPr>
                <w:sz w:val="20"/>
                <w:szCs w:val="20"/>
                <w:color w:val="auto"/>
              </w:rPr>
            </w:pPr>
            <w:r>
              <w:rPr>
                <w:rFonts w:ascii="Arial" w:cs="Arial" w:eastAsia="Arial" w:hAnsi="Arial"/>
                <w:sz w:val="14"/>
                <w:szCs w:val="14"/>
                <w:color w:val="auto"/>
              </w:rPr>
              <w:t>39.3</w:t>
            </w:r>
          </w:p>
        </w:tc>
        <w:tc>
          <w:tcPr>
            <w:tcW w:w="260" w:type="dxa"/>
            <w:vAlign w:val="bottom"/>
          </w:tcPr>
          <w:p>
            <w:pPr>
              <w:spacing w:after="0"/>
              <w:rPr>
                <w:sz w:val="16"/>
                <w:szCs w:val="16"/>
                <w:color w:val="auto"/>
              </w:rPr>
            </w:pPr>
          </w:p>
        </w:tc>
        <w:tc>
          <w:tcPr>
            <w:tcW w:w="1200" w:type="dxa"/>
            <w:vAlign w:val="bottom"/>
          </w:tcPr>
          <w:p>
            <w:pPr>
              <w:jc w:val="right"/>
              <w:ind w:right="3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2"/>
        </w:trPr>
        <w:tc>
          <w:tcPr>
            <w:tcW w:w="8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U.S. Government contract receivables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54.9</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4"/>
                <w:szCs w:val="14"/>
                <w:i w:val="1"/>
                <w:iCs w:val="1"/>
                <w:color w:val="auto"/>
              </w:rPr>
              <w:t>Inventoried costs, net of progress payments (in millions)</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December 25,</w:t>
            </w:r>
          </w:p>
        </w:tc>
        <w:tc>
          <w:tcPr>
            <w:tcW w:w="260" w:type="dxa"/>
            <w:vAlign w:val="bottom"/>
          </w:tcPr>
          <w:p>
            <w:pPr>
              <w:spacing w:after="0"/>
              <w:rPr>
                <w:sz w:val="24"/>
                <w:szCs w:val="24"/>
                <w:color w:val="auto"/>
              </w:rPr>
            </w:pPr>
          </w:p>
        </w:tc>
        <w:tc>
          <w:tcPr>
            <w:tcW w:w="1200" w:type="dxa"/>
            <w:vAlign w:val="bottom"/>
          </w:tcPr>
          <w:p>
            <w:pPr>
              <w:jc w:val="center"/>
              <w:ind w:right="138"/>
              <w:spacing w:after="0"/>
              <w:rPr>
                <w:sz w:val="20"/>
                <w:szCs w:val="20"/>
                <w:color w:val="auto"/>
              </w:rPr>
            </w:pPr>
            <w:r>
              <w:rPr>
                <w:rFonts w:ascii="Arial" w:cs="Arial" w:eastAsia="Arial" w:hAnsi="Arial"/>
                <w:sz w:val="11"/>
                <w:szCs w:val="11"/>
                <w:b w:val="1"/>
                <w:bCs w:val="1"/>
                <w:color w:val="auto"/>
                <w:w w:val="89"/>
              </w:rPr>
              <w:t>December 27,</w:t>
            </w: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538"/>
              <w:spacing w:after="0"/>
              <w:rPr>
                <w:sz w:val="20"/>
                <w:szCs w:val="20"/>
                <w:color w:val="auto"/>
              </w:rPr>
            </w:pPr>
            <w:r>
              <w:rPr>
                <w:rFonts w:ascii="Arial" w:cs="Arial" w:eastAsia="Arial" w:hAnsi="Arial"/>
                <w:sz w:val="11"/>
                <w:szCs w:val="11"/>
                <w:b w:val="1"/>
                <w:bCs w:val="1"/>
                <w:color w:val="auto"/>
              </w:rPr>
              <w:t>2016</w:t>
            </w:r>
          </w:p>
        </w:tc>
        <w:tc>
          <w:tcPr>
            <w:tcW w:w="260" w:type="dxa"/>
            <w:vAlign w:val="bottom"/>
          </w:tcPr>
          <w:p>
            <w:pPr>
              <w:spacing w:after="0"/>
              <w:rPr>
                <w:sz w:val="12"/>
                <w:szCs w:val="12"/>
                <w:color w:val="auto"/>
              </w:rPr>
            </w:pPr>
          </w:p>
        </w:tc>
        <w:tc>
          <w:tcPr>
            <w:tcW w:w="1200" w:type="dxa"/>
            <w:vAlign w:val="bottom"/>
          </w:tcPr>
          <w:p>
            <w:pPr>
              <w:jc w:val="center"/>
              <w:ind w:right="78"/>
              <w:spacing w:after="0"/>
              <w:rPr>
                <w:sz w:val="20"/>
                <w:szCs w:val="20"/>
                <w:color w:val="auto"/>
              </w:rPr>
            </w:pPr>
            <w:r>
              <w:rPr>
                <w:rFonts w:ascii="Arial" w:cs="Arial" w:eastAsia="Arial" w:hAnsi="Arial"/>
                <w:sz w:val="11"/>
                <w:szCs w:val="11"/>
                <w:b w:val="1"/>
                <w:bCs w:val="1"/>
                <w:color w:val="auto"/>
                <w:w w:val="89"/>
              </w:rPr>
              <w:t>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278370" cy="1377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8370" cy="137795"/>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Raw materials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Work in process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Finished goods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Supplies and other</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Subtotal inventoried costs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Less customer advances and progress payments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inventoried costs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60" w:type="dxa"/>
            <w:vAlign w:val="bottom"/>
          </w:tcPr>
          <w:p>
            <w:pPr>
              <w:jc w:val="right"/>
              <w:ind w:right="39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31.9</w:t>
            </w:r>
          </w:p>
        </w:tc>
        <w:tc>
          <w:tcPr>
            <w:tcW w:w="620" w:type="dxa"/>
            <w:vAlign w:val="bottom"/>
          </w:tcPr>
          <w:p>
            <w:pPr>
              <w:jc w:val="right"/>
              <w:ind w:right="3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32.9</w:t>
            </w:r>
          </w:p>
        </w:tc>
      </w:tr>
      <w:tr>
        <w:trPr>
          <w:trHeight w:val="207"/>
        </w:trPr>
        <w:tc>
          <w:tcPr>
            <w:tcW w:w="560" w:type="dxa"/>
            <w:vAlign w:val="bottom"/>
          </w:tcPr>
          <w:p>
            <w:pPr>
              <w:spacing w:after="0"/>
              <w:rPr>
                <w:sz w:val="18"/>
                <w:szCs w:val="18"/>
                <w:color w:val="auto"/>
              </w:rPr>
            </w:pP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22.1</w:t>
            </w:r>
          </w:p>
        </w:tc>
        <w:tc>
          <w:tcPr>
            <w:tcW w:w="62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19.2</w:t>
            </w:r>
          </w:p>
        </w:tc>
      </w:tr>
      <w:tr>
        <w:trPr>
          <w:trHeight w:val="207"/>
        </w:trPr>
        <w:tc>
          <w:tcPr>
            <w:tcW w:w="560" w:type="dxa"/>
            <w:vAlign w:val="bottom"/>
          </w:tcPr>
          <w:p>
            <w:pPr>
              <w:spacing w:after="0"/>
              <w:rPr>
                <w:sz w:val="18"/>
                <w:szCs w:val="18"/>
                <w:color w:val="auto"/>
              </w:rPr>
            </w:pP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1.4</w:t>
            </w:r>
          </w:p>
        </w:tc>
        <w:tc>
          <w:tcPr>
            <w:tcW w:w="62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2.6</w:t>
            </w:r>
          </w:p>
        </w:tc>
      </w:tr>
      <w:tr>
        <w:trPr>
          <w:trHeight w:val="207"/>
        </w:trPr>
        <w:tc>
          <w:tcPr>
            <w:tcW w:w="560" w:type="dxa"/>
            <w:vAlign w:val="bottom"/>
          </w:tcPr>
          <w:p>
            <w:pPr>
              <w:spacing w:after="0"/>
              <w:rPr>
                <w:sz w:val="18"/>
                <w:szCs w:val="18"/>
                <w:color w:val="auto"/>
              </w:rPr>
            </w:pP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1.8</w:t>
            </w:r>
          </w:p>
        </w:tc>
        <w:tc>
          <w:tcPr>
            <w:tcW w:w="62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1.6</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5"/>
        </w:trPr>
        <w:tc>
          <w:tcPr>
            <w:tcW w:w="560" w:type="dxa"/>
            <w:vAlign w:val="bottom"/>
          </w:tcPr>
          <w:p>
            <w:pPr>
              <w:spacing w:after="0"/>
              <w:rPr>
                <w:sz w:val="15"/>
                <w:szCs w:val="15"/>
                <w:color w:val="auto"/>
              </w:rPr>
            </w:pP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57.2</w:t>
            </w:r>
          </w:p>
        </w:tc>
        <w:tc>
          <w:tcPr>
            <w:tcW w:w="620" w:type="dxa"/>
            <w:vAlign w:val="bottom"/>
          </w:tcPr>
          <w:p>
            <w:pPr>
              <w:spacing w:after="0"/>
              <w:rPr>
                <w:sz w:val="15"/>
                <w:szCs w:val="15"/>
                <w:color w:val="auto"/>
              </w:rPr>
            </w:pP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56.3</w:t>
            </w:r>
          </w:p>
        </w:tc>
      </w:tr>
      <w:tr>
        <w:trPr>
          <w:trHeight w:val="207"/>
        </w:trPr>
        <w:tc>
          <w:tcPr>
            <w:tcW w:w="5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(1.8)</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5"/>
        </w:trPr>
        <w:tc>
          <w:tcPr>
            <w:tcW w:w="560" w:type="dxa"/>
            <w:vAlign w:val="bottom"/>
          </w:tcPr>
          <w:p>
            <w:pPr>
              <w:jc w:val="right"/>
              <w:ind w:right="39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55.4</w:t>
            </w:r>
          </w:p>
        </w:tc>
        <w:tc>
          <w:tcPr>
            <w:tcW w:w="620" w:type="dxa"/>
            <w:vAlign w:val="bottom"/>
          </w:tcPr>
          <w:p>
            <w:pPr>
              <w:jc w:val="right"/>
              <w:ind w:right="3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55.6</w:t>
            </w:r>
          </w:p>
        </w:tc>
      </w:tr>
      <w:tr>
        <w:trPr>
          <w:trHeight w:val="22"/>
        </w:trPr>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-689610</wp:posOffset>
            </wp:positionV>
            <wp:extent cx="7278370" cy="131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8370" cy="131445"/>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-426720</wp:posOffset>
            </wp:positionV>
            <wp:extent cx="7278370" cy="137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8370" cy="137795"/>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-157480</wp:posOffset>
            </wp:positionV>
            <wp:extent cx="7278370" cy="144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8370" cy="14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60"/>
          </w:cols>
          <w:pgMar w:left="220" w:top="129" w:right="219" w:bottom="1440" w:gutter="0" w:footer="0" w:header="0"/>
          <w:type w:val="continuous"/>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1460"/>
          </w:cols>
          <w:pgMar w:left="220" w:top="129" w:right="21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and equipment, net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December 25, 2016</w:t>
            </w:r>
          </w:p>
        </w:tc>
        <w:tc>
          <w:tcPr>
            <w:tcW w:w="160" w:type="dxa"/>
            <w:vAlign w:val="bottom"/>
          </w:tcPr>
          <w:p>
            <w:pPr>
              <w:spacing w:after="0"/>
              <w:rPr>
                <w:sz w:val="12"/>
                <w:szCs w:val="12"/>
                <w:color w:val="auto"/>
              </w:rPr>
            </w:pPr>
          </w:p>
        </w:tc>
        <w:tc>
          <w:tcPr>
            <w:tcW w:w="1200" w:type="dxa"/>
            <w:vAlign w:val="bottom"/>
          </w:tcPr>
          <w:p>
            <w:pPr>
              <w:jc w:val="right"/>
              <w:ind w:right="172"/>
              <w:spacing w:after="0"/>
              <w:rPr>
                <w:sz w:val="20"/>
                <w:szCs w:val="20"/>
                <w:color w:val="auto"/>
              </w:rPr>
            </w:pPr>
            <w:r>
              <w:rPr>
                <w:rFonts w:ascii="Arial" w:cs="Arial" w:eastAsia="Arial" w:hAnsi="Arial"/>
                <w:sz w:val="11"/>
                <w:szCs w:val="11"/>
                <w:b w:val="1"/>
                <w:bCs w:val="1"/>
                <w:color w:val="auto"/>
                <w:w w:val="94"/>
              </w:rPr>
              <w:t>December 27, 2015</w:t>
            </w:r>
          </w:p>
        </w:tc>
      </w:tr>
      <w:tr>
        <w:trPr>
          <w:trHeight w:val="182"/>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and buildings</w:t>
            </w:r>
          </w:p>
        </w:tc>
        <w:tc>
          <w:tcPr>
            <w:tcW w:w="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13.3</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Computer equipment and software</w:t>
            </w:r>
          </w:p>
        </w:tc>
        <w:tc>
          <w:tcPr>
            <w:tcW w:w="1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27.0</w:t>
            </w:r>
          </w:p>
        </w:tc>
      </w:tr>
      <w:tr>
        <w:trPr>
          <w:trHeight w:val="22"/>
        </w:trPr>
        <w:tc>
          <w:tcPr>
            <w:tcW w:w="8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47.4</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Furniture and office equipment</w:t>
            </w:r>
          </w:p>
        </w:tc>
        <w:tc>
          <w:tcPr>
            <w:tcW w:w="1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5.8</w:t>
            </w:r>
          </w:p>
        </w:tc>
      </w:tr>
      <w:tr>
        <w:trPr>
          <w:trHeight w:val="22"/>
        </w:trPr>
        <w:tc>
          <w:tcPr>
            <w:tcW w:w="8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10.9</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1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5.7</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107.6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110.1</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Accumulated depreciation and amortization</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property and equipment, net</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56.2</w:t>
            </w: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Depreciation expense was $12.3 million, $12.5 million and $13.3 million for the years ended December 25, 2016, December 27, 2015, and December 28, 2014, respectively.</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4.</w:t>
      </w:r>
      <w:r>
        <w:rPr>
          <w:sz w:val="20"/>
          <w:szCs w:val="20"/>
          <w:color w:val="auto"/>
        </w:rPr>
        <w:tab/>
      </w:r>
      <w:r>
        <w:rPr>
          <w:rFonts w:ascii="Arial" w:cs="Arial" w:eastAsia="Arial" w:hAnsi="Arial"/>
          <w:sz w:val="12"/>
          <w:szCs w:val="12"/>
          <w:b w:val="1"/>
          <w:bCs w:val="1"/>
          <w:color w:val="auto"/>
        </w:rPr>
        <w:t>Debt</w:t>
      </w:r>
    </w:p>
    <w:p>
      <w:pPr>
        <w:spacing w:after="0" w:line="170" w:lineRule="exact"/>
        <w:rPr>
          <w:sz w:val="20"/>
          <w:szCs w:val="20"/>
          <w:color w:val="auto"/>
        </w:rPr>
      </w:pPr>
    </w:p>
    <w:p>
      <w:pPr>
        <w:ind w:left="500" w:hanging="497"/>
        <w:spacing w:after="0"/>
        <w:tabs>
          <w:tab w:leader="none" w:pos="50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Issuance of 7.00% Senior Secured Notes due 2019</w:t>
      </w:r>
    </w:p>
    <w:p>
      <w:pPr>
        <w:spacing w:after="0" w:line="174" w:lineRule="exact"/>
        <w:rPr>
          <w:sz w:val="20"/>
          <w:szCs w:val="20"/>
          <w:color w:val="auto"/>
        </w:rPr>
      </w:pPr>
    </w:p>
    <w:p>
      <w:pPr>
        <w:jc w:val="both"/>
        <w:ind w:firstLine="497"/>
        <w:spacing w:after="0" w:line="276" w:lineRule="auto"/>
        <w:rPr>
          <w:sz w:val="20"/>
          <w:szCs w:val="20"/>
          <w:color w:val="auto"/>
        </w:rPr>
      </w:pPr>
      <w:r>
        <w:rPr>
          <w:rFonts w:ascii="Arial" w:cs="Arial" w:eastAsia="Arial" w:hAnsi="Arial"/>
          <w:sz w:val="13"/>
          <w:szCs w:val="13"/>
          <w:color w:val="auto"/>
        </w:rPr>
        <w:t>In May 2014, the Company refinanced its $625.0 million 10% Senior Secured Notes due in 2017 (the “10% Notes”) with $625.0 million of newly issued 7.00% Senior Secured Notes due in 2019 (the “7% Notes”). The net proceeds of the 7% Notes was $618.5 million after an original issue discount of $6.5 million. The Company incurred debt issuance costs of $8.8 million associated with the new 7% Notes. The Company utilized the net proceeds from the 7% Notes, a $41.0 million draw on the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w:t>
      </w:r>
    </w:p>
    <w:p>
      <w:pPr>
        <w:spacing w:after="0" w:line="134" w:lineRule="exact"/>
        <w:rPr>
          <w:sz w:val="20"/>
          <w:szCs w:val="20"/>
          <w:color w:val="auto"/>
        </w:rPr>
      </w:pPr>
    </w:p>
    <w:p>
      <w:pPr>
        <w:ind w:right="60" w:firstLine="497"/>
        <w:spacing w:after="0" w:line="320" w:lineRule="auto"/>
        <w:rPr>
          <w:sz w:val="20"/>
          <w:szCs w:val="20"/>
          <w:color w:val="auto"/>
        </w:rPr>
      </w:pPr>
      <w:r>
        <w:rPr>
          <w:rFonts w:ascii="Arial" w:cs="Arial" w:eastAsia="Arial" w:hAnsi="Arial"/>
          <w:sz w:val="12"/>
          <w:szCs w:val="12"/>
          <w:color w:val="auto"/>
        </w:rPr>
        <w:t>The Company completed the offering of the 7% Notes in a private placement conducted pursuant to Rule 144A and Regulation S under the Securities Act of 1933, as amended (the “Act”). On October 16, 2014, the Company exchanged the outstanding 7% Notes for an equal amount of new 7.00% Senior Secured Notes due in 2019 (the “Notes”) that had been registered under the Act. The terms of the Notes issued in the exchange offer were identical in all material respects to the terms of the 7% Notes, except the Notes issued in the exchange offer had been registered under the Act.</w:t>
      </w:r>
    </w:p>
    <w:p>
      <w:pPr>
        <w:spacing w:after="0" w:line="111" w:lineRule="exact"/>
        <w:rPr>
          <w:sz w:val="20"/>
          <w:szCs w:val="20"/>
          <w:color w:val="auto"/>
        </w:rPr>
      </w:pPr>
    </w:p>
    <w:p>
      <w:pPr>
        <w:jc w:val="both"/>
        <w:ind w:right="240" w:firstLine="497"/>
        <w:spacing w:after="0" w:line="279" w:lineRule="auto"/>
        <w:rPr>
          <w:sz w:val="20"/>
          <w:szCs w:val="20"/>
          <w:color w:val="auto"/>
        </w:rPr>
      </w:pPr>
      <w:r>
        <w:rPr>
          <w:rFonts w:ascii="Arial" w:cs="Arial" w:eastAsia="Arial" w:hAnsi="Arial"/>
          <w:sz w:val="13"/>
          <w:szCs w:val="13"/>
          <w:color w:val="auto"/>
        </w:rPr>
        <w:t>The Notes are governed by an Indenture dated May 14, 2014 (the “Indenture”) among the Company, certain of the Company’s subsidiaries (the “Subsidiary Guarantors”) and Wilmington Trust, National Association, as Trustee and Collateral Agent. A Guarantor can be released from its Guarantee if (a) all of the capital stock issued by such Guarantor or all or substantially all of the assets of such Guarantor are sold or otherwise disposed of; (b) the Company designates such Guarantor as an Unrestricted Subsidiary; (c) if the Company exercises its legal defeasance option or its covenant defeasance option; or (d) upon satisfaction and discharge of the Indenture or payment in full in cash of the principal or, premium, if any, accrued and unpaid interest.</w:t>
      </w:r>
    </w:p>
    <w:p>
      <w:pPr>
        <w:spacing w:after="0" w:line="133" w:lineRule="exact"/>
        <w:rPr>
          <w:sz w:val="20"/>
          <w:szCs w:val="20"/>
          <w:color w:val="auto"/>
        </w:rPr>
      </w:pPr>
    </w:p>
    <w:p>
      <w:pPr>
        <w:jc w:val="both"/>
        <w:ind w:right="380" w:firstLine="497"/>
        <w:spacing w:after="0" w:line="257" w:lineRule="auto"/>
        <w:rPr>
          <w:sz w:val="20"/>
          <w:szCs w:val="20"/>
          <w:color w:val="auto"/>
        </w:rPr>
      </w:pPr>
      <w:r>
        <w:rPr>
          <w:rFonts w:ascii="Arial" w:cs="Arial" w:eastAsia="Arial" w:hAnsi="Arial"/>
          <w:sz w:val="14"/>
          <w:szCs w:val="14"/>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the $110.0 million Credit Agreement.</w:t>
      </w:r>
    </w:p>
    <w:p>
      <w:pPr>
        <w:spacing w:after="0" w:line="145" w:lineRule="exact"/>
        <w:rPr>
          <w:sz w:val="20"/>
          <w:szCs w:val="20"/>
          <w:color w:val="auto"/>
        </w:rPr>
      </w:pPr>
    </w:p>
    <w:p>
      <w:pPr>
        <w:ind w:right="60" w:firstLine="497"/>
        <w:spacing w:after="0" w:line="309" w:lineRule="auto"/>
        <w:rPr>
          <w:sz w:val="20"/>
          <w:szCs w:val="20"/>
          <w:color w:val="auto"/>
        </w:rPr>
      </w:pPr>
      <w:r>
        <w:rPr>
          <w:rFonts w:ascii="Arial" w:cs="Arial" w:eastAsia="Arial" w:hAnsi="Arial"/>
          <w:sz w:val="12"/>
          <w:szCs w:val="12"/>
          <w:color w:val="auto"/>
        </w:rPr>
        <w:t>The Company pays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25, 2016, the Company was in compliance with the covenants contained in the Indenture governing the Notes.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60"/>
          </w:cols>
          <w:pgMar w:left="220" w:top="129" w:right="21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40" w:firstLine="497"/>
        <w:spacing w:after="0" w:line="257" w:lineRule="auto"/>
        <w:rPr>
          <w:sz w:val="20"/>
          <w:szCs w:val="20"/>
          <w:color w:val="auto"/>
        </w:rPr>
      </w:pPr>
      <w:r>
        <w:rPr>
          <w:rFonts w:ascii="Arial" w:cs="Arial" w:eastAsia="Arial" w:hAnsi="Arial"/>
          <w:sz w:val="14"/>
          <w:szCs w:val="14"/>
          <w:color w:val="auto"/>
        </w:rPr>
        <w:t>The Company may redeem some or all of the Notes at 105.25% of the aggregate principal amount of such Notes through May 15, 2017, 102.625% of the aggregate principal amount of such Notes if redeemed on or after May 16, 2017 but on or before May 15, 2018 and 100% of the aggregate principal amount of such Notes if redeemed on or after May 16, 2018, plus accrued and unpaid interest to the date of redemption.</w:t>
      </w:r>
    </w:p>
    <w:p>
      <w:pPr>
        <w:spacing w:after="0" w:line="145" w:lineRule="exact"/>
        <w:rPr>
          <w:sz w:val="20"/>
          <w:szCs w:val="20"/>
          <w:color w:val="auto"/>
        </w:rPr>
      </w:pPr>
    </w:p>
    <w:p>
      <w:pPr>
        <w:jc w:val="both"/>
        <w:ind w:right="200" w:firstLine="497"/>
        <w:spacing w:after="0" w:line="320" w:lineRule="auto"/>
        <w:rPr>
          <w:sz w:val="20"/>
          <w:szCs w:val="20"/>
          <w:color w:val="auto"/>
        </w:rPr>
      </w:pPr>
      <w:r>
        <w:rPr>
          <w:rFonts w:ascii="Arial" w:cs="Arial" w:eastAsia="Arial" w:hAnsi="Arial"/>
          <w:sz w:val="12"/>
          <w:szCs w:val="12"/>
          <w:color w:val="auto"/>
        </w:rPr>
        <w:t>The terms of the Indenture require that the net cash proceeds from asset dispositions be either utilized to (i) repay or prepay amounts outstanding under the Indenture and Credit Agreement unless such amounts are reinvested in similar collateral, (ii) make an investment in assets that replace the collateral of the Notes or (iii) a combination of both (i) and (ii). To the extent there are any remaining net proceeds from the asset disposition after application of (i) and (ii), such amounts are required to be utilized to repurchase Notes at par after 360 days following the asset disposition.</w:t>
      </w:r>
    </w:p>
    <w:p>
      <w:pPr>
        <w:spacing w:after="0" w:line="111" w:lineRule="exact"/>
        <w:rPr>
          <w:sz w:val="20"/>
          <w:szCs w:val="20"/>
          <w:color w:val="auto"/>
        </w:rPr>
      </w:pPr>
    </w:p>
    <w:p>
      <w:pPr>
        <w:ind w:right="20" w:firstLine="497"/>
        <w:spacing w:after="0" w:line="286" w:lineRule="auto"/>
        <w:rPr>
          <w:sz w:val="20"/>
          <w:szCs w:val="20"/>
          <w:color w:val="auto"/>
        </w:rPr>
      </w:pPr>
      <w:r>
        <w:rPr>
          <w:rFonts w:ascii="Arial" w:cs="Arial" w:eastAsia="Arial" w:hAnsi="Arial"/>
          <w:sz w:val="13"/>
          <w:szCs w:val="13"/>
          <w:color w:val="auto"/>
        </w:rPr>
        <w:t>Following the sale of the Herley Entities (see Note 8 - Discontinued Operations), the Company, on August 21, 2015, paid down the $41.0 million outstanding on the $110.0 million Credit Agreement and on September 22, 2015, repurchased $175.0 million of the Notes at par, in accordance with the Indenture. In connection with the $175.0 million repurchase of Notes, the Company wrote off $1.8 million of unamortized issue costs, $1.4 million of unamortized discount, and incurred $0.2 million of legal fees, which resulted in a loss on extinguishment of debt of $3.4 million.</w:t>
      </w:r>
    </w:p>
    <w:p>
      <w:pPr>
        <w:spacing w:after="0" w:line="128" w:lineRule="exact"/>
        <w:rPr>
          <w:sz w:val="20"/>
          <w:szCs w:val="20"/>
          <w:color w:val="auto"/>
        </w:rPr>
      </w:pPr>
    </w:p>
    <w:p>
      <w:pPr>
        <w:ind w:right="540" w:firstLine="497"/>
        <w:spacing w:after="0" w:line="267" w:lineRule="auto"/>
        <w:rPr>
          <w:sz w:val="20"/>
          <w:szCs w:val="20"/>
          <w:color w:val="auto"/>
        </w:rPr>
      </w:pPr>
      <w:r>
        <w:rPr>
          <w:rFonts w:ascii="Arial" w:cs="Arial" w:eastAsia="Arial" w:hAnsi="Arial"/>
          <w:sz w:val="14"/>
          <w:szCs w:val="14"/>
          <w:color w:val="auto"/>
        </w:rPr>
        <w:t>The Company reinvested all net proceeds remaining after the repurchase of the $175.0 million of Notes in replacement collateral under the Indenture within the 360 days following the asset disposition.</w:t>
      </w:r>
    </w:p>
    <w:p>
      <w:pPr>
        <w:spacing w:after="0" w:line="139" w:lineRule="exact"/>
        <w:rPr>
          <w:sz w:val="20"/>
          <w:szCs w:val="20"/>
          <w:color w:val="auto"/>
        </w:rPr>
      </w:pPr>
    </w:p>
    <w:p>
      <w:pPr>
        <w:ind w:right="180" w:firstLine="497"/>
        <w:spacing w:after="0" w:line="267" w:lineRule="auto"/>
        <w:rPr>
          <w:sz w:val="20"/>
          <w:szCs w:val="20"/>
          <w:color w:val="auto"/>
        </w:rPr>
      </w:pPr>
      <w:r>
        <w:rPr>
          <w:rFonts w:ascii="Arial" w:cs="Arial" w:eastAsia="Arial" w:hAnsi="Arial"/>
          <w:sz w:val="14"/>
          <w:szCs w:val="14"/>
          <w:color w:val="auto"/>
        </w:rPr>
        <w:t>During the quarter ended December 25, 2016, the Company repurchased and extinguished $14.5 million of the outstanding Notes, which resulted in a gain of $0.4 million offset by $0.1 million of unamortized issuance cost and $0.1 million of unamortized discount resulting in a net gain of $0.2 million.</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of December 25, 2016 and December 27, 2015, there were $435.5 million and $450.0 million, respectively, in Notes outstanding.</w:t>
      </w:r>
    </w:p>
    <w:p>
      <w:pPr>
        <w:spacing w:after="0" w:line="16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Other Indebtedness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$110.0 Million Credit Facility</w:t>
      </w:r>
    </w:p>
    <w:p>
      <w:pPr>
        <w:spacing w:after="0" w:line="170" w:lineRule="exact"/>
        <w:rPr>
          <w:sz w:val="20"/>
          <w:szCs w:val="20"/>
          <w:color w:val="auto"/>
        </w:rPr>
      </w:pPr>
    </w:p>
    <w:p>
      <w:pPr>
        <w:ind w:right="60" w:firstLine="497"/>
        <w:spacing w:after="0" w:line="274" w:lineRule="auto"/>
        <w:rPr>
          <w:sz w:val="20"/>
          <w:szCs w:val="20"/>
          <w:color w:val="auto"/>
        </w:rPr>
      </w:pPr>
      <w:r>
        <w:rPr>
          <w:rFonts w:ascii="Arial" w:cs="Arial" w:eastAsia="Arial" w:hAnsi="Arial"/>
          <w:sz w:val="13"/>
          <w:szCs w:val="13"/>
          <w:color w:val="auto"/>
        </w:rPr>
        <w:t>On May 14, 2014, the Company replaced its credit facility with KeyBank National Association and entered into the Credit Agreement.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Subsidiary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36" w:lineRule="exact"/>
        <w:rPr>
          <w:sz w:val="20"/>
          <w:szCs w:val="20"/>
          <w:color w:val="auto"/>
        </w:rPr>
      </w:pPr>
    </w:p>
    <w:p>
      <w:pPr>
        <w:ind w:firstLine="497"/>
        <w:spacing w:after="0" w:line="270" w:lineRule="auto"/>
        <w:rPr>
          <w:sz w:val="20"/>
          <w:szCs w:val="20"/>
          <w:color w:val="auto"/>
        </w:rPr>
      </w:pPr>
      <w:r>
        <w:rPr>
          <w:rFonts w:ascii="Arial" w:cs="Arial" w:eastAsia="Arial" w:hAnsi="Arial"/>
          <w:sz w:val="13"/>
          <w:szCs w:val="13"/>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December 25, 2016, no event of default had occurred and the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60"/>
          </w:cols>
          <w:pgMar w:left="220" w:top="129" w:right="21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believes that events or conditions having a material adverse effect, giving rise to an acceleration of any amounts outstanding under the Credit Agreement, have not occurred and the likelihood of such events or conditions occurring is remote.</w:t>
      </w:r>
    </w:p>
    <w:p>
      <w:pPr>
        <w:spacing w:after="0" w:line="139" w:lineRule="exact"/>
        <w:rPr>
          <w:sz w:val="20"/>
          <w:szCs w:val="20"/>
          <w:color w:val="auto"/>
        </w:rPr>
      </w:pPr>
    </w:p>
    <w:p>
      <w:pPr>
        <w:ind w:right="100" w:firstLine="497"/>
        <w:spacing w:after="0" w:line="298" w:lineRule="auto"/>
        <w:rPr>
          <w:sz w:val="20"/>
          <w:szCs w:val="20"/>
          <w:color w:val="auto"/>
        </w:rPr>
      </w:pPr>
      <w:r>
        <w:rPr>
          <w:rFonts w:ascii="Arial" w:cs="Arial" w:eastAsia="Arial" w:hAnsi="Arial"/>
          <w:sz w:val="12"/>
          <w:szCs w:val="12"/>
          <w:color w:val="auto"/>
        </w:rPr>
        <w:t>Borrowings under the revolving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w:t>
      </w:r>
    </w:p>
    <w:p>
      <w:pPr>
        <w:spacing w:after="0" w:line="126" w:lineRule="exact"/>
        <w:rPr>
          <w:sz w:val="20"/>
          <w:szCs w:val="20"/>
          <w:color w:val="auto"/>
        </w:rPr>
      </w:pPr>
    </w:p>
    <w:p>
      <w:pPr>
        <w:ind w:right="40" w:firstLine="497"/>
        <w:spacing w:after="0" w:line="295" w:lineRule="auto"/>
        <w:rPr>
          <w:sz w:val="20"/>
          <w:szCs w:val="20"/>
          <w:color w:val="auto"/>
        </w:rPr>
      </w:pPr>
      <w:r>
        <w:rPr>
          <w:rFonts w:ascii="Arial" w:cs="Arial" w:eastAsia="Arial" w:hAnsi="Arial"/>
          <w:sz w:val="12"/>
          <w:szCs w:val="12"/>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26"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December 25, 2016, there was no reserve on the maximum borrowings, resulting from a cumulative reinvestment in similar collateral assets since the sale of the Herley Entities in excess of the $50.8 million reserve established at the date of the sale of the Herley Entities. The Company made investments in assets that replaced the collateral, which reinstated the maximum facility to the full $110.0 million.</w:t>
      </w:r>
    </w:p>
    <w:p>
      <w:pPr>
        <w:spacing w:after="0" w:line="149" w:lineRule="exact"/>
        <w:rPr>
          <w:sz w:val="20"/>
          <w:szCs w:val="20"/>
          <w:color w:val="auto"/>
        </w:rPr>
      </w:pPr>
    </w:p>
    <w:p>
      <w:pPr>
        <w:ind w:right="40" w:firstLine="497"/>
        <w:spacing w:after="0" w:line="279" w:lineRule="auto"/>
        <w:rPr>
          <w:sz w:val="20"/>
          <w:szCs w:val="20"/>
          <w:color w:val="auto"/>
        </w:rPr>
      </w:pPr>
      <w:r>
        <w:rPr>
          <w:rFonts w:ascii="Arial" w:cs="Arial" w:eastAsia="Arial" w:hAnsi="Arial"/>
          <w:sz w:val="13"/>
          <w:szCs w:val="13"/>
          <w:color w:val="auto"/>
        </w:rPr>
        <w:t>On August 19,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was placed in escrow by the Buyer to cover the amount of such outstanding letters of credit, should the letters of credit be pulled.</w:t>
      </w:r>
    </w:p>
    <w:p>
      <w:pPr>
        <w:spacing w:after="0" w:line="133" w:lineRule="exact"/>
        <w:rPr>
          <w:sz w:val="20"/>
          <w:szCs w:val="20"/>
          <w:color w:val="auto"/>
        </w:rPr>
      </w:pPr>
    </w:p>
    <w:p>
      <w:pPr>
        <w:ind w:firstLine="497"/>
        <w:spacing w:after="0" w:line="267" w:lineRule="auto"/>
        <w:rPr>
          <w:sz w:val="20"/>
          <w:szCs w:val="20"/>
          <w:color w:val="auto"/>
        </w:rPr>
      </w:pPr>
      <w:r>
        <w:rPr>
          <w:rFonts w:ascii="Arial" w:cs="Arial" w:eastAsia="Arial" w:hAnsi="Arial"/>
          <w:sz w:val="14"/>
          <w:szCs w:val="14"/>
          <w:color w:val="auto"/>
        </w:rPr>
        <w:t>As of December 25, 2016, there were no borrowings outstanding on the Credit Agreement; there was $11.1 million outstanding on letters of credit, resulting in net borrowing base availability of $56.0 million. The Company was in compliance with the financial covenants of the Credit Agreement and its amendments as of December 25, 2016.</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60"/>
          </w:cols>
          <w:pgMar w:left="220" w:top="129" w:right="21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Debt Acquired in Acquisition</w:t>
      </w:r>
    </w:p>
    <w:p>
      <w:pPr>
        <w:spacing w:after="0" w:line="170" w:lineRule="exact"/>
        <w:rPr>
          <w:sz w:val="20"/>
          <w:szCs w:val="20"/>
          <w:color w:val="auto"/>
        </w:rPr>
      </w:pPr>
    </w:p>
    <w:p>
      <w:pPr>
        <w:ind w:right="180" w:firstLine="497"/>
        <w:spacing w:after="0" w:line="320" w:lineRule="auto"/>
        <w:rPr>
          <w:sz w:val="20"/>
          <w:szCs w:val="20"/>
          <w:color w:val="auto"/>
        </w:rPr>
      </w:pPr>
      <w:r>
        <w:rPr>
          <w:rFonts w:ascii="Arial" w:cs="Arial" w:eastAsia="Arial" w:hAnsi="Arial"/>
          <w:sz w:val="12"/>
          <w:szCs w:val="12"/>
          <w:color w:val="auto"/>
        </w:rPr>
        <w:t>The Company has a 10-year term loan with a bank in Israel entered into on September 16, 2008 in connection with the acquisition of one of its wholly owned subsidiaries. The balance as of December 25, 2016 and December 27, 2015 was $1.8 million and $2.7 million, respectively. The loan is payable in quarterly installments of $0.3 million plus interest at LIBOR plus a margin of 1.5%. The loan agreement contains various covenants, including a minimum net equity covenant as defined in the loan agreement. The Company was in compliance with all covenants as of December 25, 2016.</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Fair Value of Long-term Debt</w:t>
      </w:r>
    </w:p>
    <w:p>
      <w:pPr>
        <w:spacing w:after="0" w:line="170" w:lineRule="exact"/>
        <w:rPr>
          <w:sz w:val="20"/>
          <w:szCs w:val="20"/>
          <w:color w:val="auto"/>
        </w:rPr>
      </w:pPr>
    </w:p>
    <w:p>
      <w:pPr>
        <w:ind w:firstLine="497"/>
        <w:spacing w:after="0" w:line="267" w:lineRule="auto"/>
        <w:rPr>
          <w:sz w:val="20"/>
          <w:szCs w:val="20"/>
          <w:color w:val="auto"/>
        </w:rPr>
      </w:pPr>
      <w:r>
        <w:rPr>
          <w:rFonts w:ascii="Arial" w:cs="Arial" w:eastAsia="Arial" w:hAnsi="Arial"/>
          <w:sz w:val="14"/>
          <w:szCs w:val="14"/>
          <w:color w:val="auto"/>
        </w:rPr>
        <w:t>Carrying amounts and the related estimated fair values of the Company’s long-term debt financial instruments not measured at fair value on a recurring basis at December 25, 2016 and December 27, 2015 are presented in the following table: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w w:val="89"/>
              </w:rPr>
              <w:t>As of December 25, 2016</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89"/>
              </w:rPr>
              <w:t>As of December 27, 2015</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13"/>
        </w:trPr>
        <w:tc>
          <w:tcPr>
            <w:tcW w:w="3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tcPr>
          <w:p>
            <w:pPr>
              <w:jc w:val="center"/>
              <w:ind w:right="380"/>
              <w:spacing w:after="0" w:line="113" w:lineRule="exact"/>
              <w:rPr>
                <w:sz w:val="20"/>
                <w:szCs w:val="20"/>
                <w:color w:val="auto"/>
              </w:rPr>
            </w:pPr>
            <w:r>
              <w:rPr>
                <w:rFonts w:ascii="Arial" w:cs="Arial" w:eastAsia="Arial" w:hAnsi="Arial"/>
                <w:sz w:val="11"/>
                <w:szCs w:val="11"/>
                <w:b w:val="1"/>
                <w:bCs w:val="1"/>
                <w:color w:val="auto"/>
                <w:w w:val="92"/>
              </w:rPr>
              <w:t>Carrying</w:t>
            </w: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tcPr>
          <w:p>
            <w:pPr>
              <w:jc w:val="center"/>
              <w:ind w:right="380"/>
              <w:spacing w:after="0" w:line="113" w:lineRule="exact"/>
              <w:rPr>
                <w:sz w:val="20"/>
                <w:szCs w:val="20"/>
                <w:color w:val="auto"/>
              </w:rPr>
            </w:pPr>
            <w:r>
              <w:rPr>
                <w:rFonts w:ascii="Arial" w:cs="Arial" w:eastAsia="Arial" w:hAnsi="Arial"/>
                <w:sz w:val="11"/>
                <w:szCs w:val="11"/>
                <w:b w:val="1"/>
                <w:bCs w:val="1"/>
                <w:color w:val="auto"/>
                <w:w w:val="92"/>
              </w:rPr>
              <w:t>Carrying</w:t>
            </w: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47"/>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 in millions</w:t>
            </w:r>
          </w:p>
        </w:tc>
        <w:tc>
          <w:tcPr>
            <w:tcW w:w="260" w:type="dxa"/>
            <w:vAlign w:val="bottom"/>
          </w:tcPr>
          <w:p>
            <w:pPr>
              <w:spacing w:after="0"/>
              <w:rPr>
                <w:sz w:val="12"/>
                <w:szCs w:val="12"/>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Principal</w:t>
            </w:r>
          </w:p>
        </w:tc>
        <w:tc>
          <w:tcPr>
            <w:tcW w:w="26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1"/>
              </w:rPr>
              <w:t>Amount</w:t>
            </w:r>
          </w:p>
        </w:tc>
        <w:tc>
          <w:tcPr>
            <w:tcW w:w="220" w:type="dxa"/>
            <w:vAlign w:val="bottom"/>
          </w:tcPr>
          <w:p>
            <w:pPr>
              <w:spacing w:after="0"/>
              <w:rPr>
                <w:sz w:val="12"/>
                <w:szCs w:val="12"/>
                <w:color w:val="auto"/>
              </w:rPr>
            </w:pPr>
          </w:p>
        </w:tc>
        <w:tc>
          <w:tcPr>
            <w:tcW w:w="1040" w:type="dxa"/>
            <w:vAlign w:val="bottom"/>
          </w:tcPr>
          <w:p>
            <w:pPr>
              <w:jc w:val="right"/>
              <w:ind w:right="338"/>
              <w:spacing w:after="0"/>
              <w:rPr>
                <w:sz w:val="20"/>
                <w:szCs w:val="20"/>
                <w:color w:val="auto"/>
              </w:rPr>
            </w:pPr>
            <w:r>
              <w:rPr>
                <w:rFonts w:ascii="Arial" w:cs="Arial" w:eastAsia="Arial" w:hAnsi="Arial"/>
                <w:sz w:val="11"/>
                <w:szCs w:val="11"/>
                <w:b w:val="1"/>
                <w:bCs w:val="1"/>
                <w:color w:val="auto"/>
              </w:rPr>
              <w:t>Fair Value</w:t>
            </w:r>
          </w:p>
        </w:tc>
        <w:tc>
          <w:tcPr>
            <w:tcW w:w="340" w:type="dxa"/>
            <w:vAlign w:val="bottom"/>
          </w:tcPr>
          <w:p>
            <w:pPr>
              <w:spacing w:after="0"/>
              <w:rPr>
                <w:sz w:val="12"/>
                <w:szCs w:val="12"/>
                <w:color w:val="auto"/>
              </w:rPr>
            </w:pPr>
          </w:p>
        </w:tc>
        <w:tc>
          <w:tcPr>
            <w:tcW w:w="1120" w:type="dxa"/>
            <w:vAlign w:val="bottom"/>
            <w:gridSpan w:val="2"/>
          </w:tcPr>
          <w:p>
            <w:pPr>
              <w:ind w:left="160"/>
              <w:spacing w:after="0"/>
              <w:rPr>
                <w:sz w:val="20"/>
                <w:szCs w:val="20"/>
                <w:color w:val="auto"/>
              </w:rPr>
            </w:pPr>
            <w:r>
              <w:rPr>
                <w:rFonts w:ascii="Arial" w:cs="Arial" w:eastAsia="Arial" w:hAnsi="Arial"/>
                <w:sz w:val="11"/>
                <w:szCs w:val="11"/>
                <w:b w:val="1"/>
                <w:bCs w:val="1"/>
                <w:color w:val="auto"/>
              </w:rPr>
              <w:t>Principal</w:t>
            </w:r>
          </w:p>
        </w:tc>
        <w:tc>
          <w:tcPr>
            <w:tcW w:w="26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1"/>
              </w:rPr>
              <w:t>Amount</w:t>
            </w:r>
          </w:p>
        </w:tc>
        <w:tc>
          <w:tcPr>
            <w:tcW w:w="220" w:type="dxa"/>
            <w:vAlign w:val="bottom"/>
          </w:tcPr>
          <w:p>
            <w:pPr>
              <w:spacing w:after="0"/>
              <w:rPr>
                <w:sz w:val="12"/>
                <w:szCs w:val="12"/>
                <w:color w:val="auto"/>
              </w:rPr>
            </w:pPr>
          </w:p>
        </w:tc>
        <w:tc>
          <w:tcPr>
            <w:tcW w:w="1020" w:type="dxa"/>
            <w:vAlign w:val="bottom"/>
          </w:tcPr>
          <w:p>
            <w:pPr>
              <w:jc w:val="right"/>
              <w:ind w:right="318"/>
              <w:spacing w:after="0"/>
              <w:rPr>
                <w:sz w:val="20"/>
                <w:szCs w:val="20"/>
                <w:color w:val="auto"/>
              </w:rPr>
            </w:pPr>
            <w:r>
              <w:rPr>
                <w:rFonts w:ascii="Arial" w:cs="Arial" w:eastAsia="Arial" w:hAnsi="Arial"/>
                <w:sz w:val="11"/>
                <w:szCs w:val="11"/>
                <w:b w:val="1"/>
                <w:bCs w:val="1"/>
                <w:color w:val="auto"/>
              </w:rPr>
              <w:t>Fair Value</w:t>
            </w:r>
          </w:p>
        </w:tc>
      </w:tr>
      <w:tr>
        <w:trPr>
          <w:trHeight w:val="180"/>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4"/>
                <w:szCs w:val="14"/>
                <w:color w:val="auto"/>
              </w:rPr>
              <w:t>437.3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4"/>
                <w:szCs w:val="14"/>
                <w:color w:val="auto"/>
              </w:rPr>
              <w:t>432.0</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423.6</w:t>
            </w:r>
          </w:p>
        </w:tc>
        <w:tc>
          <w:tcPr>
            <w:tcW w:w="3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452.7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4"/>
                <w:szCs w:val="14"/>
                <w:color w:val="auto"/>
              </w:rPr>
              <w:t>445.1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315.2</w:t>
            </w:r>
          </w:p>
        </w:tc>
      </w:tr>
      <w:tr>
        <w:trPr>
          <w:trHeight w:val="22"/>
        </w:trPr>
        <w:tc>
          <w:tcPr>
            <w:tcW w:w="3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fair value of the Company’s long-term debt was based upon actual trading activity (Level 1, Observable inputs —quoted prices in active markets).</w:t>
      </w:r>
    </w:p>
    <w:p>
      <w:pPr>
        <w:spacing w:after="0" w:line="170" w:lineRule="exact"/>
        <w:rPr>
          <w:sz w:val="20"/>
          <w:szCs w:val="20"/>
          <w:color w:val="auto"/>
        </w:rPr>
      </w:pPr>
    </w:p>
    <w:p>
      <w:pPr>
        <w:ind w:right="40" w:firstLine="497"/>
        <w:spacing w:after="0" w:line="279" w:lineRule="auto"/>
        <w:rPr>
          <w:sz w:val="20"/>
          <w:szCs w:val="20"/>
          <w:color w:val="auto"/>
        </w:rPr>
      </w:pPr>
      <w:r>
        <w:rPr>
          <w:rFonts w:ascii="Arial" w:cs="Arial" w:eastAsia="Arial" w:hAnsi="Arial"/>
          <w:sz w:val="13"/>
          <w:szCs w:val="13"/>
          <w:color w:val="auto"/>
        </w:rPr>
        <w:t>As of December 25, 2016, the difference between the carrying amount of $432.0 million and the principal amount of $437.3 million presented in the previous table, is the net unamortized original issue discount of $2.4 million and the unamortized debt issuance costs of $2.9 million, which are being accreted to interest expense over the term of the related debt. As of December 27, 2015, the difference between the carrying amount of $445.1 million and the principal amount of $452.7 million presented in the above table is the net unamortized original issue discount of $3.3 million and the unamortized debt issuance costs of $4.3 million, which are being accreted to interest expense over the term of the related debt.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Future maturities of long-term debt are $1.0 million in 2017, $0.8 million in 2018, and $435.5 million in 2019.</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5.</w:t>
      </w:r>
      <w:r>
        <w:rPr>
          <w:sz w:val="20"/>
          <w:szCs w:val="20"/>
          <w:color w:val="auto"/>
        </w:rPr>
        <w:tab/>
      </w:r>
      <w:r>
        <w:rPr>
          <w:rFonts w:ascii="Arial" w:cs="Arial" w:eastAsia="Arial" w:hAnsi="Arial"/>
          <w:sz w:val="12"/>
          <w:szCs w:val="12"/>
          <w:b w:val="1"/>
          <w:bCs w:val="1"/>
          <w:color w:val="auto"/>
        </w:rPr>
        <w:t>Lease Commitments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Company leases certain facilities and equipment under operating and capital leases having terms expiring at various dates through 2025.</w:t>
      </w:r>
    </w:p>
    <w:p>
      <w:pPr>
        <w:spacing w:after="0" w:line="170" w:lineRule="exact"/>
        <w:rPr>
          <w:sz w:val="20"/>
          <w:szCs w:val="20"/>
          <w:color w:val="auto"/>
        </w:rPr>
      </w:pPr>
    </w:p>
    <w:p>
      <w:pPr>
        <w:ind w:right="280" w:firstLine="497"/>
        <w:spacing w:after="0" w:line="267" w:lineRule="auto"/>
        <w:rPr>
          <w:sz w:val="20"/>
          <w:szCs w:val="20"/>
          <w:color w:val="auto"/>
        </w:rPr>
      </w:pPr>
      <w:r>
        <w:rPr>
          <w:rFonts w:ascii="Arial" w:cs="Arial" w:eastAsia="Arial" w:hAnsi="Arial"/>
          <w:sz w:val="14"/>
          <w:szCs w:val="14"/>
          <w:color w:val="auto"/>
        </w:rPr>
        <w:t>Future minimum lease payments under capital and operating leases as of December 25, 2016, which does not include $11.2 million in sublease income on the Company’s operating leases, are as follows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Year</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w w:val="95"/>
              </w:rPr>
              <w:t>Operating Leases</w:t>
            </w:r>
          </w:p>
        </w:tc>
      </w:tr>
      <w:tr>
        <w:trPr>
          <w:trHeight w:val="182"/>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19.0</w:t>
            </w:r>
          </w:p>
        </w:tc>
      </w:tr>
      <w:tr>
        <w:trPr>
          <w:trHeight w:val="185"/>
        </w:trPr>
        <w:tc>
          <w:tcPr>
            <w:tcW w:w="10100" w:type="dxa"/>
            <w:vAlign w:val="bottom"/>
          </w:tcPr>
          <w:p>
            <w:pPr>
              <w:ind w:left="20"/>
              <w:spacing w:after="0"/>
              <w:rPr>
                <w:sz w:val="20"/>
                <w:szCs w:val="20"/>
                <w:color w:val="auto"/>
              </w:rPr>
            </w:pPr>
            <w:r>
              <w:rPr>
                <w:rFonts w:ascii="Arial" w:cs="Arial" w:eastAsia="Arial" w:hAnsi="Arial"/>
                <w:sz w:val="14"/>
                <w:szCs w:val="14"/>
                <w:color w:val="auto"/>
              </w:rPr>
              <w:t>2018</w:t>
            </w:r>
          </w:p>
        </w:tc>
        <w:tc>
          <w:tcPr>
            <w:tcW w:w="1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16.6</w:t>
            </w:r>
          </w:p>
        </w:tc>
      </w:tr>
      <w:tr>
        <w:trPr>
          <w:trHeight w:val="22"/>
        </w:trPr>
        <w:tc>
          <w:tcPr>
            <w:tcW w:w="10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7"/>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14.5</w:t>
            </w:r>
          </w:p>
        </w:tc>
      </w:tr>
      <w:tr>
        <w:trPr>
          <w:trHeight w:val="185"/>
        </w:trPr>
        <w:tc>
          <w:tcPr>
            <w:tcW w:w="10100" w:type="dxa"/>
            <w:vAlign w:val="bottom"/>
          </w:tcPr>
          <w:p>
            <w:pPr>
              <w:ind w:left="20"/>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9.6</w:t>
            </w:r>
          </w:p>
        </w:tc>
      </w:tr>
      <w:tr>
        <w:trPr>
          <w:trHeight w:val="22"/>
        </w:trPr>
        <w:tc>
          <w:tcPr>
            <w:tcW w:w="10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7"/>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5.7</w:t>
            </w:r>
          </w:p>
        </w:tc>
      </w:tr>
      <w:tr>
        <w:trPr>
          <w:trHeight w:val="185"/>
        </w:trPr>
        <w:tc>
          <w:tcPr>
            <w:tcW w:w="101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2.1</w:t>
            </w:r>
          </w:p>
        </w:tc>
      </w:tr>
      <w:tr>
        <w:trPr>
          <w:trHeight w:val="22"/>
        </w:trPr>
        <w:tc>
          <w:tcPr>
            <w:tcW w:w="10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future minimum lease payments</w:t>
            </w: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67.5</w:t>
            </w:r>
          </w:p>
        </w:tc>
      </w:tr>
      <w:tr>
        <w:trPr>
          <w:trHeight w:val="20"/>
        </w:trPr>
        <w:tc>
          <w:tcPr>
            <w:tcW w:w="10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There was no amortization expense related to capital leases for the years ended December 25, 2016 and December 27, 2015, and $0.2 million for the year ended December 28, 2014.</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60"/>
          </w:cols>
          <w:pgMar w:left="220" w:top="129" w:right="21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both"/>
        <w:ind w:right="240" w:firstLine="497"/>
        <w:spacing w:after="0" w:line="257" w:lineRule="auto"/>
        <w:rPr>
          <w:sz w:val="20"/>
          <w:szCs w:val="20"/>
          <w:color w:val="auto"/>
        </w:rPr>
      </w:pPr>
      <w:r>
        <w:rPr>
          <w:rFonts w:ascii="Arial" w:cs="Arial" w:eastAsia="Arial" w:hAnsi="Arial"/>
          <w:sz w:val="14"/>
          <w:szCs w:val="14"/>
          <w:color w:val="auto"/>
        </w:rPr>
        <w:t>Gross rent expense under operating leases for the years ended December 25, 2016, December 27, 2015, and December 28, 2014 was $21.6 million, $23.1 million, and $24.6 million, respectively. Total sublease income for the years ended December 25, 2016, December 27, 2015, and December 28, 2014, totaling $3.3 million, $3.3 million, and $3.3 million, respectively, has been netted against rent expense.</w:t>
      </w:r>
    </w:p>
    <w:p>
      <w:pPr>
        <w:spacing w:after="0" w:line="145" w:lineRule="exact"/>
        <w:rPr>
          <w:sz w:val="20"/>
          <w:szCs w:val="20"/>
          <w:color w:val="auto"/>
        </w:rPr>
      </w:pPr>
    </w:p>
    <w:p>
      <w:pPr>
        <w:jc w:val="both"/>
        <w:ind w:right="240" w:firstLine="497"/>
        <w:spacing w:after="0" w:line="267" w:lineRule="auto"/>
        <w:rPr>
          <w:sz w:val="20"/>
          <w:szCs w:val="20"/>
          <w:color w:val="auto"/>
        </w:rPr>
      </w:pPr>
      <w:r>
        <w:rPr>
          <w:rFonts w:ascii="Arial" w:cs="Arial" w:eastAsia="Arial" w:hAnsi="Arial"/>
          <w:sz w:val="14"/>
          <w:szCs w:val="14"/>
          <w:color w:val="auto"/>
        </w:rPr>
        <w:t>The Company’s accrual for excess facilities was $4.0 million and $5.5 million, as of December 25, 2016 and December 27, 2015, respectively. The Company estimates that the remaining accrual will be paid through 2020.</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accrual for excess facilities is as follows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1"/>
                <w:szCs w:val="11"/>
                <w:b w:val="1"/>
                <w:bCs w:val="1"/>
                <w:color w:val="auto"/>
                <w:w w:val="95"/>
              </w:rPr>
              <w:t>Excess Facilities</w:t>
            </w:r>
          </w:p>
        </w:tc>
      </w:tr>
      <w:tr>
        <w:trPr>
          <w:trHeight w:val="182"/>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28, 2014</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11.3</w:t>
            </w:r>
          </w:p>
        </w:tc>
      </w:tr>
      <w:tr>
        <w:trPr>
          <w:trHeight w:val="185"/>
        </w:trPr>
        <w:tc>
          <w:tcPr>
            <w:tcW w:w="10100" w:type="dxa"/>
            <w:vAlign w:val="bottom"/>
          </w:tcPr>
          <w:p>
            <w:pPr>
              <w:ind w:left="20"/>
              <w:spacing w:after="0"/>
              <w:rPr>
                <w:sz w:val="20"/>
                <w:szCs w:val="20"/>
                <w:color w:val="auto"/>
              </w:rPr>
            </w:pPr>
            <w:r>
              <w:rPr>
                <w:rFonts w:ascii="Arial" w:cs="Arial" w:eastAsia="Arial" w:hAnsi="Arial"/>
                <w:sz w:val="14"/>
                <w:szCs w:val="14"/>
                <w:color w:val="auto"/>
              </w:rPr>
              <w:t>Adjustment of excess facility accrual</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2"/>
        </w:trPr>
        <w:tc>
          <w:tcPr>
            <w:tcW w:w="10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7"/>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payments</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10100" w:type="dxa"/>
            <w:vAlign w:val="bottom"/>
          </w:tcPr>
          <w:p>
            <w:pPr>
              <w:ind w:left="20"/>
              <w:spacing w:after="0"/>
              <w:rPr>
                <w:sz w:val="20"/>
                <w:szCs w:val="20"/>
                <w:color w:val="auto"/>
              </w:rPr>
            </w:pPr>
            <w:r>
              <w:rPr>
                <w:rFonts w:ascii="Arial" w:cs="Arial" w:eastAsia="Arial" w:hAnsi="Arial"/>
                <w:sz w:val="14"/>
                <w:szCs w:val="14"/>
                <w:color w:val="auto"/>
              </w:rPr>
              <w:t>Balance as of December 27, 2015</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5.5</w:t>
            </w:r>
          </w:p>
        </w:tc>
      </w:tr>
      <w:tr>
        <w:trPr>
          <w:trHeight w:val="22"/>
        </w:trPr>
        <w:tc>
          <w:tcPr>
            <w:tcW w:w="10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7"/>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of excess facility accruals</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85"/>
        </w:trPr>
        <w:tc>
          <w:tcPr>
            <w:tcW w:w="10100" w:type="dxa"/>
            <w:vAlign w:val="bottom"/>
          </w:tcPr>
          <w:p>
            <w:pPr>
              <w:ind w:left="20"/>
              <w:spacing w:after="0"/>
              <w:rPr>
                <w:sz w:val="20"/>
                <w:szCs w:val="20"/>
                <w:color w:val="auto"/>
              </w:rPr>
            </w:pPr>
            <w:r>
              <w:rPr>
                <w:rFonts w:ascii="Arial" w:cs="Arial" w:eastAsia="Arial" w:hAnsi="Arial"/>
                <w:sz w:val="14"/>
                <w:szCs w:val="14"/>
                <w:color w:val="auto"/>
              </w:rPr>
              <w:t>Cash payments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2"/>
        </w:trPr>
        <w:tc>
          <w:tcPr>
            <w:tcW w:w="10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2"/>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25, 2016</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4.0</w:t>
            </w:r>
          </w:p>
        </w:tc>
      </w:tr>
      <w:tr>
        <w:trPr>
          <w:trHeight w:val="20"/>
        </w:trPr>
        <w:tc>
          <w:tcPr>
            <w:tcW w:w="10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adjustment in 2015 reflects the impact of a new sublease arrangement that the Company entered into for our Columbia, Maryland facility.</w:t>
      </w:r>
    </w:p>
    <w:p>
      <w:pPr>
        <w:spacing w:after="0" w:line="170" w:lineRule="exact"/>
        <w:rPr>
          <w:sz w:val="20"/>
          <w:szCs w:val="20"/>
          <w:color w:val="auto"/>
        </w:rPr>
      </w:pPr>
    </w:p>
    <w:p>
      <w:pPr>
        <w:ind w:right="240" w:firstLine="497"/>
        <w:spacing w:after="0" w:line="279" w:lineRule="auto"/>
        <w:rPr>
          <w:sz w:val="20"/>
          <w:szCs w:val="20"/>
          <w:color w:val="auto"/>
        </w:rPr>
      </w:pPr>
      <w:r>
        <w:rPr>
          <w:rFonts w:ascii="Arial" w:cs="Arial" w:eastAsia="Arial" w:hAnsi="Arial"/>
          <w:sz w:val="13"/>
          <w:szCs w:val="13"/>
          <w:color w:val="auto"/>
        </w:rPr>
        <w:t>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long-term liabilities in the Consolidated Balance Sheets, of $3.9 million, $4.6 million, and $5.2 million at December 25, 2016, December 27, 2015 and December 28, 2014, respectively, to reflect the excess of rent expense over cash payments since inception of the respective leases.</w:t>
      </w:r>
    </w:p>
    <w:p>
      <w:pPr>
        <w:spacing w:after="0" w:line="129"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6.</w:t>
      </w:r>
      <w:r>
        <w:rPr>
          <w:sz w:val="20"/>
          <w:szCs w:val="20"/>
          <w:color w:val="auto"/>
        </w:rPr>
        <w:tab/>
      </w:r>
      <w:r>
        <w:rPr>
          <w:rFonts w:ascii="Arial" w:cs="Arial" w:eastAsia="Arial" w:hAnsi="Arial"/>
          <w:sz w:val="12"/>
          <w:szCs w:val="12"/>
          <w:b w:val="1"/>
          <w:bCs w:val="1"/>
          <w:color w:val="auto"/>
        </w:rPr>
        <w:t>Net Loss Per Common Share</w:t>
      </w:r>
    </w:p>
    <w:p>
      <w:pPr>
        <w:spacing w:after="0" w:line="174" w:lineRule="exact"/>
        <w:rPr>
          <w:sz w:val="20"/>
          <w:szCs w:val="20"/>
          <w:color w:val="auto"/>
        </w:rPr>
      </w:pPr>
    </w:p>
    <w:p>
      <w:pPr>
        <w:ind w:right="100" w:firstLine="497"/>
        <w:spacing w:after="0" w:line="306" w:lineRule="auto"/>
        <w:rPr>
          <w:sz w:val="20"/>
          <w:szCs w:val="20"/>
          <w:color w:val="auto"/>
        </w:rPr>
      </w:pPr>
      <w:r>
        <w:rPr>
          <w:rFonts w:ascii="Arial" w:cs="Arial" w:eastAsia="Arial" w:hAnsi="Arial"/>
          <w:sz w:val="13"/>
          <w:szCs w:val="13"/>
          <w:color w:val="auto"/>
        </w:rPr>
        <w:t xml:space="preserve">The Company calculates net loss per share in accordance with FASB ASC </w:t>
      </w:r>
      <w:r>
        <w:rPr>
          <w:rFonts w:ascii="Arial" w:cs="Arial" w:eastAsia="Arial" w:hAnsi="Arial"/>
          <w:sz w:val="13"/>
          <w:szCs w:val="13"/>
          <w:i w:val="1"/>
          <w:iCs w:val="1"/>
          <w:color w:val="auto"/>
        </w:rPr>
        <w:t>Topic 260</w:t>
      </w:r>
      <w:r>
        <w:rPr>
          <w:rFonts w:ascii="Arial" w:cs="Arial" w:eastAsia="Arial" w:hAnsi="Arial"/>
          <w:sz w:val="13"/>
          <w:szCs w:val="13"/>
          <w:color w:val="auto"/>
        </w:rPr>
        <w:t xml:space="preserve">,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w:t>
      </w:r>
      <w:r>
        <w:rPr>
          <w:rFonts w:ascii="Arial" w:cs="Arial" w:eastAsia="Arial" w:hAnsi="Arial"/>
          <w:sz w:val="13"/>
          <w:szCs w:val="13"/>
          <w:i w:val="1"/>
          <w:iCs w:val="1"/>
          <w:color w:val="auto"/>
        </w:rPr>
        <w:t>Topic 260</w:t>
      </w:r>
      <w:r>
        <w:rPr>
          <w:rFonts w:ascii="Arial" w:cs="Arial" w:eastAsia="Arial" w:hAnsi="Arial"/>
          <w:sz w:val="13"/>
          <w:szCs w:val="13"/>
          <w:color w:val="auto"/>
        </w:rPr>
        <w:t>”)</w:t>
      </w:r>
      <w:r>
        <w:rPr>
          <w:rFonts w:ascii="Arial" w:cs="Arial" w:eastAsia="Arial" w:hAnsi="Arial"/>
          <w:sz w:val="13"/>
          <w:szCs w:val="13"/>
          <w:i w:val="1"/>
          <w:iCs w:val="1"/>
          <w:color w:val="auto"/>
        </w:rPr>
        <w:t>.</w:t>
      </w:r>
      <w:r>
        <w:rPr>
          <w:rFonts w:ascii="Arial" w:cs="Arial" w:eastAsia="Arial" w:hAnsi="Arial"/>
          <w:sz w:val="13"/>
          <w:szCs w:val="13"/>
          <w:color w:val="auto"/>
        </w:rPr>
        <w:t xml:space="preserve"> Under </w:t>
      </w:r>
      <w:r>
        <w:rPr>
          <w:rFonts w:ascii="Arial" w:cs="Arial" w:eastAsia="Arial" w:hAnsi="Arial"/>
          <w:sz w:val="13"/>
          <w:szCs w:val="13"/>
          <w:i w:val="1"/>
          <w:iCs w:val="1"/>
          <w:color w:val="auto"/>
        </w:rPr>
        <w:t>Topic 260</w:t>
      </w:r>
      <w:r>
        <w:rPr>
          <w:rFonts w:ascii="Arial" w:cs="Arial" w:eastAsia="Arial" w:hAnsi="Arial"/>
          <w:sz w:val="13"/>
          <w:szCs w:val="13"/>
          <w:color w:val="auto"/>
        </w:rPr>
        <w:t>,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shares were excluded from the calculation of diluted loss per share because their inclusion would have been anti-dilutive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880" w:type="dxa"/>
            <w:vAlign w:val="bottom"/>
          </w:tcPr>
          <w:p>
            <w:pPr>
              <w:spacing w:after="0"/>
              <w:rPr>
                <w:sz w:val="12"/>
                <w:szCs w:val="12"/>
                <w:color w:val="auto"/>
              </w:rPr>
            </w:pPr>
          </w:p>
        </w:tc>
        <w:tc>
          <w:tcPr>
            <w:tcW w:w="1620" w:type="dxa"/>
            <w:vAlign w:val="bottom"/>
            <w:gridSpan w:val="2"/>
          </w:tcPr>
          <w:p>
            <w:pPr>
              <w:ind w:left="260"/>
              <w:spacing w:after="0"/>
              <w:rPr>
                <w:sz w:val="20"/>
                <w:szCs w:val="20"/>
                <w:color w:val="auto"/>
              </w:rPr>
            </w:pPr>
            <w:r>
              <w:rPr>
                <w:rFonts w:ascii="Arial" w:cs="Arial" w:eastAsia="Arial" w:hAnsi="Arial"/>
                <w:sz w:val="11"/>
                <w:szCs w:val="11"/>
                <w:b w:val="1"/>
                <w:bCs w:val="1"/>
                <w:color w:val="auto"/>
              </w:rPr>
              <w:t>December 25, 2016</w:t>
            </w:r>
          </w:p>
        </w:tc>
        <w:tc>
          <w:tcPr>
            <w:tcW w:w="1600" w:type="dxa"/>
            <w:vAlign w:val="bottom"/>
            <w:gridSpan w:val="2"/>
          </w:tcPr>
          <w:p>
            <w:pPr>
              <w:ind w:left="240"/>
              <w:spacing w:after="0"/>
              <w:rPr>
                <w:sz w:val="20"/>
                <w:szCs w:val="20"/>
                <w:color w:val="auto"/>
              </w:rPr>
            </w:pPr>
            <w:r>
              <w:rPr>
                <w:rFonts w:ascii="Arial" w:cs="Arial" w:eastAsia="Arial" w:hAnsi="Arial"/>
                <w:sz w:val="11"/>
                <w:szCs w:val="11"/>
                <w:b w:val="1"/>
                <w:bCs w:val="1"/>
                <w:color w:val="auto"/>
              </w:rPr>
              <w:t>December 27, 2015</w:t>
            </w:r>
          </w:p>
        </w:tc>
        <w:tc>
          <w:tcPr>
            <w:tcW w:w="1360" w:type="dxa"/>
            <w:vAlign w:val="bottom"/>
          </w:tcPr>
          <w:p>
            <w:pPr>
              <w:jc w:val="right"/>
              <w:ind w:right="178"/>
              <w:spacing w:after="0"/>
              <w:rPr>
                <w:sz w:val="20"/>
                <w:szCs w:val="20"/>
                <w:color w:val="auto"/>
              </w:rPr>
            </w:pPr>
            <w:r>
              <w:rPr>
                <w:rFonts w:ascii="Arial" w:cs="Arial" w:eastAsia="Arial" w:hAnsi="Arial"/>
                <w:sz w:val="11"/>
                <w:szCs w:val="11"/>
                <w:b w:val="1"/>
                <w:bCs w:val="1"/>
                <w:color w:val="auto"/>
              </w:rPr>
              <w:t>December 28, 2014</w:t>
            </w:r>
          </w:p>
        </w:tc>
      </w:tr>
      <w:tr>
        <w:trPr>
          <w:trHeight w:val="180"/>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from stock options and awards</w:t>
            </w:r>
          </w:p>
        </w:tc>
        <w:tc>
          <w:tcPr>
            <w:tcW w:w="14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1.4</w:t>
            </w:r>
          </w:p>
        </w:tc>
        <w:tc>
          <w:tcPr>
            <w:tcW w:w="2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1.9</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0.9</w:t>
            </w:r>
          </w:p>
        </w:tc>
      </w:tr>
      <w:tr>
        <w:trPr>
          <w:trHeight w:val="22"/>
        </w:trPr>
        <w:tc>
          <w:tcPr>
            <w:tcW w:w="68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r>
    </w:tbl>
    <w:p>
      <w:pPr>
        <w:spacing w:after="0" w:line="151"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7.</w:t>
      </w:r>
      <w:r>
        <w:rPr>
          <w:sz w:val="20"/>
          <w:szCs w:val="20"/>
          <w:color w:val="auto"/>
        </w:rPr>
        <w:tab/>
      </w:r>
      <w:r>
        <w:rPr>
          <w:rFonts w:ascii="Arial" w:cs="Arial" w:eastAsia="Arial" w:hAnsi="Arial"/>
          <w:sz w:val="12"/>
          <w:szCs w:val="12"/>
          <w:b w:val="1"/>
          <w:bCs w:val="1"/>
          <w:color w:val="auto"/>
        </w:rPr>
        <w:t>Income Taxes</w:t>
      </w:r>
    </w:p>
    <w:p>
      <w:pPr>
        <w:spacing w:after="0" w:line="174" w:lineRule="exact"/>
        <w:rPr>
          <w:sz w:val="20"/>
          <w:szCs w:val="20"/>
          <w:color w:val="auto"/>
        </w:rPr>
      </w:pPr>
    </w:p>
    <w:p>
      <w:pPr>
        <w:ind w:right="520" w:firstLine="497"/>
        <w:spacing w:after="0" w:line="267" w:lineRule="auto"/>
        <w:rPr>
          <w:sz w:val="20"/>
          <w:szCs w:val="20"/>
          <w:color w:val="auto"/>
        </w:rPr>
      </w:pPr>
      <w:r>
        <w:rPr>
          <w:rFonts w:ascii="Arial" w:cs="Arial" w:eastAsia="Arial" w:hAnsi="Arial"/>
          <w:sz w:val="14"/>
          <w:szCs w:val="14"/>
          <w:color w:val="auto"/>
        </w:rPr>
        <w:t>The components of income (loss) from continuing operations before income taxes for the years ended December 25, 2016, December 27, 2015, and December 28, 2014 are comprised of the following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080" w:type="dxa"/>
            <w:vAlign w:val="bottom"/>
            <w:tcBorders>
              <w:bottom w:val="single" w:sz="8" w:color="CCEEFF"/>
            </w:tcBorders>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2016</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2014</w:t>
            </w:r>
          </w:p>
        </w:tc>
      </w:tr>
      <w:tr>
        <w:trPr>
          <w:trHeight w:val="18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4940" w:type="dxa"/>
            <w:vAlign w:val="bottom"/>
            <w:tcBorders>
              <w:bottom w:val="single" w:sz="8" w:color="CCEEFF"/>
            </w:tcBorders>
            <w:gridSpan w:val="2"/>
            <w:shd w:val="clear" w:color="auto" w:fill="CCEEFF"/>
          </w:tcPr>
          <w:p>
            <w:pPr>
              <w:jc w:val="right"/>
              <w:ind w:right="76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(78.8)</w:t>
            </w:r>
          </w:p>
        </w:tc>
      </w:tr>
      <w:tr>
        <w:trPr>
          <w:trHeight w:val="185"/>
        </w:trPr>
        <w:tc>
          <w:tcPr>
            <w:tcW w:w="3080" w:type="dxa"/>
            <w:vAlign w:val="bottom"/>
          </w:tcPr>
          <w:p>
            <w:pPr>
              <w:ind w:left="20"/>
              <w:spacing w:after="0"/>
              <w:rPr>
                <w:sz w:val="20"/>
                <w:szCs w:val="20"/>
                <w:color w:val="auto"/>
              </w:rPr>
            </w:pPr>
            <w:r>
              <w:rPr>
                <w:rFonts w:ascii="Arial" w:cs="Arial" w:eastAsia="Arial" w:hAnsi="Arial"/>
                <w:sz w:val="14"/>
                <w:szCs w:val="14"/>
                <w:color w:val="auto"/>
              </w:rPr>
              <w:t>Foreign</w:t>
            </w:r>
          </w:p>
        </w:tc>
        <w:tc>
          <w:tcPr>
            <w:tcW w:w="4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1"/>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Arial" w:cs="Arial" w:eastAsia="Arial" w:hAnsi="Arial"/>
                <w:sz w:val="14"/>
                <w:szCs w:val="14"/>
                <w:color w:val="auto"/>
              </w:rPr>
              <w:t>7.0</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2"/>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940" w:type="dxa"/>
            <w:vAlign w:val="bottom"/>
            <w:gridSpan w:val="2"/>
            <w:shd w:val="clear" w:color="auto" w:fill="CCEEFF"/>
          </w:tcPr>
          <w:p>
            <w:pPr>
              <w:jc w:val="right"/>
              <w:ind w:right="765"/>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93"/>
        </w:trPr>
        <w:tc>
          <w:tcPr>
            <w:tcW w:w="3080" w:type="dxa"/>
            <w:vAlign w:val="bottom"/>
          </w:tcPr>
          <w:p>
            <w:pPr>
              <w:spacing w:after="0"/>
              <w:rPr>
                <w:sz w:val="24"/>
                <w:szCs w:val="24"/>
                <w:color w:val="auto"/>
              </w:rPr>
            </w:pPr>
          </w:p>
        </w:tc>
        <w:tc>
          <w:tcPr>
            <w:tcW w:w="4940" w:type="dxa"/>
            <w:vAlign w:val="bottom"/>
            <w:gridSpan w:val="2"/>
          </w:tcPr>
          <w:p>
            <w:pPr>
              <w:jc w:val="right"/>
              <w:ind w:right="2105"/>
              <w:spacing w:after="0"/>
              <w:rPr>
                <w:sz w:val="20"/>
                <w:szCs w:val="20"/>
                <w:color w:val="auto"/>
              </w:rPr>
            </w:pPr>
            <w:r>
              <w:rPr>
                <w:rFonts w:ascii="Arial" w:cs="Arial" w:eastAsia="Arial" w:hAnsi="Arial"/>
                <w:sz w:val="14"/>
                <w:szCs w:val="14"/>
                <w:color w:val="auto"/>
              </w:rPr>
              <w:t>F-24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520" w:firstLine="497"/>
        <w:spacing w:after="0" w:line="267" w:lineRule="auto"/>
        <w:rPr>
          <w:sz w:val="20"/>
          <w:szCs w:val="20"/>
          <w:color w:val="auto"/>
        </w:rPr>
      </w:pPr>
      <w:r>
        <w:rPr>
          <w:rFonts w:ascii="Arial" w:cs="Arial" w:eastAsia="Arial" w:hAnsi="Arial"/>
          <w:sz w:val="14"/>
          <w:szCs w:val="14"/>
          <w:color w:val="auto"/>
        </w:rPr>
        <w:t>The provision (benefit) for income taxes from continuing operations for the years ended December 25, 2016, December 27, 2015, and December 28, 2014 are comprised of the following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2016</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2014</w:t>
            </w:r>
          </w:p>
        </w:tc>
      </w:tr>
      <w:tr>
        <w:trPr>
          <w:trHeight w:val="18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 income taxes:</w:t>
            </w:r>
          </w:p>
        </w:tc>
        <w:tc>
          <w:tcPr>
            <w:tcW w:w="9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5"/>
        </w:trPr>
        <w:tc>
          <w:tcPr>
            <w:tcW w:w="7120" w:type="dxa"/>
            <w:vAlign w:val="bottom"/>
          </w:tcPr>
          <w:p>
            <w:pPr>
              <w:ind w:left="140"/>
              <w:spacing w:after="0"/>
              <w:rPr>
                <w:sz w:val="20"/>
                <w:szCs w:val="20"/>
                <w:color w:val="auto"/>
              </w:rPr>
            </w:pPr>
            <w:r>
              <w:rPr>
                <w:rFonts w:ascii="Arial" w:cs="Arial" w:eastAsia="Arial" w:hAnsi="Arial"/>
                <w:sz w:val="14"/>
                <w:szCs w:val="14"/>
                <w:color w:val="auto"/>
              </w:rPr>
              <w:t>Current</w:t>
            </w:r>
          </w:p>
        </w:tc>
        <w:tc>
          <w:tcPr>
            <w:tcW w:w="920" w:type="dxa"/>
            <w:vAlign w:val="bottom"/>
          </w:tcPr>
          <w:p>
            <w:pPr>
              <w:jc w:val="right"/>
              <w:ind w:right="776"/>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2"/>
        </w:trPr>
        <w:tc>
          <w:tcPr>
            <w:tcW w:w="7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w:t>
            </w:r>
          </w:p>
        </w:tc>
        <w:tc>
          <w:tcPr>
            <w:tcW w:w="9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2.9</w:t>
            </w:r>
          </w:p>
        </w:tc>
      </w:tr>
      <w:tr>
        <w:trPr>
          <w:trHeight w:val="175"/>
        </w:trPr>
        <w:tc>
          <w:tcPr>
            <w:tcW w:w="7120" w:type="dxa"/>
            <w:vAlign w:val="bottom"/>
          </w:tcPr>
          <w:p>
            <w:pPr>
              <w:ind w:left="280"/>
              <w:spacing w:after="0"/>
              <w:rPr>
                <w:sz w:val="20"/>
                <w:szCs w:val="20"/>
                <w:color w:val="auto"/>
              </w:rPr>
            </w:pPr>
            <w:r>
              <w:rPr>
                <w:rFonts w:ascii="Arial" w:cs="Arial" w:eastAsia="Arial" w:hAnsi="Arial"/>
                <w:sz w:val="14"/>
                <w:szCs w:val="14"/>
                <w:color w:val="auto"/>
              </w:rPr>
              <w:t>Total Federal</w:t>
            </w: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2.9</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State and local income taxes</w:t>
            </w:r>
          </w:p>
        </w:tc>
        <w:tc>
          <w:tcPr>
            <w:tcW w:w="9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5"/>
        </w:trPr>
        <w:tc>
          <w:tcPr>
            <w:tcW w:w="7120" w:type="dxa"/>
            <w:vAlign w:val="bottom"/>
          </w:tcPr>
          <w:p>
            <w:pPr>
              <w:ind w:left="140"/>
              <w:spacing w:after="0"/>
              <w:rPr>
                <w:sz w:val="20"/>
                <w:szCs w:val="20"/>
                <w:color w:val="auto"/>
              </w:rPr>
            </w:pPr>
            <w:r>
              <w:rPr>
                <w:rFonts w:ascii="Arial" w:cs="Arial" w:eastAsia="Arial" w:hAnsi="Arial"/>
                <w:sz w:val="14"/>
                <w:szCs w:val="14"/>
                <w:color w:val="auto"/>
              </w:rPr>
              <w:t>Current</w:t>
            </w:r>
          </w:p>
        </w:tc>
        <w:tc>
          <w:tcPr>
            <w:tcW w:w="92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1.6</w:t>
            </w:r>
          </w:p>
        </w:tc>
      </w:tr>
      <w:tr>
        <w:trPr>
          <w:trHeight w:val="22"/>
        </w:trPr>
        <w:tc>
          <w:tcPr>
            <w:tcW w:w="7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w:t>
            </w:r>
          </w:p>
        </w:tc>
        <w:tc>
          <w:tcPr>
            <w:tcW w:w="9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75"/>
        </w:trPr>
        <w:tc>
          <w:tcPr>
            <w:tcW w:w="7120" w:type="dxa"/>
            <w:vAlign w:val="bottom"/>
          </w:tcPr>
          <w:p>
            <w:pPr>
              <w:ind w:left="280"/>
              <w:spacing w:after="0"/>
              <w:rPr>
                <w:sz w:val="20"/>
                <w:szCs w:val="20"/>
                <w:color w:val="auto"/>
              </w:rPr>
            </w:pPr>
            <w:r>
              <w:rPr>
                <w:rFonts w:ascii="Arial" w:cs="Arial" w:eastAsia="Arial" w:hAnsi="Arial"/>
                <w:sz w:val="14"/>
                <w:szCs w:val="14"/>
                <w:color w:val="auto"/>
              </w:rPr>
              <w:t>Total State and local</w:t>
            </w: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income taxes:</w:t>
            </w:r>
          </w:p>
        </w:tc>
        <w:tc>
          <w:tcPr>
            <w:tcW w:w="9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5"/>
        </w:trPr>
        <w:tc>
          <w:tcPr>
            <w:tcW w:w="7120" w:type="dxa"/>
            <w:vAlign w:val="bottom"/>
          </w:tcPr>
          <w:p>
            <w:pPr>
              <w:ind w:left="140"/>
              <w:spacing w:after="0"/>
              <w:rPr>
                <w:sz w:val="20"/>
                <w:szCs w:val="20"/>
                <w:color w:val="auto"/>
              </w:rPr>
            </w:pPr>
            <w:r>
              <w:rPr>
                <w:rFonts w:ascii="Arial" w:cs="Arial" w:eastAsia="Arial" w:hAnsi="Arial"/>
                <w:sz w:val="14"/>
                <w:szCs w:val="14"/>
                <w:color w:val="auto"/>
              </w:rPr>
              <w:t>Current</w:t>
            </w:r>
          </w:p>
        </w:tc>
        <w:tc>
          <w:tcPr>
            <w:tcW w:w="920" w:type="dxa"/>
            <w:vAlign w:val="bottom"/>
          </w:tcPr>
          <w:p>
            <w:pPr>
              <w:spacing w:after="0"/>
              <w:rPr>
                <w:sz w:val="16"/>
                <w:szCs w:val="16"/>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0.7</w:t>
            </w:r>
          </w:p>
        </w:tc>
      </w:tr>
      <w:tr>
        <w:trPr>
          <w:trHeight w:val="22"/>
        </w:trPr>
        <w:tc>
          <w:tcPr>
            <w:tcW w:w="7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w:t>
            </w:r>
          </w:p>
        </w:tc>
        <w:tc>
          <w:tcPr>
            <w:tcW w:w="9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0.4</w:t>
            </w:r>
          </w:p>
        </w:tc>
      </w:tr>
      <w:tr>
        <w:trPr>
          <w:trHeight w:val="175"/>
        </w:trPr>
        <w:tc>
          <w:tcPr>
            <w:tcW w:w="7120" w:type="dxa"/>
            <w:vAlign w:val="bottom"/>
          </w:tcPr>
          <w:p>
            <w:pPr>
              <w:ind w:left="280"/>
              <w:spacing w:after="0"/>
              <w:rPr>
                <w:sz w:val="20"/>
                <w:szCs w:val="20"/>
                <w:color w:val="auto"/>
              </w:rPr>
            </w:pPr>
            <w:r>
              <w:rPr>
                <w:rFonts w:ascii="Arial" w:cs="Arial" w:eastAsia="Arial" w:hAnsi="Arial"/>
                <w:sz w:val="14"/>
                <w:szCs w:val="14"/>
                <w:color w:val="auto"/>
              </w:rPr>
              <w:t>Total Foreign</w:t>
            </w: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1.1</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3.9</w:t>
            </w:r>
          </w:p>
        </w:tc>
      </w:tr>
      <w:tr>
        <w:trPr>
          <w:trHeight w:val="20"/>
        </w:trPr>
        <w:tc>
          <w:tcPr>
            <w:tcW w:w="7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40" w:firstLine="497"/>
        <w:spacing w:after="0" w:line="267" w:lineRule="auto"/>
        <w:rPr>
          <w:sz w:val="20"/>
          <w:szCs w:val="20"/>
          <w:color w:val="auto"/>
        </w:rPr>
      </w:pPr>
      <w:r>
        <w:rPr>
          <w:rFonts w:ascii="Arial" w:cs="Arial" w:eastAsia="Arial" w:hAnsi="Arial"/>
          <w:sz w:val="14"/>
          <w:szCs w:val="14"/>
          <w:color w:val="auto"/>
        </w:rPr>
        <w:t>A reconciliation of the total income tax provision (benefit) to the amount computed by applying the statutory federal income tax rate of 35% to the loss from continuing operations before income taxes for the years ended December 25, 2016, December 27, 2015 and December 28, 2014 is as follows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58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2016</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2015</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2014</w:t>
            </w:r>
          </w:p>
        </w:tc>
      </w:tr>
      <w:tr>
        <w:trPr>
          <w:trHeight w:val="182"/>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tax (benefit) at federal statutory rate</w:t>
            </w:r>
          </w:p>
        </w:tc>
        <w:tc>
          <w:tcPr>
            <w:tcW w:w="3440" w:type="dxa"/>
            <w:vAlign w:val="bottom"/>
            <w:tcBorders>
              <w:bottom w:val="single" w:sz="8" w:color="CCEEFF"/>
            </w:tcBorders>
            <w:gridSpan w:val="2"/>
            <w:shd w:val="clear" w:color="auto" w:fill="CCEEFF"/>
          </w:tcPr>
          <w:p>
            <w:pPr>
              <w:jc w:val="right"/>
              <w:ind w:right="75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85"/>
        </w:trPr>
        <w:tc>
          <w:tcPr>
            <w:tcW w:w="4580" w:type="dxa"/>
            <w:vAlign w:val="bottom"/>
          </w:tcPr>
          <w:p>
            <w:pPr>
              <w:ind w:left="20"/>
              <w:spacing w:after="0"/>
              <w:rPr>
                <w:sz w:val="20"/>
                <w:szCs w:val="20"/>
                <w:color w:val="auto"/>
              </w:rPr>
            </w:pPr>
            <w:r>
              <w:rPr>
                <w:rFonts w:ascii="Arial" w:cs="Arial" w:eastAsia="Arial" w:hAnsi="Arial"/>
                <w:sz w:val="14"/>
                <w:szCs w:val="14"/>
                <w:color w:val="auto"/>
              </w:rPr>
              <w:t>State taxes, net of federal tax benefit and valuation allowance</w:t>
            </w:r>
          </w:p>
        </w:tc>
        <w:tc>
          <w:tcPr>
            <w:tcW w:w="2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0.8</w:t>
            </w:r>
          </w:p>
        </w:tc>
      </w:tr>
      <w:tr>
        <w:trPr>
          <w:trHeight w:val="22"/>
        </w:trPr>
        <w:tc>
          <w:tcPr>
            <w:tcW w:w="4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Difference in tax rates between U.S. and foreign</w:t>
            </w:r>
          </w:p>
        </w:tc>
        <w:tc>
          <w:tcPr>
            <w:tcW w:w="25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5"/>
        </w:trPr>
        <w:tc>
          <w:tcPr>
            <w:tcW w:w="4580" w:type="dxa"/>
            <w:vAlign w:val="bottom"/>
          </w:tcPr>
          <w:p>
            <w:pPr>
              <w:ind w:left="20"/>
              <w:spacing w:after="0"/>
              <w:rPr>
                <w:sz w:val="20"/>
                <w:szCs w:val="20"/>
                <w:color w:val="auto"/>
              </w:rPr>
            </w:pPr>
            <w:r>
              <w:rPr>
                <w:rFonts w:ascii="Arial" w:cs="Arial" w:eastAsia="Arial" w:hAnsi="Arial"/>
                <w:sz w:val="14"/>
                <w:szCs w:val="14"/>
                <w:color w:val="auto"/>
              </w:rPr>
              <w:t>Increase in federal valuation allowance</w:t>
            </w:r>
          </w:p>
        </w:tc>
        <w:tc>
          <w:tcPr>
            <w:tcW w:w="2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1"/>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26.0</w:t>
            </w:r>
          </w:p>
        </w:tc>
      </w:tr>
      <w:tr>
        <w:trPr>
          <w:trHeight w:val="22"/>
        </w:trPr>
        <w:tc>
          <w:tcPr>
            <w:tcW w:w="4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Nondeductible expense</w:t>
            </w:r>
          </w:p>
        </w:tc>
        <w:tc>
          <w:tcPr>
            <w:tcW w:w="25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1.5</w:t>
            </w:r>
          </w:p>
        </w:tc>
      </w:tr>
      <w:tr>
        <w:trPr>
          <w:trHeight w:val="185"/>
        </w:trPr>
        <w:tc>
          <w:tcPr>
            <w:tcW w:w="4580" w:type="dxa"/>
            <w:vAlign w:val="bottom"/>
          </w:tcPr>
          <w:p>
            <w:pPr>
              <w:ind w:left="20"/>
              <w:spacing w:after="0"/>
              <w:rPr>
                <w:sz w:val="20"/>
                <w:szCs w:val="20"/>
                <w:color w:val="auto"/>
              </w:rPr>
            </w:pPr>
            <w:r>
              <w:rPr>
                <w:rFonts w:ascii="Arial" w:cs="Arial" w:eastAsia="Arial" w:hAnsi="Arial"/>
                <w:sz w:val="14"/>
                <w:szCs w:val="14"/>
                <w:color w:val="auto"/>
              </w:rPr>
              <w:t>Increase in reserve for uncertain tax positions</w:t>
            </w:r>
          </w:p>
        </w:tc>
        <w:tc>
          <w:tcPr>
            <w:tcW w:w="2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1"/>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ind w:right="31"/>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0.9</w:t>
            </w:r>
          </w:p>
        </w:tc>
      </w:tr>
      <w:tr>
        <w:trPr>
          <w:trHeight w:val="22"/>
        </w:trPr>
        <w:tc>
          <w:tcPr>
            <w:tcW w:w="4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to indefinite life items and separate state deferred taxes</w:t>
            </w:r>
          </w:p>
        </w:tc>
        <w:tc>
          <w:tcPr>
            <w:tcW w:w="25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1.2</w:t>
            </w:r>
          </w:p>
        </w:tc>
      </w:tr>
      <w:tr>
        <w:trPr>
          <w:trHeight w:val="192"/>
        </w:trPr>
        <w:tc>
          <w:tcPr>
            <w:tcW w:w="4580" w:type="dxa"/>
            <w:vAlign w:val="bottom"/>
          </w:tcPr>
          <w:p>
            <w:pPr>
              <w:ind w:left="20"/>
              <w:spacing w:after="0"/>
              <w:rPr>
                <w:sz w:val="20"/>
                <w:szCs w:val="20"/>
                <w:color w:val="auto"/>
              </w:rPr>
            </w:pPr>
            <w:r>
              <w:rPr>
                <w:rFonts w:ascii="Arial" w:cs="Arial" w:eastAsia="Arial" w:hAnsi="Arial"/>
                <w:sz w:val="14"/>
                <w:szCs w:val="14"/>
                <w:color w:val="auto"/>
              </w:rPr>
              <w:t>Total</w:t>
            </w:r>
          </w:p>
        </w:tc>
        <w:tc>
          <w:tcPr>
            <w:tcW w:w="25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3.9</w:t>
            </w:r>
          </w:p>
        </w:tc>
      </w:tr>
      <w:tr>
        <w:trPr>
          <w:trHeight w:val="20"/>
        </w:trPr>
        <w:tc>
          <w:tcPr>
            <w:tcW w:w="4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93"/>
        </w:trPr>
        <w:tc>
          <w:tcPr>
            <w:tcW w:w="4580" w:type="dxa"/>
            <w:vAlign w:val="bottom"/>
          </w:tcPr>
          <w:p>
            <w:pPr>
              <w:spacing w:after="0"/>
              <w:rPr>
                <w:sz w:val="24"/>
                <w:szCs w:val="24"/>
                <w:color w:val="auto"/>
              </w:rPr>
            </w:pPr>
          </w:p>
        </w:tc>
        <w:tc>
          <w:tcPr>
            <w:tcW w:w="3440" w:type="dxa"/>
            <w:vAlign w:val="bottom"/>
            <w:gridSpan w:val="2"/>
          </w:tcPr>
          <w:p>
            <w:pPr>
              <w:jc w:val="right"/>
              <w:ind w:right="2098"/>
              <w:spacing w:after="0"/>
              <w:rPr>
                <w:sz w:val="20"/>
                <w:szCs w:val="20"/>
                <w:color w:val="auto"/>
              </w:rPr>
            </w:pPr>
            <w:r>
              <w:rPr>
                <w:rFonts w:ascii="Arial" w:cs="Arial" w:eastAsia="Arial" w:hAnsi="Arial"/>
                <w:sz w:val="14"/>
                <w:szCs w:val="14"/>
                <w:color w:val="auto"/>
              </w:rPr>
              <w:t>F-25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tax effects of temporary differences that give rise to deferred tax assets and deferred tax liabilities as of December 25, 2016 and December 27, 2015 are as follows (in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6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2016</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2015</w:t>
            </w:r>
          </w:p>
        </w:tc>
      </w:tr>
      <w:tr>
        <w:trPr>
          <w:trHeight w:val="182"/>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Allowance for doubtful accounts</w:t>
            </w: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0.4</w:t>
            </w:r>
          </w:p>
        </w:tc>
        <w:tc>
          <w:tcPr>
            <w:tcW w:w="40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0.5</w:t>
            </w:r>
          </w:p>
        </w:tc>
      </w:tr>
      <w:tr>
        <w:trPr>
          <w:trHeight w:val="22"/>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Sundry accruals</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2.2</w:t>
            </w:r>
          </w:p>
        </w:tc>
        <w:tc>
          <w:tcPr>
            <w:tcW w:w="4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Vacation accrual</w:t>
            </w:r>
          </w:p>
        </w:tc>
        <w:tc>
          <w:tcPr>
            <w:tcW w:w="3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4.7</w:t>
            </w:r>
          </w:p>
        </w:tc>
        <w:tc>
          <w:tcPr>
            <w:tcW w:w="40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4.5</w:t>
            </w:r>
          </w:p>
        </w:tc>
      </w:tr>
      <w:tr>
        <w:trPr>
          <w:trHeight w:val="22"/>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5.2</w:t>
            </w:r>
          </w:p>
        </w:tc>
        <w:tc>
          <w:tcPr>
            <w:tcW w:w="4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Payroll related accruals</w:t>
            </w:r>
          </w:p>
        </w:tc>
        <w:tc>
          <w:tcPr>
            <w:tcW w:w="3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2.9</w:t>
            </w:r>
          </w:p>
        </w:tc>
        <w:tc>
          <w:tcPr>
            <w:tcW w:w="40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3.6</w:t>
            </w:r>
          </w:p>
        </w:tc>
      </w:tr>
      <w:tr>
        <w:trPr>
          <w:trHeight w:val="22"/>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accruals</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4.5</w:t>
            </w:r>
          </w:p>
        </w:tc>
        <w:tc>
          <w:tcPr>
            <w:tcW w:w="4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3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2.0</w:t>
            </w:r>
          </w:p>
        </w:tc>
        <w:tc>
          <w:tcPr>
            <w:tcW w:w="40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2.0</w:t>
            </w:r>
          </w:p>
        </w:tc>
      </w:tr>
      <w:tr>
        <w:trPr>
          <w:trHeight w:val="22"/>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loss carryforwards</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124.8</w:t>
            </w:r>
          </w:p>
        </w:tc>
        <w:tc>
          <w:tcPr>
            <w:tcW w:w="4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98.4</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Tax credit carryforwards</w:t>
            </w:r>
          </w:p>
        </w:tc>
        <w:tc>
          <w:tcPr>
            <w:tcW w:w="3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9.4</w:t>
            </w:r>
          </w:p>
        </w:tc>
        <w:tc>
          <w:tcPr>
            <w:tcW w:w="40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9.2</w:t>
            </w:r>
          </w:p>
        </w:tc>
      </w:tr>
      <w:tr>
        <w:trPr>
          <w:trHeight w:val="22"/>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2.5</w:t>
            </w:r>
          </w:p>
        </w:tc>
        <w:tc>
          <w:tcPr>
            <w:tcW w:w="4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3.1</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Reserves and other</w:t>
            </w:r>
          </w:p>
        </w:tc>
        <w:tc>
          <w:tcPr>
            <w:tcW w:w="3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11.9</w:t>
            </w:r>
          </w:p>
        </w:tc>
        <w:tc>
          <w:tcPr>
            <w:tcW w:w="40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7.0</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86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170.5</w:t>
            </w:r>
          </w:p>
        </w:tc>
        <w:tc>
          <w:tcPr>
            <w:tcW w:w="4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140.7</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34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(133.1)</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(102.1)</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tax assets, net of valuation allowance</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37.4</w:t>
            </w:r>
          </w:p>
        </w:tc>
        <w:tc>
          <w:tcPr>
            <w:tcW w:w="4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38.6</w:t>
            </w:r>
          </w:p>
        </w:tc>
      </w:tr>
      <w:tr>
        <w:trPr>
          <w:trHeight w:val="175"/>
        </w:trPr>
        <w:tc>
          <w:tcPr>
            <w:tcW w:w="860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2"/>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Unearned revenue</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(43.0)</w:t>
            </w:r>
          </w:p>
        </w:tc>
        <w:tc>
          <w:tcPr>
            <w:tcW w:w="4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Other intangibles</w:t>
            </w:r>
          </w:p>
        </w:tc>
        <w:tc>
          <w:tcPr>
            <w:tcW w:w="34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(7.0)</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2"/>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principally due to differences in depreciation</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c>
          <w:tcPr>
            <w:tcW w:w="4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(2.7)</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tax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(54.7)</w:t>
            </w:r>
          </w:p>
        </w:tc>
        <w:tc>
          <w:tcPr>
            <w:tcW w:w="4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92"/>
        </w:trPr>
        <w:tc>
          <w:tcPr>
            <w:tcW w:w="8600" w:type="dxa"/>
            <w:vAlign w:val="bottom"/>
          </w:tcPr>
          <w:p>
            <w:pPr>
              <w:ind w:left="20"/>
              <w:spacing w:after="0"/>
              <w:rPr>
                <w:sz w:val="20"/>
                <w:szCs w:val="20"/>
                <w:color w:val="auto"/>
              </w:rPr>
            </w:pPr>
            <w:r>
              <w:rPr>
                <w:rFonts w:ascii="Arial" w:cs="Arial" w:eastAsia="Arial" w:hAnsi="Arial"/>
                <w:sz w:val="14"/>
                <w:szCs w:val="14"/>
                <w:color w:val="auto"/>
              </w:rPr>
              <w:t>Net deferred tax asset (liability)</w:t>
            </w: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(17.3)</w:t>
            </w:r>
          </w:p>
        </w:tc>
        <w:tc>
          <w:tcPr>
            <w:tcW w:w="4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0"/>
        </w:trPr>
        <w:tc>
          <w:tcPr>
            <w:tcW w:w="8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40" w:firstLine="497"/>
        <w:spacing w:after="0" w:line="309" w:lineRule="auto"/>
        <w:rPr>
          <w:sz w:val="20"/>
          <w:szCs w:val="20"/>
          <w:color w:val="auto"/>
        </w:rPr>
      </w:pPr>
      <w:r>
        <w:rPr>
          <w:rFonts w:ascii="Arial" w:cs="Arial" w:eastAsia="Arial" w:hAnsi="Arial"/>
          <w:sz w:val="12"/>
          <w:szCs w:val="12"/>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and certain foreign and separate state deferred tax assets. Management will continue to evaluate the necessity to maintain a valuation allowance against the Company’s net deferred tax assets. During fiscal 2016, the Company recorded a net increase in its federal valuation allowance of $29.6 million.</w:t>
      </w:r>
    </w:p>
    <w:p>
      <w:pPr>
        <w:spacing w:after="0" w:line="118" w:lineRule="exact"/>
        <w:rPr>
          <w:sz w:val="20"/>
          <w:szCs w:val="20"/>
          <w:color w:val="auto"/>
        </w:rPr>
      </w:pPr>
    </w:p>
    <w:p>
      <w:pPr>
        <w:ind w:right="80" w:firstLine="497"/>
        <w:spacing w:after="0" w:line="267" w:lineRule="auto"/>
        <w:rPr>
          <w:sz w:val="20"/>
          <w:szCs w:val="20"/>
          <w:color w:val="auto"/>
        </w:rPr>
      </w:pPr>
      <w:r>
        <w:rPr>
          <w:rFonts w:ascii="Arial" w:cs="Arial" w:eastAsia="Arial" w:hAnsi="Arial"/>
          <w:sz w:val="14"/>
          <w:szCs w:val="14"/>
          <w:color w:val="auto"/>
        </w:rPr>
        <w:t>At December 25, 2016, the Company had federal tax loss carryforwards of $340.8 million and various state tax loss carryforwards of $243.5 million. The federal tax loss carryforwards will begin to expire in 2020 and state tax loss carryforwards will begin to expire in 2017 in certain states.</w:t>
      </w:r>
    </w:p>
    <w:p>
      <w:pPr>
        <w:spacing w:after="0" w:line="139" w:lineRule="exact"/>
        <w:rPr>
          <w:sz w:val="20"/>
          <w:szCs w:val="20"/>
          <w:color w:val="auto"/>
        </w:rPr>
      </w:pPr>
    </w:p>
    <w:p>
      <w:pPr>
        <w:ind w:firstLine="497"/>
        <w:spacing w:after="0" w:line="270" w:lineRule="auto"/>
        <w:rPr>
          <w:sz w:val="20"/>
          <w:szCs w:val="20"/>
          <w:color w:val="auto"/>
        </w:rPr>
      </w:pPr>
      <w:r>
        <w:rPr>
          <w:rFonts w:ascii="Arial" w:cs="Arial" w:eastAsia="Arial" w:hAnsi="Arial"/>
          <w:sz w:val="13"/>
          <w:szCs w:val="13"/>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 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were limited to at least $27.0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 For the year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60"/>
          </w:cols>
          <w:pgMar w:left="220" w:top="129" w:right="21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ended December 25, 2016, there was no impact of such limitations on the income tax provision since the amount of taxable income did not exceed the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49" w:lineRule="exact"/>
        <w:rPr>
          <w:sz w:val="20"/>
          <w:szCs w:val="20"/>
          <w:color w:val="auto"/>
        </w:rPr>
      </w:pPr>
    </w:p>
    <w:p>
      <w:pPr>
        <w:ind w:right="280" w:firstLine="497"/>
        <w:spacing w:after="0" w:line="257" w:lineRule="auto"/>
        <w:rPr>
          <w:sz w:val="20"/>
          <w:szCs w:val="20"/>
          <w:color w:val="auto"/>
        </w:rPr>
      </w:pPr>
      <w:r>
        <w:rPr>
          <w:rFonts w:ascii="Arial" w:cs="Arial" w:eastAsia="Arial" w:hAnsi="Arial"/>
          <w:sz w:val="14"/>
          <w:szCs w:val="14"/>
          <w:color w:val="auto"/>
        </w:rPr>
        <w:t>The Company has not provided deferred U.S. income taxes or foreign withholding taxes of approximately $22.2 million on temporary differences relating to the outside basis in its investment in foreign subsidiaries which are essentially permanent in duration. It is the Company’s intention to permanently reinvest undistributed earnings of its foreign subsidiaries. As of December 25, 2016 the Company has $5.2 million of cash and cash equivalents available for distribution.</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Company is subject to taxation in the U.S., various state tax jurisdictions and various foreign tax jurisdictions. The Company’s tax years for 2000 and later are subject to examination by the U.S.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and state tax authorities due to the existence of NOL carryforwards. Generally, the Company’s tax years for 2002 and later are subject to examination by various foreign tax authorities.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activity related to the Company’s unrecognized tax benefits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29, 2013</w:t>
            </w: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15.8</w:t>
            </w:r>
          </w:p>
        </w:tc>
      </w:tr>
      <w:tr>
        <w:trPr>
          <w:trHeight w:val="185"/>
        </w:trPr>
        <w:tc>
          <w:tcPr>
            <w:tcW w:w="10100" w:type="dxa"/>
            <w:vAlign w:val="bottom"/>
          </w:tcPr>
          <w:p>
            <w:pPr>
              <w:ind w:left="20"/>
              <w:spacing w:after="0"/>
              <w:rPr>
                <w:sz w:val="20"/>
                <w:szCs w:val="20"/>
                <w:color w:val="auto"/>
              </w:rPr>
            </w:pPr>
            <w:r>
              <w:rPr>
                <w:rFonts w:ascii="Arial" w:cs="Arial" w:eastAsia="Arial" w:hAnsi="Arial"/>
                <w:sz w:val="14"/>
                <w:szCs w:val="14"/>
                <w:color w:val="auto"/>
              </w:rPr>
              <w:t>Increases related to current year tax positions</w:t>
            </w:r>
          </w:p>
        </w:tc>
        <w:tc>
          <w:tcPr>
            <w:tcW w:w="540" w:type="dxa"/>
            <w:vAlign w:val="bottom"/>
          </w:tcPr>
          <w:p>
            <w:pPr>
              <w:spacing w:after="0"/>
              <w:rPr>
                <w:sz w:val="16"/>
                <w:szCs w:val="16"/>
                <w:color w:val="auto"/>
              </w:rPr>
            </w:pP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0.8</w:t>
            </w:r>
          </w:p>
        </w:tc>
      </w:tr>
      <w:tr>
        <w:trPr>
          <w:trHeight w:val="22"/>
        </w:trPr>
        <w:tc>
          <w:tcPr>
            <w:tcW w:w="10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7"/>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Expiration of applicable statutes of limitations</w:t>
            </w: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75"/>
        </w:trPr>
        <w:tc>
          <w:tcPr>
            <w:tcW w:w="10100" w:type="dxa"/>
            <w:vAlign w:val="bottom"/>
          </w:tcPr>
          <w:p>
            <w:pPr>
              <w:ind w:left="20"/>
              <w:spacing w:after="0"/>
              <w:rPr>
                <w:sz w:val="20"/>
                <w:szCs w:val="20"/>
                <w:color w:val="auto"/>
              </w:rPr>
            </w:pPr>
            <w:r>
              <w:rPr>
                <w:rFonts w:ascii="Arial" w:cs="Arial" w:eastAsia="Arial" w:hAnsi="Arial"/>
                <w:sz w:val="14"/>
                <w:szCs w:val="14"/>
                <w:color w:val="auto"/>
              </w:rPr>
              <w:t>Balance as of December 28, 2014</w:t>
            </w:r>
          </w:p>
        </w:tc>
        <w:tc>
          <w:tcPr>
            <w:tcW w:w="5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16.4</w:t>
            </w:r>
          </w:p>
        </w:tc>
      </w:tr>
      <w:tr>
        <w:trPr>
          <w:trHeight w:val="22"/>
        </w:trPr>
        <w:tc>
          <w:tcPr>
            <w:tcW w:w="10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7"/>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Increases related to prior periods (acquired entities)</w:t>
            </w:r>
          </w:p>
        </w:tc>
        <w:tc>
          <w:tcPr>
            <w:tcW w:w="5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0.4</w:t>
            </w:r>
          </w:p>
        </w:tc>
      </w:tr>
      <w:tr>
        <w:trPr>
          <w:trHeight w:val="185"/>
        </w:trPr>
        <w:tc>
          <w:tcPr>
            <w:tcW w:w="10100" w:type="dxa"/>
            <w:vAlign w:val="bottom"/>
          </w:tcPr>
          <w:p>
            <w:pPr>
              <w:ind w:left="20"/>
              <w:spacing w:after="0"/>
              <w:rPr>
                <w:sz w:val="20"/>
                <w:szCs w:val="20"/>
                <w:color w:val="auto"/>
              </w:rPr>
            </w:pPr>
            <w:r>
              <w:rPr>
                <w:rFonts w:ascii="Arial" w:cs="Arial" w:eastAsia="Arial" w:hAnsi="Arial"/>
                <w:sz w:val="14"/>
                <w:szCs w:val="14"/>
                <w:color w:val="auto"/>
              </w:rPr>
              <w:t>Increases related to current year tax positions</w:t>
            </w:r>
          </w:p>
        </w:tc>
        <w:tc>
          <w:tcPr>
            <w:tcW w:w="540" w:type="dxa"/>
            <w:vAlign w:val="bottom"/>
          </w:tcPr>
          <w:p>
            <w:pPr>
              <w:spacing w:after="0"/>
              <w:rPr>
                <w:sz w:val="16"/>
                <w:szCs w:val="16"/>
                <w:color w:val="auto"/>
              </w:rPr>
            </w:pP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0.9</w:t>
            </w:r>
          </w:p>
        </w:tc>
      </w:tr>
      <w:tr>
        <w:trPr>
          <w:trHeight w:val="22"/>
        </w:trPr>
        <w:tc>
          <w:tcPr>
            <w:tcW w:w="10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7"/>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Decreases related to disposition</w:t>
            </w: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75"/>
        </w:trPr>
        <w:tc>
          <w:tcPr>
            <w:tcW w:w="10100" w:type="dxa"/>
            <w:vAlign w:val="bottom"/>
          </w:tcPr>
          <w:p>
            <w:pPr>
              <w:ind w:left="20"/>
              <w:spacing w:after="0"/>
              <w:rPr>
                <w:sz w:val="20"/>
                <w:szCs w:val="20"/>
                <w:color w:val="auto"/>
              </w:rPr>
            </w:pPr>
            <w:r>
              <w:rPr>
                <w:rFonts w:ascii="Arial" w:cs="Arial" w:eastAsia="Arial" w:hAnsi="Arial"/>
                <w:sz w:val="14"/>
                <w:szCs w:val="14"/>
                <w:color w:val="auto"/>
              </w:rPr>
              <w:t>Balance as of December 27, 2015</w:t>
            </w:r>
          </w:p>
        </w:tc>
        <w:tc>
          <w:tcPr>
            <w:tcW w:w="5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17.2</w:t>
            </w:r>
          </w:p>
        </w:tc>
      </w:tr>
      <w:tr>
        <w:trPr>
          <w:trHeight w:val="22"/>
        </w:trPr>
        <w:tc>
          <w:tcPr>
            <w:tcW w:w="10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7"/>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Increases related to prior periods</w:t>
            </w:r>
          </w:p>
        </w:tc>
        <w:tc>
          <w:tcPr>
            <w:tcW w:w="5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r>
      <w:tr>
        <w:trPr>
          <w:trHeight w:val="185"/>
        </w:trPr>
        <w:tc>
          <w:tcPr>
            <w:tcW w:w="10100" w:type="dxa"/>
            <w:vAlign w:val="bottom"/>
          </w:tcPr>
          <w:p>
            <w:pPr>
              <w:ind w:left="20"/>
              <w:spacing w:after="0"/>
              <w:rPr>
                <w:sz w:val="20"/>
                <w:szCs w:val="20"/>
                <w:color w:val="auto"/>
              </w:rPr>
            </w:pPr>
            <w:r>
              <w:rPr>
                <w:rFonts w:ascii="Arial" w:cs="Arial" w:eastAsia="Arial" w:hAnsi="Arial"/>
                <w:sz w:val="14"/>
                <w:szCs w:val="14"/>
                <w:color w:val="auto"/>
              </w:rPr>
              <w:t>Increases related to current year tax positions</w:t>
            </w:r>
          </w:p>
        </w:tc>
        <w:tc>
          <w:tcPr>
            <w:tcW w:w="540" w:type="dxa"/>
            <w:vAlign w:val="bottom"/>
          </w:tcPr>
          <w:p>
            <w:pPr>
              <w:spacing w:after="0"/>
              <w:rPr>
                <w:sz w:val="16"/>
                <w:szCs w:val="16"/>
                <w:color w:val="auto"/>
              </w:rPr>
            </w:pP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0.2</w:t>
            </w:r>
          </w:p>
        </w:tc>
      </w:tr>
      <w:tr>
        <w:trPr>
          <w:trHeight w:val="22"/>
        </w:trPr>
        <w:tc>
          <w:tcPr>
            <w:tcW w:w="10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7"/>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Expiration of applicable statutes of limitations</w:t>
            </w: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10100" w:type="dxa"/>
            <w:vAlign w:val="bottom"/>
          </w:tcPr>
          <w:p>
            <w:pPr>
              <w:ind w:left="20"/>
              <w:spacing w:after="0"/>
              <w:rPr>
                <w:sz w:val="20"/>
                <w:szCs w:val="20"/>
                <w:color w:val="auto"/>
              </w:rPr>
            </w:pPr>
            <w:r>
              <w:rPr>
                <w:rFonts w:ascii="Arial" w:cs="Arial" w:eastAsia="Arial" w:hAnsi="Arial"/>
                <w:sz w:val="14"/>
                <w:szCs w:val="14"/>
                <w:color w:val="auto"/>
              </w:rPr>
              <w:t>Balance as of December 25, 2016</w:t>
            </w:r>
          </w:p>
        </w:tc>
        <w:tc>
          <w:tcPr>
            <w:tcW w:w="5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18.6</w:t>
            </w:r>
          </w:p>
        </w:tc>
      </w:tr>
      <w:tr>
        <w:trPr>
          <w:trHeight w:val="20"/>
        </w:trPr>
        <w:tc>
          <w:tcPr>
            <w:tcW w:w="10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60" w:firstLine="497"/>
        <w:spacing w:after="0" w:line="257" w:lineRule="auto"/>
        <w:rPr>
          <w:sz w:val="20"/>
          <w:szCs w:val="20"/>
          <w:color w:val="auto"/>
        </w:rPr>
      </w:pPr>
      <w:r>
        <w:rPr>
          <w:rFonts w:ascii="Arial" w:cs="Arial" w:eastAsia="Arial" w:hAnsi="Arial"/>
          <w:sz w:val="14"/>
          <w:szCs w:val="14"/>
          <w:color w:val="auto"/>
        </w:rPr>
        <w:t>Included in the balance of unrecognized tax benefits at December 25, 2016, are $18.6 million of tax benefits that, if recognized, would affect the effective tax rate. Included in this amount is $14.8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45" w:lineRule="exact"/>
        <w:rPr>
          <w:sz w:val="20"/>
          <w:szCs w:val="20"/>
          <w:color w:val="auto"/>
        </w:rPr>
      </w:pPr>
    </w:p>
    <w:p>
      <w:pPr>
        <w:ind w:right="60" w:firstLine="497"/>
        <w:spacing w:after="0" w:line="279" w:lineRule="auto"/>
        <w:rPr>
          <w:sz w:val="20"/>
          <w:szCs w:val="20"/>
          <w:color w:val="auto"/>
        </w:rPr>
      </w:pPr>
      <w:r>
        <w:rPr>
          <w:rFonts w:ascii="Arial" w:cs="Arial" w:eastAsia="Arial" w:hAnsi="Arial"/>
          <w:sz w:val="13"/>
          <w:szCs w:val="13"/>
          <w:color w:val="auto"/>
        </w:rPr>
        <w:t>The Company recognizes interest and penalties related to unrecognized tax benefits in its provision for income taxes. For the years ended December 25, 2016, December 27, 2015 and December 28, 2014, the Company recorded $0.9 million, $0.2 million, and $0.2 million, respectively, in interest or penalties. These amounts are netted by a benefit for interest and penalties related to the reversal of prior positions as noted above of $0.0 million, $0.1 million, and $0.1 million for the years ended December 25, 2016, December 27, 2015, and December 28, 2014, respectively. As of December 25, 2016, December 27, 2015, and December 28, 2014, the Company had recorded total interest and penalties of $1.9 million, $1.0 million, and $0.8 million, respectively.</w:t>
      </w:r>
    </w:p>
    <w:p>
      <w:pPr>
        <w:spacing w:after="0" w:line="133" w:lineRule="exact"/>
        <w:rPr>
          <w:sz w:val="20"/>
          <w:szCs w:val="20"/>
          <w:color w:val="auto"/>
        </w:rPr>
      </w:pPr>
    </w:p>
    <w:p>
      <w:pPr>
        <w:ind w:right="40" w:firstLine="497"/>
        <w:spacing w:after="0" w:line="267" w:lineRule="auto"/>
        <w:rPr>
          <w:sz w:val="20"/>
          <w:szCs w:val="20"/>
          <w:color w:val="auto"/>
        </w:rPr>
      </w:pPr>
      <w:r>
        <w:rPr>
          <w:rFonts w:ascii="Arial" w:cs="Arial" w:eastAsia="Arial" w:hAnsi="Arial"/>
          <w:sz w:val="14"/>
          <w:szCs w:val="14"/>
          <w:color w:val="auto"/>
        </w:rPr>
        <w:t>The Company believes that it is reasonably possible that as much as $1.1 million of the liabilities for uncertain tax positions will expire within 12 months of December 25, 2016 due to the expiration of various applicable statues of limitations.</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8.</w:t>
      </w:r>
      <w:r>
        <w:rPr>
          <w:sz w:val="20"/>
          <w:szCs w:val="20"/>
          <w:color w:val="auto"/>
        </w:rPr>
        <w:tab/>
      </w:r>
      <w:r>
        <w:rPr>
          <w:rFonts w:ascii="Arial" w:cs="Arial" w:eastAsia="Arial" w:hAnsi="Arial"/>
          <w:sz w:val="12"/>
          <w:szCs w:val="12"/>
          <w:b w:val="1"/>
          <w:bCs w:val="1"/>
          <w:color w:val="auto"/>
        </w:rPr>
        <w:t>Discontinued Operations</w:t>
      </w:r>
    </w:p>
    <w:p>
      <w:pPr>
        <w:spacing w:after="0" w:line="174" w:lineRule="exact"/>
        <w:rPr>
          <w:sz w:val="20"/>
          <w:szCs w:val="20"/>
          <w:color w:val="auto"/>
        </w:rPr>
      </w:pPr>
    </w:p>
    <w:p>
      <w:pPr>
        <w:ind w:right="100" w:firstLine="497"/>
        <w:spacing w:after="0" w:line="279" w:lineRule="auto"/>
        <w:rPr>
          <w:sz w:val="20"/>
          <w:szCs w:val="20"/>
          <w:color w:val="auto"/>
        </w:rPr>
      </w:pPr>
      <w:r>
        <w:rPr>
          <w:rFonts w:ascii="Arial" w:cs="Arial" w:eastAsia="Arial" w:hAnsi="Arial"/>
          <w:sz w:val="13"/>
          <w:szCs w:val="13"/>
          <w:color w:val="auto"/>
        </w:rPr>
        <w:t>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Industries, Inc. (“Herley”) and certain of Herley’s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60"/>
          </w:cols>
          <w:pgMar w:left="220" w:top="129" w:right="21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40"/>
        <w:spacing w:after="0" w:line="271" w:lineRule="auto"/>
        <w:rPr>
          <w:sz w:val="20"/>
          <w:szCs w:val="20"/>
          <w:color w:val="auto"/>
        </w:rPr>
      </w:pPr>
      <w:r>
        <w:rPr>
          <w:rFonts w:ascii="Arial" w:cs="Arial" w:eastAsia="Arial" w:hAnsi="Arial"/>
          <w:sz w:val="13"/>
          <w:szCs w:val="13"/>
          <w:color w:val="auto"/>
        </w:rPr>
        <w:t xml:space="preserve">subsidiaries, including Herley-CTI, Inc., EW Simulation Technology, Ltd. and Stapor Research, Inc. (collectively, the “Herley Entities”), for $260.0 million in cash plus $5.0 million for taxes incurred as part of the Transaction, less a $2.0 million escrow to satisfy any purchase price adjustments, and an estimated working capital adjustment of $8.3 million. The Purchase Agreement also contains certain non-compete and indemnification provisions. Under the Purchase Agreement, the Company entered into an agreement to indemnify the Buyer for any pre-acquisition tax liabilities. The Company also agreed to indemnify Ultra for pre-existing environmental conditions for a period of five years from the closing date and with a maximum indemnification payment of $34.0 million. The Company does not believe payments will be required under the indemnification provision, and the assessment of the fair value is immaterial. Under the terms of the Purchase Agreement, a joint 338(h)(10) election has been made for income tax purposes, providing a “step up” in tax basis to Ultra. The Company incurred approximately $11.5 million in transaction-related costs. The gain on sale of $80.8 million is subject to changes in the indemnification obligations. In accordance with </w:t>
      </w:r>
      <w:r>
        <w:rPr>
          <w:rFonts w:ascii="Arial" w:cs="Arial" w:eastAsia="Arial" w:hAnsi="Arial"/>
          <w:sz w:val="13"/>
          <w:szCs w:val="13"/>
          <w:i w:val="1"/>
          <w:iCs w:val="1"/>
          <w:color w:val="auto"/>
        </w:rPr>
        <w:t>ASC 360-10-45-9, Property, Plant, and Equipment (Topic 360) and ASC 205-20-45-3 Presentation of Financial Statements (Topic 205),</w:t>
      </w:r>
      <w:r>
        <w:rPr>
          <w:rFonts w:ascii="Arial" w:cs="Arial" w:eastAsia="Arial" w:hAnsi="Arial"/>
          <w:sz w:val="13"/>
          <w:szCs w:val="13"/>
          <w:color w:val="auto"/>
        </w:rPr>
        <w:t xml:space="preserve"> the Herley Entities were classified as discontinued operations in the accompanying consolidated financial statements for all periods presented.</w:t>
      </w:r>
    </w:p>
    <w:p>
      <w:pPr>
        <w:spacing w:after="0" w:line="141" w:lineRule="exact"/>
        <w:rPr>
          <w:sz w:val="20"/>
          <w:szCs w:val="20"/>
          <w:color w:val="auto"/>
        </w:rPr>
      </w:pPr>
    </w:p>
    <w:p>
      <w:pPr>
        <w:ind w:right="160" w:firstLine="497"/>
        <w:spacing w:after="0" w:line="253" w:lineRule="auto"/>
        <w:rPr>
          <w:sz w:val="20"/>
          <w:szCs w:val="20"/>
          <w:color w:val="auto"/>
        </w:rPr>
      </w:pPr>
      <w:r>
        <w:rPr>
          <w:rFonts w:ascii="Arial" w:cs="Arial" w:eastAsia="Arial" w:hAnsi="Arial"/>
          <w:sz w:val="14"/>
          <w:szCs w:val="14"/>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the Company and will continue their current operations as wholly owned subsidiaries of the Company.</w:t>
      </w:r>
    </w:p>
    <w:p>
      <w:pPr>
        <w:spacing w:after="0" w:line="149" w:lineRule="exact"/>
        <w:rPr>
          <w:sz w:val="20"/>
          <w:szCs w:val="20"/>
          <w:color w:val="auto"/>
        </w:rPr>
      </w:pPr>
    </w:p>
    <w:p>
      <w:pPr>
        <w:ind w:right="20" w:firstLine="497"/>
        <w:spacing w:after="0" w:line="253" w:lineRule="auto"/>
        <w:rPr>
          <w:sz w:val="20"/>
          <w:szCs w:val="20"/>
          <w:color w:val="auto"/>
        </w:rPr>
      </w:pPr>
      <w:r>
        <w:rPr>
          <w:rFonts w:ascii="Arial" w:cs="Arial" w:eastAsia="Arial" w:hAnsi="Arial"/>
          <w:sz w:val="14"/>
          <w:szCs w:val="14"/>
          <w:color w:val="auto"/>
        </w:rPr>
        <w:t>In November 2015, the Company and Ultra settled the working capital adjustment at $8.1 million, and the net cash position at closing, resulting in a net payment to the Company of $2.7 million. This represents the payment from escrow to the Company of $2.0 million, as well as the payment from Ultra of $0.7 million, reflecting the difference in the estimated working capital and actual working capital and the net cash position at the close of the Transaction. In December 2015, the Company submitted to Ultra for reimbursement the maximum $5.0 million for taxes incurred as part of the Transaction, which was reimbursed in January 2016.</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presents the results of discontinued operations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 ended December 25,</w:t>
            </w:r>
          </w:p>
        </w:tc>
        <w:tc>
          <w:tcPr>
            <w:tcW w:w="1480" w:type="dxa"/>
            <w:vAlign w:val="bottom"/>
            <w:gridSpan w:val="3"/>
          </w:tcPr>
          <w:p>
            <w:pPr>
              <w:ind w:left="80"/>
              <w:spacing w:after="0"/>
              <w:rPr>
                <w:sz w:val="20"/>
                <w:szCs w:val="20"/>
                <w:color w:val="auto"/>
              </w:rPr>
            </w:pPr>
            <w:r>
              <w:rPr>
                <w:rFonts w:ascii="Arial" w:cs="Arial" w:eastAsia="Arial" w:hAnsi="Arial"/>
                <w:sz w:val="11"/>
                <w:szCs w:val="11"/>
                <w:b w:val="1"/>
                <w:bCs w:val="1"/>
                <w:color w:val="auto"/>
              </w:rPr>
              <w:t>Year ended December 27,</w:t>
            </w:r>
          </w:p>
        </w:tc>
        <w:tc>
          <w:tcPr>
            <w:tcW w:w="1360" w:type="dxa"/>
            <w:vAlign w:val="bottom"/>
            <w:gridSpan w:val="2"/>
          </w:tcPr>
          <w:p>
            <w:pPr>
              <w:jc w:val="right"/>
              <w:ind w:right="12"/>
              <w:spacing w:after="0"/>
              <w:rPr>
                <w:sz w:val="20"/>
                <w:szCs w:val="20"/>
                <w:color w:val="auto"/>
              </w:rPr>
            </w:pPr>
            <w:r>
              <w:rPr>
                <w:rFonts w:ascii="Arial" w:cs="Arial" w:eastAsia="Arial" w:hAnsi="Arial"/>
                <w:sz w:val="11"/>
                <w:szCs w:val="11"/>
                <w:b w:val="1"/>
                <w:bCs w:val="1"/>
                <w:color w:val="auto"/>
                <w:w w:val="94"/>
              </w:rPr>
              <w:t>Year ended December 28,</w:t>
            </w:r>
          </w:p>
        </w:tc>
      </w:tr>
      <w:tr>
        <w:trPr>
          <w:trHeight w:val="147"/>
        </w:trPr>
        <w:tc>
          <w:tcPr>
            <w:tcW w:w="7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2014</w:t>
            </w:r>
          </w:p>
        </w:tc>
      </w:tr>
      <w:tr>
        <w:trPr>
          <w:trHeight w:val="18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59.7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108.9</w:t>
            </w:r>
          </w:p>
        </w:tc>
      </w:tr>
      <w:tr>
        <w:trPr>
          <w:trHeight w:val="185"/>
        </w:trPr>
        <w:tc>
          <w:tcPr>
            <w:tcW w:w="71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70.1</w:t>
            </w:r>
          </w:p>
        </w:tc>
      </w:tr>
      <w:tr>
        <w:trPr>
          <w:trHeight w:val="22"/>
        </w:trPr>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24.1</w:t>
            </w:r>
          </w:p>
        </w:tc>
      </w:tr>
      <w:tr>
        <w:trPr>
          <w:trHeight w:val="185"/>
        </w:trPr>
        <w:tc>
          <w:tcPr>
            <w:tcW w:w="712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15.1</w:t>
            </w:r>
          </w:p>
        </w:tc>
      </w:tr>
      <w:tr>
        <w:trPr>
          <w:trHeight w:val="22"/>
        </w:trPr>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net expense items that are not major</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0.7</w:t>
            </w:r>
          </w:p>
        </w:tc>
      </w:tr>
      <w:tr>
        <w:trPr>
          <w:trHeight w:val="175"/>
        </w:trPr>
        <w:tc>
          <w:tcPr>
            <w:tcW w:w="7120" w:type="dxa"/>
            <w:vAlign w:val="bottom"/>
          </w:tcPr>
          <w:p>
            <w:pPr>
              <w:ind w:left="20"/>
              <w:spacing w:after="0"/>
              <w:rPr>
                <w:sz w:val="20"/>
                <w:szCs w:val="20"/>
                <w:color w:val="auto"/>
              </w:rPr>
            </w:pPr>
            <w:r>
              <w:rPr>
                <w:rFonts w:ascii="Arial" w:cs="Arial" w:eastAsia="Arial" w:hAnsi="Arial"/>
                <w:sz w:val="14"/>
                <w:szCs w:val="14"/>
                <w:color w:val="auto"/>
              </w:rPr>
              <w:t>Loss from discontinued operations before income taxes</w:t>
            </w:r>
          </w:p>
        </w:tc>
        <w:tc>
          <w:tcPr>
            <w:tcW w:w="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
        </w:trPr>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disposal of discontinued operations before income taxes</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75"/>
        </w:trPr>
        <w:tc>
          <w:tcPr>
            <w:tcW w:w="7120" w:type="dxa"/>
            <w:vAlign w:val="bottom"/>
          </w:tcPr>
          <w:p>
            <w:pPr>
              <w:ind w:left="20"/>
              <w:spacing w:after="0"/>
              <w:rPr>
                <w:sz w:val="20"/>
                <w:szCs w:val="20"/>
                <w:color w:val="auto"/>
              </w:rPr>
            </w:pPr>
            <w:r>
              <w:rPr>
                <w:rFonts w:ascii="Arial" w:cs="Arial" w:eastAsia="Arial" w:hAnsi="Arial"/>
                <w:sz w:val="14"/>
                <w:szCs w:val="14"/>
                <w:color w:val="auto"/>
              </w:rPr>
              <w:t>Total gain (loss) of discontinued operations before income taxes</w:t>
            </w:r>
          </w:p>
        </w:tc>
        <w:tc>
          <w:tcPr>
            <w:tcW w:w="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
        </w:trPr>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r>
      <w:tr>
        <w:trPr>
          <w:trHeight w:val="192"/>
        </w:trPr>
        <w:tc>
          <w:tcPr>
            <w:tcW w:w="7120" w:type="dxa"/>
            <w:vAlign w:val="bottom"/>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7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results for the year ended December 27, 2015 are through the date of disposal of August 21, 2015.</w:t>
      </w:r>
    </w:p>
    <w:p>
      <w:pPr>
        <w:spacing w:after="0" w:line="170" w:lineRule="exact"/>
        <w:rPr>
          <w:sz w:val="20"/>
          <w:szCs w:val="20"/>
          <w:color w:val="auto"/>
        </w:rPr>
      </w:pPr>
    </w:p>
    <w:p>
      <w:pPr>
        <w:ind w:right="140" w:firstLine="497"/>
        <w:spacing w:after="0" w:line="306" w:lineRule="auto"/>
        <w:rPr>
          <w:sz w:val="20"/>
          <w:szCs w:val="20"/>
          <w:color w:val="auto"/>
        </w:rPr>
      </w:pPr>
      <w:r>
        <w:rPr>
          <w:rFonts w:ascii="Arial" w:cs="Arial" w:eastAsia="Arial" w:hAnsi="Arial"/>
          <w:sz w:val="13"/>
          <w:szCs w:val="13"/>
          <w:color w:val="auto"/>
        </w:rPr>
        <w:t>There was no depreciation and amortization expense included in selling, general and administrative expenses for the year ended December 25, 2016, but there was $4.2 million, and $6.7 million of depreciation and amortization expense included in selling, general and administrative expenses for the years ended December 27, 2015, and December 28, 2014, respectively.</w:t>
      </w:r>
    </w:p>
    <w:p>
      <w:pPr>
        <w:spacing w:after="0" w:line="116" w:lineRule="exact"/>
        <w:rPr>
          <w:sz w:val="20"/>
          <w:szCs w:val="20"/>
          <w:color w:val="auto"/>
        </w:rPr>
      </w:pPr>
    </w:p>
    <w:p>
      <w:pPr>
        <w:ind w:right="260" w:firstLine="497"/>
        <w:spacing w:after="0" w:line="257" w:lineRule="auto"/>
        <w:rPr>
          <w:sz w:val="20"/>
          <w:szCs w:val="20"/>
          <w:color w:val="auto"/>
        </w:rPr>
      </w:pPr>
      <w:r>
        <w:rPr>
          <w:rFonts w:ascii="Arial" w:cs="Arial" w:eastAsia="Arial" w:hAnsi="Arial"/>
          <w:sz w:val="14"/>
          <w:szCs w:val="14"/>
          <w:color w:val="auto"/>
        </w:rPr>
        <w:t>Interest expense is included based on an allocation consistent with the redemption of $175.0 million of the Notes and the repayment of $41.0 million in outstanding borrowings on the Credit Agreement that was repaid upon the completion of the sale of the Herley Entities in accordance with the terms and conditions of the Indenture and the Credit Agreement. Refer to Note 4 of these Notes to Consolidated Financial Statements for further discussion.</w:t>
      </w:r>
    </w:p>
    <w:p>
      <w:pPr>
        <w:spacing w:after="0" w:line="145" w:lineRule="exact"/>
        <w:rPr>
          <w:sz w:val="20"/>
          <w:szCs w:val="20"/>
          <w:color w:val="auto"/>
        </w:rPr>
      </w:pPr>
    </w:p>
    <w:p>
      <w:pPr>
        <w:ind w:right="200" w:firstLine="497"/>
        <w:spacing w:after="0" w:line="267" w:lineRule="auto"/>
        <w:rPr>
          <w:sz w:val="20"/>
          <w:szCs w:val="20"/>
          <w:color w:val="auto"/>
        </w:rPr>
      </w:pPr>
      <w:r>
        <w:rPr>
          <w:rFonts w:ascii="Arial" w:cs="Arial" w:eastAsia="Arial" w:hAnsi="Arial"/>
          <w:sz w:val="14"/>
          <w:szCs w:val="14"/>
          <w:color w:val="auto"/>
        </w:rPr>
        <w:t>Intra-period tax allocation rules require the Company to allocate its provision for income taxes between continuing operations and other categories of earnings, such as discontinued operations. In periods in which there is a year-to-date pre-tax</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60"/>
          </w:cols>
          <w:pgMar w:left="220" w:top="129" w:right="21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both"/>
        <w:ind w:right="60"/>
        <w:spacing w:after="0" w:line="286" w:lineRule="auto"/>
        <w:rPr>
          <w:sz w:val="20"/>
          <w:szCs w:val="20"/>
          <w:color w:val="auto"/>
        </w:rPr>
      </w:pPr>
      <w:r>
        <w:rPr>
          <w:rFonts w:ascii="Arial" w:cs="Arial" w:eastAsia="Arial" w:hAnsi="Arial"/>
          <w:sz w:val="13"/>
          <w:szCs w:val="13"/>
          <w:color w:val="auto"/>
        </w:rPr>
        <w:t>loss from continuing operations and pre-tax income in other categories of earnings, such as discontinued operations, the Company must allocate the tax provision to the other categories of earnings. A related tax benefit is then recorded in continuing operations. Due to the intra-period allocation rules, the Company recorded income tax expense of $22.5 million, and $1.2 million in discontinued operations for the years ended December 27, 2015, and December 28, 2014, respectively. There was no income tax recorded in discontinued operations for the year ended December 25, 2016.</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is a summary of the assets and liabilities of discontinued operations in the accompanying Consolidated Balance Sheets as of December 25, 2016 and December 27, 2015 (in millions):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14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25, 2016</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December 27, 2015</w:t>
            </w:r>
          </w:p>
        </w:tc>
      </w:tr>
      <w:tr>
        <w:trPr>
          <w:trHeight w:val="182"/>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compensation</w:t>
            </w:r>
          </w:p>
        </w:tc>
        <w:tc>
          <w:tcPr>
            <w:tcW w:w="130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2"/>
              </w:rPr>
              <w:t>0.6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0.9</w:t>
            </w:r>
          </w:p>
        </w:tc>
      </w:tr>
      <w:tr>
        <w:trPr>
          <w:trHeight w:val="185"/>
        </w:trPr>
        <w:tc>
          <w:tcPr>
            <w:tcW w:w="814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1300" w:type="dxa"/>
            <w:vAlign w:val="bottom"/>
          </w:tcPr>
          <w:p>
            <w:pPr>
              <w:spacing w:after="0"/>
              <w:rPr>
                <w:sz w:val="16"/>
                <w:szCs w:val="16"/>
                <w:color w:val="auto"/>
              </w:rPr>
            </w:pPr>
          </w:p>
        </w:tc>
        <w:tc>
          <w:tcPr>
            <w:tcW w:w="320" w:type="dxa"/>
            <w:vAlign w:val="bottom"/>
          </w:tcPr>
          <w:p>
            <w:pPr>
              <w:jc w:val="right"/>
              <w:ind w:right="51"/>
              <w:spacing w:after="0"/>
              <w:rPr>
                <w:sz w:val="20"/>
                <w:szCs w:val="20"/>
                <w:color w:val="auto"/>
              </w:rPr>
            </w:pPr>
            <w:r>
              <w:rPr>
                <w:rFonts w:ascii="Arial" w:cs="Arial" w:eastAsia="Arial" w:hAnsi="Arial"/>
                <w:sz w:val="14"/>
                <w:szCs w:val="14"/>
                <w:color w:val="auto"/>
                <w:w w:val="92"/>
              </w:rPr>
              <w:t>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34"/>
              <w:spacing w:after="0"/>
              <w:rPr>
                <w:sz w:val="20"/>
                <w:szCs w:val="20"/>
                <w:color w:val="auto"/>
              </w:rPr>
            </w:pPr>
            <w:r>
              <w:rPr>
                <w:rFonts w:ascii="Arial" w:cs="Arial" w:eastAsia="Arial" w:hAnsi="Arial"/>
                <w:sz w:val="14"/>
                <w:szCs w:val="14"/>
                <w:color w:val="auto"/>
              </w:rPr>
              <w:t>1.0</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 of discontinued operations</w:t>
            </w:r>
          </w:p>
        </w:tc>
        <w:tc>
          <w:tcPr>
            <w:tcW w:w="1300" w:type="dxa"/>
            <w:vAlign w:val="bottom"/>
            <w:tcBorders>
              <w:bottom w:val="single" w:sz="8" w:color="auto"/>
            </w:tcBorders>
            <w:shd w:val="clear" w:color="auto" w:fill="CCEEFF"/>
          </w:tcPr>
          <w:p>
            <w:pPr>
              <w:jc w:val="right"/>
              <w:ind w:right="1134"/>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2"/>
              </w:rPr>
              <w:t>1.6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1.9</w:t>
            </w:r>
          </w:p>
        </w:tc>
      </w:tr>
      <w:tr>
        <w:trPr>
          <w:trHeight w:val="20"/>
        </w:trPr>
        <w:tc>
          <w:tcPr>
            <w:tcW w:w="8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8"/>
        </w:trPr>
        <w:tc>
          <w:tcPr>
            <w:tcW w:w="8140" w:type="dxa"/>
            <w:vAlign w:val="bottom"/>
          </w:tcPr>
          <w:p>
            <w:pPr>
              <w:ind w:left="20"/>
              <w:spacing w:after="0"/>
              <w:rPr>
                <w:sz w:val="20"/>
                <w:szCs w:val="20"/>
                <w:color w:val="auto"/>
              </w:rPr>
            </w:pPr>
            <w:r>
              <w:rPr>
                <w:rFonts w:ascii="Arial" w:cs="Arial" w:eastAsia="Arial" w:hAnsi="Arial"/>
                <w:sz w:val="14"/>
                <w:szCs w:val="14"/>
                <w:color w:val="auto"/>
              </w:rPr>
              <w:t>Other long-term liabilities of discontinued operations</w:t>
            </w:r>
          </w:p>
        </w:tc>
        <w:tc>
          <w:tcPr>
            <w:tcW w:w="1300" w:type="dxa"/>
            <w:vAlign w:val="bottom"/>
            <w:tcBorders>
              <w:bottom w:val="single" w:sz="8" w:color="auto"/>
            </w:tcBorders>
          </w:tcPr>
          <w:p>
            <w:pPr>
              <w:jc w:val="right"/>
              <w:ind w:right="1134"/>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2"/>
              </w:rPr>
              <w:t>3.7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4.1</w:t>
            </w:r>
          </w:p>
        </w:tc>
      </w:tr>
      <w:tr>
        <w:trPr>
          <w:trHeight w:val="20"/>
        </w:trPr>
        <w:tc>
          <w:tcPr>
            <w:tcW w:w="8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9.</w:t>
      </w:r>
      <w:r>
        <w:rPr>
          <w:sz w:val="20"/>
          <w:szCs w:val="20"/>
          <w:color w:val="auto"/>
        </w:rPr>
        <w:tab/>
      </w:r>
      <w:r>
        <w:rPr>
          <w:rFonts w:ascii="Arial" w:cs="Arial" w:eastAsia="Arial" w:hAnsi="Arial"/>
          <w:sz w:val="12"/>
          <w:szCs w:val="12"/>
          <w:b w:val="1"/>
          <w:bCs w:val="1"/>
          <w:color w:val="auto"/>
        </w:rPr>
        <w:t>Fair Value Measurement</w:t>
      </w:r>
    </w:p>
    <w:p>
      <w:pPr>
        <w:spacing w:after="0" w:line="174"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 xml:space="preserve">The Company adopted FASB ASC </w:t>
      </w:r>
      <w:r>
        <w:rPr>
          <w:rFonts w:ascii="Arial" w:cs="Arial" w:eastAsia="Arial" w:hAnsi="Arial"/>
          <w:sz w:val="14"/>
          <w:szCs w:val="14"/>
          <w:i w:val="1"/>
          <w:iCs w:val="1"/>
          <w:color w:val="auto"/>
        </w:rPr>
        <w:t>Topic 820, Fair Value Measurement (“Topic 820”)</w:t>
      </w:r>
      <w:r>
        <w:rPr>
          <w:rFonts w:ascii="Arial" w:cs="Arial" w:eastAsia="Arial" w:hAnsi="Arial"/>
          <w:sz w:val="14"/>
          <w:szCs w:val="14"/>
          <w:color w:val="auto"/>
        </w:rPr>
        <w:t xml:space="preserve"> with the exception of the application of the statement to non-recurring nonfinancial assets and nonfinancial liabilities. Non-recurring nonfinancial assets and nonfinancial liabilities for which it has not applied the provisions of </w:t>
      </w:r>
      <w:r>
        <w:rPr>
          <w:rFonts w:ascii="Arial" w:cs="Arial" w:eastAsia="Arial" w:hAnsi="Arial"/>
          <w:sz w:val="14"/>
          <w:szCs w:val="14"/>
          <w:i w:val="1"/>
          <w:iCs w:val="1"/>
          <w:color w:val="auto"/>
        </w:rPr>
        <w:t>Topic 820</w:t>
      </w:r>
      <w:r>
        <w:rPr>
          <w:rFonts w:ascii="Arial" w:cs="Arial" w:eastAsia="Arial" w:hAnsi="Arial"/>
          <w:sz w:val="14"/>
          <w:szCs w:val="14"/>
          <w:color w:val="auto"/>
        </w:rPr>
        <w:t xml:space="preserve"> include those measured at fair value in goodwill impairment testing, indefinite lived intangible assets measured at fair value for impairment testing, asset retirement obligations initially measured at fair value, and those assets and liabilities initially measured at fair value in a business combination.</w:t>
      </w:r>
    </w:p>
    <w:p>
      <w:pPr>
        <w:spacing w:after="0" w:line="149" w:lineRule="exact"/>
        <w:rPr>
          <w:sz w:val="20"/>
          <w:szCs w:val="20"/>
          <w:color w:val="auto"/>
        </w:rPr>
      </w:pPr>
    </w:p>
    <w:p>
      <w:pPr>
        <w:ind w:right="40" w:firstLine="497"/>
        <w:spacing w:after="0" w:line="252" w:lineRule="auto"/>
        <w:rPr>
          <w:sz w:val="20"/>
          <w:szCs w:val="20"/>
          <w:color w:val="auto"/>
        </w:rPr>
      </w:pPr>
      <w:r>
        <w:rPr>
          <w:rFonts w:ascii="Arial" w:cs="Arial" w:eastAsia="Arial" w:hAnsi="Arial"/>
          <w:sz w:val="14"/>
          <w:szCs w:val="14"/>
          <w:i w:val="1"/>
          <w:iCs w:val="1"/>
          <w:color w:val="auto"/>
        </w:rPr>
        <w:t xml:space="preserve">Topic 820 </w:t>
      </w:r>
      <w:r>
        <w:rPr>
          <w:rFonts w:ascii="Arial" w:cs="Arial" w:eastAsia="Arial" w:hAnsi="Arial"/>
          <w:sz w:val="14"/>
          <w:szCs w:val="14"/>
          <w:color w:val="auto"/>
        </w:rPr>
        <w:t>establishes a valuation hierarchy for disclosure of the inputs to valuation used to measure fair value. This hierarchy prioritizes the inputs into three broad levels as follows. Level 1 inputs</w:t>
      </w:r>
      <w:r>
        <w:rPr>
          <w:rFonts w:ascii="Arial" w:cs="Arial" w:eastAsia="Arial" w:hAnsi="Arial"/>
          <w:sz w:val="14"/>
          <w:szCs w:val="14"/>
          <w:i w:val="1"/>
          <w:iCs w:val="1"/>
          <w:color w:val="auto"/>
        </w:rPr>
        <w:t xml:space="preserve"> </w:t>
      </w:r>
      <w:r>
        <w:rPr>
          <w:rFonts w:ascii="Arial" w:cs="Arial" w:eastAsia="Arial" w:hAnsi="Arial"/>
          <w:sz w:val="14"/>
          <w:szCs w:val="14"/>
          <w:color w:val="auto"/>
        </w:rPr>
        <w:t>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Note 10.</w:t>
      </w:r>
      <w:r>
        <w:rPr>
          <w:sz w:val="20"/>
          <w:szCs w:val="20"/>
          <w:color w:val="auto"/>
        </w:rPr>
        <w:tab/>
      </w:r>
      <w:r>
        <w:rPr>
          <w:rFonts w:ascii="Arial" w:cs="Arial" w:eastAsia="Arial" w:hAnsi="Arial"/>
          <w:sz w:val="12"/>
          <w:szCs w:val="12"/>
          <w:b w:val="1"/>
          <w:bCs w:val="1"/>
          <w:color w:val="auto"/>
        </w:rPr>
        <w:t>Stockholders’ Equity</w:t>
      </w:r>
    </w:p>
    <w:p>
      <w:pPr>
        <w:spacing w:after="0" w:line="17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Common Stock</w:t>
      </w:r>
    </w:p>
    <w:p>
      <w:pPr>
        <w:spacing w:after="0" w:line="185" w:lineRule="exact"/>
        <w:rPr>
          <w:sz w:val="20"/>
          <w:szCs w:val="20"/>
          <w:color w:val="auto"/>
        </w:rPr>
      </w:pPr>
    </w:p>
    <w:p>
      <w:pPr>
        <w:ind w:right="100" w:firstLine="497"/>
        <w:spacing w:after="0" w:line="296" w:lineRule="auto"/>
        <w:rPr>
          <w:sz w:val="20"/>
          <w:szCs w:val="20"/>
          <w:color w:val="auto"/>
        </w:rPr>
      </w:pPr>
      <w:r>
        <w:rPr>
          <w:rFonts w:ascii="Arial" w:cs="Arial" w:eastAsia="Arial" w:hAnsi="Arial"/>
          <w:sz w:val="13"/>
          <w:szCs w:val="13"/>
          <w:color w:val="auto"/>
        </w:rPr>
        <w:t>On November 23, 2016, the Company sold approximately 13.4 million shares of its common stock at a purchase price of $6.00 per share in an underwritten public offering. The Company received gross proceeds of approximately $80.5 million. After deducting underwriting fees and other offering expenses, the Company received approximately $76.2 million in net proceeds. The Company used $14.1 million of the net proceeds from this transaction to redeem approximately $14.5 million of its Notes. The remainder of the funds will be used for general corporate purposes, including funding expected growth and strategic investments in the Company's high performance unmanned aerial vehicle business area and other new programs under contract.</w:t>
      </w:r>
    </w:p>
    <w:p>
      <w:pPr>
        <w:spacing w:after="0" w:line="25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Stock Option Plans and Restricted Stock Unit Plans</w:t>
      </w:r>
    </w:p>
    <w:p>
      <w:pPr>
        <w:spacing w:after="0" w:line="174"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In March 2014 the Company's board of directors (the “Board”) approved the 2014 Equity Incentive Plan (the “2014 Plan”). The 2014 Plan is the successor to the Kratos Defense &amp; Security Solutions, Inc. 2011 Equity Incentive Plan, the Kratos Defense &amp; Security Solutions, Inc. Amended and Restated 2005 Equity Incentive Plan, the Kratos Defense &amp; Security Solutions, Inc. 2000 Nonstatutory Stock Option Plan, the Kratos Defense &amp; Security Solutions, Inc. 1999 Equity Incentive Plan, the Amended and Restated Integral Systems, Inc. 2008 Stock Incentive Plan, the Amended and Restated Herley Industries, Inc. 2010 Stock Plan, the Herley Industries, Inc. 2003 Stock Option Plan, the Henry Bros. Electronics, Inc. 2007 Stock Option Plan, the Henry Bros. Electronics, Inc. 2006 Stock Option Plan, the Amended and Restated 2005 Digital Fusion, Inc. Equity Incentive Plan, the 2000 Digital Fusion, Inc. Stock Option Plan, the 1999 Digital Fusion, Inc. Stock Option Plan, and the 1998 Digital Fusion, Inc. Stock Option Plan (collectively, the “Prior Plans”).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60"/>
          </w:cols>
          <w:pgMar w:left="220" w:top="129" w:right="21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firstLine="497"/>
        <w:spacing w:after="0" w:line="274" w:lineRule="auto"/>
        <w:rPr>
          <w:sz w:val="20"/>
          <w:szCs w:val="20"/>
          <w:color w:val="auto"/>
        </w:rPr>
      </w:pPr>
      <w:r>
        <w:rPr>
          <w:rFonts w:ascii="Arial" w:cs="Arial" w:eastAsia="Arial" w:hAnsi="Arial"/>
          <w:sz w:val="13"/>
          <w:szCs w:val="13"/>
          <w:color w:val="auto"/>
        </w:rPr>
        <w:t>The 2014 Plan became effective May 14, 2014 and no additional stock awards will be granted under the Prior Plans as of April 1, 2014. All outstanding stock awards granted subject to the terms of the Prior Plans will continue to be subject to the terms and conditions as set forth in the agreements evidencing such stock awards and the terms of the respective Prior Plans. Any shares subject to outstanding stock awards granted under the Prior Plans or granted outside of a Prior Plan that, at any time after March 27, 2014, (i) expire or terminate for any reason prior to exercise or settlement; (ii) are forfeited, canceled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(collectively, the “Returning Shares”) will immediately be added to the share reserve of the 2014 Plan and become available for issuance pursuant to stock awards granted under the 2014 Plan.</w:t>
      </w:r>
    </w:p>
    <w:p>
      <w:pPr>
        <w:spacing w:after="0" w:line="136" w:lineRule="exact"/>
        <w:rPr>
          <w:sz w:val="20"/>
          <w:szCs w:val="20"/>
          <w:color w:val="auto"/>
        </w:rPr>
      </w:pPr>
    </w:p>
    <w:p>
      <w:pPr>
        <w:ind w:right="180" w:firstLine="497"/>
        <w:spacing w:after="0" w:line="320" w:lineRule="auto"/>
        <w:rPr>
          <w:sz w:val="20"/>
          <w:szCs w:val="20"/>
          <w:color w:val="auto"/>
        </w:rPr>
      </w:pPr>
      <w:r>
        <w:rPr>
          <w:rFonts w:ascii="Arial" w:cs="Arial" w:eastAsia="Arial" w:hAnsi="Arial"/>
          <w:sz w:val="12"/>
          <w:szCs w:val="12"/>
          <w:color w:val="auto"/>
        </w:rPr>
        <w:t>As of March 27, 2014, there were 2,306,256 shares remaining available for issuance under the Prior Plans. The total number of awards outstanding under all of the Prior Plans and outside of any Prior Plan was 5,511,322 as of March 27, 2014. The 2014 Plan decreased the number of shares remaining available for issuance under its equity compensation plans from 2,306,256 to 1,550,000, although, per the 2014 Plan, up to 5,511,322 shares subject to outstanding awards under the Prior Plans and non-plan grants could potentially become Returning Shares available for issuance under the 2014 Plan.</w:t>
      </w:r>
    </w:p>
    <w:p>
      <w:pPr>
        <w:spacing w:after="0" w:line="111" w:lineRule="exact"/>
        <w:rPr>
          <w:sz w:val="20"/>
          <w:szCs w:val="20"/>
          <w:color w:val="auto"/>
        </w:rPr>
      </w:pPr>
    </w:p>
    <w:p>
      <w:pPr>
        <w:ind w:right="60" w:firstLine="497"/>
        <w:spacing w:after="0" w:line="279" w:lineRule="auto"/>
        <w:rPr>
          <w:sz w:val="20"/>
          <w:szCs w:val="20"/>
          <w:color w:val="auto"/>
        </w:rPr>
      </w:pPr>
      <w:r>
        <w:rPr>
          <w:rFonts w:ascii="Arial" w:cs="Arial" w:eastAsia="Arial" w:hAnsi="Arial"/>
          <w:sz w:val="13"/>
          <w:szCs w:val="13"/>
          <w:color w:val="auto"/>
        </w:rPr>
        <w:t>The Board may grant equity-based awards to selected employees, directors and consultants of the Company pursuant to its 2014 Plan. As of December 25, 2016, there are 2,392,842 shares reserved for issuance for future grant under the 2014 Plan. The Board may amend or terminate the 2014 Plan at any time. Certain amendments, including an increase in the share reserve, require stockholder approval. Generally, options and restricted stock units outstanding vest over periods not exceeding ten years. When the Company grants stock options, they are granted with a per share exercise price not less than the fair market value of the Company’s common stock on the date of grant, and generally would be exercisable for up to ten years from the grant date.</w:t>
      </w:r>
    </w:p>
    <w:p>
      <w:pPr>
        <w:spacing w:after="0" w:line="133" w:lineRule="exact"/>
        <w:rPr>
          <w:sz w:val="20"/>
          <w:szCs w:val="20"/>
          <w:color w:val="auto"/>
        </w:rPr>
      </w:pPr>
    </w:p>
    <w:p>
      <w:pPr>
        <w:jc w:val="both"/>
        <w:ind w:right="300" w:firstLine="497"/>
        <w:spacing w:after="0" w:line="257" w:lineRule="auto"/>
        <w:rPr>
          <w:sz w:val="20"/>
          <w:szCs w:val="20"/>
          <w:color w:val="auto"/>
        </w:rPr>
      </w:pPr>
      <w:r>
        <w:rPr>
          <w:rFonts w:ascii="Arial" w:cs="Arial" w:eastAsia="Arial" w:hAnsi="Arial"/>
          <w:sz w:val="14"/>
          <w:szCs w:val="14"/>
          <w:color w:val="auto"/>
        </w:rPr>
        <w:t>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included in the following table. Awards with graded vesting are recognized using the straight-line method with the following assumptions: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8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7"/>
              </w:rPr>
              <w:t>2016</w:t>
            </w:r>
          </w:p>
        </w:tc>
        <w:tc>
          <w:tcPr>
            <w:tcW w:w="12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2014</w:t>
            </w:r>
          </w:p>
        </w:tc>
      </w:tr>
      <w:tr>
        <w:trPr>
          <w:trHeight w:val="182"/>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85"/>
        </w:trPr>
        <w:tc>
          <w:tcPr>
            <w:tcW w:w="6780" w:type="dxa"/>
            <w:vAlign w:val="bottom"/>
          </w:tcPr>
          <w:p>
            <w:pPr>
              <w:ind w:left="20"/>
              <w:spacing w:after="0"/>
              <w:rPr>
                <w:sz w:val="20"/>
                <w:szCs w:val="20"/>
                <w:color w:val="auto"/>
              </w:rPr>
            </w:pPr>
            <w:r>
              <w:rPr>
                <w:rFonts w:ascii="Arial" w:cs="Arial" w:eastAsia="Arial" w:hAnsi="Arial"/>
                <w:sz w:val="14"/>
                <w:szCs w:val="14"/>
                <w:color w:val="auto"/>
              </w:rPr>
              <w:t>Expected life</w:t>
            </w:r>
          </w:p>
        </w:tc>
        <w:tc>
          <w:tcPr>
            <w:tcW w:w="1480" w:type="dxa"/>
            <w:vAlign w:val="bottom"/>
            <w:gridSpan w:val="3"/>
          </w:tcPr>
          <w:p>
            <w:pPr>
              <w:jc w:val="center"/>
              <w:spacing w:after="0"/>
              <w:rPr>
                <w:sz w:val="20"/>
                <w:szCs w:val="20"/>
                <w:color w:val="auto"/>
              </w:rPr>
            </w:pPr>
            <w:r>
              <w:rPr>
                <w:rFonts w:ascii="Arial" w:cs="Arial" w:eastAsia="Arial" w:hAnsi="Arial"/>
                <w:sz w:val="14"/>
                <w:szCs w:val="14"/>
                <w:color w:val="auto"/>
                <w:w w:val="87"/>
              </w:rPr>
              <w:t>10.0</w:t>
            </w:r>
          </w:p>
        </w:tc>
        <w:tc>
          <w:tcPr>
            <w:tcW w:w="12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color w:val="auto"/>
                <w:w w:val="95"/>
              </w:rPr>
              <w:t>10.0</w:t>
            </w:r>
          </w:p>
        </w:tc>
        <w:tc>
          <w:tcPr>
            <w:tcW w:w="10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w w:val="87"/>
              </w:rPr>
              <w:t>10.0</w:t>
            </w:r>
          </w:p>
        </w:tc>
      </w:tr>
      <w:tr>
        <w:trPr>
          <w:trHeight w:val="22"/>
        </w:trPr>
        <w:tc>
          <w:tcPr>
            <w:tcW w:w="6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Risk-free interest rate(1)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- 2.7%</w:t>
            </w:r>
          </w:p>
        </w:tc>
      </w:tr>
      <w:tr>
        <w:trPr>
          <w:trHeight w:val="185"/>
        </w:trPr>
        <w:tc>
          <w:tcPr>
            <w:tcW w:w="6780" w:type="dxa"/>
            <w:vAlign w:val="bottom"/>
          </w:tcPr>
          <w:p>
            <w:pPr>
              <w:ind w:left="20"/>
              <w:spacing w:after="0"/>
              <w:rPr>
                <w:sz w:val="20"/>
                <w:szCs w:val="20"/>
                <w:color w:val="auto"/>
              </w:rPr>
            </w:pPr>
            <w:r>
              <w:rPr>
                <w:rFonts w:ascii="Arial" w:cs="Arial" w:eastAsia="Arial" w:hAnsi="Arial"/>
                <w:sz w:val="14"/>
                <w:szCs w:val="14"/>
                <w:color w:val="auto"/>
              </w:rPr>
              <w:t>Volatility(2)</w:t>
            </w:r>
          </w:p>
        </w:tc>
        <w:tc>
          <w:tcPr>
            <w:tcW w:w="700" w:type="dxa"/>
            <w:vAlign w:val="bottom"/>
          </w:tcPr>
          <w:p>
            <w:pPr>
              <w:jc w:val="right"/>
              <w:spacing w:after="0"/>
              <w:rPr>
                <w:sz w:val="20"/>
                <w:szCs w:val="20"/>
                <w:color w:val="auto"/>
              </w:rPr>
            </w:pPr>
            <w:r>
              <w:rPr>
                <w:rFonts w:ascii="Arial" w:cs="Arial" w:eastAsia="Arial" w:hAnsi="Arial"/>
                <w:sz w:val="14"/>
                <w:szCs w:val="14"/>
                <w:color w:val="auto"/>
              </w:rPr>
              <w:t>55.2%</w:t>
            </w:r>
          </w:p>
        </w:tc>
        <w:tc>
          <w:tcPr>
            <w:tcW w:w="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700" w:type="dxa"/>
            <w:vAlign w:val="bottom"/>
          </w:tcPr>
          <w:p>
            <w:pPr>
              <w:ind w:left="20"/>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54.4%</w:t>
            </w:r>
          </w:p>
        </w:tc>
        <w:tc>
          <w:tcPr>
            <w:tcW w:w="8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54.5%</w:t>
            </w:r>
          </w:p>
        </w:tc>
        <w:tc>
          <w:tcPr>
            <w:tcW w:w="780" w:type="dxa"/>
            <w:vAlign w:val="bottom"/>
          </w:tcPr>
          <w:p>
            <w:pPr>
              <w:ind w:left="20"/>
              <w:spacing w:after="0"/>
              <w:rPr>
                <w:sz w:val="20"/>
                <w:szCs w:val="20"/>
                <w:color w:val="auto"/>
              </w:rPr>
            </w:pPr>
            <w:r>
              <w:rPr>
                <w:rFonts w:ascii="Arial" w:cs="Arial" w:eastAsia="Arial" w:hAnsi="Arial"/>
                <w:sz w:val="14"/>
                <w:szCs w:val="14"/>
                <w:color w:val="auto"/>
              </w:rPr>
              <w:t>- 56.1%</w:t>
            </w:r>
          </w:p>
        </w:tc>
      </w:tr>
      <w:tr>
        <w:trPr>
          <w:trHeight w:val="22"/>
        </w:trPr>
        <w:tc>
          <w:tcPr>
            <w:tcW w:w="67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18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Forfeiture rate(3)</w:t>
            </w:r>
          </w:p>
        </w:tc>
        <w:tc>
          <w:tcPr>
            <w:tcW w:w="1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w w:val="87"/>
              </w:rPr>
              <w:t>5.0%</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w w:val="93"/>
              </w:rPr>
              <w:t>5.0%</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0"/>
              </w:rPr>
              <w:t>2.5% - 15.2%</w:t>
            </w:r>
          </w:p>
        </w:tc>
      </w:tr>
      <w:tr>
        <w:trPr>
          <w:trHeight w:val="185"/>
        </w:trPr>
        <w:tc>
          <w:tcPr>
            <w:tcW w:w="6780" w:type="dxa"/>
            <w:vAlign w:val="bottom"/>
          </w:tcPr>
          <w:p>
            <w:pPr>
              <w:ind w:left="20"/>
              <w:spacing w:after="0"/>
              <w:rPr>
                <w:sz w:val="20"/>
                <w:szCs w:val="20"/>
                <w:color w:val="auto"/>
              </w:rPr>
            </w:pPr>
            <w:r>
              <w:rPr>
                <w:rFonts w:ascii="Arial" w:cs="Arial" w:eastAsia="Arial" w:hAnsi="Arial"/>
                <w:sz w:val="14"/>
                <w:szCs w:val="14"/>
                <w:color w:val="auto"/>
              </w:rPr>
              <w:t>Dividend yield(4)</w:t>
            </w: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color w:val="auto"/>
                <w:w w:val="90"/>
              </w:rPr>
              <w:t>—%</w:t>
            </w: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color w:val="auto"/>
                <w:w w:val="98"/>
              </w:rPr>
              <w:t>—%</w:t>
            </w: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w w:val="98"/>
              </w:rPr>
              <w:t>—%</w:t>
            </w:r>
          </w:p>
        </w:tc>
      </w:tr>
    </w:tbl>
    <w:p>
      <w:pPr>
        <w:spacing w:after="0" w:line="343" w:lineRule="exact"/>
        <w:rPr>
          <w:sz w:val="20"/>
          <w:szCs w:val="20"/>
          <w:color w:val="auto"/>
        </w:rPr>
      </w:pPr>
    </w:p>
    <w:p>
      <w:pPr>
        <w:ind w:left="940" w:hanging="192"/>
        <w:spacing w:after="0"/>
        <w:tabs>
          <w:tab w:leader="none" w:pos="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risk-free interest rate is based on U.S. Treasury yields in effect at the time of grant with a term equal to the expected term of the options.</w:t>
      </w:r>
    </w:p>
    <w:p>
      <w:pPr>
        <w:spacing w:after="0" w:line="13" w:lineRule="exact"/>
        <w:rPr>
          <w:rFonts w:ascii="Arial" w:cs="Arial" w:eastAsia="Arial" w:hAnsi="Arial"/>
          <w:sz w:val="14"/>
          <w:szCs w:val="14"/>
          <w:color w:val="auto"/>
        </w:rPr>
      </w:pPr>
    </w:p>
    <w:p>
      <w:pPr>
        <w:ind w:left="940" w:hanging="192"/>
        <w:spacing w:after="0"/>
        <w:tabs>
          <w:tab w:leader="none" w:pos="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2016, 2015, and 2014, the Company estimated implied volatility based upon trailing volatility.</w:t>
      </w:r>
    </w:p>
    <w:p>
      <w:pPr>
        <w:spacing w:after="0" w:line="4" w:lineRule="exact"/>
        <w:rPr>
          <w:rFonts w:ascii="Arial" w:cs="Arial" w:eastAsia="Arial" w:hAnsi="Arial"/>
          <w:sz w:val="14"/>
          <w:szCs w:val="14"/>
          <w:color w:val="auto"/>
        </w:rPr>
      </w:pPr>
    </w:p>
    <w:p>
      <w:pPr>
        <w:ind w:left="940" w:hanging="192"/>
        <w:spacing w:after="0"/>
        <w:tabs>
          <w:tab w:leader="none" w:pos="9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Forfeitures are estimated at the time of grant based upon historical information. Forfeitures will be revised, if necessary, in subsequent periods if actual forfeitures differ from estimates.</w:t>
      </w:r>
    </w:p>
    <w:p>
      <w:pPr>
        <w:spacing w:after="0" w:line="16" w:lineRule="exact"/>
        <w:rPr>
          <w:rFonts w:ascii="Arial" w:cs="Arial" w:eastAsia="Arial" w:hAnsi="Arial"/>
          <w:sz w:val="13"/>
          <w:szCs w:val="13"/>
          <w:color w:val="auto"/>
        </w:rPr>
      </w:pPr>
    </w:p>
    <w:p>
      <w:pPr>
        <w:ind w:left="940" w:hanging="192"/>
        <w:spacing w:after="0"/>
        <w:tabs>
          <w:tab w:leader="none" w:pos="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Company has no history or expectation of paying dividends on its common stock.</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60"/>
          </w:cols>
          <w:pgMar w:left="220" w:top="129" w:right="21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summary of the status of the Company’s stock option plan as of December 25, 2016 and changes in options outstanding under the plan for the year ended December 25, 2016 is as follows: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Weighted-</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4"/>
        </w:trPr>
        <w:tc>
          <w:tcPr>
            <w:tcW w:w="6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7"/>
              </w:rPr>
              <w:t>Average</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4"/>
        </w:trPr>
        <w:tc>
          <w:tcPr>
            <w:tcW w:w="6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8"/>
              </w:rPr>
              <w:t>Remaining</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4"/>
        </w:trPr>
        <w:tc>
          <w:tcPr>
            <w:tcW w:w="6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3"/>
          </w:tcPr>
          <w:p>
            <w:pPr>
              <w:jc w:val="center"/>
              <w:ind w:right="100"/>
              <w:spacing w:after="0" w:line="114" w:lineRule="exact"/>
              <w:rPr>
                <w:sz w:val="20"/>
                <w:szCs w:val="20"/>
                <w:color w:val="auto"/>
              </w:rPr>
            </w:pPr>
            <w:r>
              <w:rPr>
                <w:rFonts w:ascii="Arial" w:cs="Arial" w:eastAsia="Arial" w:hAnsi="Arial"/>
                <w:sz w:val="11"/>
                <w:szCs w:val="11"/>
                <w:b w:val="1"/>
                <w:bCs w:val="1"/>
                <w:color w:val="auto"/>
                <w:w w:val="91"/>
              </w:rPr>
              <w:t>Weighted-Average</w:t>
            </w:r>
          </w:p>
        </w:tc>
        <w:tc>
          <w:tcPr>
            <w:tcW w:w="136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94"/>
              </w:rPr>
              <w:t>Contractual</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4"/>
        </w:trPr>
        <w:tc>
          <w:tcPr>
            <w:tcW w:w="6520" w:type="dxa"/>
            <w:vAlign w:val="bottom"/>
          </w:tcPr>
          <w:p>
            <w:pPr>
              <w:spacing w:after="0"/>
              <w:rPr>
                <w:sz w:val="9"/>
                <w:szCs w:val="9"/>
                <w:color w:val="auto"/>
              </w:rPr>
            </w:pPr>
          </w:p>
        </w:tc>
        <w:tc>
          <w:tcPr>
            <w:tcW w:w="128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4"/>
              </w:rPr>
              <w:t>Number of</w:t>
            </w:r>
          </w:p>
        </w:tc>
        <w:tc>
          <w:tcPr>
            <w:tcW w:w="100" w:type="dxa"/>
            <w:vAlign w:val="bottom"/>
          </w:tcPr>
          <w:p>
            <w:pPr>
              <w:spacing w:after="0"/>
              <w:rPr>
                <w:sz w:val="9"/>
                <w:szCs w:val="9"/>
                <w:color w:val="auto"/>
              </w:rPr>
            </w:pPr>
          </w:p>
        </w:tc>
        <w:tc>
          <w:tcPr>
            <w:tcW w:w="1140" w:type="dxa"/>
            <w:vAlign w:val="bottom"/>
            <w:gridSpan w:val="3"/>
          </w:tcPr>
          <w:p>
            <w:pPr>
              <w:jc w:val="center"/>
              <w:ind w:right="120"/>
              <w:spacing w:after="0" w:line="114" w:lineRule="exact"/>
              <w:rPr>
                <w:sz w:val="20"/>
                <w:szCs w:val="20"/>
                <w:color w:val="auto"/>
              </w:rPr>
            </w:pPr>
            <w:r>
              <w:rPr>
                <w:rFonts w:ascii="Arial" w:cs="Arial" w:eastAsia="Arial" w:hAnsi="Arial"/>
                <w:sz w:val="11"/>
                <w:szCs w:val="11"/>
                <w:b w:val="1"/>
                <w:bCs w:val="1"/>
                <w:color w:val="auto"/>
                <w:w w:val="90"/>
              </w:rPr>
              <w:t>Exercise Price per</w:t>
            </w:r>
          </w:p>
        </w:tc>
        <w:tc>
          <w:tcPr>
            <w:tcW w:w="136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96"/>
              </w:rPr>
              <w:t>Term</w:t>
            </w:r>
          </w:p>
        </w:tc>
        <w:tc>
          <w:tcPr>
            <w:tcW w:w="104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91"/>
              </w:rPr>
              <w:t>Aggregate Intrinsic</w:t>
            </w:r>
          </w:p>
        </w:tc>
      </w:tr>
      <w:tr>
        <w:trPr>
          <w:trHeight w:val="147"/>
        </w:trPr>
        <w:tc>
          <w:tcPr>
            <w:tcW w:w="65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0"/>
              </w:rPr>
              <w:t>Shares Under Option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1"/>
              </w:rPr>
              <w:t>Share</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(in years)</w:t>
            </w:r>
          </w:p>
        </w:tc>
        <w:tc>
          <w:tcPr>
            <w:tcW w:w="240" w:type="dxa"/>
            <w:vAlign w:val="bottom"/>
          </w:tcPr>
          <w:p>
            <w:pPr>
              <w:spacing w:after="0"/>
              <w:rPr>
                <w:sz w:val="12"/>
                <w:szCs w:val="12"/>
                <w:color w:val="auto"/>
              </w:rPr>
            </w:pPr>
          </w:p>
        </w:tc>
        <w:tc>
          <w:tcPr>
            <w:tcW w:w="800" w:type="dxa"/>
            <w:vAlign w:val="bottom"/>
          </w:tcPr>
          <w:p>
            <w:pPr>
              <w:jc w:val="center"/>
              <w:ind w:right="177"/>
              <w:spacing w:after="0"/>
              <w:rPr>
                <w:sz w:val="20"/>
                <w:szCs w:val="20"/>
                <w:color w:val="auto"/>
              </w:rPr>
            </w:pPr>
            <w:r>
              <w:rPr>
                <w:rFonts w:ascii="Arial" w:cs="Arial" w:eastAsia="Arial" w:hAnsi="Arial"/>
                <w:sz w:val="11"/>
                <w:szCs w:val="11"/>
                <w:b w:val="1"/>
                <w:bCs w:val="1"/>
                <w:color w:val="auto"/>
                <w:w w:val="95"/>
              </w:rPr>
              <w:t>Value</w:t>
            </w:r>
          </w:p>
        </w:tc>
      </w:tr>
      <w:tr>
        <w:trPr>
          <w:trHeight w:val="202"/>
        </w:trPr>
        <w:tc>
          <w:tcPr>
            <w:tcW w:w="65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1"/>
              </w:rPr>
              <w:t>(000’s)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ind w:right="177"/>
              <w:spacing w:after="0"/>
              <w:rPr>
                <w:sz w:val="20"/>
                <w:szCs w:val="20"/>
                <w:color w:val="auto"/>
              </w:rPr>
            </w:pPr>
            <w:r>
              <w:rPr>
                <w:rFonts w:ascii="Arial" w:cs="Arial" w:eastAsia="Arial" w:hAnsi="Arial"/>
                <w:sz w:val="11"/>
                <w:szCs w:val="11"/>
                <w:b w:val="1"/>
                <w:bCs w:val="1"/>
                <w:color w:val="auto"/>
                <w:w w:val="91"/>
              </w:rPr>
              <w:t>(000’s)</w:t>
            </w:r>
          </w:p>
        </w:tc>
      </w:tr>
      <w:tr>
        <w:trPr>
          <w:trHeight w:val="185"/>
        </w:trPr>
        <w:tc>
          <w:tcPr>
            <w:tcW w:w="6520" w:type="dxa"/>
            <w:vAlign w:val="bottom"/>
          </w:tcPr>
          <w:p>
            <w:pPr>
              <w:ind w:left="20"/>
              <w:spacing w:after="0"/>
              <w:rPr>
                <w:sz w:val="20"/>
                <w:szCs w:val="20"/>
                <w:color w:val="auto"/>
              </w:rPr>
            </w:pPr>
            <w:r>
              <w:rPr>
                <w:rFonts w:ascii="Arial" w:cs="Arial" w:eastAsia="Arial" w:hAnsi="Arial"/>
                <w:sz w:val="14"/>
                <w:szCs w:val="14"/>
                <w:color w:val="auto"/>
              </w:rPr>
              <w:t>Options outstanding at December 27, 2015</w:t>
            </w:r>
          </w:p>
        </w:tc>
        <w:tc>
          <w:tcPr>
            <w:tcW w:w="1280" w:type="dxa"/>
            <w:vAlign w:val="bottom"/>
          </w:tcPr>
          <w:p>
            <w:pPr>
              <w:jc w:val="right"/>
              <w:ind w:right="56"/>
              <w:spacing w:after="0"/>
              <w:rPr>
                <w:sz w:val="20"/>
                <w:szCs w:val="20"/>
                <w:color w:val="auto"/>
              </w:rPr>
            </w:pPr>
            <w:r>
              <w:rPr>
                <w:rFonts w:ascii="Arial" w:cs="Arial" w:eastAsia="Arial" w:hAnsi="Arial"/>
                <w:sz w:val="14"/>
                <w:szCs w:val="14"/>
                <w:color w:val="auto"/>
              </w:rPr>
              <w:t>1,077</w:t>
            </w:r>
          </w:p>
        </w:tc>
        <w:tc>
          <w:tcPr>
            <w:tcW w:w="340" w:type="dxa"/>
            <w:vAlign w:val="bottom"/>
            <w:gridSpan w:val="2"/>
          </w:tcPr>
          <w:p>
            <w:pPr>
              <w:jc w:val="right"/>
              <w:ind w:right="85"/>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240" w:type="dxa"/>
            <w:vAlign w:val="bottom"/>
          </w:tcPr>
          <w:p>
            <w:pPr>
              <w:jc w:val="right"/>
              <w:ind w:right="76"/>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7"/>
              <w:spacing w:after="0"/>
              <w:rPr>
                <w:sz w:val="20"/>
                <w:szCs w:val="20"/>
                <w:color w:val="auto"/>
              </w:rPr>
            </w:pPr>
            <w:r>
              <w:rPr>
                <w:rFonts w:ascii="Arial" w:cs="Arial" w:eastAsia="Arial" w:hAnsi="Arial"/>
                <w:sz w:val="14"/>
                <w:szCs w:val="14"/>
                <w:color w:val="auto"/>
              </w:rPr>
              <w:t>—</w:t>
            </w:r>
          </w:p>
        </w:tc>
      </w:tr>
      <w:tr>
        <w:trPr>
          <w:trHeight w:val="22"/>
        </w:trPr>
        <w:tc>
          <w:tcPr>
            <w:tcW w:w="6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11</w:t>
            </w:r>
          </w:p>
        </w:tc>
        <w:tc>
          <w:tcPr>
            <w:tcW w:w="3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5.13</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5"/>
        </w:trPr>
        <w:tc>
          <w:tcPr>
            <w:tcW w:w="652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280" w:type="dxa"/>
            <w:vAlign w:val="bottom"/>
          </w:tcPr>
          <w:p>
            <w:pPr>
              <w:jc w:val="right"/>
              <w:ind w:right="56"/>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
        </w:trPr>
        <w:tc>
          <w:tcPr>
            <w:tcW w:w="6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Forfeited or expired</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color w:val="auto"/>
              </w:rPr>
              <w:t>(125)</w:t>
            </w:r>
          </w:p>
        </w:tc>
        <w:tc>
          <w:tcPr>
            <w:tcW w:w="3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17.14</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32"/>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Options outstanding at December 25, 2016</w:t>
            </w:r>
          </w:p>
        </w:tc>
        <w:tc>
          <w:tcPr>
            <w:tcW w:w="12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color w:val="auto"/>
              </w:rPr>
              <w:t>963</w:t>
            </w:r>
          </w:p>
        </w:tc>
        <w:tc>
          <w:tcPr>
            <w:tcW w:w="340" w:type="dxa"/>
            <w:vAlign w:val="bottom"/>
            <w:tcBorders>
              <w:bottom w:val="single" w:sz="8" w:color="CCEEFF"/>
            </w:tcBorders>
            <w:gridSpan w:val="2"/>
          </w:tcPr>
          <w:p>
            <w:pPr>
              <w:jc w:val="right"/>
              <w:ind w:right="85"/>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tcPr>
          <w:p>
            <w:pPr>
              <w:jc w:val="right"/>
              <w:ind w:right="33"/>
              <w:spacing w:after="0"/>
              <w:rPr>
                <w:sz w:val="20"/>
                <w:szCs w:val="20"/>
                <w:color w:val="auto"/>
              </w:rPr>
            </w:pPr>
            <w:r>
              <w:rPr>
                <w:rFonts w:ascii="Arial" w:cs="Arial" w:eastAsia="Arial" w:hAnsi="Arial"/>
                <w:sz w:val="14"/>
                <w:szCs w:val="14"/>
                <w:color w:val="auto"/>
              </w:rPr>
              <w:t>8.05</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ind w:right="57"/>
              <w:spacing w:after="0"/>
              <w:rPr>
                <w:sz w:val="20"/>
                <w:szCs w:val="20"/>
                <w:color w:val="auto"/>
              </w:rPr>
            </w:pPr>
            <w:r>
              <w:rPr>
                <w:rFonts w:ascii="Arial" w:cs="Arial" w:eastAsia="Arial" w:hAnsi="Arial"/>
                <w:sz w:val="14"/>
                <w:szCs w:val="14"/>
                <w:color w:val="auto"/>
              </w:rPr>
              <w:t>1,924.1</w:t>
            </w:r>
          </w:p>
        </w:tc>
      </w:tr>
      <w:tr>
        <w:trPr>
          <w:trHeight w:val="17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exercisable at December 25, 2016</w:t>
            </w:r>
          </w:p>
        </w:tc>
        <w:tc>
          <w:tcPr>
            <w:tcW w:w="12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357</w:t>
            </w:r>
          </w:p>
        </w:tc>
        <w:tc>
          <w:tcPr>
            <w:tcW w:w="34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13.27</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4"/>
                <w:szCs w:val="14"/>
                <w:color w:val="auto"/>
              </w:rPr>
              <w:t>348.3</w:t>
            </w:r>
          </w:p>
        </w:tc>
      </w:tr>
      <w:tr>
        <w:trPr>
          <w:trHeight w:val="20"/>
        </w:trPr>
        <w:tc>
          <w:tcPr>
            <w:tcW w:w="6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55" w:lineRule="exact"/>
        <w:rPr>
          <w:sz w:val="20"/>
          <w:szCs w:val="20"/>
          <w:color w:val="auto"/>
        </w:rPr>
      </w:pPr>
    </w:p>
    <w:p>
      <w:pPr>
        <w:ind w:right="540" w:firstLine="497"/>
        <w:spacing w:after="0" w:line="267" w:lineRule="auto"/>
        <w:rPr>
          <w:sz w:val="20"/>
          <w:szCs w:val="20"/>
          <w:color w:val="auto"/>
        </w:rPr>
      </w:pPr>
      <w:r>
        <w:rPr>
          <w:rFonts w:ascii="Arial" w:cs="Arial" w:eastAsia="Arial" w:hAnsi="Arial"/>
          <w:sz w:val="14"/>
          <w:szCs w:val="14"/>
          <w:color w:val="auto"/>
        </w:rPr>
        <w:t>As of December 25, 2016, there was $0.4 million of total unrecognized stock-based compensation expense related to nonvested options which is expected to be recognized over a remaining weighted-average vesting period of 1.4 years. Upon exercise of an option, the Company issues new shares of common stock.</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During the years ended December 25, 2016, December 27, 2015, and December 28, 2014 the following values relate to the grants and exercises under the Company’s option plans: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2016</w:t>
            </w:r>
          </w:p>
        </w:tc>
        <w:tc>
          <w:tcPr>
            <w:tcW w:w="5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1"/>
                <w:szCs w:val="11"/>
                <w:b w:val="1"/>
                <w:bCs w:val="1"/>
                <w:color w:val="auto"/>
              </w:rPr>
              <w:t>2014</w:t>
            </w:r>
          </w:p>
        </w:tc>
      </w:tr>
      <w:tr>
        <w:trPr>
          <w:trHeight w:val="182"/>
        </w:trPr>
        <w:tc>
          <w:tcPr>
            <w:tcW w:w="20" w:type="dxa"/>
            <w:vAlign w:val="bottom"/>
          </w:tcPr>
          <w:p>
            <w:pPr>
              <w:spacing w:after="0"/>
              <w:rPr>
                <w:sz w:val="15"/>
                <w:szCs w:val="15"/>
                <w:color w:val="auto"/>
              </w:rPr>
            </w:pPr>
          </w:p>
        </w:tc>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grant date fair value of options granted</w:t>
            </w: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3.36</w:t>
            </w:r>
          </w:p>
        </w:tc>
        <w:tc>
          <w:tcPr>
            <w:tcW w:w="5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4.40</w:t>
            </w:r>
          </w:p>
        </w:tc>
      </w:tr>
      <w:tr>
        <w:trPr>
          <w:trHeight w:val="185"/>
        </w:trPr>
        <w:tc>
          <w:tcPr>
            <w:tcW w:w="20" w:type="dxa"/>
            <w:vAlign w:val="bottom"/>
          </w:tcPr>
          <w:p>
            <w:pPr>
              <w:spacing w:after="0"/>
              <w:rPr>
                <w:sz w:val="16"/>
                <w:szCs w:val="16"/>
                <w:color w:val="auto"/>
              </w:rPr>
            </w:pPr>
          </w:p>
        </w:tc>
        <w:tc>
          <w:tcPr>
            <w:tcW w:w="7100" w:type="dxa"/>
            <w:vAlign w:val="bottom"/>
          </w:tcPr>
          <w:p>
            <w:pPr>
              <w:ind w:left="20"/>
              <w:spacing w:after="0"/>
              <w:rPr>
                <w:sz w:val="20"/>
                <w:szCs w:val="20"/>
                <w:color w:val="auto"/>
              </w:rPr>
            </w:pPr>
            <w:r>
              <w:rPr>
                <w:rFonts w:ascii="Arial" w:cs="Arial" w:eastAsia="Arial" w:hAnsi="Arial"/>
                <w:sz w:val="14"/>
                <w:szCs w:val="14"/>
                <w:color w:val="auto"/>
              </w:rPr>
              <w:t>Total intrinsic value of options exercised (in thousands)</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6"/>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55"/>
              <w:spacing w:after="0"/>
              <w:rPr>
                <w:sz w:val="20"/>
                <w:szCs w:val="20"/>
                <w:color w:val="auto"/>
              </w:rPr>
            </w:pPr>
            <w:r>
              <w:rPr>
                <w:rFonts w:ascii="Arial" w:cs="Arial" w:eastAsia="Arial" w:hAnsi="Arial"/>
                <w:sz w:val="14"/>
                <w:szCs w:val="14"/>
                <w:color w:val="auto"/>
              </w:rPr>
              <w:t>171.0</w:t>
            </w:r>
          </w:p>
        </w:tc>
      </w:tr>
      <w:tr>
        <w:trPr>
          <w:trHeight w:val="352"/>
        </w:trPr>
        <w:tc>
          <w:tcPr>
            <w:tcW w:w="20" w:type="dxa"/>
            <w:vAlign w:val="bottom"/>
          </w:tcPr>
          <w:p>
            <w:pPr>
              <w:spacing w:after="0"/>
              <w:rPr>
                <w:sz w:val="24"/>
                <w:szCs w:val="24"/>
                <w:color w:val="auto"/>
              </w:rPr>
            </w:pPr>
          </w:p>
        </w:tc>
        <w:tc>
          <w:tcPr>
            <w:tcW w:w="7100" w:type="dxa"/>
            <w:vAlign w:val="bottom"/>
          </w:tcPr>
          <w:p>
            <w:pPr>
              <w:ind w:left="480"/>
              <w:spacing w:after="0"/>
              <w:rPr>
                <w:sz w:val="20"/>
                <w:szCs w:val="20"/>
                <w:color w:val="auto"/>
              </w:rPr>
            </w:pPr>
            <w:r>
              <w:rPr>
                <w:rFonts w:ascii="Arial" w:cs="Arial" w:eastAsia="Arial" w:hAnsi="Arial"/>
                <w:sz w:val="14"/>
                <w:szCs w:val="14"/>
                <w:color w:val="auto"/>
              </w:rPr>
              <w:t>The following table summarizes the Company’s Restricted Stock Unit activity:</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gridSpan w:val="4"/>
          </w:tcPr>
          <w:p>
            <w:pPr>
              <w:jc w:val="right"/>
              <w:ind w:right="380"/>
              <w:spacing w:after="0"/>
              <w:rPr>
                <w:sz w:val="20"/>
                <w:szCs w:val="20"/>
                <w:color w:val="auto"/>
              </w:rPr>
            </w:pPr>
            <w:r>
              <w:rPr>
                <w:rFonts w:ascii="Arial" w:cs="Arial" w:eastAsia="Arial" w:hAnsi="Arial"/>
                <w:sz w:val="11"/>
                <w:szCs w:val="11"/>
                <w:b w:val="1"/>
                <w:bCs w:val="1"/>
                <w:color w:val="auto"/>
              </w:rPr>
              <w:t>Restricted</w:t>
            </w:r>
          </w:p>
        </w:tc>
        <w:tc>
          <w:tcPr>
            <w:tcW w:w="1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Weighted-Average</w:t>
            </w:r>
          </w:p>
        </w:tc>
      </w:tr>
      <w:tr>
        <w:trPr>
          <w:trHeight w:val="114"/>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40" w:type="dxa"/>
            <w:vAlign w:val="bottom"/>
            <w:gridSpan w:val="4"/>
          </w:tcPr>
          <w:p>
            <w:pPr>
              <w:jc w:val="right"/>
              <w:ind w:right="340"/>
              <w:spacing w:after="0" w:line="114" w:lineRule="exact"/>
              <w:rPr>
                <w:sz w:val="20"/>
                <w:szCs w:val="20"/>
                <w:color w:val="auto"/>
              </w:rPr>
            </w:pPr>
            <w:r>
              <w:rPr>
                <w:rFonts w:ascii="Arial" w:cs="Arial" w:eastAsia="Arial" w:hAnsi="Arial"/>
                <w:sz w:val="11"/>
                <w:szCs w:val="11"/>
                <w:b w:val="1"/>
                <w:bCs w:val="1"/>
                <w:color w:val="auto"/>
              </w:rPr>
              <w:t>Stock Units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ind w:right="35"/>
              <w:spacing w:after="0" w:line="114" w:lineRule="exact"/>
              <w:rPr>
                <w:sz w:val="20"/>
                <w:szCs w:val="20"/>
                <w:color w:val="auto"/>
              </w:rPr>
            </w:pPr>
            <w:r>
              <w:rPr>
                <w:rFonts w:ascii="Arial" w:cs="Arial" w:eastAsia="Arial" w:hAnsi="Arial"/>
                <w:sz w:val="11"/>
                <w:szCs w:val="11"/>
                <w:b w:val="1"/>
                <w:bCs w:val="1"/>
                <w:color w:val="auto"/>
                <w:w w:val="98"/>
              </w:rPr>
              <w:t>Grant Date Fair</w:t>
            </w:r>
          </w:p>
        </w:tc>
      </w:tr>
      <w:tr>
        <w:trPr>
          <w:trHeight w:val="147"/>
        </w:trPr>
        <w:tc>
          <w:tcPr>
            <w:tcW w:w="20" w:type="dxa"/>
            <w:vAlign w:val="bottom"/>
            <w:tcBorders>
              <w:bottom w:val="single" w:sz="8" w:color="CCEEFF"/>
            </w:tcBorders>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(000’s)</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88"/>
              </w:rPr>
              <w:t>Value</w:t>
            </w: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Nonvested balance at December 27, 2015</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1"/>
              </w:rPr>
              <w:t>2,409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7.37</w:t>
            </w:r>
          </w:p>
        </w:tc>
      </w:tr>
      <w:tr>
        <w:trPr>
          <w:trHeight w:val="185"/>
        </w:trPr>
        <w:tc>
          <w:tcPr>
            <w:tcW w:w="2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4"/>
                <w:szCs w:val="14"/>
                <w:color w:val="auto"/>
              </w:rPr>
              <w:t>Grants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4"/>
                <w:szCs w:val="14"/>
                <w:color w:val="auto"/>
              </w:rPr>
              <w:t>785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5"/>
              <w:spacing w:after="0"/>
              <w:rPr>
                <w:sz w:val="20"/>
                <w:szCs w:val="20"/>
                <w:color w:val="auto"/>
              </w:rPr>
            </w:pPr>
            <w:r>
              <w:rPr>
                <w:rFonts w:ascii="Arial" w:cs="Arial" w:eastAsia="Arial" w:hAnsi="Arial"/>
                <w:sz w:val="14"/>
                <w:szCs w:val="14"/>
                <w:color w:val="auto"/>
              </w:rPr>
              <w:t>4.22</w:t>
            </w:r>
          </w:p>
        </w:tc>
      </w:tr>
      <w:tr>
        <w:trPr>
          <w:trHeight w:val="22"/>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6.46</w:t>
            </w:r>
          </w:p>
        </w:tc>
      </w:tr>
      <w:tr>
        <w:trPr>
          <w:trHeight w:val="185"/>
        </w:trPr>
        <w:tc>
          <w:tcPr>
            <w:tcW w:w="2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4"/>
                <w:szCs w:val="14"/>
                <w:color w:val="auto"/>
              </w:rPr>
              <w:t>Forfeitures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(46)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5"/>
              <w:spacing w:after="0"/>
              <w:rPr>
                <w:sz w:val="20"/>
                <w:szCs w:val="20"/>
                <w:color w:val="auto"/>
              </w:rPr>
            </w:pPr>
            <w:r>
              <w:rPr>
                <w:rFonts w:ascii="Arial" w:cs="Arial" w:eastAsia="Arial" w:hAnsi="Arial"/>
                <w:sz w:val="14"/>
                <w:szCs w:val="14"/>
                <w:color w:val="auto"/>
              </w:rPr>
              <w:t>5.38</w:t>
            </w:r>
          </w:p>
        </w:tc>
      </w:tr>
      <w:tr>
        <w:trPr>
          <w:trHeight w:val="22"/>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 but not released</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(171)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4.79</w:t>
            </w:r>
          </w:p>
        </w:tc>
      </w:tr>
      <w:tr>
        <w:trPr>
          <w:trHeight w:val="192"/>
        </w:trPr>
        <w:tc>
          <w:tcPr>
            <w:tcW w:w="2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4"/>
                <w:szCs w:val="14"/>
                <w:color w:val="auto"/>
              </w:rPr>
              <w:t>Nonvested balance at December 25, 2016</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1"/>
              </w:rPr>
              <w:t>2,246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5"/>
              <w:spacing w:after="0"/>
              <w:rPr>
                <w:sz w:val="20"/>
                <w:szCs w:val="20"/>
                <w:color w:val="auto"/>
              </w:rPr>
            </w:pPr>
            <w:r>
              <w:rPr>
                <w:rFonts w:ascii="Arial" w:cs="Arial" w:eastAsia="Arial" w:hAnsi="Arial"/>
                <w:sz w:val="14"/>
                <w:szCs w:val="14"/>
                <w:color w:val="auto"/>
              </w:rPr>
              <w:t>6.81</w:t>
            </w: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55" w:lineRule="exact"/>
        <w:rPr>
          <w:sz w:val="20"/>
          <w:szCs w:val="20"/>
          <w:color w:val="auto"/>
        </w:rPr>
      </w:pPr>
    </w:p>
    <w:p>
      <w:pPr>
        <w:ind w:right="400" w:firstLine="497"/>
        <w:spacing w:after="0" w:line="352" w:lineRule="auto"/>
        <w:rPr>
          <w:sz w:val="20"/>
          <w:szCs w:val="20"/>
          <w:color w:val="auto"/>
        </w:rPr>
      </w:pPr>
      <w:r>
        <w:rPr>
          <w:rFonts w:ascii="Arial" w:cs="Arial" w:eastAsia="Arial" w:hAnsi="Arial"/>
          <w:sz w:val="12"/>
          <w:szCs w:val="12"/>
          <w:color w:val="auto"/>
        </w:rPr>
        <w:t>As of December 25, 2016, there was $5.6 million of total unrecognized stock-based compensation expense related to nonvested restricted stock units which is expected to be recognized over a remaining weighted-average vesting period of 3.1 years. The fair value of RSU awards that vested in 2016, 2015, and 2014 was $4.7 million, $3.6 million, and $1.4 million, respectively.</w:t>
      </w:r>
    </w:p>
    <w:p>
      <w:pPr>
        <w:spacing w:after="0" w:line="88" w:lineRule="exact"/>
        <w:rPr>
          <w:sz w:val="20"/>
          <w:szCs w:val="20"/>
          <w:color w:val="auto"/>
        </w:rPr>
      </w:pPr>
    </w:p>
    <w:p>
      <w:pPr>
        <w:ind w:left="500" w:hanging="497"/>
        <w:spacing w:after="0"/>
        <w:tabs>
          <w:tab w:leader="none" w:pos="50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Amended and Restated Employee Stock Purchase Plan</w:t>
      </w:r>
    </w:p>
    <w:p>
      <w:pPr>
        <w:spacing w:after="0" w:line="174" w:lineRule="exact"/>
        <w:rPr>
          <w:sz w:val="20"/>
          <w:szCs w:val="20"/>
          <w:color w:val="auto"/>
        </w:rPr>
      </w:pPr>
    </w:p>
    <w:p>
      <w:pPr>
        <w:ind w:right="140" w:firstLine="497"/>
        <w:spacing w:after="0" w:line="309" w:lineRule="auto"/>
        <w:rPr>
          <w:sz w:val="20"/>
          <w:szCs w:val="20"/>
          <w:color w:val="auto"/>
        </w:rPr>
      </w:pPr>
      <w:r>
        <w:rPr>
          <w:rFonts w:ascii="Arial" w:cs="Arial" w:eastAsia="Arial" w:hAnsi="Arial"/>
          <w:sz w:val="12"/>
          <w:szCs w:val="12"/>
          <w:color w:val="auto"/>
        </w:rPr>
        <w:t>In August 1999, the Board approved the 1999 Employee Stock Purchase Plan (as amended from time to time, the “Purchase Plan”). A total of 5.2 million shares of Common Stock have been authorized for issuance under the Purchase Plan.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60"/>
          </w:cols>
          <w:pgMar w:left="220" w:top="129" w:right="21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firstLine="497"/>
        <w:spacing w:after="0" w:line="251" w:lineRule="auto"/>
        <w:rPr>
          <w:sz w:val="20"/>
          <w:szCs w:val="20"/>
          <w:color w:val="auto"/>
        </w:rPr>
      </w:pPr>
      <w:r>
        <w:rPr>
          <w:rFonts w:ascii="Arial" w:cs="Arial" w:eastAsia="Arial" w:hAnsi="Arial"/>
          <w:sz w:val="14"/>
          <w:szCs w:val="14"/>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25, 2016, the cumulative number of shares of Common Stock that have been issued under the Purchase Plan is 4.1 million and approximately 1.1 million shares are available for future issuance. During fiscal 2016, approximately 760,000 shares were issued under the plan at an average price of $3.47.</w:t>
      </w:r>
    </w:p>
    <w:p>
      <w:pPr>
        <w:spacing w:after="0" w:line="315" w:lineRule="exact"/>
        <w:rPr>
          <w:sz w:val="20"/>
          <w:szCs w:val="20"/>
          <w:color w:val="auto"/>
        </w:rPr>
      </w:pPr>
    </w:p>
    <w:p>
      <w:pPr>
        <w:ind w:right="20" w:firstLine="497"/>
        <w:spacing w:after="0" w:line="267" w:lineRule="auto"/>
        <w:rPr>
          <w:sz w:val="20"/>
          <w:szCs w:val="20"/>
          <w:color w:val="auto"/>
        </w:rPr>
      </w:pPr>
      <w:r>
        <w:rPr>
          <w:rFonts w:ascii="Arial" w:cs="Arial" w:eastAsia="Arial" w:hAnsi="Arial"/>
          <w:sz w:val="14"/>
          <w:szCs w:val="14"/>
          <w:color w:val="auto"/>
        </w:rPr>
        <w:t>The fair value of Kratos’ Purchase Plan shares for 2016 was estimated using the Black-Scholes option pricing model. The assumptions and resulting fair values of options granted for 2016, 2015 and 2014 were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060" w:type="dxa"/>
            <w:vAlign w:val="bottom"/>
          </w:tcPr>
          <w:p>
            <w:pPr>
              <w:spacing w:after="0"/>
              <w:rPr>
                <w:sz w:val="10"/>
                <w:szCs w:val="1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Offering</w:t>
            </w:r>
          </w:p>
        </w:tc>
        <w:tc>
          <w:tcPr>
            <w:tcW w:w="1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Offering</w:t>
            </w:r>
          </w:p>
        </w:tc>
        <w:tc>
          <w:tcPr>
            <w:tcW w:w="1720" w:type="dxa"/>
            <w:vAlign w:val="bottom"/>
          </w:tcPr>
          <w:p>
            <w:pPr>
              <w:jc w:val="center"/>
              <w:spacing w:after="0"/>
              <w:rPr>
                <w:sz w:val="20"/>
                <w:szCs w:val="20"/>
                <w:color w:val="auto"/>
              </w:rPr>
            </w:pPr>
            <w:r>
              <w:rPr>
                <w:rFonts w:ascii="Arial" w:cs="Arial" w:eastAsia="Arial" w:hAnsi="Arial"/>
                <w:sz w:val="11"/>
                <w:szCs w:val="11"/>
                <w:b w:val="1"/>
                <w:bCs w:val="1"/>
                <w:color w:val="auto"/>
                <w:w w:val="93"/>
              </w:rPr>
              <w:t>Offering</w:t>
            </w:r>
          </w:p>
        </w:tc>
      </w:tr>
      <w:tr>
        <w:trPr>
          <w:trHeight w:val="114"/>
        </w:trPr>
        <w:tc>
          <w:tcPr>
            <w:tcW w:w="6060" w:type="dxa"/>
            <w:vAlign w:val="bottom"/>
          </w:tcPr>
          <w:p>
            <w:pPr>
              <w:spacing w:after="0"/>
              <w:rPr>
                <w:sz w:val="9"/>
                <w:szCs w:val="9"/>
                <w:color w:val="auto"/>
              </w:rPr>
            </w:pPr>
          </w:p>
        </w:tc>
        <w:tc>
          <w:tcPr>
            <w:tcW w:w="184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89"/>
              </w:rPr>
              <w:t>Periods</w:t>
            </w:r>
          </w:p>
        </w:tc>
        <w:tc>
          <w:tcPr>
            <w:tcW w:w="182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9"/>
              </w:rPr>
              <w:t>Periods</w:t>
            </w:r>
          </w:p>
        </w:tc>
        <w:tc>
          <w:tcPr>
            <w:tcW w:w="17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9"/>
              </w:rPr>
              <w:t>Periods</w:t>
            </w:r>
          </w:p>
        </w:tc>
      </w:tr>
      <w:tr>
        <w:trPr>
          <w:trHeight w:val="114"/>
        </w:trPr>
        <w:tc>
          <w:tcPr>
            <w:tcW w:w="6060" w:type="dxa"/>
            <w:vAlign w:val="bottom"/>
          </w:tcPr>
          <w:p>
            <w:pPr>
              <w:spacing w:after="0"/>
              <w:rPr>
                <w:sz w:val="9"/>
                <w:szCs w:val="9"/>
                <w:color w:val="auto"/>
              </w:rPr>
            </w:pPr>
          </w:p>
        </w:tc>
        <w:tc>
          <w:tcPr>
            <w:tcW w:w="184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92"/>
              </w:rPr>
              <w:t>January 1 to</w:t>
            </w:r>
          </w:p>
        </w:tc>
        <w:tc>
          <w:tcPr>
            <w:tcW w:w="182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92"/>
              </w:rPr>
              <w:t>January 1 to</w:t>
            </w:r>
          </w:p>
        </w:tc>
        <w:tc>
          <w:tcPr>
            <w:tcW w:w="17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2"/>
              </w:rPr>
              <w:t>January 1 to</w:t>
            </w:r>
          </w:p>
        </w:tc>
      </w:tr>
      <w:tr>
        <w:trPr>
          <w:trHeight w:val="114"/>
        </w:trPr>
        <w:tc>
          <w:tcPr>
            <w:tcW w:w="6060" w:type="dxa"/>
            <w:vAlign w:val="bottom"/>
          </w:tcPr>
          <w:p>
            <w:pPr>
              <w:spacing w:after="0"/>
              <w:rPr>
                <w:sz w:val="9"/>
                <w:szCs w:val="9"/>
                <w:color w:val="auto"/>
              </w:rPr>
            </w:pPr>
          </w:p>
        </w:tc>
        <w:tc>
          <w:tcPr>
            <w:tcW w:w="184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87"/>
              </w:rPr>
              <w:t>December 31</w:t>
            </w:r>
          </w:p>
        </w:tc>
        <w:tc>
          <w:tcPr>
            <w:tcW w:w="182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9"/>
              </w:rPr>
              <w:t>December 31,</w:t>
            </w:r>
          </w:p>
        </w:tc>
        <w:tc>
          <w:tcPr>
            <w:tcW w:w="172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9"/>
              </w:rPr>
              <w:t>December 31,</w:t>
            </w:r>
          </w:p>
        </w:tc>
      </w:tr>
      <w:tr>
        <w:trPr>
          <w:trHeight w:val="147"/>
        </w:trPr>
        <w:tc>
          <w:tcPr>
            <w:tcW w:w="606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2016</w:t>
            </w:r>
          </w:p>
        </w:tc>
        <w:tc>
          <w:tcPr>
            <w:tcW w:w="12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2014</w:t>
            </w:r>
          </w:p>
        </w:tc>
      </w:tr>
      <w:tr>
        <w:trPr>
          <w:trHeight w:val="18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(in years)(1)</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1"/>
              </w:rPr>
              <w:t>0.5</w:t>
            </w:r>
          </w:p>
        </w:tc>
        <w:tc>
          <w:tcPr>
            <w:tcW w:w="1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1"/>
              </w:rPr>
              <w:t>0.5</w:t>
            </w:r>
          </w:p>
        </w:tc>
        <w:tc>
          <w:tcPr>
            <w:tcW w:w="1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1"/>
              </w:rPr>
              <w:t>0.5</w:t>
            </w:r>
          </w:p>
        </w:tc>
      </w:tr>
      <w:tr>
        <w:trPr>
          <w:trHeight w:val="185"/>
        </w:trPr>
        <w:tc>
          <w:tcPr>
            <w:tcW w:w="6060" w:type="dxa"/>
            <w:vAlign w:val="bottom"/>
          </w:tcPr>
          <w:p>
            <w:pPr>
              <w:ind w:left="20"/>
              <w:spacing w:after="0"/>
              <w:rPr>
                <w:sz w:val="20"/>
                <w:szCs w:val="20"/>
                <w:color w:val="auto"/>
              </w:rPr>
            </w:pPr>
            <w:r>
              <w:rPr>
                <w:rFonts w:ascii="Arial" w:cs="Arial" w:eastAsia="Arial" w:hAnsi="Arial"/>
                <w:sz w:val="14"/>
                <w:szCs w:val="14"/>
                <w:color w:val="auto"/>
              </w:rPr>
              <w:t>Risk-free interest rate(2)</w:t>
            </w: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.36% - .49%</w:t>
            </w: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0.11% - 0.12%</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0.07% - 0.10%</w:t>
            </w:r>
          </w:p>
        </w:tc>
      </w:tr>
      <w:tr>
        <w:trPr>
          <w:trHeight w:val="22"/>
        </w:trPr>
        <w:tc>
          <w:tcPr>
            <w:tcW w:w="6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volatility(3)</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53.00% - 55.55%</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39.63% - 40.91%</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40.14% - 40.23%</w:t>
            </w:r>
          </w:p>
        </w:tc>
      </w:tr>
      <w:tr>
        <w:trPr>
          <w:trHeight w:val="185"/>
        </w:trPr>
        <w:tc>
          <w:tcPr>
            <w:tcW w:w="6060" w:type="dxa"/>
            <w:vAlign w:val="bottom"/>
          </w:tcPr>
          <w:p>
            <w:pPr>
              <w:ind w:left="20"/>
              <w:spacing w:after="0"/>
              <w:rPr>
                <w:sz w:val="20"/>
                <w:szCs w:val="20"/>
                <w:color w:val="auto"/>
              </w:rPr>
            </w:pPr>
            <w:r>
              <w:rPr>
                <w:rFonts w:ascii="Arial" w:cs="Arial" w:eastAsia="Arial" w:hAnsi="Arial"/>
                <w:sz w:val="14"/>
                <w:szCs w:val="14"/>
                <w:color w:val="auto"/>
              </w:rPr>
              <w:t>Expected dividend yield(4)</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w:t>
            </w:r>
          </w:p>
        </w:tc>
      </w:tr>
      <w:tr>
        <w:trPr>
          <w:trHeight w:val="22"/>
        </w:trPr>
        <w:tc>
          <w:tcPr>
            <w:tcW w:w="6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5"/>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grant-date fair value per share</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$1.43</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$2.09</w:t>
            </w:r>
          </w:p>
        </w:tc>
      </w:tr>
      <w:tr>
        <w:trPr>
          <w:trHeight w:val="22"/>
        </w:trPr>
        <w:tc>
          <w:tcPr>
            <w:tcW w:w="60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left="720"/>
        <w:spacing w:after="0"/>
        <w:tabs>
          <w:tab w:leader="none" w:pos="9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expected term is equivalent to the offering period.</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4"/>
          <w:szCs w:val="14"/>
          <w:color w:val="auto"/>
        </w:rPr>
        <w:t>(2)The risk-free interest rate is based on U.S. Treasury yields in effect at the time of grant with a term equal to the expected term.</w:t>
      </w:r>
    </w:p>
    <w:p>
      <w:pPr>
        <w:spacing w:after="0" w:line="5" w:lineRule="exact"/>
        <w:rPr>
          <w:sz w:val="20"/>
          <w:szCs w:val="20"/>
          <w:color w:val="auto"/>
        </w:rPr>
      </w:pPr>
    </w:p>
    <w:p>
      <w:pPr>
        <w:ind w:left="1040" w:hanging="292"/>
        <w:spacing w:after="0"/>
        <w:tabs>
          <w:tab w:leader="none" w:pos="10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Company estimated implied volatility based upon trailing volatility.</w:t>
      </w:r>
    </w:p>
    <w:p>
      <w:pPr>
        <w:spacing w:after="0" w:line="4" w:lineRule="exact"/>
        <w:rPr>
          <w:rFonts w:ascii="Arial" w:cs="Arial" w:eastAsia="Arial" w:hAnsi="Arial"/>
          <w:sz w:val="14"/>
          <w:szCs w:val="14"/>
          <w:color w:val="auto"/>
        </w:rPr>
      </w:pPr>
    </w:p>
    <w:p>
      <w:pPr>
        <w:ind w:left="1040" w:hanging="292"/>
        <w:spacing w:after="0"/>
        <w:tabs>
          <w:tab w:leader="none" w:pos="10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Company has no history or expectation of paying dividends on its common stock.</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 of December 25, 2016, there was no material unrecognized compensation expense related to the Purchase Plan.</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Note 11.</w:t>
      </w:r>
      <w:r>
        <w:rPr>
          <w:sz w:val="20"/>
          <w:szCs w:val="20"/>
          <w:color w:val="auto"/>
        </w:rPr>
        <w:tab/>
      </w:r>
      <w:r>
        <w:rPr>
          <w:rFonts w:ascii="Arial" w:cs="Arial" w:eastAsia="Arial" w:hAnsi="Arial"/>
          <w:sz w:val="12"/>
          <w:szCs w:val="12"/>
          <w:b w:val="1"/>
          <w:bCs w:val="1"/>
          <w:color w:val="auto"/>
        </w:rPr>
        <w:t>Retirement Plans</w:t>
      </w:r>
    </w:p>
    <w:p>
      <w:pPr>
        <w:spacing w:after="0" w:line="174" w:lineRule="exact"/>
        <w:rPr>
          <w:sz w:val="20"/>
          <w:szCs w:val="20"/>
          <w:color w:val="auto"/>
        </w:rPr>
      </w:pPr>
    </w:p>
    <w:p>
      <w:pPr>
        <w:ind w:right="80" w:firstLine="497"/>
        <w:spacing w:after="0" w:line="253" w:lineRule="auto"/>
        <w:rPr>
          <w:sz w:val="20"/>
          <w:szCs w:val="20"/>
          <w:color w:val="auto"/>
        </w:rPr>
      </w:pPr>
      <w:r>
        <w:rPr>
          <w:rFonts w:ascii="Arial" w:cs="Arial" w:eastAsia="Arial" w:hAnsi="Arial"/>
          <w:sz w:val="14"/>
          <w:szCs w:val="14"/>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$4.3 million in 2016, $4.9 million in 2015, and $4.9 million in 2014.</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Note 12.</w:t>
      </w:r>
      <w:r>
        <w:rPr>
          <w:sz w:val="20"/>
          <w:szCs w:val="20"/>
          <w:color w:val="auto"/>
        </w:rPr>
        <w:tab/>
      </w:r>
      <w:r>
        <w:rPr>
          <w:rFonts w:ascii="Arial" w:cs="Arial" w:eastAsia="Arial" w:hAnsi="Arial"/>
          <w:sz w:val="12"/>
          <w:szCs w:val="12"/>
          <w:b w:val="1"/>
          <w:bCs w:val="1"/>
          <w:color w:val="auto"/>
        </w:rPr>
        <w:t>Significant Customers</w:t>
      </w:r>
    </w:p>
    <w:p>
      <w:pPr>
        <w:spacing w:after="0" w:line="174" w:lineRule="exact"/>
        <w:rPr>
          <w:sz w:val="20"/>
          <w:szCs w:val="20"/>
          <w:color w:val="auto"/>
        </w:rPr>
      </w:pPr>
    </w:p>
    <w:p>
      <w:pPr>
        <w:jc w:val="both"/>
        <w:ind w:right="160" w:firstLine="497"/>
        <w:spacing w:after="0" w:line="320" w:lineRule="auto"/>
        <w:rPr>
          <w:sz w:val="20"/>
          <w:szCs w:val="20"/>
          <w:color w:val="auto"/>
        </w:rPr>
      </w:pPr>
      <w:r>
        <w:rPr>
          <w:rFonts w:ascii="Arial" w:cs="Arial" w:eastAsia="Arial" w:hAnsi="Arial"/>
          <w:sz w:val="12"/>
          <w:szCs w:val="12"/>
          <w:color w:val="auto"/>
        </w:rPr>
        <w:t>Revenue from the U.S. Government (which includes Foreign Military Sales) includes revenue from contracts for which Kratos is the prime contractor as well as those for which the Company is a subcontractor and the ultimate customer is the U.S. Government. The KGS and US segments have substantial revenue from the U.S. Government. Sales to the U.S. Government amounted to approximately $398.3 million, $402.9 million, and $437.4 million or 60%, 61%, and 57%, of total revenue for the years ended December 25, 2016, December 27, 2015, and December 28, 2014, respectively.</w:t>
      </w:r>
    </w:p>
    <w:p>
      <w:pPr>
        <w:spacing w:after="0" w:line="107"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Note 13.</w:t>
      </w:r>
      <w:r>
        <w:rPr>
          <w:sz w:val="20"/>
          <w:szCs w:val="20"/>
          <w:color w:val="auto"/>
        </w:rPr>
        <w:tab/>
      </w:r>
      <w:r>
        <w:rPr>
          <w:rFonts w:ascii="Arial" w:cs="Arial" w:eastAsia="Arial" w:hAnsi="Arial"/>
          <w:sz w:val="12"/>
          <w:szCs w:val="12"/>
          <w:b w:val="1"/>
          <w:bCs w:val="1"/>
          <w:color w:val="auto"/>
        </w:rPr>
        <w:t>Segment Information</w:t>
      </w:r>
    </w:p>
    <w:p>
      <w:pPr>
        <w:spacing w:after="0" w:line="174" w:lineRule="exact"/>
        <w:rPr>
          <w:sz w:val="20"/>
          <w:szCs w:val="20"/>
          <w:color w:val="auto"/>
        </w:rPr>
      </w:pPr>
    </w:p>
    <w:p>
      <w:pPr>
        <w:ind w:right="360" w:firstLine="497"/>
        <w:spacing w:after="0" w:line="309" w:lineRule="auto"/>
        <w:rPr>
          <w:sz w:val="20"/>
          <w:szCs w:val="20"/>
          <w:color w:val="auto"/>
        </w:rPr>
      </w:pPr>
      <w:r>
        <w:rPr>
          <w:rFonts w:ascii="Arial" w:cs="Arial" w:eastAsia="Arial" w:hAnsi="Arial"/>
          <w:sz w:val="12"/>
          <w:szCs w:val="12"/>
          <w:color w:val="auto"/>
        </w:rPr>
        <w:t>The KGS reportable segment is comprised of an aggregation of KGS operating segments, including defense and rocket support services, our microwave electronic products and satellite communications, technical and training solutions, and modular systems operating segments. The US reportable segment consists of our unmanned aerial, ground, seaborne and command, control and communications system business.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60"/>
          </w:cols>
          <w:pgMar w:left="220" w:top="129" w:right="21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20"/>
        <w:spacing w:after="0" w:line="286" w:lineRule="auto"/>
        <w:rPr>
          <w:sz w:val="20"/>
          <w:szCs w:val="20"/>
          <w:color w:val="auto"/>
        </w:rPr>
      </w:pPr>
      <w:r>
        <w:rPr>
          <w:rFonts w:ascii="Arial" w:cs="Arial" w:eastAsia="Arial" w:hAnsi="Arial"/>
          <w:sz w:val="13"/>
          <w:szCs w:val="13"/>
          <w:color w:val="auto"/>
        </w:rPr>
        <w:t>international commercial customers. The PSS segment designs, engineers, deploys, operates, integrates into command and control infrastructure, maintains and operates security and surveillance solutions for homeland security, public safety, critical infrastructure, government and commercial customers. PSS customers include those in the critical infrastructure, power generation, power transport, nuclear energy, financial, IT, healthcare, education, transportation and petro-chemical industries, as well as certain government and military customers.</w:t>
      </w:r>
    </w:p>
    <w:p>
      <w:pPr>
        <w:spacing w:after="0" w:line="128"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34" w:lineRule="exact"/>
        <w:rPr>
          <w:sz w:val="20"/>
          <w:szCs w:val="20"/>
          <w:color w:val="auto"/>
        </w:rPr>
      </w:pPr>
    </w:p>
    <w:p>
      <w:pPr>
        <w:jc w:val="both"/>
        <w:ind w:right="160" w:firstLine="497"/>
        <w:spacing w:after="0" w:line="257" w:lineRule="auto"/>
        <w:rPr>
          <w:sz w:val="20"/>
          <w:szCs w:val="20"/>
          <w:color w:val="auto"/>
        </w:rPr>
      </w:pPr>
      <w:r>
        <w:rPr>
          <w:rFonts w:ascii="Arial" w:cs="Arial" w:eastAsia="Arial" w:hAnsi="Arial"/>
          <w:sz w:val="14"/>
          <w:szCs w:val="14"/>
          <w:color w:val="auto"/>
        </w:rPr>
        <w:t>As discussed in “Discontinued Operations” in Note 8 of these Notes to Consolidated Financial Statements, the Company began reporting the Herley Entities as discontinued operations effective in the second quarter of fiscal 2015. Prior to the decision to sell the Herley Entities, the Company reported their financial results in the KGS reportable segment. Accordingly, segment results have been recast for 2015 and prior periods presented to reflect the disposition of the Herley Entities as discontinued operations.</w:t>
      </w:r>
    </w:p>
    <w:p>
      <w:pPr>
        <w:spacing w:after="0" w:line="145" w:lineRule="exact"/>
        <w:rPr>
          <w:sz w:val="20"/>
          <w:szCs w:val="20"/>
          <w:color w:val="auto"/>
        </w:rPr>
      </w:pPr>
    </w:p>
    <w:p>
      <w:pPr>
        <w:ind w:right="320" w:firstLine="497"/>
        <w:spacing w:after="0" w:line="267" w:lineRule="auto"/>
        <w:rPr>
          <w:sz w:val="20"/>
          <w:szCs w:val="20"/>
          <w:color w:val="auto"/>
        </w:rPr>
      </w:pPr>
      <w:r>
        <w:rPr>
          <w:rFonts w:ascii="Arial" w:cs="Arial" w:eastAsia="Arial" w:hAnsi="Arial"/>
          <w:sz w:val="14"/>
          <w:szCs w:val="14"/>
          <w:color w:val="auto"/>
        </w:rPr>
        <w:t>As certain overhead type costs previously allocated to the Herley Entities are not allocable to discontinued operations, prior period corporate costs have been reallocated amongst the continuing reportable segments.</w:t>
      </w:r>
    </w:p>
    <w:p>
      <w:pPr>
        <w:spacing w:after="0" w:line="139" w:lineRule="exact"/>
        <w:rPr>
          <w:sz w:val="20"/>
          <w:szCs w:val="20"/>
          <w:color w:val="auto"/>
        </w:rPr>
      </w:pPr>
    </w:p>
    <w:p>
      <w:pPr>
        <w:ind w:right="60" w:firstLine="497"/>
        <w:spacing w:after="0" w:line="267" w:lineRule="auto"/>
        <w:rPr>
          <w:sz w:val="20"/>
          <w:szCs w:val="20"/>
          <w:color w:val="auto"/>
        </w:rPr>
      </w:pPr>
      <w:r>
        <w:rPr>
          <w:rFonts w:ascii="Arial" w:cs="Arial" w:eastAsia="Arial" w:hAnsi="Arial"/>
          <w:sz w:val="14"/>
          <w:szCs w:val="14"/>
          <w:color w:val="auto"/>
        </w:rPr>
        <w:t>Revenues, operating income (loss) and assets disclosed below provided by the Company’s reportable segments for the years ended December 25, 2016, December 27, 2015, and December 28, 2014, are as follows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520" w:type="dxa"/>
            <w:vAlign w:val="bottom"/>
          </w:tcPr>
          <w:p>
            <w:pPr>
              <w:spacing w:after="0"/>
              <w:rPr>
                <w:sz w:val="12"/>
                <w:szCs w:val="12"/>
                <w:color w:val="auto"/>
              </w:rPr>
            </w:pPr>
          </w:p>
        </w:tc>
        <w:tc>
          <w:tcPr>
            <w:tcW w:w="3480" w:type="dxa"/>
            <w:vAlign w:val="bottom"/>
            <w:gridSpan w:val="2"/>
          </w:tcPr>
          <w:p>
            <w:pPr>
              <w:jc w:val="right"/>
              <w:ind w:right="11"/>
              <w:spacing w:after="0"/>
              <w:rPr>
                <w:sz w:val="20"/>
                <w:szCs w:val="20"/>
                <w:color w:val="auto"/>
              </w:rPr>
            </w:pPr>
            <w:r>
              <w:rPr>
                <w:rFonts w:ascii="Arial" w:cs="Arial" w:eastAsia="Arial" w:hAnsi="Arial"/>
                <w:sz w:val="11"/>
                <w:szCs w:val="11"/>
                <w:b w:val="1"/>
                <w:bCs w:val="1"/>
                <w:color w:val="auto"/>
              </w:rPr>
              <w:t>2016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92"/>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92"/>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182"/>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20" w:type="dxa"/>
            <w:vAlign w:val="bottom"/>
          </w:tcPr>
          <w:p>
            <w:pPr>
              <w:ind w:left="140"/>
              <w:spacing w:after="0"/>
              <w:rPr>
                <w:sz w:val="20"/>
                <w:szCs w:val="20"/>
                <w:color w:val="auto"/>
              </w:rPr>
            </w:pPr>
            <w:r>
              <w:rPr>
                <w:rFonts w:ascii="Arial" w:cs="Arial" w:eastAsia="Arial" w:hAnsi="Arial"/>
                <w:sz w:val="14"/>
                <w:szCs w:val="14"/>
                <w:color w:val="auto"/>
              </w:rPr>
              <w:t>Kratos Government Solutions</w:t>
            </w:r>
          </w:p>
        </w:tc>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Service revenues</w:t>
            </w:r>
          </w:p>
        </w:tc>
        <w:tc>
          <w:tcPr>
            <w:tcW w:w="3480" w:type="dxa"/>
            <w:vAlign w:val="bottom"/>
            <w:tcBorders>
              <w:bottom w:val="single" w:sz="8" w:color="CCEEFF"/>
            </w:tcBorders>
            <w:gridSpan w:val="2"/>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221.0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209.5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85"/>
        </w:trPr>
        <w:tc>
          <w:tcPr>
            <w:tcW w:w="4520" w:type="dxa"/>
            <w:vAlign w:val="bottom"/>
          </w:tcPr>
          <w:p>
            <w:pPr>
              <w:ind w:left="220"/>
              <w:spacing w:after="0"/>
              <w:rPr>
                <w:sz w:val="20"/>
                <w:szCs w:val="20"/>
                <w:color w:val="auto"/>
              </w:rPr>
            </w:pPr>
            <w:r>
              <w:rPr>
                <w:rFonts w:ascii="Arial" w:cs="Arial" w:eastAsia="Arial" w:hAnsi="Arial"/>
                <w:sz w:val="14"/>
                <w:szCs w:val="14"/>
                <w:color w:val="auto"/>
              </w:rPr>
              <w:t>Product sales</w:t>
            </w:r>
          </w:p>
        </w:tc>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244.8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236.6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277.7</w:t>
            </w:r>
          </w:p>
        </w:tc>
        <w:tc>
          <w:tcPr>
            <w:tcW w:w="0" w:type="dxa"/>
            <w:vAlign w:val="bottom"/>
          </w:tcPr>
          <w:p>
            <w:pPr>
              <w:spacing w:after="0"/>
              <w:rPr>
                <w:sz w:val="1"/>
                <w:szCs w:val="1"/>
                <w:color w:val="auto"/>
              </w:rPr>
            </w:pPr>
          </w:p>
        </w:tc>
      </w:tr>
      <w:tr>
        <w:trPr>
          <w:trHeight w:val="22"/>
        </w:trPr>
        <w:tc>
          <w:tcPr>
            <w:tcW w:w="45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Kratos Government Solutions</w:t>
            </w:r>
          </w:p>
        </w:tc>
        <w:tc>
          <w:tcPr>
            <w:tcW w:w="26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465.8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446.1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485.1</w:t>
            </w:r>
          </w:p>
        </w:tc>
        <w:tc>
          <w:tcPr>
            <w:tcW w:w="0" w:type="dxa"/>
            <w:vAlign w:val="bottom"/>
          </w:tcPr>
          <w:p>
            <w:pPr>
              <w:spacing w:after="0"/>
              <w:rPr>
                <w:sz w:val="1"/>
                <w:szCs w:val="1"/>
                <w:color w:val="auto"/>
              </w:rPr>
            </w:pPr>
          </w:p>
        </w:tc>
      </w:tr>
      <w:tr>
        <w:trPr>
          <w:trHeight w:val="175"/>
        </w:trPr>
        <w:tc>
          <w:tcPr>
            <w:tcW w:w="4520" w:type="dxa"/>
            <w:vAlign w:val="bottom"/>
          </w:tcPr>
          <w:p>
            <w:pPr>
              <w:ind w:left="140"/>
              <w:spacing w:after="0"/>
              <w:rPr>
                <w:sz w:val="20"/>
                <w:szCs w:val="20"/>
                <w:color w:val="auto"/>
              </w:rPr>
            </w:pPr>
            <w:r>
              <w:rPr>
                <w:rFonts w:ascii="Arial" w:cs="Arial" w:eastAsia="Arial" w:hAnsi="Arial"/>
                <w:sz w:val="14"/>
                <w:szCs w:val="14"/>
                <w:color w:val="auto"/>
              </w:rPr>
              <w:t>Public Safety &amp; Security</w:t>
            </w:r>
          </w:p>
        </w:tc>
        <w:tc>
          <w:tcPr>
            <w:tcW w:w="26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Service revenues</w:t>
            </w:r>
          </w:p>
        </w:tc>
        <w:tc>
          <w:tcPr>
            <w:tcW w:w="26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127.1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144.7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85"/>
        </w:trPr>
        <w:tc>
          <w:tcPr>
            <w:tcW w:w="4520" w:type="dxa"/>
            <w:vAlign w:val="bottom"/>
          </w:tcPr>
          <w:p>
            <w:pPr>
              <w:ind w:left="220"/>
              <w:spacing w:after="0"/>
              <w:rPr>
                <w:sz w:val="20"/>
                <w:szCs w:val="20"/>
                <w:color w:val="auto"/>
              </w:rPr>
            </w:pPr>
            <w:r>
              <w:rPr>
                <w:rFonts w:ascii="Arial" w:cs="Arial" w:eastAsia="Arial" w:hAnsi="Arial"/>
                <w:sz w:val="14"/>
                <w:szCs w:val="14"/>
                <w:color w:val="auto"/>
              </w:rPr>
              <w:t>Product sales</w:t>
            </w:r>
          </w:p>
        </w:tc>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2"/>
        </w:trPr>
        <w:tc>
          <w:tcPr>
            <w:tcW w:w="45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Public Safety &amp; Security</w:t>
            </w:r>
          </w:p>
        </w:tc>
        <w:tc>
          <w:tcPr>
            <w:tcW w:w="2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127.1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144.7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85"/>
        </w:trPr>
        <w:tc>
          <w:tcPr>
            <w:tcW w:w="4520" w:type="dxa"/>
            <w:vAlign w:val="bottom"/>
          </w:tcPr>
          <w:p>
            <w:pPr>
              <w:ind w:left="140"/>
              <w:spacing w:after="0"/>
              <w:rPr>
                <w:sz w:val="20"/>
                <w:szCs w:val="20"/>
                <w:color w:val="auto"/>
              </w:rPr>
            </w:pPr>
            <w:r>
              <w:rPr>
                <w:rFonts w:ascii="Arial" w:cs="Arial" w:eastAsia="Arial" w:hAnsi="Arial"/>
                <w:sz w:val="14"/>
                <w:szCs w:val="14"/>
                <w:color w:val="auto"/>
              </w:rPr>
              <w:t>Unmanned Systems</w:t>
            </w:r>
          </w:p>
        </w:tc>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Service revenues</w:t>
            </w:r>
          </w:p>
        </w:tc>
        <w:tc>
          <w:tcPr>
            <w:tcW w:w="26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520" w:type="dxa"/>
            <w:vAlign w:val="bottom"/>
          </w:tcPr>
          <w:p>
            <w:pPr>
              <w:ind w:left="220"/>
              <w:spacing w:after="0"/>
              <w:rPr>
                <w:sz w:val="20"/>
                <w:szCs w:val="20"/>
                <w:color w:val="auto"/>
              </w:rPr>
            </w:pPr>
            <w:r>
              <w:rPr>
                <w:rFonts w:ascii="Arial" w:cs="Arial" w:eastAsia="Arial" w:hAnsi="Arial"/>
                <w:sz w:val="14"/>
                <w:szCs w:val="14"/>
                <w:color w:val="auto"/>
              </w:rPr>
              <w:t>Product sales</w:t>
            </w:r>
          </w:p>
        </w:tc>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22"/>
        </w:trPr>
        <w:tc>
          <w:tcPr>
            <w:tcW w:w="45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Unmanned Systems</w:t>
            </w:r>
          </w:p>
        </w:tc>
        <w:tc>
          <w:tcPr>
            <w:tcW w:w="26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75.8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66.3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232"/>
        </w:trPr>
        <w:tc>
          <w:tcPr>
            <w:tcW w:w="45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revenues</w:t>
            </w:r>
          </w:p>
        </w:tc>
        <w:tc>
          <w:tcPr>
            <w:tcW w:w="260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731"/>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668.7</w:t>
            </w:r>
          </w:p>
        </w:tc>
        <w:tc>
          <w:tcPr>
            <w:tcW w:w="1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657.1</w:t>
            </w:r>
          </w:p>
        </w:tc>
        <w:tc>
          <w:tcPr>
            <w:tcW w:w="1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763.0</w:t>
            </w:r>
          </w:p>
        </w:tc>
        <w:tc>
          <w:tcPr>
            <w:tcW w:w="0" w:type="dxa"/>
            <w:vAlign w:val="bottom"/>
          </w:tcPr>
          <w:p>
            <w:pPr>
              <w:spacing w:after="0"/>
              <w:rPr>
                <w:sz w:val="1"/>
                <w:szCs w:val="1"/>
                <w:color w:val="auto"/>
              </w:rPr>
            </w:pPr>
          </w:p>
        </w:tc>
      </w:tr>
      <w:tr>
        <w:trPr>
          <w:trHeight w:val="16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6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20" w:type="dxa"/>
            <w:vAlign w:val="bottom"/>
          </w:tcPr>
          <w:p>
            <w:pPr>
              <w:ind w:left="140"/>
              <w:spacing w:after="0"/>
              <w:rPr>
                <w:sz w:val="20"/>
                <w:szCs w:val="20"/>
                <w:color w:val="auto"/>
              </w:rPr>
            </w:pPr>
            <w:r>
              <w:rPr>
                <w:rFonts w:ascii="Arial" w:cs="Arial" w:eastAsia="Arial" w:hAnsi="Arial"/>
                <w:sz w:val="14"/>
                <w:szCs w:val="14"/>
                <w:color w:val="auto"/>
              </w:rPr>
              <w:t>Kratos Government Solutions</w:t>
            </w:r>
          </w:p>
        </w:tc>
        <w:tc>
          <w:tcPr>
            <w:tcW w:w="3480" w:type="dxa"/>
            <w:vAlign w:val="bottom"/>
            <w:gridSpan w:val="2"/>
          </w:tcPr>
          <w:p>
            <w:pPr>
              <w:jc w:val="right"/>
              <w:ind w:right="731"/>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Public Safety &amp; Security</w:t>
            </w:r>
          </w:p>
        </w:tc>
        <w:tc>
          <w:tcPr>
            <w:tcW w:w="26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5"/>
        </w:trPr>
        <w:tc>
          <w:tcPr>
            <w:tcW w:w="4520" w:type="dxa"/>
            <w:vAlign w:val="bottom"/>
          </w:tcPr>
          <w:p>
            <w:pPr>
              <w:ind w:left="140"/>
              <w:spacing w:after="0"/>
              <w:rPr>
                <w:sz w:val="20"/>
                <w:szCs w:val="20"/>
                <w:color w:val="auto"/>
              </w:rPr>
            </w:pPr>
            <w:r>
              <w:rPr>
                <w:rFonts w:ascii="Arial" w:cs="Arial" w:eastAsia="Arial" w:hAnsi="Arial"/>
                <w:sz w:val="14"/>
                <w:szCs w:val="14"/>
                <w:color w:val="auto"/>
              </w:rPr>
              <w:t>Unmanned Systems</w:t>
            </w:r>
          </w:p>
        </w:tc>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2"/>
        </w:trPr>
        <w:tc>
          <w:tcPr>
            <w:tcW w:w="45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depreciation and amortization</w:t>
            </w:r>
          </w:p>
        </w:tc>
        <w:tc>
          <w:tcPr>
            <w:tcW w:w="3480" w:type="dxa"/>
            <w:vAlign w:val="bottom"/>
            <w:gridSpan w:val="2"/>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Operating income (loss) from continuing operations:</w:t>
            </w:r>
          </w:p>
        </w:tc>
        <w:tc>
          <w:tcPr>
            <w:tcW w:w="2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vMerge w:val="continue"/>
          </w:tcPr>
          <w:p>
            <w:pPr>
              <w:spacing w:after="0"/>
              <w:rPr>
                <w:sz w:val="14"/>
                <w:szCs w:val="14"/>
                <w:color w:val="auto"/>
              </w:rPr>
            </w:pPr>
          </w:p>
        </w:tc>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Kratos Government Solutions</w:t>
            </w:r>
          </w:p>
        </w:tc>
        <w:tc>
          <w:tcPr>
            <w:tcW w:w="3480" w:type="dxa"/>
            <w:vAlign w:val="bottom"/>
            <w:tcBorders>
              <w:bottom w:val="single" w:sz="8" w:color="CCEEFF"/>
            </w:tcBorders>
            <w:gridSpan w:val="2"/>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5"/>
        </w:trPr>
        <w:tc>
          <w:tcPr>
            <w:tcW w:w="4520" w:type="dxa"/>
            <w:vAlign w:val="bottom"/>
          </w:tcPr>
          <w:p>
            <w:pPr>
              <w:ind w:left="140"/>
              <w:spacing w:after="0"/>
              <w:rPr>
                <w:sz w:val="20"/>
                <w:szCs w:val="20"/>
                <w:color w:val="auto"/>
              </w:rPr>
            </w:pPr>
            <w:r>
              <w:rPr>
                <w:rFonts w:ascii="Arial" w:cs="Arial" w:eastAsia="Arial" w:hAnsi="Arial"/>
                <w:sz w:val="14"/>
                <w:szCs w:val="14"/>
                <w:color w:val="auto"/>
              </w:rPr>
              <w:t>Public Safety &amp; Security</w:t>
            </w:r>
          </w:p>
        </w:tc>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Unmanned Systems</w:t>
            </w:r>
          </w:p>
        </w:tc>
        <w:tc>
          <w:tcPr>
            <w:tcW w:w="26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5"/>
        </w:trPr>
        <w:tc>
          <w:tcPr>
            <w:tcW w:w="4520" w:type="dxa"/>
            <w:vAlign w:val="bottom"/>
          </w:tcPr>
          <w:p>
            <w:pPr>
              <w:ind w:left="140"/>
              <w:spacing w:after="0"/>
              <w:rPr>
                <w:sz w:val="20"/>
                <w:szCs w:val="20"/>
                <w:color w:val="auto"/>
              </w:rPr>
            </w:pPr>
            <w:r>
              <w:rPr>
                <w:rFonts w:ascii="Arial" w:cs="Arial" w:eastAsia="Arial" w:hAnsi="Arial"/>
                <w:sz w:val="14"/>
                <w:szCs w:val="14"/>
                <w:color w:val="auto"/>
              </w:rPr>
              <w:t>Corporate activities</w:t>
            </w:r>
          </w:p>
        </w:tc>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2"/>
        </w:trPr>
        <w:tc>
          <w:tcPr>
            <w:tcW w:w="45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income (loss) from continuing operations</w:t>
            </w:r>
          </w:p>
        </w:tc>
        <w:tc>
          <w:tcPr>
            <w:tcW w:w="3480" w:type="dxa"/>
            <w:vAlign w:val="bottom"/>
            <w:gridSpan w:val="2"/>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520" w:type="dxa"/>
            <w:vAlign w:val="bottom"/>
          </w:tcPr>
          <w:p>
            <w:pPr>
              <w:spacing w:after="0"/>
              <w:rPr>
                <w:sz w:val="24"/>
                <w:szCs w:val="24"/>
                <w:color w:val="auto"/>
              </w:rPr>
            </w:pPr>
          </w:p>
        </w:tc>
        <w:tc>
          <w:tcPr>
            <w:tcW w:w="3480" w:type="dxa"/>
            <w:vAlign w:val="bottom"/>
            <w:gridSpan w:val="2"/>
          </w:tcPr>
          <w:p>
            <w:pPr>
              <w:jc w:val="right"/>
              <w:ind w:right="2071"/>
              <w:spacing w:after="0"/>
              <w:rPr>
                <w:sz w:val="20"/>
                <w:szCs w:val="20"/>
                <w:color w:val="auto"/>
              </w:rPr>
            </w:pPr>
            <w:r>
              <w:rPr>
                <w:rFonts w:ascii="Arial" w:cs="Arial" w:eastAsia="Arial" w:hAnsi="Arial"/>
                <w:sz w:val="14"/>
                <w:szCs w:val="14"/>
                <w:color w:val="auto"/>
              </w:rPr>
              <w:t>F-33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100" w:firstLine="497"/>
        <w:spacing w:after="0" w:line="267" w:lineRule="auto"/>
        <w:rPr>
          <w:sz w:val="20"/>
          <w:szCs w:val="20"/>
          <w:color w:val="auto"/>
        </w:rPr>
      </w:pPr>
      <w:r>
        <w:rPr>
          <w:rFonts w:ascii="Arial" w:cs="Arial" w:eastAsia="Arial" w:hAnsi="Arial"/>
          <w:sz w:val="14"/>
          <w:szCs w:val="14"/>
          <w:color w:val="auto"/>
        </w:rPr>
        <w:t>Revenues from foreign customers were approximately $80.1 million or 12%, $73.2 million or 11% and $89.0 million or 12% of total revenue for the years ended December 25, 2016, December 27, 2015, and December 28, 2014, respectively.</w:t>
      </w:r>
    </w:p>
    <w:p>
      <w:pPr>
        <w:spacing w:after="0" w:line="139" w:lineRule="exact"/>
        <w:rPr>
          <w:sz w:val="20"/>
          <w:szCs w:val="20"/>
          <w:color w:val="auto"/>
        </w:rPr>
      </w:pPr>
    </w:p>
    <w:p>
      <w:pPr>
        <w:jc w:val="both"/>
        <w:ind w:right="380" w:firstLine="497"/>
        <w:spacing w:after="0" w:line="320" w:lineRule="auto"/>
        <w:rPr>
          <w:sz w:val="20"/>
          <w:szCs w:val="20"/>
          <w:color w:val="auto"/>
        </w:rPr>
      </w:pPr>
      <w:r>
        <w:rPr>
          <w:rFonts w:ascii="Arial" w:cs="Arial" w:eastAsia="Arial" w:hAnsi="Arial"/>
          <w:sz w:val="12"/>
          <w:szCs w:val="12"/>
          <w:color w:val="auto"/>
        </w:rPr>
        <w:t>Included in the 2016 operating losses for the US reportable segment is an $18.7 million loss accrual recorded on the Air Force Research Laboratory (“AFRL”) Low-Cost Attritable Strike UAS Demonstration (“LCASD”) cost share contract awarded in July 2016. Included in the 2015 and 2014 operating losses for the US reportable segment are increased costs of $5.7 million, and $3.1 million respectively, primarily related to certain retrofits necessary to address product design changes as well as due to a contract conversion adjustment on certain of the Company's aerial platforms.</w:t>
      </w:r>
    </w:p>
    <w:p>
      <w:pPr>
        <w:spacing w:after="0" w:line="111" w:lineRule="exact"/>
        <w:rPr>
          <w:sz w:val="20"/>
          <w:szCs w:val="20"/>
          <w:color w:val="auto"/>
        </w:rPr>
      </w:pPr>
    </w:p>
    <w:p>
      <w:pPr>
        <w:ind w:right="280" w:firstLine="497"/>
        <w:spacing w:after="0" w:line="267" w:lineRule="auto"/>
        <w:rPr>
          <w:sz w:val="20"/>
          <w:szCs w:val="20"/>
          <w:color w:val="auto"/>
        </w:rPr>
      </w:pPr>
      <w:r>
        <w:rPr>
          <w:rFonts w:ascii="Arial" w:cs="Arial" w:eastAsia="Arial" w:hAnsi="Arial"/>
          <w:sz w:val="14"/>
          <w:szCs w:val="14"/>
          <w:color w:val="auto"/>
        </w:rPr>
        <w:t>Included in the 2016 operating losses for the PSS reportable segment is a $1.9 million charge related to the settlement of a contract dispute and $4.1 million in unexpected cost growth on several large long-term security integration projects which are nearing completion.</w:t>
      </w:r>
    </w:p>
    <w:p>
      <w:pPr>
        <w:spacing w:after="0" w:line="139" w:lineRule="exact"/>
        <w:rPr>
          <w:sz w:val="20"/>
          <w:szCs w:val="20"/>
          <w:color w:val="auto"/>
        </w:rPr>
      </w:pPr>
    </w:p>
    <w:p>
      <w:pPr>
        <w:ind w:right="140" w:firstLine="497"/>
        <w:spacing w:after="0" w:line="267" w:lineRule="auto"/>
        <w:rPr>
          <w:sz w:val="20"/>
          <w:szCs w:val="20"/>
          <w:color w:val="auto"/>
        </w:rPr>
      </w:pPr>
      <w:r>
        <w:rPr>
          <w:rFonts w:ascii="Arial" w:cs="Arial" w:eastAsia="Arial" w:hAnsi="Arial"/>
          <w:sz w:val="14"/>
          <w:szCs w:val="14"/>
          <w:color w:val="auto"/>
        </w:rPr>
        <w:t>Included in the 2016 operating income for the KGS reportable segment is a $9.2 million charge that was recorded in the Company’s modular systems business as a result of the closure of one of its manufacturing facilities, and the exit from certain lower margin product business lines.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Reportable segment assets are as follows (in millions):</w:t>
      </w:r>
    </w:p>
    <w:p>
      <w:pPr>
        <w:spacing w:after="0" w:line="174" w:lineRule="exact"/>
        <w:rPr>
          <w:sz w:val="20"/>
          <w:szCs w:val="20"/>
          <w:color w:val="auto"/>
        </w:rPr>
      </w:pPr>
    </w:p>
    <w:p>
      <w:pPr>
        <w:ind w:left="7940"/>
        <w:spacing w:after="0"/>
        <w:tabs>
          <w:tab w:leader="none" w:pos="9180" w:val="left"/>
          <w:tab w:leader="none" w:pos="10440" w:val="left"/>
        </w:tabs>
        <w:rPr>
          <w:sz w:val="20"/>
          <w:szCs w:val="20"/>
          <w:color w:val="auto"/>
        </w:rPr>
      </w:pPr>
      <w:r>
        <w:rPr>
          <w:rFonts w:ascii="Arial" w:cs="Arial" w:eastAsia="Arial" w:hAnsi="Arial"/>
          <w:sz w:val="11"/>
          <w:szCs w:val="11"/>
          <w:b w:val="1"/>
          <w:bCs w:val="1"/>
          <w:color w:val="auto"/>
        </w:rPr>
        <w:t>December 25, 2016</w:t>
      </w:r>
      <w:r>
        <w:rPr>
          <w:sz w:val="20"/>
          <w:szCs w:val="20"/>
          <w:color w:val="auto"/>
        </w:rPr>
        <w:tab/>
      </w:r>
      <w:r>
        <w:rPr>
          <w:rFonts w:ascii="Arial" w:cs="Arial" w:eastAsia="Arial" w:hAnsi="Arial"/>
          <w:sz w:val="11"/>
          <w:szCs w:val="11"/>
          <w:b w:val="1"/>
          <w:bCs w:val="1"/>
          <w:color w:val="auto"/>
        </w:rPr>
        <w:t>December 27, 2015</w:t>
      </w:r>
      <w:r>
        <w:rPr>
          <w:sz w:val="20"/>
          <w:szCs w:val="20"/>
          <w:color w:val="auto"/>
        </w:rPr>
        <w:tab/>
      </w:r>
      <w:r>
        <w:rPr>
          <w:rFonts w:ascii="Arial" w:cs="Arial" w:eastAsia="Arial" w:hAnsi="Arial"/>
          <w:sz w:val="9"/>
          <w:szCs w:val="9"/>
          <w:b w:val="1"/>
          <w:bCs w:val="1"/>
          <w:color w:val="auto"/>
        </w:rPr>
        <w:t>December 28, 2014</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185"/>
        </w:trPr>
        <w:tc>
          <w:tcPr>
            <w:tcW w:w="7800" w:type="dxa"/>
            <w:vAlign w:val="bottom"/>
          </w:tcPr>
          <w:p>
            <w:pPr>
              <w:ind w:left="140"/>
              <w:spacing w:after="0"/>
              <w:rPr>
                <w:sz w:val="20"/>
                <w:szCs w:val="20"/>
                <w:color w:val="auto"/>
              </w:rPr>
            </w:pPr>
            <w:r>
              <w:rPr>
                <w:rFonts w:ascii="Arial" w:cs="Arial" w:eastAsia="Arial" w:hAnsi="Arial"/>
                <w:sz w:val="14"/>
                <w:szCs w:val="14"/>
                <w:color w:val="auto"/>
              </w:rPr>
              <w:t>Kratos Government Solutions</w:t>
            </w: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609.8</w:t>
            </w:r>
          </w:p>
        </w:tc>
        <w:tc>
          <w:tcPr>
            <w:tcW w:w="120" w:type="dxa"/>
            <w:vAlign w:val="bottom"/>
          </w:tcPr>
          <w:p>
            <w:pPr>
              <w:spacing w:after="0"/>
              <w:rPr>
                <w:sz w:val="16"/>
                <w:szCs w:val="16"/>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606.8</w:t>
            </w:r>
          </w:p>
        </w:tc>
        <w:tc>
          <w:tcPr>
            <w:tcW w:w="4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618.9</w:t>
            </w:r>
          </w:p>
        </w:tc>
      </w:tr>
      <w:tr>
        <w:trPr>
          <w:trHeight w:val="22"/>
        </w:trPr>
        <w:tc>
          <w:tcPr>
            <w:tcW w:w="7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7"/>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Unmanned Systems</w:t>
            </w: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172.1</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162.0</w:t>
            </w:r>
          </w:p>
        </w:tc>
        <w:tc>
          <w:tcPr>
            <w:tcW w:w="4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166.1</w:t>
            </w:r>
          </w:p>
        </w:tc>
      </w:tr>
      <w:tr>
        <w:trPr>
          <w:trHeight w:val="185"/>
        </w:trPr>
        <w:tc>
          <w:tcPr>
            <w:tcW w:w="7800" w:type="dxa"/>
            <w:vAlign w:val="bottom"/>
          </w:tcPr>
          <w:p>
            <w:pPr>
              <w:ind w:left="140"/>
              <w:spacing w:after="0"/>
              <w:rPr>
                <w:sz w:val="20"/>
                <w:szCs w:val="20"/>
                <w:color w:val="auto"/>
              </w:rPr>
            </w:pPr>
            <w:r>
              <w:rPr>
                <w:rFonts w:ascii="Arial" w:cs="Arial" w:eastAsia="Arial" w:hAnsi="Arial"/>
                <w:sz w:val="14"/>
                <w:szCs w:val="14"/>
                <w:color w:val="auto"/>
              </w:rPr>
              <w:t>Public Safety &amp; Security</w:t>
            </w:r>
          </w:p>
        </w:tc>
        <w:tc>
          <w:tcPr>
            <w:tcW w:w="420" w:type="dxa"/>
            <w:vAlign w:val="bottom"/>
          </w:tcPr>
          <w:p>
            <w:pPr>
              <w:spacing w:after="0"/>
              <w:rPr>
                <w:sz w:val="16"/>
                <w:szCs w:val="16"/>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96.8</w:t>
            </w:r>
          </w:p>
        </w:tc>
        <w:tc>
          <w:tcPr>
            <w:tcW w:w="46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100.2</w:t>
            </w:r>
          </w:p>
        </w:tc>
      </w:tr>
      <w:tr>
        <w:trPr>
          <w:trHeight w:val="22"/>
        </w:trPr>
        <w:tc>
          <w:tcPr>
            <w:tcW w:w="7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7"/>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190.8</w:t>
            </w:r>
          </w:p>
        </w:tc>
      </w:tr>
      <w:tr>
        <w:trPr>
          <w:trHeight w:val="185"/>
        </w:trPr>
        <w:tc>
          <w:tcPr>
            <w:tcW w:w="7800" w:type="dxa"/>
            <w:vAlign w:val="bottom"/>
          </w:tcPr>
          <w:p>
            <w:pPr>
              <w:ind w:left="140"/>
              <w:spacing w:after="0"/>
              <w:rPr>
                <w:sz w:val="20"/>
                <w:szCs w:val="20"/>
                <w:color w:val="auto"/>
              </w:rPr>
            </w:pPr>
            <w:r>
              <w:rPr>
                <w:rFonts w:ascii="Arial" w:cs="Arial" w:eastAsia="Arial" w:hAnsi="Arial"/>
                <w:sz w:val="14"/>
                <w:szCs w:val="14"/>
                <w:color w:val="auto"/>
              </w:rPr>
              <w:t>Corporate activities</w:t>
            </w:r>
          </w:p>
        </w:tc>
        <w:tc>
          <w:tcPr>
            <w:tcW w:w="420" w:type="dxa"/>
            <w:vAlign w:val="bottom"/>
          </w:tcPr>
          <w:p>
            <w:pPr>
              <w:spacing w:after="0"/>
              <w:rPr>
                <w:sz w:val="16"/>
                <w:szCs w:val="16"/>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37.7</w:t>
            </w:r>
          </w:p>
        </w:tc>
        <w:tc>
          <w:tcPr>
            <w:tcW w:w="46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55.2</w:t>
            </w:r>
          </w:p>
        </w:tc>
      </w:tr>
      <w:tr>
        <w:trPr>
          <w:trHeight w:val="22"/>
        </w:trPr>
        <w:tc>
          <w:tcPr>
            <w:tcW w:w="7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7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assets</w:t>
            </w: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948.6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903.3</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1,131.2</w:t>
            </w:r>
          </w:p>
        </w:tc>
      </w:tr>
      <w:tr>
        <w:trPr>
          <w:trHeight w:val="20"/>
        </w:trPr>
        <w:tc>
          <w:tcPr>
            <w:tcW w:w="7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Assets of foreign subsidiaries in the KGS segment were $113.7 million, $106.2 million and $115.5 million as of December 25, 2016, December 27, 2015 and December 28, 2014,respectively.</w:t>
      </w:r>
    </w:p>
    <w:p>
      <w:pPr>
        <w:spacing w:after="0" w:line="178"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Note 14.</w:t>
      </w:r>
      <w:r>
        <w:rPr>
          <w:sz w:val="20"/>
          <w:szCs w:val="20"/>
          <w:color w:val="auto"/>
        </w:rPr>
        <w:tab/>
      </w:r>
      <w:r>
        <w:rPr>
          <w:rFonts w:ascii="Arial" w:cs="Arial" w:eastAsia="Arial" w:hAnsi="Arial"/>
          <w:sz w:val="12"/>
          <w:szCs w:val="12"/>
          <w:b w:val="1"/>
          <w:bCs w:val="1"/>
          <w:color w:val="auto"/>
        </w:rPr>
        <w:t>Commitments and Contingencies</w:t>
      </w:r>
    </w:p>
    <w:p>
      <w:pPr>
        <w:spacing w:after="0" w:line="174" w:lineRule="exact"/>
        <w:rPr>
          <w:sz w:val="20"/>
          <w:szCs w:val="20"/>
          <w:color w:val="auto"/>
        </w:rPr>
      </w:pPr>
    </w:p>
    <w:p>
      <w:pPr>
        <w:ind w:right="20" w:firstLine="497"/>
        <w:spacing w:after="0" w:line="269" w:lineRule="auto"/>
        <w:rPr>
          <w:sz w:val="20"/>
          <w:szCs w:val="20"/>
          <w:color w:val="auto"/>
        </w:rPr>
      </w:pPr>
      <w:r>
        <w:rPr>
          <w:rFonts w:ascii="Arial" w:cs="Arial" w:eastAsia="Arial" w:hAnsi="Arial"/>
          <w:sz w:val="13"/>
          <w:szCs w:val="13"/>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60"/>
          </w:cols>
          <w:pgMar w:left="220" w:top="129" w:right="21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Legal and Regulatory Matters.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U.S. Government Cost Claims</w:t>
      </w:r>
    </w:p>
    <w:p>
      <w:pPr>
        <w:spacing w:after="0" w:line="170" w:lineRule="exact"/>
        <w:rPr>
          <w:sz w:val="20"/>
          <w:szCs w:val="20"/>
          <w:color w:val="auto"/>
        </w:rPr>
      </w:pPr>
    </w:p>
    <w:p>
      <w:pPr>
        <w:ind w:firstLine="497"/>
        <w:spacing w:after="0" w:line="271" w:lineRule="auto"/>
        <w:rPr>
          <w:sz w:val="20"/>
          <w:szCs w:val="20"/>
          <w:color w:val="auto"/>
        </w:rPr>
      </w:pPr>
      <w:r>
        <w:rPr>
          <w:rFonts w:ascii="Arial" w:cs="Arial" w:eastAsia="Arial" w:hAnsi="Arial"/>
          <w:sz w:val="13"/>
          <w:szCs w:val="13"/>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On July 28, 2015, the Company received a determination letter from Defense Contract Management Agency (“DCMA”) regarding what DCMA believed were certain unallowable costs for one of the Company’s subsidiaries with respect to fiscal year 2007. In April 2016, the Company reached agreement with the DCAA to settle matters related to unallowable costs for this subsidiary for fiscal years 2007 and 2008 for approximately $0.2 million.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Other Litigation Matters</w:t>
      </w:r>
    </w:p>
    <w:p>
      <w:pPr>
        <w:spacing w:after="0" w:line="170" w:lineRule="exact"/>
        <w:rPr>
          <w:sz w:val="20"/>
          <w:szCs w:val="20"/>
          <w:color w:val="auto"/>
        </w:rPr>
      </w:pPr>
    </w:p>
    <w:p>
      <w:pPr>
        <w:ind w:right="20" w:firstLine="497"/>
        <w:spacing w:after="0" w:line="253" w:lineRule="auto"/>
        <w:rPr>
          <w:sz w:val="20"/>
          <w:szCs w:val="20"/>
          <w:color w:val="auto"/>
        </w:rPr>
      </w:pPr>
      <w:r>
        <w:rPr>
          <w:rFonts w:ascii="Arial" w:cs="Arial" w:eastAsia="Arial" w:hAnsi="Arial"/>
          <w:sz w:val="14"/>
          <w:szCs w:val="14"/>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We intend to defend ourselves in any such matters and do not currently believe that the outcome of any such matters will have a material adverse impact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60"/>
          </w:cols>
          <w:pgMar w:left="220" w:top="129" w:right="21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Note 15.</w:t>
      </w:r>
      <w:r>
        <w:rPr>
          <w:sz w:val="20"/>
          <w:szCs w:val="20"/>
          <w:color w:val="auto"/>
        </w:rPr>
        <w:tab/>
      </w:r>
      <w:r>
        <w:rPr>
          <w:rFonts w:ascii="Arial" w:cs="Arial" w:eastAsia="Arial" w:hAnsi="Arial"/>
          <w:sz w:val="12"/>
          <w:szCs w:val="12"/>
          <w:b w:val="1"/>
          <w:bCs w:val="1"/>
          <w:color w:val="auto"/>
        </w:rPr>
        <w:t>Quarterly Financial Data (Unaudited)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following financial information reflects all normal and recurring adjustments that are, in the opinion of management, necessary for a fair statement of the results of the interim periods.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Summarized quarterly data for the years ended December 25, 2016 and December 27, 2015, is as follows (in millions, except per share data):</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First Quarter</w:t>
            </w: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Second Quarter</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Third Quarter</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95"/>
              </w:rPr>
              <w:t>Fourth Quarter</w:t>
            </w:r>
          </w:p>
        </w:tc>
      </w:tr>
      <w:tr>
        <w:trPr>
          <w:trHeight w:val="182"/>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Fiscal year 2016</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85"/>
        </w:trPr>
        <w:tc>
          <w:tcPr>
            <w:tcW w:w="7920" w:type="dxa"/>
            <w:vAlign w:val="bottom"/>
          </w:tcPr>
          <w:p>
            <w:pPr>
              <w:ind w:left="20"/>
              <w:spacing w:after="0"/>
              <w:rPr>
                <w:sz w:val="20"/>
                <w:szCs w:val="20"/>
                <w:color w:val="auto"/>
              </w:rPr>
            </w:pPr>
            <w:r>
              <w:rPr>
                <w:rFonts w:ascii="Arial" w:cs="Arial" w:eastAsia="Arial" w:hAnsi="Arial"/>
                <w:sz w:val="14"/>
                <w:szCs w:val="14"/>
                <w:color w:val="auto"/>
              </w:rPr>
              <w:t>Revenues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168.2</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182.1</w:t>
            </w:r>
          </w:p>
        </w:tc>
      </w:tr>
      <w:tr>
        <w:trPr>
          <w:trHeight w:val="22"/>
        </w:trPr>
        <w:tc>
          <w:tcPr>
            <w:tcW w:w="7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45.2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46.6</w:t>
            </w:r>
          </w:p>
        </w:tc>
      </w:tr>
      <w:tr>
        <w:trPr>
          <w:trHeight w:val="185"/>
        </w:trPr>
        <w:tc>
          <w:tcPr>
            <w:tcW w:w="7920" w:type="dxa"/>
            <w:vAlign w:val="bottom"/>
          </w:tcPr>
          <w:p>
            <w:pPr>
              <w:ind w:left="20"/>
              <w:spacing w:after="0"/>
              <w:rPr>
                <w:sz w:val="20"/>
                <w:szCs w:val="20"/>
                <w:color w:val="auto"/>
              </w:rPr>
            </w:pPr>
            <w:r>
              <w:rPr>
                <w:rFonts w:ascii="Arial" w:cs="Arial" w:eastAsia="Arial" w:hAnsi="Arial"/>
                <w:sz w:val="14"/>
                <w:szCs w:val="14"/>
                <w:color w:val="auto"/>
              </w:rPr>
              <w:t>Operating income (loss) from continuing operations</w:t>
            </w:r>
          </w:p>
        </w:tc>
        <w:tc>
          <w:tcPr>
            <w:tcW w:w="8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4.6</w:t>
            </w:r>
          </w:p>
        </w:tc>
      </w:tr>
      <w:tr>
        <w:trPr>
          <w:trHeight w:val="22"/>
        </w:trPr>
        <w:tc>
          <w:tcPr>
            <w:tcW w:w="7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0.8</w:t>
            </w:r>
          </w:p>
        </w:tc>
      </w:tr>
      <w:tr>
        <w:trPr>
          <w:trHeight w:val="185"/>
        </w:trPr>
        <w:tc>
          <w:tcPr>
            <w:tcW w:w="7920" w:type="dxa"/>
            <w:vAlign w:val="bottom"/>
          </w:tcPr>
          <w:p>
            <w:pPr>
              <w:ind w:left="20"/>
              <w:spacing w:after="0"/>
              <w:rPr>
                <w:sz w:val="20"/>
                <w:szCs w:val="20"/>
                <w:color w:val="auto"/>
              </w:rPr>
            </w:pPr>
            <w:r>
              <w:rPr>
                <w:rFonts w:ascii="Arial" w:cs="Arial" w:eastAsia="Arial" w:hAnsi="Arial"/>
                <w:sz w:val="14"/>
                <w:szCs w:val="14"/>
                <w:color w:val="auto"/>
              </w:rPr>
              <w:t>Loss from continuing operations</w:t>
            </w:r>
          </w:p>
        </w:tc>
        <w:tc>
          <w:tcPr>
            <w:tcW w:w="8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2"/>
        </w:trPr>
        <w:tc>
          <w:tcPr>
            <w:tcW w:w="7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0.1</w:t>
            </w:r>
          </w:p>
        </w:tc>
      </w:tr>
      <w:tr>
        <w:trPr>
          <w:trHeight w:val="185"/>
        </w:trPr>
        <w:tc>
          <w:tcPr>
            <w:tcW w:w="792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2"/>
        </w:trPr>
        <w:tc>
          <w:tcPr>
            <w:tcW w:w="7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loss per common share:</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185"/>
        </w:trPr>
        <w:tc>
          <w:tcPr>
            <w:tcW w:w="7920" w:type="dxa"/>
            <w:vAlign w:val="bottom"/>
          </w:tcPr>
          <w:p>
            <w:pPr>
              <w:ind w:left="120"/>
              <w:spacing w:after="0"/>
              <w:rPr>
                <w:sz w:val="20"/>
                <w:szCs w:val="20"/>
                <w:color w:val="auto"/>
              </w:rPr>
            </w:pPr>
            <w:r>
              <w:rPr>
                <w:rFonts w:ascii="Arial" w:cs="Arial" w:eastAsia="Arial" w:hAnsi="Arial"/>
                <w:sz w:val="14"/>
                <w:szCs w:val="14"/>
                <w:color w:val="auto"/>
              </w:rPr>
              <w:t>Loss from continuing operations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22"/>
        </w:trPr>
        <w:tc>
          <w:tcPr>
            <w:tcW w:w="7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7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Loss from discontinued operations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85"/>
        </w:trPr>
        <w:tc>
          <w:tcPr>
            <w:tcW w:w="7920" w:type="dxa"/>
            <w:vAlign w:val="bottom"/>
          </w:tcPr>
          <w:p>
            <w:pPr>
              <w:ind w:left="200"/>
              <w:spacing w:after="0"/>
              <w:rPr>
                <w:sz w:val="20"/>
                <w:szCs w:val="20"/>
                <w:color w:val="auto"/>
              </w:rPr>
            </w:pPr>
            <w:r>
              <w:rPr>
                <w:rFonts w:ascii="Arial" w:cs="Arial" w:eastAsia="Arial" w:hAnsi="Arial"/>
                <w:sz w:val="14"/>
                <w:szCs w:val="14"/>
                <w:color w:val="auto"/>
              </w:rPr>
              <w:t>Net loss per common share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22"/>
        </w:trPr>
        <w:tc>
          <w:tcPr>
            <w:tcW w:w="7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loss per common share:</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185"/>
        </w:trPr>
        <w:tc>
          <w:tcPr>
            <w:tcW w:w="7920" w:type="dxa"/>
            <w:vAlign w:val="bottom"/>
          </w:tcPr>
          <w:p>
            <w:pPr>
              <w:ind w:left="120"/>
              <w:spacing w:after="0"/>
              <w:rPr>
                <w:sz w:val="20"/>
                <w:szCs w:val="20"/>
                <w:color w:val="auto"/>
              </w:rPr>
            </w:pPr>
            <w:r>
              <w:rPr>
                <w:rFonts w:ascii="Arial" w:cs="Arial" w:eastAsia="Arial" w:hAnsi="Arial"/>
                <w:sz w:val="14"/>
                <w:szCs w:val="14"/>
                <w:color w:val="auto"/>
              </w:rPr>
              <w:t>Loss from continuing operations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22"/>
        </w:trPr>
        <w:tc>
          <w:tcPr>
            <w:tcW w:w="7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7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Loss from discontinued operations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85"/>
        </w:trPr>
        <w:tc>
          <w:tcPr>
            <w:tcW w:w="7920" w:type="dxa"/>
            <w:vAlign w:val="bottom"/>
          </w:tcPr>
          <w:p>
            <w:pPr>
              <w:ind w:left="200"/>
              <w:spacing w:after="0"/>
              <w:rPr>
                <w:sz w:val="20"/>
                <w:szCs w:val="20"/>
                <w:color w:val="auto"/>
              </w:rPr>
            </w:pPr>
            <w:r>
              <w:rPr>
                <w:rFonts w:ascii="Arial" w:cs="Arial" w:eastAsia="Arial" w:hAnsi="Arial"/>
                <w:sz w:val="14"/>
                <w:szCs w:val="14"/>
                <w:color w:val="auto"/>
              </w:rPr>
              <w:t>Net loss per common share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(0.07)</w:t>
            </w:r>
          </w:p>
        </w:tc>
      </w:tr>
    </w:tbl>
    <w:p>
      <w:pPr>
        <w:spacing w:after="0" w:line="177" w:lineRule="exact"/>
        <w:rPr>
          <w:sz w:val="20"/>
          <w:szCs w:val="20"/>
          <w:color w:val="auto"/>
        </w:rPr>
      </w:pPr>
    </w:p>
    <w:p>
      <w:pPr>
        <w:jc w:val="both"/>
        <w:ind w:right="80" w:firstLine="497"/>
        <w:spacing w:after="0" w:line="257" w:lineRule="auto"/>
        <w:rPr>
          <w:sz w:val="20"/>
          <w:szCs w:val="20"/>
          <w:color w:val="auto"/>
        </w:rPr>
      </w:pPr>
      <w:r>
        <w:rPr>
          <w:rFonts w:ascii="Arial" w:cs="Arial" w:eastAsia="Arial" w:hAnsi="Arial"/>
          <w:sz w:val="14"/>
          <w:szCs w:val="14"/>
          <w:color w:val="auto"/>
        </w:rPr>
        <w:t>In the first, second, third, and fourth quarters of 2016, the Company recorded restructuring charges of $3.0 million, $4.7 million, $0.1 million, and $1.4 million, respectively, related to the closure of one of its facilities for its modular systems business and exit from certain lower margin product lines. In the third quarter of 2016, the Company recorded an $18.7 million loss accrual recorded on the AFRL LCASD cost share contract awarded in July 2016.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2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First Quarter</w:t>
            </w: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Second Quarter</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Third Quarter</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95"/>
              </w:rPr>
              <w:t>Fourth Quarter</w:t>
            </w:r>
          </w:p>
        </w:tc>
      </w:tr>
      <w:tr>
        <w:trPr>
          <w:trHeight w:val="182"/>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Fiscal year 2015</w:t>
            </w:r>
          </w:p>
        </w:tc>
        <w:tc>
          <w:tcPr>
            <w:tcW w:w="36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85"/>
        </w:trPr>
        <w:tc>
          <w:tcPr>
            <w:tcW w:w="4240" w:type="dxa"/>
            <w:vAlign w:val="bottom"/>
          </w:tcPr>
          <w:p>
            <w:pPr>
              <w:ind w:left="20"/>
              <w:spacing w:after="0"/>
              <w:rPr>
                <w:sz w:val="20"/>
                <w:szCs w:val="20"/>
                <w:color w:val="auto"/>
              </w:rPr>
            </w:pPr>
            <w:r>
              <w:rPr>
                <w:rFonts w:ascii="Arial" w:cs="Arial" w:eastAsia="Arial" w:hAnsi="Arial"/>
                <w:sz w:val="14"/>
                <w:szCs w:val="14"/>
                <w:color w:val="auto"/>
              </w:rPr>
              <w:t>Revenues</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157.1</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160.8</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161.7</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177.5</w:t>
            </w:r>
          </w:p>
        </w:tc>
      </w:tr>
      <w:tr>
        <w:trPr>
          <w:trHeight w:val="22"/>
        </w:trPr>
        <w:tc>
          <w:tcPr>
            <w:tcW w:w="4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40.9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42.2</w:t>
            </w:r>
          </w:p>
        </w:tc>
      </w:tr>
      <w:tr>
        <w:trPr>
          <w:trHeight w:val="185"/>
        </w:trPr>
        <w:tc>
          <w:tcPr>
            <w:tcW w:w="4240" w:type="dxa"/>
            <w:vAlign w:val="bottom"/>
          </w:tcPr>
          <w:p>
            <w:pPr>
              <w:ind w:left="20"/>
              <w:spacing w:after="0"/>
              <w:rPr>
                <w:sz w:val="20"/>
                <w:szCs w:val="20"/>
                <w:color w:val="auto"/>
              </w:rPr>
            </w:pPr>
            <w:r>
              <w:rPr>
                <w:rFonts w:ascii="Arial" w:cs="Arial" w:eastAsia="Arial" w:hAnsi="Arial"/>
                <w:sz w:val="14"/>
                <w:szCs w:val="14"/>
                <w:color w:val="auto"/>
              </w:rPr>
              <w:t>Operating income (loss) from continuing operations</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1.5</w:t>
            </w:r>
          </w:p>
        </w:tc>
      </w:tr>
      <w:tr>
        <w:trPr>
          <w:trHeight w:val="22"/>
        </w:trPr>
        <w:tc>
          <w:tcPr>
            <w:tcW w:w="4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(benefit) for income taxes</w:t>
            </w:r>
          </w:p>
        </w:tc>
        <w:tc>
          <w:tcPr>
            <w:tcW w:w="3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85"/>
        </w:trPr>
        <w:tc>
          <w:tcPr>
            <w:tcW w:w="4240" w:type="dxa"/>
            <w:vAlign w:val="bottom"/>
          </w:tcPr>
          <w:p>
            <w:pPr>
              <w:ind w:left="20"/>
              <w:spacing w:after="0"/>
              <w:rPr>
                <w:sz w:val="20"/>
                <w:szCs w:val="20"/>
                <w:color w:val="auto"/>
              </w:rPr>
            </w:pPr>
            <w:r>
              <w:rPr>
                <w:rFonts w:ascii="Arial" w:cs="Arial" w:eastAsia="Arial" w:hAnsi="Arial"/>
                <w:sz w:val="14"/>
                <w:szCs w:val="14"/>
                <w:color w:val="auto"/>
              </w:rPr>
              <w:t>Income (loss) from continuing operations</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2"/>
        </w:trPr>
        <w:tc>
          <w:tcPr>
            <w:tcW w:w="4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3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50.8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3.0</w:t>
            </w:r>
          </w:p>
        </w:tc>
      </w:tr>
      <w:tr>
        <w:trPr>
          <w:trHeight w:val="185"/>
        </w:trPr>
        <w:tc>
          <w:tcPr>
            <w:tcW w:w="4240" w:type="dxa"/>
            <w:vAlign w:val="bottom"/>
          </w:tcPr>
          <w:p>
            <w:pPr>
              <w:ind w:left="20"/>
              <w:spacing w:after="0"/>
              <w:rPr>
                <w:sz w:val="20"/>
                <w:szCs w:val="20"/>
                <w:color w:val="auto"/>
              </w:rPr>
            </w:pPr>
            <w:r>
              <w:rPr>
                <w:rFonts w:ascii="Arial" w:cs="Arial" w:eastAsia="Arial" w:hAnsi="Arial"/>
                <w:sz w:val="14"/>
                <w:szCs w:val="14"/>
                <w:color w:val="auto"/>
              </w:rPr>
              <w:t>Net income(loss)</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2"/>
        </w:trPr>
        <w:tc>
          <w:tcPr>
            <w:tcW w:w="4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income (loss) per common share:</w:t>
            </w:r>
          </w:p>
        </w:tc>
        <w:tc>
          <w:tcPr>
            <w:tcW w:w="3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185"/>
        </w:trPr>
        <w:tc>
          <w:tcPr>
            <w:tcW w:w="4240" w:type="dxa"/>
            <w:vAlign w:val="bottom"/>
          </w:tcPr>
          <w:p>
            <w:pPr>
              <w:ind w:left="100"/>
              <w:spacing w:after="0"/>
              <w:rPr>
                <w:sz w:val="20"/>
                <w:szCs w:val="20"/>
                <w:color w:val="auto"/>
              </w:rPr>
            </w:pPr>
            <w:r>
              <w:rPr>
                <w:rFonts w:ascii="Arial" w:cs="Arial" w:eastAsia="Arial" w:hAnsi="Arial"/>
                <w:sz w:val="14"/>
                <w:szCs w:val="14"/>
                <w:color w:val="auto"/>
              </w:rPr>
              <w:t>Income (loss) from continuing operations</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(0.12)</w:t>
            </w:r>
          </w:p>
        </w:tc>
      </w:tr>
      <w:tr>
        <w:trPr>
          <w:trHeight w:val="22"/>
        </w:trPr>
        <w:tc>
          <w:tcPr>
            <w:tcW w:w="4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Income (loss) from discontinued operations</w:t>
            </w:r>
          </w:p>
        </w:tc>
        <w:tc>
          <w:tcPr>
            <w:tcW w:w="3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0.05</w:t>
            </w:r>
          </w:p>
        </w:tc>
      </w:tr>
      <w:tr>
        <w:trPr>
          <w:trHeight w:val="185"/>
        </w:trPr>
        <w:tc>
          <w:tcPr>
            <w:tcW w:w="4240" w:type="dxa"/>
            <w:vAlign w:val="bottom"/>
          </w:tcPr>
          <w:p>
            <w:pPr>
              <w:ind w:left="200"/>
              <w:spacing w:after="0"/>
              <w:rPr>
                <w:sz w:val="20"/>
                <w:szCs w:val="20"/>
                <w:color w:val="auto"/>
              </w:rPr>
            </w:pPr>
            <w:r>
              <w:rPr>
                <w:rFonts w:ascii="Arial" w:cs="Arial" w:eastAsia="Arial" w:hAnsi="Arial"/>
                <w:sz w:val="14"/>
                <w:szCs w:val="14"/>
                <w:color w:val="auto"/>
              </w:rPr>
              <w:t>Net income (loss) per common share</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22"/>
        </w:trPr>
        <w:tc>
          <w:tcPr>
            <w:tcW w:w="4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income (loss) per common share:</w:t>
            </w:r>
          </w:p>
        </w:tc>
        <w:tc>
          <w:tcPr>
            <w:tcW w:w="3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185"/>
        </w:trPr>
        <w:tc>
          <w:tcPr>
            <w:tcW w:w="4240" w:type="dxa"/>
            <w:vAlign w:val="bottom"/>
          </w:tcPr>
          <w:p>
            <w:pPr>
              <w:ind w:left="100"/>
              <w:spacing w:after="0"/>
              <w:rPr>
                <w:sz w:val="20"/>
                <w:szCs w:val="20"/>
                <w:color w:val="auto"/>
              </w:rPr>
            </w:pPr>
            <w:r>
              <w:rPr>
                <w:rFonts w:ascii="Arial" w:cs="Arial" w:eastAsia="Arial" w:hAnsi="Arial"/>
                <w:sz w:val="14"/>
                <w:szCs w:val="14"/>
                <w:color w:val="auto"/>
              </w:rPr>
              <w:t>Income (loss) from continuing operations</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(0.12)</w:t>
            </w:r>
          </w:p>
        </w:tc>
      </w:tr>
      <w:tr>
        <w:trPr>
          <w:trHeight w:val="22"/>
        </w:trPr>
        <w:tc>
          <w:tcPr>
            <w:tcW w:w="42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7"/>
        </w:trPr>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Income (loss) from discontinued operations</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0.85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0.05</w:t>
            </w:r>
          </w:p>
        </w:tc>
      </w:tr>
      <w:tr>
        <w:trPr>
          <w:trHeight w:val="185"/>
        </w:trPr>
        <w:tc>
          <w:tcPr>
            <w:tcW w:w="4240" w:type="dxa"/>
            <w:vAlign w:val="bottom"/>
          </w:tcPr>
          <w:p>
            <w:pPr>
              <w:ind w:left="200"/>
              <w:spacing w:after="0"/>
              <w:rPr>
                <w:sz w:val="20"/>
                <w:szCs w:val="20"/>
                <w:color w:val="auto"/>
              </w:rPr>
            </w:pPr>
            <w:r>
              <w:rPr>
                <w:rFonts w:ascii="Arial" w:cs="Arial" w:eastAsia="Arial" w:hAnsi="Arial"/>
                <w:sz w:val="14"/>
                <w:szCs w:val="14"/>
                <w:color w:val="auto"/>
              </w:rPr>
              <w:t>Net income (loss) per common share</w:t>
            </w:r>
          </w:p>
        </w:tc>
        <w:tc>
          <w:tcPr>
            <w:tcW w:w="3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538"/>
        </w:trPr>
        <w:tc>
          <w:tcPr>
            <w:tcW w:w="4240" w:type="dxa"/>
            <w:vAlign w:val="bottom"/>
          </w:tcPr>
          <w:p>
            <w:pPr>
              <w:spacing w:after="0"/>
              <w:rPr>
                <w:sz w:val="24"/>
                <w:szCs w:val="24"/>
                <w:color w:val="auto"/>
              </w:rPr>
            </w:pPr>
          </w:p>
        </w:tc>
        <w:tc>
          <w:tcPr>
            <w:tcW w:w="3760" w:type="dxa"/>
            <w:vAlign w:val="bottom"/>
            <w:gridSpan w:val="2"/>
          </w:tcPr>
          <w:p>
            <w:pPr>
              <w:jc w:val="right"/>
              <w:ind w:right="2140"/>
              <w:spacing w:after="0"/>
              <w:rPr>
                <w:sz w:val="20"/>
                <w:szCs w:val="20"/>
                <w:color w:val="auto"/>
              </w:rPr>
            </w:pPr>
            <w:r>
              <w:rPr>
                <w:rFonts w:ascii="Arial" w:cs="Arial" w:eastAsia="Arial" w:hAnsi="Arial"/>
                <w:sz w:val="14"/>
                <w:szCs w:val="14"/>
                <w:color w:val="auto"/>
              </w:rPr>
              <w:t>F-36</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1" w:lineRule="exact"/>
        <w:rPr>
          <w:sz w:val="20"/>
          <w:szCs w:val="20"/>
          <w:color w:val="auto"/>
        </w:rPr>
      </w:pPr>
    </w:p>
    <w:p>
      <w:pPr>
        <w:ind w:right="260" w:firstLine="497"/>
        <w:spacing w:after="0" w:line="257" w:lineRule="auto"/>
        <w:rPr>
          <w:sz w:val="20"/>
          <w:szCs w:val="20"/>
          <w:color w:val="auto"/>
        </w:rPr>
      </w:pPr>
      <w:r>
        <w:rPr>
          <w:rFonts w:ascii="Arial" w:cs="Arial" w:eastAsia="Arial" w:hAnsi="Arial"/>
          <w:sz w:val="14"/>
          <w:szCs w:val="14"/>
          <w:color w:val="auto"/>
        </w:rPr>
        <w:t>In the third quarter of 2015, the Company completed the sale of the U.S. and U.K. operations of its Electronic Products Division, which resulted in income from discontinued operations of $50.8 million. The tax benefit for the third quarter reflects the intra-period tax allocation rules under which a tax benefit is provided in continuing operations to offset a tax provision recorded in discontinued operations related to the sale.</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Note 16.</w:t>
      </w:r>
      <w:r>
        <w:rPr>
          <w:sz w:val="20"/>
          <w:szCs w:val="20"/>
          <w:color w:val="auto"/>
        </w:rPr>
        <w:tab/>
      </w:r>
      <w:r>
        <w:rPr>
          <w:rFonts w:ascii="Arial" w:cs="Arial" w:eastAsia="Arial" w:hAnsi="Arial"/>
          <w:sz w:val="12"/>
          <w:szCs w:val="12"/>
          <w:b w:val="1"/>
          <w:bCs w:val="1"/>
          <w:color w:val="auto"/>
        </w:rPr>
        <w:t>Condensed Consolidating Financial Statements</w:t>
      </w:r>
    </w:p>
    <w:p>
      <w:pPr>
        <w:spacing w:after="0" w:line="174" w:lineRule="exact"/>
        <w:rPr>
          <w:sz w:val="20"/>
          <w:szCs w:val="20"/>
          <w:color w:val="auto"/>
        </w:rPr>
      </w:pPr>
    </w:p>
    <w:p>
      <w:pPr>
        <w:ind w:firstLine="497"/>
        <w:spacing w:after="0" w:line="253" w:lineRule="auto"/>
        <w:rPr>
          <w:sz w:val="20"/>
          <w:szCs w:val="20"/>
          <w:color w:val="auto"/>
        </w:rPr>
      </w:pPr>
      <w:r>
        <w:rPr>
          <w:rFonts w:ascii="Arial" w:cs="Arial" w:eastAsia="Arial" w:hAnsi="Arial"/>
          <w:sz w:val="14"/>
          <w:szCs w:val="14"/>
          <w:color w:val="auto"/>
        </w:rPr>
        <w:t>The Company has $435.5 million in outstanding Notes. See Note 4 of these Notes to Consolidated Financial Statements. The Notes are guaranteed by the Subsidiary Guarantors and are collateralized by the assets of all of the Company’s 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Notes are not guaranteed by the Company’s foreign subsidiaries (the “Non-Guarantor Subsidiaries”).</w:t>
      </w:r>
    </w:p>
    <w:p>
      <w:pPr>
        <w:spacing w:after="0" w:line="149" w:lineRule="exact"/>
        <w:rPr>
          <w:sz w:val="20"/>
          <w:szCs w:val="20"/>
          <w:color w:val="auto"/>
        </w:rPr>
      </w:pPr>
    </w:p>
    <w:p>
      <w:pPr>
        <w:ind w:right="140" w:firstLine="497"/>
        <w:spacing w:after="0" w:line="257" w:lineRule="auto"/>
        <w:rPr>
          <w:sz w:val="20"/>
          <w:szCs w:val="20"/>
          <w:color w:val="auto"/>
        </w:rPr>
      </w:pPr>
      <w:r>
        <w:rPr>
          <w:rFonts w:ascii="Arial" w:cs="Arial" w:eastAsia="Arial" w:hAnsi="Arial"/>
          <w:sz w:val="14"/>
          <w:szCs w:val="14"/>
          <w:color w:val="auto"/>
        </w:rPr>
        <w:t>The following tables present condensed consolidating financial statements for the parent company, the Subsidiary Guarantors and the Non-Guarantor Subsidiaries, respectively, for 2016, 2015, and 2014. The consolidating financial information below follows the same accounting policies as described in the Consolidated Financial Statements, except for the use of the equity method of accounting to reflect ownership interests in wholly-owned subsidiaries, which are eliminated upon consolidation.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60"/>
          </w:cols>
          <w:pgMar w:left="220" w:top="128" w:right="21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25,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Subsidiary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Guarantors on a</w:t>
            </w:r>
          </w:p>
        </w:tc>
        <w:tc>
          <w:tcPr>
            <w:tcW w:w="13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Non-Guarantors on a</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Parent Company</w:t>
            </w:r>
          </w:p>
        </w:tc>
        <w:tc>
          <w:tcPr>
            <w:tcW w:w="12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Combined Basis</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Combined Basis</w:t>
            </w: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Eliminations</w:t>
            </w:r>
          </w:p>
        </w:tc>
        <w:tc>
          <w:tcPr>
            <w:tcW w:w="180" w:type="dxa"/>
            <w:vAlign w:val="bottom"/>
          </w:tcPr>
          <w:p>
            <w:pPr>
              <w:spacing w:after="0"/>
              <w:rPr>
                <w:sz w:val="13"/>
                <w:szCs w:val="13"/>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b w:val="1"/>
                <w:bCs w:val="1"/>
                <w:color w:val="auto"/>
                <w:w w:val="99"/>
              </w:rPr>
              <w:t>Consolidated</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67.2</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69.1</w:t>
            </w: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Accounts receivable, net</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197.9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31.5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229.4</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Amounts due from affiliated companies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204.6</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(204.6)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Inventoried costs</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37.2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18.2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55.4</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Other 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19.2</w:t>
            </w:r>
          </w:p>
        </w:tc>
      </w:tr>
      <w:tr>
        <w:trPr>
          <w:trHeight w:val="161"/>
        </w:trPr>
        <w:tc>
          <w:tcPr>
            <w:tcW w:w="4700" w:type="dxa"/>
            <w:vAlign w:val="bottom"/>
          </w:tcPr>
          <w:p>
            <w:pPr>
              <w:ind w:left="140"/>
              <w:spacing w:after="0"/>
              <w:rPr>
                <w:sz w:val="20"/>
                <w:szCs w:val="20"/>
                <w:color w:val="auto"/>
              </w:rPr>
            </w:pPr>
            <w:r>
              <w:rPr>
                <w:rFonts w:ascii="Arial" w:cs="Arial" w:eastAsia="Arial" w:hAnsi="Arial"/>
                <w:sz w:val="12"/>
                <w:szCs w:val="12"/>
                <w:color w:val="auto"/>
              </w:rPr>
              <w:t>Total current assets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278.1</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243.4</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56.2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(204.6)</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373.1</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1.6</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41.7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49.8</w:t>
            </w: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442.5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42.9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485.4</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Intangible assets, net</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24.5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8.1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32.6</w:t>
            </w: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Investment in subsidiaries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458.0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67.5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(525.5)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0.4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7.7</w:t>
            </w:r>
          </w:p>
        </w:tc>
      </w:tr>
      <w:tr>
        <w:trPr>
          <w:trHeight w:val="219"/>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738.1</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826.9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113.7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(730.1)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948.6</w:t>
            </w:r>
          </w:p>
        </w:tc>
      </w:tr>
      <w:tr>
        <w:trPr>
          <w:trHeight w:val="16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4.5</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43.7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52.7</w:t>
            </w: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Accrued expenses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5.6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44.5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53.6</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Accrued compensation</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4.0</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31.2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39.1</w:t>
            </w:r>
          </w:p>
        </w:tc>
      </w:tr>
      <w:tr>
        <w:trPr>
          <w:trHeight w:val="181"/>
        </w:trPr>
        <w:tc>
          <w:tcPr>
            <w:tcW w:w="4700" w:type="dxa"/>
            <w:vAlign w:val="bottom"/>
          </w:tcPr>
          <w:p>
            <w:pPr>
              <w:ind w:left="120"/>
              <w:spacing w:after="0"/>
              <w:rPr>
                <w:sz w:val="20"/>
                <w:szCs w:val="20"/>
                <w:color w:val="auto"/>
              </w:rPr>
            </w:pPr>
            <w:r>
              <w:rPr>
                <w:rFonts w:ascii="Arial" w:cs="Arial" w:eastAsia="Arial" w:hAnsi="Arial"/>
                <w:sz w:val="12"/>
                <w:szCs w:val="12"/>
                <w:color w:val="auto"/>
              </w:rPr>
              <w:t>Billings in excess of costs and earnings on uncompleted contracts</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38.9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41.8</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Amounts due to affiliated companies</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174.6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(204.6)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Other current liabilities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7.7</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Current liabilities of discontinued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1.6</w:t>
            </w:r>
          </w:p>
        </w:tc>
      </w:tr>
      <w:tr>
        <w:trPr>
          <w:trHeight w:val="161"/>
        </w:trPr>
        <w:tc>
          <w:tcPr>
            <w:tcW w:w="4700" w:type="dxa"/>
            <w:vAlign w:val="bottom"/>
          </w:tcPr>
          <w:p>
            <w:pPr>
              <w:ind w:left="140"/>
              <w:spacing w:after="0"/>
              <w:rPr>
                <w:sz w:val="20"/>
                <w:szCs w:val="20"/>
                <w:color w:val="auto"/>
              </w:rPr>
            </w:pPr>
            <w:r>
              <w:rPr>
                <w:rFonts w:ascii="Arial" w:cs="Arial" w:eastAsia="Arial" w:hAnsi="Arial"/>
                <w:sz w:val="12"/>
                <w:szCs w:val="12"/>
                <w:color w:val="auto"/>
              </w:rPr>
              <w:t>Total current liabilities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17.0</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337.0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47.1</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(204.6)</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196.5</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Long-term debt, net of current portion</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430.2</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431.0</w:t>
            </w: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Other long-term liabilities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19.9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41.0</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Non-current liabilities of discontinued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3.7</w:t>
            </w:r>
          </w:p>
        </w:tc>
      </w:tr>
      <w:tr>
        <w:trPr>
          <w:trHeight w:val="161"/>
        </w:trPr>
        <w:tc>
          <w:tcPr>
            <w:tcW w:w="4700" w:type="dxa"/>
            <w:vAlign w:val="bottom"/>
          </w:tcPr>
          <w:p>
            <w:pPr>
              <w:ind w:left="140"/>
              <w:spacing w:after="0"/>
              <w:rPr>
                <w:sz w:val="20"/>
                <w:szCs w:val="20"/>
                <w:color w:val="auto"/>
              </w:rPr>
            </w:pPr>
            <w:r>
              <w:rPr>
                <w:rFonts w:ascii="Arial" w:cs="Arial" w:eastAsia="Arial" w:hAnsi="Arial"/>
                <w:sz w:val="12"/>
                <w:szCs w:val="12"/>
                <w:color w:val="auto"/>
              </w:rPr>
              <w:t>Total liabilities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461.7</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356.9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58.2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(204.6)</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672.2</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276.4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470.0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(525.5)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276.4</w:t>
            </w:r>
          </w:p>
        </w:tc>
      </w:tr>
      <w:tr>
        <w:trPr>
          <w:trHeight w:val="179"/>
        </w:trPr>
        <w:tc>
          <w:tcPr>
            <w:tcW w:w="4700" w:type="dxa"/>
            <w:vAlign w:val="bottom"/>
          </w:tcPr>
          <w:p>
            <w:pPr>
              <w:ind w:left="140"/>
              <w:spacing w:after="0"/>
              <w:rPr>
                <w:sz w:val="20"/>
                <w:szCs w:val="20"/>
                <w:color w:val="auto"/>
              </w:rPr>
            </w:pPr>
            <w:r>
              <w:rPr>
                <w:rFonts w:ascii="Arial" w:cs="Arial" w:eastAsia="Arial" w:hAnsi="Arial"/>
                <w:sz w:val="12"/>
                <w:szCs w:val="12"/>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738.1</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826.9</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113.7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(730.1)</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948.6</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460"/>
          </w:cols>
          <w:pgMar w:left="220" w:top="129" w:right="21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27, 2015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Subsidiary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Guarantors on a</w:t>
            </w:r>
          </w:p>
        </w:tc>
        <w:tc>
          <w:tcPr>
            <w:tcW w:w="13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Non-Guarantors on a</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Parent Company</w:t>
            </w:r>
          </w:p>
        </w:tc>
        <w:tc>
          <w:tcPr>
            <w:tcW w:w="12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Combined Basis</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Combined Basis</w:t>
            </w: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Eliminations</w:t>
            </w:r>
          </w:p>
        </w:tc>
        <w:tc>
          <w:tcPr>
            <w:tcW w:w="180" w:type="dxa"/>
            <w:vAlign w:val="bottom"/>
          </w:tcPr>
          <w:p>
            <w:pPr>
              <w:spacing w:after="0"/>
              <w:rPr>
                <w:sz w:val="13"/>
                <w:szCs w:val="13"/>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b w:val="1"/>
                <w:bCs w:val="1"/>
                <w:color w:val="auto"/>
                <w:w w:val="99"/>
              </w:rPr>
              <w:t>Consolidated</w:t>
            </w:r>
          </w:p>
        </w:tc>
        <w:tc>
          <w:tcPr>
            <w:tcW w:w="0" w:type="dxa"/>
            <w:vAlign w:val="bottom"/>
          </w:tcPr>
          <w:p>
            <w:pPr>
              <w:spacing w:after="0"/>
              <w:rPr>
                <w:sz w:val="1"/>
                <w:szCs w:val="1"/>
                <w:color w:val="auto"/>
              </w:rPr>
            </w:pPr>
          </w:p>
        </w:tc>
      </w:tr>
      <w:tr>
        <w:trPr>
          <w:trHeight w:val="26"/>
        </w:trPr>
        <w:tc>
          <w:tcPr>
            <w:tcW w:w="4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Assets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22.5</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Accounts receivable, net</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179.0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27.8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206.8</w:t>
            </w:r>
          </w:p>
        </w:tc>
        <w:tc>
          <w:tcPr>
            <w:tcW w:w="0" w:type="dxa"/>
            <w:vAlign w:val="bottom"/>
          </w:tcPr>
          <w:p>
            <w:pPr>
              <w:spacing w:after="0"/>
              <w:rPr>
                <w:sz w:val="1"/>
                <w:szCs w:val="1"/>
                <w:color w:val="auto"/>
              </w:rPr>
            </w:pP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Amounts due from affiliated companies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207.8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(207.8)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Inventoried costs</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36.9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18.7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55.6</w:t>
            </w:r>
          </w:p>
        </w:tc>
        <w:tc>
          <w:tcPr>
            <w:tcW w:w="0" w:type="dxa"/>
            <w:vAlign w:val="bottom"/>
          </w:tcPr>
          <w:p>
            <w:pPr>
              <w:spacing w:after="0"/>
              <w:rPr>
                <w:sz w:val="1"/>
                <w:szCs w:val="1"/>
                <w:color w:val="auto"/>
              </w:rPr>
            </w:pP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Other current assets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16.4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11.7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current assets</w:t>
            </w: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246.7</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222.8</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58.7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(207.8)</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320.4</w:t>
            </w:r>
          </w:p>
        </w:tc>
        <w:tc>
          <w:tcPr>
            <w:tcW w:w="0" w:type="dxa"/>
            <w:vAlign w:val="bottom"/>
          </w:tcPr>
          <w:p>
            <w:pPr>
              <w:spacing w:after="0"/>
              <w:rPr>
                <w:sz w:val="1"/>
                <w:szCs w:val="1"/>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Property, plant and equipment, net</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2.0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47.5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56.2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442.6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483.4</w:t>
            </w:r>
          </w:p>
        </w:tc>
        <w:tc>
          <w:tcPr>
            <w:tcW w:w="0" w:type="dxa"/>
            <w:vAlign w:val="bottom"/>
          </w:tcPr>
          <w:p>
            <w:pPr>
              <w:spacing w:after="0"/>
              <w:rPr>
                <w:sz w:val="1"/>
                <w:szCs w:val="1"/>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Intangible assets, net</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36.5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Investment in subsidiaries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477.8</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60.3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(538.1)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0.7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727.2</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815.8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106.2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(745.9)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903.3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Accounts payable</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4.3</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36.5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48.3</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Accrued expenses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4.7</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29.3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37.0</w:t>
            </w:r>
          </w:p>
        </w:tc>
        <w:tc>
          <w:tcPr>
            <w:tcW w:w="0" w:type="dxa"/>
            <w:vAlign w:val="bottom"/>
          </w:tcPr>
          <w:p>
            <w:pPr>
              <w:spacing w:after="0"/>
              <w:rPr>
                <w:sz w:val="1"/>
                <w:szCs w:val="1"/>
                <w:color w:val="auto"/>
              </w:rPr>
            </w:pP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Accrued compensation</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29.2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36.8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Billings in excess of costs and earnings on uncompleted contracts</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37.1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Amounts due to affiliated companies</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175.7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32.1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(207.8)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Other current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4.3</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Current liabilities of discontinued operations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1.8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current liabilities</w:t>
            </w: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19.2</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308.0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53.0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(207.8)</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172.4</w:t>
            </w:r>
          </w:p>
        </w:tc>
        <w:tc>
          <w:tcPr>
            <w:tcW w:w="0" w:type="dxa"/>
            <w:vAlign w:val="bottom"/>
          </w:tcPr>
          <w:p>
            <w:pPr>
              <w:spacing w:after="0"/>
              <w:rPr>
                <w:sz w:val="1"/>
                <w:szCs w:val="1"/>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Long-term debt, net of current portion</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442.4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444.1</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long-term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7.3</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18.0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Non-current liabilities of discontinued operations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liabilities</w:t>
            </w: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473.0</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326.0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57.9</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(207.8)</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649.1</w:t>
            </w:r>
          </w:p>
        </w:tc>
        <w:tc>
          <w:tcPr>
            <w:tcW w:w="0" w:type="dxa"/>
            <w:vAlign w:val="bottom"/>
          </w:tcPr>
          <w:p>
            <w:pPr>
              <w:spacing w:after="0"/>
              <w:rPr>
                <w:sz w:val="1"/>
                <w:szCs w:val="1"/>
                <w:color w:val="auto"/>
              </w:rPr>
            </w:pPr>
          </w:p>
        </w:tc>
      </w:tr>
      <w:tr>
        <w:trPr>
          <w:trHeight w:val="181"/>
        </w:trPr>
        <w:tc>
          <w:tcPr>
            <w:tcW w:w="4700" w:type="dxa"/>
            <w:vAlign w:val="bottom"/>
          </w:tcPr>
          <w:p>
            <w:pPr>
              <w:ind w:left="60"/>
              <w:spacing w:after="0"/>
              <w:rPr>
                <w:sz w:val="20"/>
                <w:szCs w:val="20"/>
                <w:color w:val="auto"/>
              </w:rPr>
            </w:pPr>
            <w:r>
              <w:rPr>
                <w:rFonts w:ascii="Arial" w:cs="Arial" w:eastAsia="Arial" w:hAnsi="Arial"/>
                <w:sz w:val="12"/>
                <w:szCs w:val="12"/>
                <w:color w:val="auto"/>
              </w:rPr>
              <w:t>Total stockholders’ equity</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254.2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489.8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48.3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(538.1)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254.2</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727.2</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815.8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106.2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(745.9)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903.3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60"/>
          </w:cols>
          <w:pgMar w:left="220" w:top="129" w:right="21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Consolidating Statement of Operations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 Ended December 25,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Subsidiary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Guarantors on a</w:t>
            </w:r>
          </w:p>
        </w:tc>
        <w:tc>
          <w:tcPr>
            <w:tcW w:w="13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Non-Guarantors on a</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Parent Company</w:t>
            </w:r>
          </w:p>
        </w:tc>
        <w:tc>
          <w:tcPr>
            <w:tcW w:w="12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Combined Basis</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Combined Basis</w:t>
            </w: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Eliminations</w:t>
            </w:r>
          </w:p>
        </w:tc>
        <w:tc>
          <w:tcPr>
            <w:tcW w:w="180" w:type="dxa"/>
            <w:vAlign w:val="bottom"/>
          </w:tcPr>
          <w:p>
            <w:pPr>
              <w:spacing w:after="0"/>
              <w:rPr>
                <w:sz w:val="13"/>
                <w:szCs w:val="13"/>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b w:val="1"/>
                <w:bCs w:val="1"/>
                <w:color w:val="auto"/>
                <w:w w:val="99"/>
              </w:rPr>
              <w:t>Consolidated</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330.9</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17.2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348.1</w:t>
            </w: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Product sales</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273.8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54.6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320.6</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revenues</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604.7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71.8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(7.8)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668.7</w:t>
            </w:r>
          </w:p>
        </w:tc>
      </w:tr>
      <w:tr>
        <w:trPr>
          <w:trHeight w:val="161"/>
        </w:trPr>
        <w:tc>
          <w:tcPr>
            <w:tcW w:w="4700" w:type="dxa"/>
            <w:vAlign w:val="bottom"/>
          </w:tcPr>
          <w:p>
            <w:pPr>
              <w:ind w:left="20"/>
              <w:spacing w:after="0"/>
              <w:rPr>
                <w:sz w:val="20"/>
                <w:szCs w:val="20"/>
                <w:color w:val="auto"/>
              </w:rPr>
            </w:pPr>
            <w:r>
              <w:rPr>
                <w:rFonts w:ascii="Arial" w:cs="Arial" w:eastAsia="Arial" w:hAnsi="Arial"/>
                <w:sz w:val="12"/>
                <w:szCs w:val="12"/>
                <w:color w:val="auto"/>
              </w:rPr>
              <w:t>Cost of service revenues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244.0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255.8</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 of product sales</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225.0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259.3</w:t>
            </w:r>
          </w:p>
        </w:tc>
      </w:tr>
      <w:tr>
        <w:trPr>
          <w:trHeight w:val="161"/>
        </w:trPr>
        <w:tc>
          <w:tcPr>
            <w:tcW w:w="4700" w:type="dxa"/>
            <w:vAlign w:val="bottom"/>
          </w:tcPr>
          <w:p>
            <w:pPr>
              <w:ind w:left="80"/>
              <w:spacing w:after="0"/>
              <w:rPr>
                <w:sz w:val="20"/>
                <w:szCs w:val="20"/>
                <w:color w:val="auto"/>
              </w:rPr>
            </w:pPr>
            <w:r>
              <w:rPr>
                <w:rFonts w:ascii="Arial" w:cs="Arial" w:eastAsia="Arial" w:hAnsi="Arial"/>
                <w:sz w:val="12"/>
                <w:szCs w:val="12"/>
                <w:color w:val="auto"/>
              </w:rPr>
              <w:t>Total costs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469.0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53.9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515.1</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Gross profit</w:t>
            </w:r>
          </w:p>
        </w:tc>
        <w:tc>
          <w:tcPr>
            <w:tcW w:w="1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135.7</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17.9</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153.6</w:t>
            </w: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6.3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142.3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158.3</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Research and development expenses</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13.5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13.9</w:t>
            </w:r>
          </w:p>
        </w:tc>
      </w:tr>
      <w:tr>
        <w:trPr>
          <w:trHeight w:val="161"/>
        </w:trPr>
        <w:tc>
          <w:tcPr>
            <w:tcW w:w="4700" w:type="dxa"/>
            <w:vAlign w:val="bottom"/>
          </w:tcPr>
          <w:p>
            <w:pPr>
              <w:ind w:left="80"/>
              <w:spacing w:after="0"/>
              <w:rPr>
                <w:sz w:val="20"/>
                <w:szCs w:val="20"/>
                <w:color w:val="auto"/>
              </w:rPr>
            </w:pPr>
            <w:r>
              <w:rPr>
                <w:rFonts w:ascii="Arial" w:cs="Arial" w:eastAsia="Arial" w:hAnsi="Arial"/>
                <w:sz w:val="12"/>
                <w:szCs w:val="12"/>
                <w:color w:val="auto"/>
              </w:rPr>
              <w:t>Operating income (loss) from continuing operations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(6.3)</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(18.6)</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Interest expense, net</w:t>
            </w:r>
          </w:p>
        </w:tc>
        <w:tc>
          <w:tcPr>
            <w:tcW w:w="140" w:type="dxa"/>
            <w:vAlign w:val="bottom"/>
          </w:tcPr>
          <w:p>
            <w:pPr>
              <w:spacing w:after="0"/>
              <w:rPr>
                <w:sz w:val="15"/>
                <w:szCs w:val="15"/>
                <w:color w:val="auto"/>
              </w:rPr>
            </w:pPr>
          </w:p>
        </w:tc>
        <w:tc>
          <w:tcPr>
            <w:tcW w:w="1140" w:type="dxa"/>
            <w:vAlign w:val="bottom"/>
          </w:tcPr>
          <w:p>
            <w:pPr>
              <w:jc w:val="right"/>
              <w:ind w:right="18"/>
              <w:spacing w:after="0"/>
              <w:rPr>
                <w:sz w:val="20"/>
                <w:szCs w:val="20"/>
                <w:color w:val="auto"/>
              </w:rPr>
            </w:pPr>
            <w:r>
              <w:rPr>
                <w:rFonts w:ascii="Arial" w:cs="Arial" w:eastAsia="Arial" w:hAnsi="Arial"/>
                <w:sz w:val="12"/>
                <w:szCs w:val="12"/>
                <w:color w:val="auto"/>
              </w:rPr>
              <w:t>(34.6)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(34.7)</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Loss on extinguishment of debt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0.2</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0.2</w:t>
            </w: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Other income (expense), net</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0.8</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other income (expense), net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(34.4)</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(33.7)</w:t>
            </w:r>
          </w:p>
        </w:tc>
      </w:tr>
      <w:tr>
        <w:trPr>
          <w:trHeight w:val="161"/>
        </w:trPr>
        <w:tc>
          <w:tcPr>
            <w:tcW w:w="4700" w:type="dxa"/>
            <w:vAlign w:val="bottom"/>
          </w:tcPr>
          <w:p>
            <w:pPr>
              <w:ind w:left="20"/>
              <w:spacing w:after="0"/>
              <w:rPr>
                <w:sz w:val="20"/>
                <w:szCs w:val="20"/>
                <w:color w:val="auto"/>
              </w:rPr>
            </w:pPr>
            <w:r>
              <w:rPr>
                <w:rFonts w:ascii="Arial" w:cs="Arial" w:eastAsia="Arial" w:hAnsi="Arial"/>
                <w:sz w:val="12"/>
                <w:szCs w:val="12"/>
                <w:color w:val="auto"/>
              </w:rPr>
              <w:t>Income (loss) from continuing operations before income taxes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(40.7)</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(52.3)</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Provision (benefit) for income taxes from continuing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(0.1)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7.0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8.1</w:t>
            </w:r>
          </w:p>
        </w:tc>
      </w:tr>
      <w:tr>
        <w:trPr>
          <w:trHeight w:val="161"/>
        </w:trPr>
        <w:tc>
          <w:tcPr>
            <w:tcW w:w="4700" w:type="dxa"/>
            <w:vAlign w:val="bottom"/>
          </w:tcPr>
          <w:p>
            <w:pPr>
              <w:ind w:left="20"/>
              <w:spacing w:after="0"/>
              <w:rPr>
                <w:sz w:val="20"/>
                <w:szCs w:val="20"/>
                <w:color w:val="auto"/>
              </w:rPr>
            </w:pPr>
            <w:r>
              <w:rPr>
                <w:rFonts w:ascii="Arial" w:cs="Arial" w:eastAsia="Arial" w:hAnsi="Arial"/>
                <w:sz w:val="12"/>
                <w:szCs w:val="12"/>
                <w:color w:val="auto"/>
              </w:rPr>
              <w:t>Income (loss) from continuing operations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(40.6)</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(60.4)</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(loss) from discontinued operations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(0.1)</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(0.1)</w:t>
            </w: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Equity in net income (loss) of subsidiaries</w:t>
            </w:r>
          </w:p>
        </w:tc>
        <w:tc>
          <w:tcPr>
            <w:tcW w:w="140" w:type="dxa"/>
            <w:vAlign w:val="bottom"/>
          </w:tcPr>
          <w:p>
            <w:pPr>
              <w:spacing w:after="0"/>
              <w:rPr>
                <w:sz w:val="15"/>
                <w:szCs w:val="15"/>
                <w:color w:val="auto"/>
              </w:rPr>
            </w:pPr>
          </w:p>
        </w:tc>
        <w:tc>
          <w:tcPr>
            <w:tcW w:w="1140" w:type="dxa"/>
            <w:vAlign w:val="bottom"/>
          </w:tcPr>
          <w:p>
            <w:pPr>
              <w:jc w:val="right"/>
              <w:ind w:right="18"/>
              <w:spacing w:after="0"/>
              <w:rPr>
                <w:sz w:val="20"/>
                <w:szCs w:val="20"/>
                <w:color w:val="auto"/>
              </w:rPr>
            </w:pPr>
            <w:r>
              <w:rPr>
                <w:rFonts w:ascii="Arial" w:cs="Arial" w:eastAsia="Arial" w:hAnsi="Arial"/>
                <w:sz w:val="12"/>
                <w:szCs w:val="12"/>
                <w:color w:val="auto"/>
              </w:rPr>
              <w:t>(19.8)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60" w:type="dxa"/>
            <w:vAlign w:val="bottom"/>
          </w:tcPr>
          <w:p>
            <w:pPr>
              <w:jc w:val="right"/>
              <w:ind w:right="58"/>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(60.5)</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12.6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(60.5)</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2"/>
                <w:szCs w:val="12"/>
                <w:b w:val="1"/>
                <w:bCs w:val="1"/>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(60.8)</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(60.8)</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460"/>
          </w:cols>
          <w:pgMar w:left="220" w:top="129" w:right="21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Consolidating Statement of Operations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 Ended December 27, 2015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Subsidiary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Guarantors on a</w:t>
            </w:r>
          </w:p>
        </w:tc>
        <w:tc>
          <w:tcPr>
            <w:tcW w:w="13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Non-Guarantors on a</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Parent Company</w:t>
            </w:r>
          </w:p>
        </w:tc>
        <w:tc>
          <w:tcPr>
            <w:tcW w:w="12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Combined Basis</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Combined Basis</w:t>
            </w: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Eliminations</w:t>
            </w:r>
          </w:p>
        </w:tc>
        <w:tc>
          <w:tcPr>
            <w:tcW w:w="180" w:type="dxa"/>
            <w:vAlign w:val="bottom"/>
          </w:tcPr>
          <w:p>
            <w:pPr>
              <w:spacing w:after="0"/>
              <w:rPr>
                <w:sz w:val="13"/>
                <w:szCs w:val="13"/>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b w:val="1"/>
                <w:bCs w:val="1"/>
                <w:color w:val="auto"/>
                <w:w w:val="99"/>
              </w:rPr>
              <w:t>Consolidated</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339.0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15.2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354.2</w:t>
            </w: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Product sales</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262.3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56.3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302.9</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revenues</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601.3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71.5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(15.7)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657.1</w:t>
            </w:r>
          </w:p>
        </w:tc>
      </w:tr>
      <w:tr>
        <w:trPr>
          <w:trHeight w:val="161"/>
        </w:trPr>
        <w:tc>
          <w:tcPr>
            <w:tcW w:w="4700" w:type="dxa"/>
            <w:vAlign w:val="bottom"/>
          </w:tcPr>
          <w:p>
            <w:pPr>
              <w:ind w:left="20"/>
              <w:spacing w:after="0"/>
              <w:rPr>
                <w:sz w:val="20"/>
                <w:szCs w:val="20"/>
                <w:color w:val="auto"/>
              </w:rPr>
            </w:pPr>
            <w:r>
              <w:rPr>
                <w:rFonts w:ascii="Arial" w:cs="Arial" w:eastAsia="Arial" w:hAnsi="Arial"/>
                <w:sz w:val="12"/>
                <w:szCs w:val="12"/>
                <w:color w:val="auto"/>
              </w:rPr>
              <w:t>Cost of service revenues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255.5</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266.5</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 of product sales</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203.1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(15.7)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228.8</w:t>
            </w:r>
          </w:p>
        </w:tc>
      </w:tr>
      <w:tr>
        <w:trPr>
          <w:trHeight w:val="161"/>
        </w:trPr>
        <w:tc>
          <w:tcPr>
            <w:tcW w:w="4700" w:type="dxa"/>
            <w:vAlign w:val="bottom"/>
          </w:tcPr>
          <w:p>
            <w:pPr>
              <w:ind w:left="80"/>
              <w:spacing w:after="0"/>
              <w:rPr>
                <w:sz w:val="20"/>
                <w:szCs w:val="20"/>
                <w:color w:val="auto"/>
              </w:rPr>
            </w:pPr>
            <w:r>
              <w:rPr>
                <w:rFonts w:ascii="Arial" w:cs="Arial" w:eastAsia="Arial" w:hAnsi="Arial"/>
                <w:sz w:val="12"/>
                <w:szCs w:val="12"/>
                <w:color w:val="auto"/>
              </w:rPr>
              <w:t>Total costs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458.6</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52.4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495.3</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Gross profit</w:t>
            </w:r>
          </w:p>
        </w:tc>
        <w:tc>
          <w:tcPr>
            <w:tcW w:w="1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142.7</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19.1</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161.8</w:t>
            </w: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14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130.8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150.1</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Research and development expenses</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15.7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16.2</w:t>
            </w:r>
          </w:p>
        </w:tc>
      </w:tr>
      <w:tr>
        <w:trPr>
          <w:trHeight w:val="161"/>
        </w:trPr>
        <w:tc>
          <w:tcPr>
            <w:tcW w:w="4700" w:type="dxa"/>
            <w:vAlign w:val="bottom"/>
          </w:tcPr>
          <w:p>
            <w:pPr>
              <w:ind w:left="80"/>
              <w:spacing w:after="0"/>
              <w:rPr>
                <w:sz w:val="20"/>
                <w:szCs w:val="20"/>
                <w:color w:val="auto"/>
              </w:rPr>
            </w:pPr>
            <w:r>
              <w:rPr>
                <w:rFonts w:ascii="Arial" w:cs="Arial" w:eastAsia="Arial" w:hAnsi="Arial"/>
                <w:sz w:val="12"/>
                <w:szCs w:val="12"/>
                <w:color w:val="auto"/>
              </w:rPr>
              <w:t>Operating income (loss) from continuing operations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(4.5)</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Interest expense, net</w:t>
            </w:r>
          </w:p>
        </w:tc>
        <w:tc>
          <w:tcPr>
            <w:tcW w:w="140" w:type="dxa"/>
            <w:vAlign w:val="bottom"/>
          </w:tcPr>
          <w:p>
            <w:pPr>
              <w:spacing w:after="0"/>
              <w:rPr>
                <w:sz w:val="15"/>
                <w:szCs w:val="15"/>
                <w:color w:val="auto"/>
              </w:rPr>
            </w:pPr>
          </w:p>
        </w:tc>
        <w:tc>
          <w:tcPr>
            <w:tcW w:w="1140" w:type="dxa"/>
            <w:vAlign w:val="bottom"/>
          </w:tcPr>
          <w:p>
            <w:pPr>
              <w:jc w:val="right"/>
              <w:ind w:right="18"/>
              <w:spacing w:after="0"/>
              <w:rPr>
                <w:sz w:val="20"/>
                <w:szCs w:val="20"/>
                <w:color w:val="auto"/>
              </w:rPr>
            </w:pPr>
            <w:r>
              <w:rPr>
                <w:rFonts w:ascii="Arial" w:cs="Arial" w:eastAsia="Arial" w:hAnsi="Arial"/>
                <w:sz w:val="12"/>
                <w:szCs w:val="12"/>
                <w:color w:val="auto"/>
              </w:rPr>
              <w:t>(35.8)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(36.0)</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Loss on extinguishment of debt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(3.4)</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w:t>
            </w:r>
          </w:p>
        </w:tc>
      </w:tr>
      <w:tr>
        <w:trPr>
          <w:trHeight w:val="181"/>
        </w:trPr>
        <w:tc>
          <w:tcPr>
            <w:tcW w:w="4700" w:type="dxa"/>
            <w:vAlign w:val="bottom"/>
          </w:tcPr>
          <w:p>
            <w:pPr>
              <w:ind w:left="80"/>
              <w:spacing w:after="0"/>
              <w:rPr>
                <w:sz w:val="20"/>
                <w:szCs w:val="20"/>
                <w:color w:val="auto"/>
              </w:rPr>
            </w:pPr>
            <w:r>
              <w:rPr>
                <w:rFonts w:ascii="Arial" w:cs="Arial" w:eastAsia="Arial" w:hAnsi="Arial"/>
                <w:sz w:val="12"/>
                <w:szCs w:val="12"/>
                <w:color w:val="auto"/>
              </w:rPr>
              <w:t>Other income (expense), net</w:t>
            </w:r>
          </w:p>
        </w:tc>
        <w:tc>
          <w:tcPr>
            <w:tcW w:w="14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(0.7)</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other income (expense), net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(39.2)</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(40.1)</w:t>
            </w:r>
          </w:p>
        </w:tc>
      </w:tr>
      <w:tr>
        <w:trPr>
          <w:trHeight w:val="161"/>
        </w:trPr>
        <w:tc>
          <w:tcPr>
            <w:tcW w:w="4700" w:type="dxa"/>
            <w:vAlign w:val="bottom"/>
          </w:tcPr>
          <w:p>
            <w:pPr>
              <w:ind w:left="20"/>
              <w:spacing w:after="0"/>
              <w:rPr>
                <w:sz w:val="20"/>
                <w:szCs w:val="20"/>
                <w:color w:val="auto"/>
              </w:rPr>
            </w:pPr>
            <w:r>
              <w:rPr>
                <w:rFonts w:ascii="Arial" w:cs="Arial" w:eastAsia="Arial" w:hAnsi="Arial"/>
                <w:sz w:val="12"/>
                <w:szCs w:val="12"/>
                <w:color w:val="auto"/>
              </w:rPr>
              <w:t>Income (loss) from continuing operations before income taxes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(49.3)</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(44.6)</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Provision (benefit) for income taxes from continuing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(17.8)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(11.4)</w:t>
            </w:r>
          </w:p>
        </w:tc>
      </w:tr>
      <w:tr>
        <w:trPr>
          <w:trHeight w:val="161"/>
        </w:trPr>
        <w:tc>
          <w:tcPr>
            <w:tcW w:w="4700" w:type="dxa"/>
            <w:vAlign w:val="bottom"/>
          </w:tcPr>
          <w:p>
            <w:pPr>
              <w:ind w:left="20"/>
              <w:spacing w:after="0"/>
              <w:rPr>
                <w:sz w:val="20"/>
                <w:szCs w:val="20"/>
                <w:color w:val="auto"/>
              </w:rPr>
            </w:pPr>
            <w:r>
              <w:rPr>
                <w:rFonts w:ascii="Arial" w:cs="Arial" w:eastAsia="Arial" w:hAnsi="Arial"/>
                <w:sz w:val="12"/>
                <w:szCs w:val="12"/>
                <w:color w:val="auto"/>
              </w:rPr>
              <w:t>Income (loss) from continuing operations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(31.5)</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(33.2)</w:t>
            </w:r>
          </w:p>
        </w:tc>
      </w:tr>
      <w:tr>
        <w:trPr>
          <w:trHeight w:val="26"/>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(loss) from discontinued operations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71.8</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53.0</w:t>
            </w:r>
          </w:p>
        </w:tc>
      </w:tr>
      <w:tr>
        <w:trPr>
          <w:trHeight w:val="181"/>
        </w:trPr>
        <w:tc>
          <w:tcPr>
            <w:tcW w:w="4700" w:type="dxa"/>
            <w:vAlign w:val="bottom"/>
          </w:tcPr>
          <w:p>
            <w:pPr>
              <w:ind w:left="20"/>
              <w:spacing w:after="0"/>
              <w:rPr>
                <w:sz w:val="20"/>
                <w:szCs w:val="20"/>
                <w:color w:val="auto"/>
              </w:rPr>
            </w:pPr>
            <w:r>
              <w:rPr>
                <w:rFonts w:ascii="Arial" w:cs="Arial" w:eastAsia="Arial" w:hAnsi="Arial"/>
                <w:sz w:val="12"/>
                <w:szCs w:val="12"/>
                <w:color w:val="auto"/>
              </w:rPr>
              <w:t>Equity in net income (loss) of subsidiaries</w:t>
            </w:r>
          </w:p>
        </w:tc>
        <w:tc>
          <w:tcPr>
            <w:tcW w:w="140" w:type="dxa"/>
            <w:vAlign w:val="bottom"/>
          </w:tcPr>
          <w:p>
            <w:pPr>
              <w:spacing w:after="0"/>
              <w:rPr>
                <w:sz w:val="15"/>
                <w:szCs w:val="15"/>
                <w:color w:val="auto"/>
              </w:rPr>
            </w:pPr>
          </w:p>
        </w:tc>
        <w:tc>
          <w:tcPr>
            <w:tcW w:w="1140" w:type="dxa"/>
            <w:vAlign w:val="bottom"/>
          </w:tcPr>
          <w:p>
            <w:pPr>
              <w:jc w:val="right"/>
              <w:ind w:right="18"/>
              <w:spacing w:after="0"/>
              <w:rPr>
                <w:sz w:val="20"/>
                <w:szCs w:val="20"/>
                <w:color w:val="auto"/>
              </w:rPr>
            </w:pPr>
            <w:r>
              <w:rPr>
                <w:rFonts w:ascii="Arial" w:cs="Arial" w:eastAsia="Arial" w:hAnsi="Arial"/>
                <w:sz w:val="12"/>
                <w:szCs w:val="12"/>
                <w:color w:val="auto"/>
              </w:rPr>
              <w:t>(20.5)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60" w:type="dxa"/>
            <w:vAlign w:val="bottom"/>
          </w:tcPr>
          <w:p>
            <w:pPr>
              <w:jc w:val="right"/>
              <w:ind w:right="58"/>
              <w:spacing w:after="0"/>
              <w:rPr>
                <w:sz w:val="20"/>
                <w:szCs w:val="20"/>
                <w:color w:val="auto"/>
              </w:rPr>
            </w:pPr>
            <w:r>
              <w:rPr>
                <w:rFonts w:ascii="Arial" w:cs="Arial" w:eastAsia="Arial" w:hAnsi="Arial"/>
                <w:sz w:val="12"/>
                <w:szCs w:val="12"/>
                <w:color w:val="auto"/>
              </w:rPr>
              <w:t>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19.8</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12.2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8.3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19.8</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8"/>
        </w:trPr>
        <w:tc>
          <w:tcPr>
            <w:tcW w:w="4700" w:type="dxa"/>
            <w:vAlign w:val="bottom"/>
          </w:tcPr>
          <w:p>
            <w:pPr>
              <w:ind w:left="20"/>
              <w:spacing w:after="0"/>
              <w:rPr>
                <w:sz w:val="20"/>
                <w:szCs w:val="20"/>
                <w:color w:val="auto"/>
              </w:rPr>
            </w:pPr>
            <w:r>
              <w:rPr>
                <w:rFonts w:ascii="Arial" w:cs="Arial" w:eastAsia="Arial" w:hAnsi="Arial"/>
                <w:sz w:val="12"/>
                <w:szCs w:val="12"/>
                <w:b w:val="1"/>
                <w:bCs w:val="1"/>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20.1</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20.1</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460"/>
          </w:cols>
          <w:pgMar w:left="220" w:top="129" w:right="21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Consolidating Statement of Operations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 Ended December 28, 2014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5"/>
              </w:rPr>
              <w:t>Subsidiary Guarantors</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Non-Guarantors on a</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1"/>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Parent Company</w:t>
            </w:r>
          </w:p>
        </w:tc>
        <w:tc>
          <w:tcPr>
            <w:tcW w:w="10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on a Combined Basis</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Combined Basis</w:t>
            </w:r>
          </w:p>
        </w:tc>
        <w:tc>
          <w:tcPr>
            <w:tcW w:w="22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Arial" w:cs="Arial" w:eastAsia="Arial" w:hAnsi="Arial"/>
                <w:sz w:val="12"/>
                <w:szCs w:val="12"/>
                <w:b w:val="1"/>
                <w:bCs w:val="1"/>
                <w:color w:val="auto"/>
              </w:rPr>
              <w:t>Eliminations</w:t>
            </w:r>
          </w:p>
        </w:tc>
        <w:tc>
          <w:tcPr>
            <w:tcW w:w="200" w:type="dxa"/>
            <w:vAlign w:val="bottom"/>
          </w:tcPr>
          <w:p>
            <w:pPr>
              <w:spacing w:after="0"/>
              <w:rPr>
                <w:sz w:val="13"/>
                <w:szCs w:val="13"/>
                <w:color w:val="auto"/>
              </w:rPr>
            </w:pP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auto"/>
              </w:rPr>
              <w:t>Consolidated</w:t>
            </w:r>
          </w:p>
        </w:tc>
      </w:tr>
      <w:tr>
        <w:trPr>
          <w:trHeight w:val="26"/>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Service revenues</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380.8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390.8</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Product sales</w:t>
            </w: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60" w:type="dxa"/>
            <w:vAlign w:val="bottom"/>
          </w:tcPr>
          <w:p>
            <w:pPr>
              <w:jc w:val="right"/>
              <w:ind w:right="58"/>
              <w:spacing w:after="0"/>
              <w:rPr>
                <w:sz w:val="20"/>
                <w:szCs w:val="20"/>
                <w:color w:val="auto"/>
              </w:rPr>
            </w:pPr>
            <w:r>
              <w:rPr>
                <w:rFonts w:ascii="Arial" w:cs="Arial" w:eastAsia="Arial" w:hAnsi="Arial"/>
                <w:sz w:val="12"/>
                <w:szCs w:val="12"/>
                <w:color w:val="auto"/>
              </w:rPr>
              <w:t>326.1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372.2</w:t>
            </w:r>
          </w:p>
        </w:tc>
      </w:tr>
      <w:tr>
        <w:trPr>
          <w:trHeight w:val="26"/>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revenues</w:t>
            </w: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706.9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64.6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763.0</w:t>
            </w:r>
          </w:p>
        </w:tc>
      </w:tr>
      <w:tr>
        <w:trPr>
          <w:trHeight w:val="161"/>
        </w:trPr>
        <w:tc>
          <w:tcPr>
            <w:tcW w:w="4140" w:type="dxa"/>
            <w:vAlign w:val="bottom"/>
          </w:tcPr>
          <w:p>
            <w:pPr>
              <w:ind w:left="20"/>
              <w:spacing w:after="0"/>
              <w:rPr>
                <w:sz w:val="20"/>
                <w:szCs w:val="20"/>
                <w:color w:val="auto"/>
              </w:rPr>
            </w:pPr>
            <w:r>
              <w:rPr>
                <w:rFonts w:ascii="Arial" w:cs="Arial" w:eastAsia="Arial" w:hAnsi="Arial"/>
                <w:sz w:val="12"/>
                <w:szCs w:val="12"/>
                <w:color w:val="auto"/>
              </w:rPr>
              <w:t>Cost of service revenues</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297.0</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304.6</w:t>
            </w:r>
          </w:p>
        </w:tc>
      </w:tr>
      <w:tr>
        <w:trPr>
          <w:trHeight w:val="26"/>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 of product sales</w:t>
            </w: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247.9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39.6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279.0</w:t>
            </w:r>
          </w:p>
        </w:tc>
      </w:tr>
      <w:tr>
        <w:trPr>
          <w:trHeight w:val="161"/>
        </w:trPr>
        <w:tc>
          <w:tcPr>
            <w:tcW w:w="4140" w:type="dxa"/>
            <w:vAlign w:val="bottom"/>
          </w:tcPr>
          <w:p>
            <w:pPr>
              <w:ind w:left="80"/>
              <w:spacing w:after="0"/>
              <w:rPr>
                <w:sz w:val="20"/>
                <w:szCs w:val="20"/>
                <w:color w:val="auto"/>
              </w:rPr>
            </w:pPr>
            <w:r>
              <w:rPr>
                <w:rFonts w:ascii="Arial" w:cs="Arial" w:eastAsia="Arial" w:hAnsi="Arial"/>
                <w:sz w:val="12"/>
                <w:szCs w:val="12"/>
                <w:color w:val="auto"/>
              </w:rPr>
              <w:t>Total costs</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544.9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47.2</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583.6</w:t>
            </w:r>
          </w:p>
        </w:tc>
      </w:tr>
      <w:tr>
        <w:trPr>
          <w:trHeight w:val="26"/>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4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Gross profit</w:t>
            </w:r>
          </w:p>
        </w:tc>
        <w:tc>
          <w:tcPr>
            <w:tcW w:w="16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162.0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17.4</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179.4</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160" w:type="dxa"/>
            <w:vAlign w:val="bottom"/>
          </w:tcPr>
          <w:p>
            <w:pPr>
              <w:spacing w:after="0"/>
              <w:rPr>
                <w:sz w:val="15"/>
                <w:szCs w:val="15"/>
                <w:color w:val="auto"/>
              </w:rPr>
            </w:pPr>
          </w:p>
        </w:tc>
        <w:tc>
          <w:tcPr>
            <w:tcW w:w="1240" w:type="dxa"/>
            <w:vAlign w:val="bottom"/>
          </w:tcPr>
          <w:p>
            <w:pPr>
              <w:jc w:val="right"/>
              <w:ind w:right="78"/>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8"/>
              <w:spacing w:after="0"/>
              <w:rPr>
                <w:sz w:val="20"/>
                <w:szCs w:val="20"/>
                <w:color w:val="auto"/>
              </w:rPr>
            </w:pPr>
            <w:r>
              <w:rPr>
                <w:rFonts w:ascii="Arial" w:cs="Arial" w:eastAsia="Arial" w:hAnsi="Arial"/>
                <w:sz w:val="12"/>
                <w:szCs w:val="12"/>
                <w:color w:val="auto"/>
              </w:rPr>
              <w:t>136.7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10.4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155.5</w:t>
            </w:r>
          </w:p>
        </w:tc>
      </w:tr>
      <w:tr>
        <w:trPr>
          <w:trHeight w:val="26"/>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Research and development expenses</w:t>
            </w: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17.4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18.6</w:t>
            </w:r>
          </w:p>
        </w:tc>
      </w:tr>
      <w:tr>
        <w:trPr>
          <w:trHeight w:val="161"/>
        </w:trPr>
        <w:tc>
          <w:tcPr>
            <w:tcW w:w="4140" w:type="dxa"/>
            <w:vAlign w:val="bottom"/>
          </w:tcPr>
          <w:p>
            <w:pPr>
              <w:ind w:left="20"/>
              <w:spacing w:after="0"/>
              <w:rPr>
                <w:sz w:val="20"/>
                <w:szCs w:val="20"/>
                <w:color w:val="auto"/>
              </w:rPr>
            </w:pPr>
            <w:r>
              <w:rPr>
                <w:rFonts w:ascii="Arial" w:cs="Arial" w:eastAsia="Arial" w:hAnsi="Arial"/>
                <w:sz w:val="12"/>
                <w:szCs w:val="12"/>
                <w:color w:val="auto"/>
              </w:rPr>
              <w:t>Operating income (loss) from continuing operations</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5.3</w:t>
            </w:r>
          </w:p>
        </w:tc>
      </w:tr>
      <w:tr>
        <w:trPr>
          <w:trHeight w:val="26"/>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81"/>
        </w:trPr>
        <w:tc>
          <w:tcPr>
            <w:tcW w:w="4140" w:type="dxa"/>
            <w:vAlign w:val="bottom"/>
          </w:tcPr>
          <w:p>
            <w:pPr>
              <w:ind w:left="80"/>
              <w:spacing w:after="0"/>
              <w:rPr>
                <w:sz w:val="20"/>
                <w:szCs w:val="20"/>
                <w:color w:val="auto"/>
              </w:rPr>
            </w:pPr>
            <w:r>
              <w:rPr>
                <w:rFonts w:ascii="Arial" w:cs="Arial" w:eastAsia="Arial" w:hAnsi="Arial"/>
                <w:sz w:val="12"/>
                <w:szCs w:val="12"/>
                <w:color w:val="auto"/>
              </w:rPr>
              <w:t>Interest income (expense), net</w:t>
            </w:r>
          </w:p>
        </w:tc>
        <w:tc>
          <w:tcPr>
            <w:tcW w:w="160" w:type="dxa"/>
            <w:vAlign w:val="bottom"/>
          </w:tcPr>
          <w:p>
            <w:pPr>
              <w:spacing w:after="0"/>
              <w:rPr>
                <w:sz w:val="15"/>
                <w:szCs w:val="15"/>
                <w:color w:val="auto"/>
              </w:rPr>
            </w:pPr>
          </w:p>
        </w:tc>
        <w:tc>
          <w:tcPr>
            <w:tcW w:w="1240" w:type="dxa"/>
            <w:vAlign w:val="bottom"/>
          </w:tcPr>
          <w:p>
            <w:pPr>
              <w:jc w:val="right"/>
              <w:ind w:right="38"/>
              <w:spacing w:after="0"/>
              <w:rPr>
                <w:sz w:val="20"/>
                <w:szCs w:val="20"/>
                <w:color w:val="auto"/>
              </w:rPr>
            </w:pPr>
            <w:r>
              <w:rPr>
                <w:rFonts w:ascii="Arial" w:cs="Arial" w:eastAsia="Arial" w:hAnsi="Arial"/>
                <w:sz w:val="12"/>
                <w:szCs w:val="12"/>
                <w:color w:val="auto"/>
              </w:rPr>
              <w:t>(39.3)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8"/>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(39.2)</w:t>
            </w:r>
          </w:p>
        </w:tc>
      </w:tr>
      <w:tr>
        <w:trPr>
          <w:trHeight w:val="26"/>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Loss on extinguishment of debt</w:t>
            </w: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(39.1)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(39.1)</w:t>
            </w:r>
          </w:p>
        </w:tc>
      </w:tr>
      <w:tr>
        <w:trPr>
          <w:trHeight w:val="181"/>
        </w:trPr>
        <w:tc>
          <w:tcPr>
            <w:tcW w:w="4140" w:type="dxa"/>
            <w:vAlign w:val="bottom"/>
          </w:tcPr>
          <w:p>
            <w:pPr>
              <w:ind w:left="80"/>
              <w:spacing w:after="0"/>
              <w:rPr>
                <w:sz w:val="20"/>
                <w:szCs w:val="20"/>
                <w:color w:val="auto"/>
              </w:rPr>
            </w:pPr>
            <w:r>
              <w:rPr>
                <w:rFonts w:ascii="Arial" w:cs="Arial" w:eastAsia="Arial" w:hAnsi="Arial"/>
                <w:sz w:val="12"/>
                <w:szCs w:val="12"/>
                <w:color w:val="auto"/>
              </w:rPr>
              <w:t>Other income (expense), net</w:t>
            </w: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1.2</w:t>
            </w:r>
          </w:p>
        </w:tc>
      </w:tr>
      <w:tr>
        <w:trPr>
          <w:trHeight w:val="26"/>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other income (expense), net</w:t>
            </w: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(78.4)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(77.1)</w:t>
            </w:r>
          </w:p>
        </w:tc>
      </w:tr>
      <w:tr>
        <w:trPr>
          <w:trHeight w:val="161"/>
        </w:trPr>
        <w:tc>
          <w:tcPr>
            <w:tcW w:w="4140" w:type="dxa"/>
            <w:vAlign w:val="bottom"/>
          </w:tcPr>
          <w:p>
            <w:pPr>
              <w:ind w:left="20"/>
              <w:spacing w:after="0"/>
              <w:rPr>
                <w:sz w:val="20"/>
                <w:szCs w:val="20"/>
                <w:color w:val="auto"/>
              </w:rPr>
            </w:pPr>
            <w:r>
              <w:rPr>
                <w:rFonts w:ascii="Arial" w:cs="Arial" w:eastAsia="Arial" w:hAnsi="Arial"/>
                <w:sz w:val="12"/>
                <w:szCs w:val="12"/>
                <w:color w:val="auto"/>
              </w:rPr>
              <w:t>Income (loss) from continuing operations before income taxes</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(86.8)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(71.8)</w:t>
            </w:r>
          </w:p>
        </w:tc>
      </w:tr>
      <w:tr>
        <w:trPr>
          <w:trHeight w:val="26"/>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Provision for income taxes from continuing operations</w:t>
            </w: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3.9</w:t>
            </w:r>
          </w:p>
        </w:tc>
      </w:tr>
      <w:tr>
        <w:trPr>
          <w:trHeight w:val="161"/>
        </w:trPr>
        <w:tc>
          <w:tcPr>
            <w:tcW w:w="4140" w:type="dxa"/>
            <w:vAlign w:val="bottom"/>
          </w:tcPr>
          <w:p>
            <w:pPr>
              <w:ind w:left="20"/>
              <w:spacing w:after="0"/>
              <w:rPr>
                <w:sz w:val="20"/>
                <w:szCs w:val="20"/>
                <w:color w:val="auto"/>
              </w:rPr>
            </w:pPr>
            <w:r>
              <w:rPr>
                <w:rFonts w:ascii="Arial" w:cs="Arial" w:eastAsia="Arial" w:hAnsi="Arial"/>
                <w:sz w:val="12"/>
                <w:szCs w:val="12"/>
                <w:color w:val="auto"/>
              </w:rPr>
              <w:t>Income (loss) from continuing operations</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(87.4)</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8.3</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(75.7)</w:t>
            </w:r>
          </w:p>
        </w:tc>
      </w:tr>
      <w:tr>
        <w:trPr>
          <w:trHeight w:val="26"/>
        </w:trPr>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(loss) from discontinued operations</w:t>
            </w: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(14.7)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w:t>
            </w:r>
          </w:p>
        </w:tc>
      </w:tr>
      <w:tr>
        <w:trPr>
          <w:trHeight w:val="181"/>
        </w:trPr>
        <w:tc>
          <w:tcPr>
            <w:tcW w:w="4140" w:type="dxa"/>
            <w:vAlign w:val="bottom"/>
          </w:tcPr>
          <w:p>
            <w:pPr>
              <w:ind w:left="20"/>
              <w:spacing w:after="0"/>
              <w:rPr>
                <w:sz w:val="20"/>
                <w:szCs w:val="20"/>
                <w:color w:val="auto"/>
              </w:rPr>
            </w:pPr>
            <w:r>
              <w:rPr>
                <w:rFonts w:ascii="Arial" w:cs="Arial" w:eastAsia="Arial" w:hAnsi="Arial"/>
                <w:sz w:val="12"/>
                <w:szCs w:val="12"/>
                <w:color w:val="auto"/>
              </w:rPr>
              <w:t>Equity in net income (loss) of subsidiaries</w:t>
            </w:r>
          </w:p>
        </w:tc>
        <w:tc>
          <w:tcPr>
            <w:tcW w:w="160" w:type="dxa"/>
            <w:vAlign w:val="bottom"/>
          </w:tcPr>
          <w:p>
            <w:pPr>
              <w:spacing w:after="0"/>
              <w:rPr>
                <w:sz w:val="15"/>
                <w:szCs w:val="15"/>
                <w:color w:val="auto"/>
              </w:rPr>
            </w:pPr>
          </w:p>
        </w:tc>
        <w:tc>
          <w:tcPr>
            <w:tcW w:w="1240" w:type="dxa"/>
            <w:vAlign w:val="bottom"/>
          </w:tcPr>
          <w:p>
            <w:pPr>
              <w:jc w:val="right"/>
              <w:ind w:right="78"/>
              <w:spacing w:after="0"/>
              <w:rPr>
                <w:sz w:val="20"/>
                <w:szCs w:val="20"/>
                <w:color w:val="auto"/>
              </w:rPr>
            </w:pPr>
            <w:r>
              <w:rPr>
                <w:rFonts w:ascii="Arial" w:cs="Arial" w:eastAsia="Arial" w:hAnsi="Arial"/>
                <w:sz w:val="12"/>
                <w:szCs w:val="12"/>
                <w:color w:val="auto"/>
              </w:rPr>
              <w:t>24.1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8"/>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(35.5)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(78.0)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24.1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11.4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(78.0)</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2"/>
                <w:szCs w:val="12"/>
                <w:b w:val="1"/>
                <w:bCs w:val="1"/>
                <w:color w:val="auto"/>
              </w:rPr>
              <w:t>Comprehensive income (loss)</w:t>
            </w:r>
          </w:p>
        </w:tc>
        <w:tc>
          <w:tcPr>
            <w:tcW w:w="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(78.9)</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23.6</w:t>
            </w:r>
          </w:p>
        </w:tc>
        <w:tc>
          <w:tcPr>
            <w:tcW w:w="12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11.0</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(78.9)</w:t>
            </w: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460"/>
          </w:cols>
          <w:pgMar w:left="220" w:top="128" w:right="21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 Ended December 25,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Subsidiary</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5"/>
        </w:trPr>
        <w:tc>
          <w:tcPr>
            <w:tcW w:w="5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Guarantors on a</w:t>
            </w:r>
          </w:p>
        </w:tc>
        <w:tc>
          <w:tcPr>
            <w:tcW w:w="12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Non-Guarantors on</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1"/>
        </w:trPr>
        <w:tc>
          <w:tcPr>
            <w:tcW w:w="506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Parent Company</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Combined Basis</w:t>
            </w:r>
          </w:p>
        </w:tc>
        <w:tc>
          <w:tcPr>
            <w:tcW w:w="8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 Combined Basis</w:t>
            </w: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Eliminations</w:t>
            </w:r>
          </w:p>
        </w:tc>
        <w:tc>
          <w:tcPr>
            <w:tcW w:w="200" w:type="dxa"/>
            <w:vAlign w:val="bottom"/>
          </w:tcPr>
          <w:p>
            <w:pPr>
              <w:spacing w:after="0"/>
              <w:rPr>
                <w:sz w:val="13"/>
                <w:szCs w:val="13"/>
                <w:color w:val="auto"/>
              </w:rPr>
            </w:pP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auto"/>
              </w:rPr>
              <w:t>Consolidated</w:t>
            </w:r>
          </w:p>
        </w:tc>
      </w:tr>
      <w:tr>
        <w:trPr>
          <w:trHeight w:val="26"/>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(used in) operating activities from continuing operations</w:t>
            </w:r>
          </w:p>
        </w:tc>
        <w:tc>
          <w:tcPr>
            <w:tcW w:w="38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(26.3)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16.6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(2.7)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(12.4)</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Investing activities:</w:t>
            </w:r>
          </w:p>
        </w:tc>
        <w:tc>
          <w:tcPr>
            <w:tcW w:w="3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6"/>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5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Investment in affiliated companies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r>
      <w:tr>
        <w:trPr>
          <w:trHeight w:val="181"/>
        </w:trPr>
        <w:tc>
          <w:tcPr>
            <w:tcW w:w="5060" w:type="dxa"/>
            <w:vAlign w:val="bottom"/>
          </w:tcPr>
          <w:p>
            <w:pPr>
              <w:ind w:left="80"/>
              <w:spacing w:after="0"/>
              <w:rPr>
                <w:sz w:val="20"/>
                <w:szCs w:val="20"/>
                <w:color w:val="auto"/>
              </w:rPr>
            </w:pPr>
            <w:r>
              <w:rPr>
                <w:rFonts w:ascii="Arial" w:cs="Arial" w:eastAsia="Arial" w:hAnsi="Arial"/>
                <w:sz w:val="12"/>
                <w:szCs w:val="12"/>
                <w:color w:val="auto"/>
              </w:rPr>
              <w:t>Cash paid for acquisitions, net of cash acquired</w:t>
            </w:r>
          </w:p>
        </w:tc>
        <w:tc>
          <w:tcPr>
            <w:tcW w:w="3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26"/>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5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Change in restricted cash</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0.3</w:t>
            </w:r>
          </w:p>
        </w:tc>
      </w:tr>
      <w:tr>
        <w:trPr>
          <w:trHeight w:val="181"/>
        </w:trPr>
        <w:tc>
          <w:tcPr>
            <w:tcW w:w="5060" w:type="dxa"/>
            <w:vAlign w:val="bottom"/>
          </w:tcPr>
          <w:p>
            <w:pPr>
              <w:ind w:left="80"/>
              <w:spacing w:after="0"/>
              <w:rPr>
                <w:sz w:val="20"/>
                <w:szCs w:val="20"/>
                <w:color w:val="auto"/>
              </w:rPr>
            </w:pPr>
            <w:r>
              <w:rPr>
                <w:rFonts w:ascii="Arial" w:cs="Arial" w:eastAsia="Arial" w:hAnsi="Arial"/>
                <w:sz w:val="12"/>
                <w:szCs w:val="12"/>
                <w:color w:val="auto"/>
              </w:rPr>
              <w:t>Capital expenditures</w:t>
            </w:r>
          </w:p>
        </w:tc>
        <w:tc>
          <w:tcPr>
            <w:tcW w:w="380" w:type="dxa"/>
            <w:vAlign w:val="bottom"/>
          </w:tcPr>
          <w:p>
            <w:pPr>
              <w:spacing w:after="0"/>
              <w:rPr>
                <w:sz w:val="15"/>
                <w:szCs w:val="15"/>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26"/>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sale of assets</w:t>
            </w:r>
          </w:p>
        </w:tc>
        <w:tc>
          <w:tcPr>
            <w:tcW w:w="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0.1</w:t>
            </w:r>
          </w:p>
        </w:tc>
      </w:tr>
      <w:tr>
        <w:trPr>
          <w:trHeight w:val="161"/>
        </w:trPr>
        <w:tc>
          <w:tcPr>
            <w:tcW w:w="5060" w:type="dxa"/>
            <w:vAlign w:val="bottom"/>
          </w:tcPr>
          <w:p>
            <w:pPr>
              <w:ind w:left="20"/>
              <w:spacing w:after="0"/>
              <w:rPr>
                <w:sz w:val="20"/>
                <w:szCs w:val="20"/>
                <w:color w:val="auto"/>
              </w:rPr>
            </w:pPr>
            <w:r>
              <w:rPr>
                <w:rFonts w:ascii="Arial" w:cs="Arial" w:eastAsia="Arial" w:hAnsi="Arial"/>
                <w:sz w:val="12"/>
                <w:szCs w:val="12"/>
                <w:color w:val="auto"/>
              </w:rPr>
              <w:t>Net cash provided by (used in) investing activities from continuing operations</w:t>
            </w:r>
          </w:p>
        </w:tc>
        <w:tc>
          <w:tcPr>
            <w:tcW w:w="3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(13.9)</w:t>
            </w:r>
          </w:p>
        </w:tc>
      </w:tr>
      <w:tr>
        <w:trPr>
          <w:trHeight w:val="26"/>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Financing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81"/>
        </w:trPr>
        <w:tc>
          <w:tcPr>
            <w:tcW w:w="5060" w:type="dxa"/>
            <w:vAlign w:val="bottom"/>
          </w:tcPr>
          <w:p>
            <w:pPr>
              <w:ind w:left="80"/>
              <w:spacing w:after="0"/>
              <w:rPr>
                <w:sz w:val="20"/>
                <w:szCs w:val="20"/>
                <w:color w:val="auto"/>
              </w:rPr>
            </w:pPr>
            <w:r>
              <w:rPr>
                <w:rFonts w:ascii="Arial" w:cs="Arial" w:eastAsia="Arial" w:hAnsi="Arial"/>
                <w:sz w:val="12"/>
                <w:szCs w:val="12"/>
                <w:color w:val="auto"/>
              </w:rPr>
              <w:t>Extinguishment of long-term debt</w:t>
            </w:r>
          </w:p>
        </w:tc>
        <w:tc>
          <w:tcPr>
            <w:tcW w:w="380" w:type="dxa"/>
            <w:vAlign w:val="bottom"/>
          </w:tcPr>
          <w:p>
            <w:pPr>
              <w:spacing w:after="0"/>
              <w:rPr>
                <w:sz w:val="15"/>
                <w:szCs w:val="15"/>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(14.1)</w:t>
            </w:r>
          </w:p>
        </w:tc>
      </w:tr>
      <w:tr>
        <w:trPr>
          <w:trHeight w:val="26"/>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Repayment of debt</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81"/>
        </w:trPr>
        <w:tc>
          <w:tcPr>
            <w:tcW w:w="5060" w:type="dxa"/>
            <w:vAlign w:val="bottom"/>
          </w:tcPr>
          <w:p>
            <w:pPr>
              <w:ind w:left="80"/>
              <w:spacing w:after="0"/>
              <w:rPr>
                <w:sz w:val="20"/>
                <w:szCs w:val="20"/>
                <w:color w:val="auto"/>
              </w:rPr>
            </w:pPr>
            <w:r>
              <w:rPr>
                <w:rFonts w:ascii="Arial" w:cs="Arial" w:eastAsia="Arial" w:hAnsi="Arial"/>
                <w:sz w:val="12"/>
                <w:szCs w:val="12"/>
                <w:color w:val="auto"/>
              </w:rPr>
              <w:t>Proceeds from the issuance of common stock</w:t>
            </w:r>
          </w:p>
        </w:tc>
        <w:tc>
          <w:tcPr>
            <w:tcW w:w="380" w:type="dxa"/>
            <w:vAlign w:val="bottom"/>
          </w:tcPr>
          <w:p>
            <w:pPr>
              <w:spacing w:after="0"/>
              <w:rPr>
                <w:sz w:val="15"/>
                <w:szCs w:val="15"/>
                <w:color w:val="auto"/>
              </w:rPr>
            </w:pP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76.2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76.2</w:t>
            </w:r>
          </w:p>
        </w:tc>
      </w:tr>
      <w:tr>
        <w:trPr>
          <w:trHeight w:val="26"/>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the sale of employee stock purchase plan shares</w:t>
            </w:r>
          </w:p>
        </w:tc>
        <w:tc>
          <w:tcPr>
            <w:tcW w:w="3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2.0</w:t>
            </w:r>
          </w:p>
        </w:tc>
      </w:tr>
      <w:tr>
        <w:trPr>
          <w:trHeight w:val="181"/>
        </w:trPr>
        <w:tc>
          <w:tcPr>
            <w:tcW w:w="5060" w:type="dxa"/>
            <w:vAlign w:val="bottom"/>
          </w:tcPr>
          <w:p>
            <w:pPr>
              <w:ind w:left="80"/>
              <w:spacing w:after="0"/>
              <w:rPr>
                <w:sz w:val="20"/>
                <w:szCs w:val="20"/>
                <w:color w:val="auto"/>
              </w:rPr>
            </w:pPr>
            <w:r>
              <w:rPr>
                <w:rFonts w:ascii="Arial" w:cs="Arial" w:eastAsia="Arial" w:hAnsi="Arial"/>
                <w:sz w:val="12"/>
                <w:szCs w:val="12"/>
                <w:color w:val="auto"/>
              </w:rPr>
              <w:t>Financings from affiliated companies</w:t>
            </w:r>
          </w:p>
        </w:tc>
        <w:tc>
          <w:tcPr>
            <w:tcW w:w="380" w:type="dxa"/>
            <w:vAlign w:val="bottom"/>
          </w:tcPr>
          <w:p>
            <w:pPr>
              <w:spacing w:after="0"/>
              <w:rPr>
                <w:sz w:val="15"/>
                <w:szCs w:val="15"/>
                <w:color w:val="auto"/>
              </w:rPr>
            </w:pP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(used in) financing activities from continuing operations</w:t>
            </w:r>
          </w:p>
        </w:tc>
        <w:tc>
          <w:tcPr>
            <w:tcW w:w="3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67.1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63.1</w:t>
            </w:r>
          </w:p>
        </w:tc>
      </w:tr>
      <w:tr>
        <w:trPr>
          <w:trHeight w:val="161"/>
        </w:trPr>
        <w:tc>
          <w:tcPr>
            <w:tcW w:w="5060" w:type="dxa"/>
            <w:vAlign w:val="bottom"/>
          </w:tcPr>
          <w:p>
            <w:pPr>
              <w:ind w:left="20"/>
              <w:spacing w:after="0"/>
              <w:rPr>
                <w:sz w:val="20"/>
                <w:szCs w:val="20"/>
                <w:color w:val="auto"/>
              </w:rPr>
            </w:pPr>
            <w:r>
              <w:rPr>
                <w:rFonts w:ascii="Arial" w:cs="Arial" w:eastAsia="Arial" w:hAnsi="Arial"/>
                <w:sz w:val="12"/>
                <w:szCs w:val="12"/>
                <w:color w:val="auto"/>
              </w:rPr>
              <w:t>Net cash flows of continuing operations</w:t>
            </w:r>
          </w:p>
        </w:tc>
        <w:tc>
          <w:tcPr>
            <w:tcW w:w="3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40.3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36.8</w:t>
            </w:r>
          </w:p>
        </w:tc>
      </w:tr>
      <w:tr>
        <w:trPr>
          <w:trHeight w:val="26"/>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operating cash flows from discontinued operations</w:t>
            </w:r>
          </w:p>
        </w:tc>
        <w:tc>
          <w:tcPr>
            <w:tcW w:w="3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0.4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0.1</w:t>
            </w:r>
          </w:p>
        </w:tc>
      </w:tr>
      <w:tr>
        <w:trPr>
          <w:trHeight w:val="181"/>
        </w:trPr>
        <w:tc>
          <w:tcPr>
            <w:tcW w:w="5060" w:type="dxa"/>
            <w:vAlign w:val="bottom"/>
          </w:tcPr>
          <w:p>
            <w:pPr>
              <w:ind w:left="20"/>
              <w:spacing w:after="0"/>
              <w:rPr>
                <w:sz w:val="20"/>
                <w:szCs w:val="20"/>
                <w:color w:val="auto"/>
              </w:rPr>
            </w:pPr>
            <w:r>
              <w:rPr>
                <w:rFonts w:ascii="Arial" w:cs="Arial" w:eastAsia="Arial" w:hAnsi="Arial"/>
                <w:sz w:val="12"/>
                <w:szCs w:val="12"/>
                <w:color w:val="auto"/>
              </w:rPr>
              <w:t>Net investing cash flows from discontinued operations</w:t>
            </w:r>
          </w:p>
        </w:tc>
        <w:tc>
          <w:tcPr>
            <w:tcW w:w="380" w:type="dxa"/>
            <w:vAlign w:val="bottom"/>
          </w:tcPr>
          <w:p>
            <w:pPr>
              <w:spacing w:after="0"/>
              <w:rPr>
                <w:sz w:val="15"/>
                <w:szCs w:val="15"/>
                <w:color w:val="auto"/>
              </w:rPr>
            </w:pP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4.0</w:t>
            </w:r>
          </w:p>
        </w:tc>
      </w:tr>
      <w:tr>
        <w:trPr>
          <w:trHeight w:val="26"/>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 and cash equivalents</w:t>
            </w:r>
          </w:p>
        </w:tc>
        <w:tc>
          <w:tcPr>
            <w:tcW w:w="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79"/>
        </w:trPr>
        <w:tc>
          <w:tcPr>
            <w:tcW w:w="5060" w:type="dxa"/>
            <w:vAlign w:val="bottom"/>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3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color w:val="auto"/>
              </w:rPr>
              <w:t>44.7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40.6</w:t>
            </w:r>
          </w:p>
        </w:tc>
      </w:tr>
      <w:tr>
        <w:trPr>
          <w:trHeight w:val="20"/>
        </w:trPr>
        <w:tc>
          <w:tcPr>
            <w:tcW w:w="5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ectPr>
          <w:pgSz w:w="11900" w:h="16838" w:orient="portrait"/>
          <w:cols w:equalWidth="0" w:num="1">
            <w:col w:w="11460"/>
          </w:cols>
          <w:pgMar w:left="220" w:top="129" w:right="21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 Ended December 27, 2015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Subsidiary</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5"/>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Guarantors on a</w:t>
            </w:r>
          </w:p>
        </w:tc>
        <w:tc>
          <w:tcPr>
            <w:tcW w:w="12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Non-Guarantors on</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Parent Company</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Combined Basis</w:t>
            </w:r>
          </w:p>
        </w:tc>
        <w:tc>
          <w:tcPr>
            <w:tcW w:w="8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 Combined Basis</w:t>
            </w: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Eliminations</w:t>
            </w:r>
          </w:p>
        </w:tc>
        <w:tc>
          <w:tcPr>
            <w:tcW w:w="200" w:type="dxa"/>
            <w:vAlign w:val="bottom"/>
          </w:tcPr>
          <w:p>
            <w:pPr>
              <w:spacing w:after="0"/>
              <w:rPr>
                <w:sz w:val="13"/>
                <w:szCs w:val="13"/>
                <w:color w:val="auto"/>
              </w:rPr>
            </w:pP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auto"/>
              </w:rPr>
              <w:t>Consolidated</w:t>
            </w:r>
          </w:p>
        </w:tc>
      </w:tr>
      <w:tr>
        <w:trPr>
          <w:trHeight w:val="26"/>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(used in) operating activities from continuing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(29.7)</w:t>
            </w:r>
          </w:p>
        </w:tc>
      </w:tr>
      <w:tr>
        <w:trPr>
          <w:trHeight w:val="171"/>
        </w:trPr>
        <w:tc>
          <w:tcPr>
            <w:tcW w:w="4940" w:type="dxa"/>
            <w:vAlign w:val="bottom"/>
          </w:tcPr>
          <w:p>
            <w:pPr>
              <w:ind w:left="20"/>
              <w:spacing w:after="0"/>
              <w:rPr>
                <w:sz w:val="20"/>
                <w:szCs w:val="20"/>
                <w:color w:val="auto"/>
              </w:rPr>
            </w:pPr>
            <w:r>
              <w:rPr>
                <w:rFonts w:ascii="Arial" w:cs="Arial" w:eastAsia="Arial" w:hAnsi="Arial"/>
                <w:sz w:val="12"/>
                <w:szCs w:val="12"/>
                <w:color w:val="auto"/>
              </w:rPr>
              <w:t>Investing activities:</w:t>
            </w: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Change in restricted cash</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4.7</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4.7</w:t>
            </w:r>
          </w:p>
        </w:tc>
      </w:tr>
      <w:tr>
        <w:trPr>
          <w:trHeight w:val="181"/>
        </w:trPr>
        <w:tc>
          <w:tcPr>
            <w:tcW w:w="4940" w:type="dxa"/>
            <w:vAlign w:val="bottom"/>
          </w:tcPr>
          <w:p>
            <w:pPr>
              <w:ind w:left="80"/>
              <w:spacing w:after="0"/>
              <w:rPr>
                <w:sz w:val="20"/>
                <w:szCs w:val="20"/>
                <w:color w:val="auto"/>
              </w:rPr>
            </w:pPr>
            <w:r>
              <w:rPr>
                <w:rFonts w:ascii="Arial" w:cs="Arial" w:eastAsia="Arial" w:hAnsi="Arial"/>
                <w:sz w:val="12"/>
                <w:szCs w:val="12"/>
                <w:color w:val="auto"/>
              </w:rPr>
              <w:t>Investment in affiliated companies</w:t>
            </w:r>
          </w:p>
        </w:tc>
        <w:tc>
          <w:tcPr>
            <w:tcW w:w="100" w:type="dxa"/>
            <w:vAlign w:val="bottom"/>
          </w:tcPr>
          <w:p>
            <w:pPr>
              <w:spacing w:after="0"/>
              <w:rPr>
                <w:sz w:val="15"/>
                <w:szCs w:val="15"/>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(33.8)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33.8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Capital expenditures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(0.8)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(11.3)</w:t>
            </w:r>
          </w:p>
        </w:tc>
      </w:tr>
      <w:tr>
        <w:trPr>
          <w:trHeight w:val="181"/>
        </w:trPr>
        <w:tc>
          <w:tcPr>
            <w:tcW w:w="4940" w:type="dxa"/>
            <w:vAlign w:val="bottom"/>
          </w:tcPr>
          <w:p>
            <w:pPr>
              <w:ind w:left="80"/>
              <w:spacing w:after="0"/>
              <w:rPr>
                <w:sz w:val="20"/>
                <w:szCs w:val="20"/>
                <w:color w:val="auto"/>
              </w:rPr>
            </w:pPr>
            <w:r>
              <w:rPr>
                <w:rFonts w:ascii="Arial" w:cs="Arial" w:eastAsia="Arial" w:hAnsi="Arial"/>
                <w:sz w:val="12"/>
                <w:szCs w:val="12"/>
                <w:color w:val="auto"/>
              </w:rPr>
              <w:t>Proceeds from the sale of assets</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0.9</w:t>
            </w:r>
          </w:p>
        </w:tc>
      </w:tr>
      <w:tr>
        <w:trPr>
          <w:trHeight w:val="26"/>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(used in) investing activities from continuing operations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(34.8)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(0.8)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33.8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w:t>
            </w:r>
          </w:p>
        </w:tc>
      </w:tr>
      <w:tr>
        <w:trPr>
          <w:trHeight w:val="171"/>
        </w:trPr>
        <w:tc>
          <w:tcPr>
            <w:tcW w:w="4940" w:type="dxa"/>
            <w:vAlign w:val="bottom"/>
          </w:tcPr>
          <w:p>
            <w:pPr>
              <w:ind w:left="20"/>
              <w:spacing w:after="0"/>
              <w:rPr>
                <w:sz w:val="20"/>
                <w:szCs w:val="20"/>
                <w:color w:val="auto"/>
              </w:rPr>
            </w:pPr>
            <w:r>
              <w:rPr>
                <w:rFonts w:ascii="Arial" w:cs="Arial" w:eastAsia="Arial" w:hAnsi="Arial"/>
                <w:sz w:val="12"/>
                <w:szCs w:val="12"/>
                <w:color w:val="auto"/>
              </w:rPr>
              <w:t>Financing activities:</w:t>
            </w: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Extinguishment of long-term debt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(175.0)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(175.0)</w:t>
            </w:r>
          </w:p>
        </w:tc>
      </w:tr>
      <w:tr>
        <w:trPr>
          <w:trHeight w:val="181"/>
        </w:trPr>
        <w:tc>
          <w:tcPr>
            <w:tcW w:w="4940" w:type="dxa"/>
            <w:vAlign w:val="bottom"/>
          </w:tcPr>
          <w:p>
            <w:pPr>
              <w:ind w:left="120"/>
              <w:spacing w:after="0"/>
              <w:rPr>
                <w:sz w:val="20"/>
                <w:szCs w:val="20"/>
                <w:color w:val="auto"/>
              </w:rPr>
            </w:pPr>
            <w:r>
              <w:rPr>
                <w:rFonts w:ascii="Arial" w:cs="Arial" w:eastAsia="Arial" w:hAnsi="Arial"/>
                <w:sz w:val="12"/>
                <w:szCs w:val="12"/>
                <w:color w:val="auto"/>
              </w:rPr>
              <w:t>Repayment of debt</w:t>
            </w:r>
          </w:p>
        </w:tc>
        <w:tc>
          <w:tcPr>
            <w:tcW w:w="100" w:type="dxa"/>
            <w:vAlign w:val="bottom"/>
          </w:tcPr>
          <w:p>
            <w:pPr>
              <w:spacing w:after="0"/>
              <w:rPr>
                <w:sz w:val="15"/>
                <w:szCs w:val="15"/>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(41.0)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(42.0)</w:t>
            </w: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the sale of employee stock purchase plan shares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3.4</w:t>
            </w:r>
          </w:p>
        </w:tc>
      </w:tr>
      <w:tr>
        <w:trPr>
          <w:trHeight w:val="181"/>
        </w:trPr>
        <w:tc>
          <w:tcPr>
            <w:tcW w:w="4940" w:type="dxa"/>
            <w:vAlign w:val="bottom"/>
          </w:tcPr>
          <w:p>
            <w:pPr>
              <w:ind w:left="80"/>
              <w:spacing w:after="0"/>
              <w:rPr>
                <w:sz w:val="20"/>
                <w:szCs w:val="20"/>
                <w:color w:val="auto"/>
              </w:rPr>
            </w:pPr>
            <w:r>
              <w:rPr>
                <w:rFonts w:ascii="Arial" w:cs="Arial" w:eastAsia="Arial" w:hAnsi="Arial"/>
                <w:sz w:val="12"/>
                <w:szCs w:val="12"/>
                <w:color w:val="auto"/>
              </w:rPr>
              <w:t>Financings from affiliated companies</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33.8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Other, net</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w:t>
            </w:r>
          </w:p>
        </w:tc>
      </w:tr>
      <w:tr>
        <w:trPr>
          <w:trHeight w:val="161"/>
        </w:trPr>
        <w:tc>
          <w:tcPr>
            <w:tcW w:w="4940" w:type="dxa"/>
            <w:vAlign w:val="bottom"/>
          </w:tcPr>
          <w:p>
            <w:pPr>
              <w:ind w:left="20"/>
              <w:spacing w:after="0"/>
              <w:rPr>
                <w:sz w:val="20"/>
                <w:szCs w:val="20"/>
                <w:color w:val="auto"/>
              </w:rPr>
            </w:pPr>
            <w:r>
              <w:rPr>
                <w:rFonts w:ascii="Arial" w:cs="Arial" w:eastAsia="Arial" w:hAnsi="Arial"/>
                <w:sz w:val="12"/>
                <w:szCs w:val="12"/>
                <w:color w:val="auto"/>
              </w:rPr>
              <w:t>Net cash provided by (used in) financing activities from continuing operations</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(212.6)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32.7</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(33.8)</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(214.7)</w:t>
            </w:r>
          </w:p>
        </w:tc>
      </w:tr>
      <w:tr>
        <w:trPr>
          <w:trHeight w:val="26"/>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flows of continuing operations</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(249.4)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(250.1)</w:t>
            </w:r>
          </w:p>
        </w:tc>
      </w:tr>
      <w:tr>
        <w:trPr>
          <w:trHeight w:val="181"/>
        </w:trPr>
        <w:tc>
          <w:tcPr>
            <w:tcW w:w="4940" w:type="dxa"/>
            <w:vAlign w:val="bottom"/>
          </w:tcPr>
          <w:p>
            <w:pPr>
              <w:ind w:left="20"/>
              <w:spacing w:after="0"/>
              <w:rPr>
                <w:sz w:val="20"/>
                <w:szCs w:val="20"/>
                <w:color w:val="auto"/>
              </w:rPr>
            </w:pPr>
            <w:r>
              <w:rPr>
                <w:rFonts w:ascii="Arial" w:cs="Arial" w:eastAsia="Arial" w:hAnsi="Arial"/>
                <w:sz w:val="12"/>
                <w:szCs w:val="12"/>
                <w:color w:val="auto"/>
              </w:rPr>
              <w:t>Net operating cash flows from discontinued operations</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2.8</w:t>
            </w: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investing cash flows from discontinued operations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243.2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(0.3)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242.5</w:t>
            </w:r>
          </w:p>
        </w:tc>
      </w:tr>
      <w:tr>
        <w:trPr>
          <w:trHeight w:val="181"/>
        </w:trPr>
        <w:tc>
          <w:tcPr>
            <w:tcW w:w="4940" w:type="dxa"/>
            <w:vAlign w:val="bottom"/>
          </w:tcPr>
          <w:p>
            <w:pPr>
              <w:ind w:left="20"/>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26"/>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9"/>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460"/>
          </w:cols>
          <w:pgMar w:left="220" w:top="129" w:right="21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 Ended December 28, 2014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Subsidiary</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5"/>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Guarantors on a</w:t>
            </w:r>
          </w:p>
        </w:tc>
        <w:tc>
          <w:tcPr>
            <w:tcW w:w="12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Non-Guarantors on</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Parent Company</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Combined Basis</w:t>
            </w:r>
          </w:p>
        </w:tc>
        <w:tc>
          <w:tcPr>
            <w:tcW w:w="8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 Combined Basis</w:t>
            </w: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Eliminations</w:t>
            </w:r>
          </w:p>
        </w:tc>
        <w:tc>
          <w:tcPr>
            <w:tcW w:w="200" w:type="dxa"/>
            <w:vAlign w:val="bottom"/>
          </w:tcPr>
          <w:p>
            <w:pPr>
              <w:spacing w:after="0"/>
              <w:rPr>
                <w:sz w:val="13"/>
                <w:szCs w:val="13"/>
                <w:color w:val="auto"/>
              </w:rPr>
            </w:pPr>
          </w:p>
        </w:tc>
        <w:tc>
          <w:tcPr>
            <w:tcW w:w="1160" w:type="dxa"/>
            <w:vAlign w:val="bottom"/>
          </w:tcPr>
          <w:p>
            <w:pPr>
              <w:jc w:val="right"/>
              <w:ind w:right="258"/>
              <w:spacing w:after="0"/>
              <w:rPr>
                <w:sz w:val="20"/>
                <w:szCs w:val="20"/>
                <w:color w:val="auto"/>
              </w:rPr>
            </w:pPr>
            <w:r>
              <w:rPr>
                <w:rFonts w:ascii="Arial" w:cs="Arial" w:eastAsia="Arial" w:hAnsi="Arial"/>
                <w:sz w:val="12"/>
                <w:szCs w:val="12"/>
                <w:b w:val="1"/>
                <w:bCs w:val="1"/>
                <w:color w:val="auto"/>
              </w:rPr>
              <w:t>Consolidated</w:t>
            </w:r>
          </w:p>
        </w:tc>
      </w:tr>
      <w:tr>
        <w:trPr>
          <w:trHeight w:val="26"/>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(used in) operating activities from continuing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(73.0)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76.8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2.5</w:t>
            </w:r>
          </w:p>
        </w:tc>
      </w:tr>
      <w:tr>
        <w:trPr>
          <w:trHeight w:val="171"/>
        </w:trPr>
        <w:tc>
          <w:tcPr>
            <w:tcW w:w="4940" w:type="dxa"/>
            <w:vAlign w:val="bottom"/>
          </w:tcPr>
          <w:p>
            <w:pPr>
              <w:ind w:left="20"/>
              <w:spacing w:after="0"/>
              <w:rPr>
                <w:sz w:val="20"/>
                <w:szCs w:val="20"/>
                <w:color w:val="auto"/>
              </w:rPr>
            </w:pPr>
            <w:r>
              <w:rPr>
                <w:rFonts w:ascii="Arial" w:cs="Arial" w:eastAsia="Arial" w:hAnsi="Arial"/>
                <w:sz w:val="12"/>
                <w:szCs w:val="12"/>
                <w:color w:val="auto"/>
              </w:rPr>
              <w:t>Investing activities:</w:t>
            </w: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Cash paid for acquisitions, net of cash acquired</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w:t>
            </w:r>
          </w:p>
        </w:tc>
      </w:tr>
      <w:tr>
        <w:trPr>
          <w:trHeight w:val="181"/>
        </w:trPr>
        <w:tc>
          <w:tcPr>
            <w:tcW w:w="4940" w:type="dxa"/>
            <w:vAlign w:val="bottom"/>
          </w:tcPr>
          <w:p>
            <w:pPr>
              <w:ind w:left="80"/>
              <w:spacing w:after="0"/>
              <w:rPr>
                <w:sz w:val="20"/>
                <w:szCs w:val="20"/>
                <w:color w:val="auto"/>
              </w:rPr>
            </w:pPr>
            <w:r>
              <w:rPr>
                <w:rFonts w:ascii="Arial" w:cs="Arial" w:eastAsia="Arial" w:hAnsi="Arial"/>
                <w:sz w:val="12"/>
                <w:szCs w:val="12"/>
                <w:color w:val="auto"/>
              </w:rPr>
              <w:t>Change in restricted cash</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Investment in affiliated companies</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68.5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r>
      <w:tr>
        <w:trPr>
          <w:trHeight w:val="181"/>
        </w:trPr>
        <w:tc>
          <w:tcPr>
            <w:tcW w:w="4940" w:type="dxa"/>
            <w:vAlign w:val="bottom"/>
          </w:tcPr>
          <w:p>
            <w:pPr>
              <w:ind w:left="80"/>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5"/>
                <w:szCs w:val="15"/>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(11.6)</w:t>
            </w:r>
          </w:p>
        </w:tc>
      </w:tr>
      <w:tr>
        <w:trPr>
          <w:trHeight w:val="26"/>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(used in) investing activities from continuing operations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(0.8)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(81.2)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68.5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(14.6)</w:t>
            </w:r>
          </w:p>
        </w:tc>
      </w:tr>
      <w:tr>
        <w:trPr>
          <w:trHeight w:val="171"/>
        </w:trPr>
        <w:tc>
          <w:tcPr>
            <w:tcW w:w="4940" w:type="dxa"/>
            <w:vAlign w:val="bottom"/>
          </w:tcPr>
          <w:p>
            <w:pPr>
              <w:ind w:left="20"/>
              <w:spacing w:after="0"/>
              <w:rPr>
                <w:sz w:val="20"/>
                <w:szCs w:val="20"/>
                <w:color w:val="auto"/>
              </w:rPr>
            </w:pPr>
            <w:r>
              <w:rPr>
                <w:rFonts w:ascii="Arial" w:cs="Arial" w:eastAsia="Arial" w:hAnsi="Arial"/>
                <w:sz w:val="12"/>
                <w:szCs w:val="12"/>
                <w:color w:val="auto"/>
              </w:rPr>
              <w:t>Financing activities:</w:t>
            </w: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Proceeds from the issuance of long-term debt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618.5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618.5</w:t>
            </w:r>
          </w:p>
        </w:tc>
      </w:tr>
      <w:tr>
        <w:trPr>
          <w:trHeight w:val="181"/>
        </w:trPr>
        <w:tc>
          <w:tcPr>
            <w:tcW w:w="4940" w:type="dxa"/>
            <w:vAlign w:val="bottom"/>
          </w:tcPr>
          <w:p>
            <w:pPr>
              <w:ind w:left="80"/>
              <w:spacing w:after="0"/>
              <w:rPr>
                <w:sz w:val="20"/>
                <w:szCs w:val="20"/>
                <w:color w:val="auto"/>
              </w:rPr>
            </w:pPr>
            <w:r>
              <w:rPr>
                <w:rFonts w:ascii="Arial" w:cs="Arial" w:eastAsia="Arial" w:hAnsi="Arial"/>
                <w:sz w:val="12"/>
                <w:szCs w:val="12"/>
                <w:color w:val="auto"/>
              </w:rPr>
              <w:t>Extinguishment of long-term debt</w:t>
            </w:r>
          </w:p>
        </w:tc>
        <w:tc>
          <w:tcPr>
            <w:tcW w:w="100" w:type="dxa"/>
            <w:vAlign w:val="bottom"/>
          </w:tcPr>
          <w:p>
            <w:pPr>
              <w:spacing w:after="0"/>
              <w:rPr>
                <w:sz w:val="15"/>
                <w:szCs w:val="15"/>
                <w:color w:val="auto"/>
              </w:rPr>
            </w:pPr>
          </w:p>
        </w:tc>
        <w:tc>
          <w:tcPr>
            <w:tcW w:w="1080" w:type="dxa"/>
            <w:vAlign w:val="bottom"/>
          </w:tcPr>
          <w:p>
            <w:pPr>
              <w:jc w:val="right"/>
              <w:ind w:right="38"/>
              <w:spacing w:after="0"/>
              <w:rPr>
                <w:sz w:val="20"/>
                <w:szCs w:val="20"/>
                <w:color w:val="auto"/>
              </w:rPr>
            </w:pPr>
            <w:r>
              <w:rPr>
                <w:rFonts w:ascii="Arial" w:cs="Arial" w:eastAsia="Arial" w:hAnsi="Arial"/>
                <w:sz w:val="12"/>
                <w:szCs w:val="12"/>
                <w:color w:val="auto"/>
              </w:rPr>
              <w:t>(661.5)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(661.5)</w:t>
            </w: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Credit agreement borrowings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41.0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41.0</w:t>
            </w:r>
          </w:p>
        </w:tc>
      </w:tr>
      <w:tr>
        <w:trPr>
          <w:trHeight w:val="181"/>
        </w:trPr>
        <w:tc>
          <w:tcPr>
            <w:tcW w:w="4940" w:type="dxa"/>
            <w:vAlign w:val="bottom"/>
          </w:tcPr>
          <w:p>
            <w:pPr>
              <w:ind w:left="80"/>
              <w:spacing w:after="0"/>
              <w:rPr>
                <w:sz w:val="20"/>
                <w:szCs w:val="20"/>
                <w:color w:val="auto"/>
              </w:rPr>
            </w:pPr>
            <w:r>
              <w:rPr>
                <w:rFonts w:ascii="Arial" w:cs="Arial" w:eastAsia="Arial" w:hAnsi="Arial"/>
                <w:sz w:val="12"/>
                <w:szCs w:val="12"/>
                <w:color w:val="auto"/>
              </w:rPr>
              <w:t>Repayment of debt</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Debt issuance costs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81"/>
        </w:trPr>
        <w:tc>
          <w:tcPr>
            <w:tcW w:w="4940" w:type="dxa"/>
            <w:vAlign w:val="bottom"/>
          </w:tcPr>
          <w:p>
            <w:pPr>
              <w:ind w:left="80"/>
              <w:spacing w:after="0"/>
              <w:rPr>
                <w:sz w:val="20"/>
                <w:szCs w:val="20"/>
                <w:color w:val="auto"/>
              </w:rPr>
            </w:pPr>
            <w:r>
              <w:rPr>
                <w:rFonts w:ascii="Arial" w:cs="Arial" w:eastAsia="Arial" w:hAnsi="Arial"/>
                <w:sz w:val="12"/>
                <w:szCs w:val="12"/>
                <w:color w:val="auto"/>
              </w:rPr>
              <w:t>Financing from affiliated companies</w:t>
            </w:r>
          </w:p>
        </w:tc>
        <w:tc>
          <w:tcPr>
            <w:tcW w:w="100" w:type="dxa"/>
            <w:vAlign w:val="bottom"/>
          </w:tcPr>
          <w:p>
            <w:pPr>
              <w:spacing w:after="0"/>
              <w:rPr>
                <w:sz w:val="15"/>
                <w:szCs w:val="15"/>
                <w:color w:val="auto"/>
              </w:rPr>
            </w:pPr>
          </w:p>
        </w:tc>
        <w:tc>
          <w:tcPr>
            <w:tcW w:w="1080" w:type="dxa"/>
            <w:vAlign w:val="bottom"/>
          </w:tcPr>
          <w:p>
            <w:pPr>
              <w:jc w:val="right"/>
              <w:ind w:right="78"/>
              <w:spacing w:after="0"/>
              <w:rPr>
                <w:sz w:val="20"/>
                <w:szCs w:val="20"/>
                <w:color w:val="auto"/>
              </w:rPr>
            </w:pPr>
            <w:r>
              <w:rPr>
                <w:rFonts w:ascii="Arial" w:cs="Arial" w:eastAsia="Arial" w:hAnsi="Arial"/>
                <w:sz w:val="12"/>
                <w:szCs w:val="12"/>
                <w:color w:val="auto"/>
              </w:rPr>
              <w:t>68.5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(68.5)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the sale of employee stock purchase plan shares</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3.3</w:t>
            </w:r>
          </w:p>
        </w:tc>
      </w:tr>
      <w:tr>
        <w:trPr>
          <w:trHeight w:val="161"/>
        </w:trPr>
        <w:tc>
          <w:tcPr>
            <w:tcW w:w="4940" w:type="dxa"/>
            <w:vAlign w:val="bottom"/>
          </w:tcPr>
          <w:p>
            <w:pPr>
              <w:ind w:left="20"/>
              <w:spacing w:after="0"/>
              <w:rPr>
                <w:sz w:val="20"/>
                <w:szCs w:val="20"/>
                <w:color w:val="auto"/>
              </w:rPr>
            </w:pPr>
            <w:r>
              <w:rPr>
                <w:rFonts w:ascii="Arial" w:cs="Arial" w:eastAsia="Arial" w:hAnsi="Arial"/>
                <w:sz w:val="12"/>
                <w:szCs w:val="12"/>
                <w:color w:val="auto"/>
              </w:rPr>
              <w:t>Net cash provided by (used in) financing activities from continuing operations</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59.8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(68.5)</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(9.7)</w:t>
            </w:r>
          </w:p>
        </w:tc>
      </w:tr>
      <w:tr>
        <w:trPr>
          <w:trHeight w:val="26"/>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flows of continuing operations</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(14.0)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(3.4)</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(21.8)</w:t>
            </w:r>
          </w:p>
        </w:tc>
      </w:tr>
      <w:tr>
        <w:trPr>
          <w:trHeight w:val="181"/>
        </w:trPr>
        <w:tc>
          <w:tcPr>
            <w:tcW w:w="4940" w:type="dxa"/>
            <w:vAlign w:val="bottom"/>
          </w:tcPr>
          <w:p>
            <w:pPr>
              <w:ind w:left="20"/>
              <w:spacing w:after="0"/>
              <w:rPr>
                <w:sz w:val="20"/>
                <w:szCs w:val="20"/>
                <w:color w:val="auto"/>
              </w:rPr>
            </w:pPr>
            <w:r>
              <w:rPr>
                <w:rFonts w:ascii="Arial" w:cs="Arial" w:eastAsia="Arial" w:hAnsi="Arial"/>
                <w:sz w:val="12"/>
                <w:szCs w:val="12"/>
                <w:color w:val="auto"/>
              </w:rPr>
              <w:t>Net operating cash flows from discontinued operations</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58"/>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4.1</w:t>
            </w: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investing cash flows from discontinued operations</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w:t>
            </w:r>
          </w:p>
        </w:tc>
      </w:tr>
      <w:tr>
        <w:trPr>
          <w:trHeight w:val="181"/>
        </w:trPr>
        <w:tc>
          <w:tcPr>
            <w:tcW w:w="4940" w:type="dxa"/>
            <w:vAlign w:val="bottom"/>
          </w:tcPr>
          <w:p>
            <w:pPr>
              <w:ind w:left="20"/>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26"/>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9"/>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460"/>
          </w:cols>
          <w:pgMar w:left="220" w:top="129"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2"/>
          <w:szCs w:val="12"/>
          <w:b w:val="1"/>
          <w:bCs w:val="1"/>
          <w:color w:val="auto"/>
        </w:rPr>
        <w:t>EXHIBIT 3.1</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Delaware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First State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 JEFFREY W. BULLOCK, SECRETARY OF STATE OF THE STATE OF</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DELAWARE, DO HEREBY CERTIFY THE ATTACHED ARE TRUE AND CORRECT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COPIES OF ALL DOCUMENTS FILED FROM AND INCLUDING THE RESTATED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OR A MERGER WITH A RESTATED CERTIFICATE ATTACHED OF</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“KRATOS DEFENSE &amp; SECURITY SOLUTIONS, INC.” AS RECEIVED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FILED IN THIS OFFICE.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FOLLOWING DOCUMENTS HAVE BEEN CERTIFIED: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RESTATED CERTIFICATE, FILED THE TENTH DAY OF NOVEMBER, A.D.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1999, AT 3:30 O`CLOCK P.M.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DESIGNATION, FILED THE TWENTY-NINTH DAY OF</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OCTOBER, A.D. 2001, AT 3:15 O`CLOCK P.M.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DESIGNATION, FILED THE THIRTIETH DAY OF MAY,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 2002, AT 1 O`CLOCK P.M.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CORRECTION, FILED THE THIRTIETH DAY OF MAY,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 2002, AT 5 O`CLOCK P.M.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DESIGNATION, FILED THE SIXTEENTH DAY OF</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DECEMBER, A.D. 2004, AT 5:52 O`CLOCK 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/s/ Jeffrey W. Bullock</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Jeffrey W. Bullock, Secretary of State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60" w:type="dxa"/>
            <w:vAlign w:val="bottom"/>
          </w:tcPr>
          <w:p>
            <w:pPr>
              <w:spacing w:after="0"/>
              <w:rPr>
                <w:sz w:val="20"/>
                <w:szCs w:val="20"/>
                <w:color w:val="auto"/>
              </w:rPr>
            </w:pPr>
            <w:r>
              <w:rPr>
                <w:rFonts w:ascii="Arial" w:cs="Arial" w:eastAsia="Arial" w:hAnsi="Arial"/>
                <w:sz w:val="15"/>
                <w:szCs w:val="15"/>
                <w:color w:val="auto"/>
              </w:rPr>
              <w:t>2762925 8100X</w:t>
            </w:r>
          </w:p>
        </w:tc>
        <w:tc>
          <w:tcPr>
            <w:tcW w:w="2100" w:type="dxa"/>
            <w:vAlign w:val="bottom"/>
          </w:tcPr>
          <w:p>
            <w:pPr>
              <w:ind w:left="420"/>
              <w:spacing w:after="0"/>
              <w:rPr>
                <w:sz w:val="20"/>
                <w:szCs w:val="20"/>
                <w:color w:val="auto"/>
              </w:rPr>
            </w:pPr>
            <w:r>
              <w:rPr>
                <w:rFonts w:ascii="Arial" w:cs="Arial" w:eastAsia="Arial" w:hAnsi="Arial"/>
                <w:sz w:val="15"/>
                <w:szCs w:val="15"/>
                <w:color w:val="auto"/>
                <w:w w:val="92"/>
              </w:rPr>
              <w:t>Authentication: 203332063</w:t>
            </w:r>
          </w:p>
        </w:tc>
      </w:tr>
      <w:tr>
        <w:trPr>
          <w:trHeight w:val="311"/>
        </w:trPr>
        <w:tc>
          <w:tcPr>
            <w:tcW w:w="1560" w:type="dxa"/>
            <w:vAlign w:val="bottom"/>
          </w:tcPr>
          <w:p>
            <w:pPr>
              <w:spacing w:after="0"/>
              <w:rPr>
                <w:sz w:val="20"/>
                <w:szCs w:val="20"/>
                <w:color w:val="auto"/>
              </w:rPr>
            </w:pPr>
            <w:r>
              <w:rPr>
                <w:rFonts w:ascii="Arial" w:cs="Arial" w:eastAsia="Arial" w:hAnsi="Arial"/>
                <w:sz w:val="15"/>
                <w:szCs w:val="15"/>
                <w:color w:val="auto"/>
              </w:rPr>
              <w:t>SR# 20166626634</w:t>
            </w:r>
          </w:p>
        </w:tc>
        <w:tc>
          <w:tcPr>
            <w:tcW w:w="2100" w:type="dxa"/>
            <w:vAlign w:val="bottom"/>
          </w:tcPr>
          <w:p>
            <w:pPr>
              <w:ind w:left="720"/>
              <w:spacing w:after="0"/>
              <w:rPr>
                <w:sz w:val="20"/>
                <w:szCs w:val="20"/>
                <w:color w:val="auto"/>
              </w:rPr>
            </w:pPr>
            <w:r>
              <w:rPr>
                <w:rFonts w:ascii="Arial" w:cs="Arial" w:eastAsia="Arial" w:hAnsi="Arial"/>
                <w:sz w:val="15"/>
                <w:szCs w:val="15"/>
                <w:color w:val="auto"/>
              </w:rPr>
              <w:t>Date: 11-14-16</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You may verify this certificate online at corp.delaware.gov/authver.shtml</w:t>
      </w:r>
    </w:p>
    <w:p>
      <w:pPr>
        <w:sectPr>
          <w:pgSz w:w="11900" w:h="16838" w:orient="portrait"/>
          <w:cols w:equalWidth="0" w:num="1">
            <w:col w:w="11460"/>
          </w:cols>
          <w:pgMar w:left="220" w:top="480"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5"/>
          <w:szCs w:val="15"/>
          <w:color w:val="auto"/>
        </w:rPr>
        <w:t>Page 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Delaware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First State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CHANGE OF REGISTERED AGENT, FILED THE FIFTH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DAY OF MAY, A.D. 2005, AT 4:23 O`CLOCK P.M.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OWNERSHIP, CHANGING ITS NAME FROM "WIRELESS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FACILITIES, INC." TO "KRATOS DEFENSE &amp; SECURITY SOLUTIONS,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INC.", FILED THE TWELFTH DAY OF SEPTEMBER, A.D. 2007, AT 10:57</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O`CLOCK A.M.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AMENDMENT, FILED THE TENTH DAY OF SEPTEMBER,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 2009, AT 11:48 O`CLOCK A.M.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CERTIFICATE OF OWNERSHIP, FILED THE FOURTH DAY OF APRIL,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 2011, AT 2:40 O`CLOCK 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/s/ Jeffrey W. Bullock</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Jeffrey W. Bullock, Secretary of State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2762925 8100X Authentication: 203332063</w:t>
      </w:r>
    </w:p>
    <w:p>
      <w:pPr>
        <w:spacing w:after="0" w:line="126" w:lineRule="exact"/>
        <w:rPr>
          <w:sz w:val="20"/>
          <w:szCs w:val="20"/>
          <w:color w:val="auto"/>
        </w:rPr>
      </w:pPr>
    </w:p>
    <w:p>
      <w:pPr>
        <w:spacing w:after="0"/>
        <w:tabs>
          <w:tab w:leader="none" w:pos="2680" w:val="left"/>
        </w:tabs>
        <w:rPr>
          <w:sz w:val="20"/>
          <w:szCs w:val="20"/>
          <w:color w:val="auto"/>
        </w:rPr>
      </w:pPr>
      <w:r>
        <w:rPr>
          <w:rFonts w:ascii="Arial" w:cs="Arial" w:eastAsia="Arial" w:hAnsi="Arial"/>
          <w:sz w:val="15"/>
          <w:szCs w:val="15"/>
          <w:color w:val="auto"/>
        </w:rPr>
        <w:t>SR# 20166626634</w:t>
      </w:r>
      <w:r>
        <w:rPr>
          <w:sz w:val="20"/>
          <w:szCs w:val="20"/>
          <w:color w:val="auto"/>
        </w:rPr>
        <w:tab/>
      </w:r>
      <w:r>
        <w:rPr>
          <w:rFonts w:ascii="Arial" w:cs="Arial" w:eastAsia="Arial" w:hAnsi="Arial"/>
          <w:sz w:val="13"/>
          <w:szCs w:val="13"/>
          <w:color w:val="auto"/>
        </w:rPr>
        <w:t>Date: 11-14-16</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You may verify this certificate online at corp.delaware.gov/authver.shtml</w:t>
      </w:r>
    </w:p>
    <w:p>
      <w:pPr>
        <w:sectPr>
          <w:pgSz w:w="11900" w:h="16838" w:orient="portrait"/>
          <w:cols w:equalWidth="0" w:num="1">
            <w:col w:w="11460"/>
          </w:cols>
          <w:pgMar w:left="220" w:top="479" w:right="219" w:bottom="1440" w:gutter="0" w:footer="0" w:header="0"/>
        </w:sectPr>
      </w:pPr>
    </w:p>
    <w:bookmarkStart w:id="107" w:name="page108"/>
    <w:bookmarkEnd w:id="107"/>
    <w:p>
      <w:pPr>
        <w:ind w:left="10"/>
        <w:spacing w:after="0"/>
        <w:rPr>
          <w:sz w:val="20"/>
          <w:szCs w:val="20"/>
          <w:color w:val="auto"/>
        </w:rPr>
      </w:pPr>
      <w:r>
        <w:rPr>
          <w:rFonts w:ascii="Arial" w:cs="Arial" w:eastAsia="Arial" w:hAnsi="Arial"/>
          <w:sz w:val="14"/>
          <w:szCs w:val="14"/>
          <w:color w:val="auto"/>
        </w:rPr>
        <w:t>AMENDED AND RESTATED</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4"/>
          <w:szCs w:val="14"/>
          <w:color w:val="auto"/>
        </w:rPr>
        <w:t>CERTIFICATE OF INCORPORATION</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2"/>
          <w:szCs w:val="12"/>
          <w:color w:val="auto"/>
        </w:rPr>
        <w:t>WIRELESS FACILITIES, INC., a corporation organized and existing under and</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4"/>
          <w:szCs w:val="14"/>
          <w:color w:val="auto"/>
        </w:rPr>
        <w:t>by virtue of the General Corporation Law of the State of Delaware (the</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4"/>
          <w:szCs w:val="14"/>
          <w:color w:val="auto"/>
        </w:rPr>
        <w:t>"Corporation"), hereby certifies as follows:</w:t>
      </w:r>
    </w:p>
    <w:p>
      <w:pPr>
        <w:spacing w:after="0" w:line="161" w:lineRule="exact"/>
        <w:rPr>
          <w:sz w:val="20"/>
          <w:szCs w:val="20"/>
          <w:color w:val="auto"/>
        </w:rPr>
      </w:pPr>
    </w:p>
    <w:p>
      <w:pPr>
        <w:ind w:left="130" w:hanging="130"/>
        <w:spacing w:after="0"/>
        <w:tabs>
          <w:tab w:leader="none" w:pos="13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name of the Corporation is Wireless Facilities, Inc.</w:t>
      </w:r>
    </w:p>
    <w:p>
      <w:pPr>
        <w:spacing w:after="0" w:line="170" w:lineRule="exact"/>
        <w:rPr>
          <w:rFonts w:ascii="Arial" w:cs="Arial" w:eastAsia="Arial" w:hAnsi="Arial"/>
          <w:sz w:val="14"/>
          <w:szCs w:val="14"/>
          <w:color w:val="auto"/>
        </w:rPr>
      </w:pPr>
    </w:p>
    <w:p>
      <w:pPr>
        <w:ind w:left="130" w:hanging="130"/>
        <w:spacing w:after="0"/>
        <w:tabs>
          <w:tab w:leader="none" w:pos="13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original name of this Corporation is Wireless Facilities, Inc. and</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3"/>
          <w:szCs w:val="13"/>
          <w:color w:val="auto"/>
        </w:rPr>
        <w:t>the date of filing the original Certificate of Incorporation of this Corporation</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4"/>
          <w:szCs w:val="14"/>
          <w:color w:val="auto"/>
        </w:rPr>
        <w:t>with the Secretary of State of the State of Delaware was July 7, 1997.</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4"/>
          <w:szCs w:val="14"/>
          <w:color w:val="auto"/>
        </w:rPr>
        <w:t>3. The Amended and Restated Certificate of Incorporation of this</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2"/>
          <w:szCs w:val="12"/>
          <w:color w:val="auto"/>
        </w:rPr>
        <w:t>Corporation, in the form attached hereto as Exhibit A, has been duly adopted by</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2"/>
          <w:szCs w:val="12"/>
          <w:color w:val="auto"/>
        </w:rPr>
        <w:t>the Board of Directors and by the stockholders of the corporation in accordance</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2"/>
          <w:szCs w:val="12"/>
          <w:color w:val="auto"/>
        </w:rPr>
        <w:t>with Sections 228, 242 and 245 of the General Corporation Law of the State of</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4"/>
          <w:szCs w:val="14"/>
          <w:color w:val="auto"/>
        </w:rPr>
        <w:t>Delaware.</w:t>
      </w:r>
    </w:p>
    <w:p>
      <w:pPr>
        <w:spacing w:after="0" w:line="161" w:lineRule="exact"/>
        <w:rPr>
          <w:sz w:val="20"/>
          <w:szCs w:val="20"/>
          <w:color w:val="auto"/>
        </w:rPr>
      </w:pPr>
    </w:p>
    <w:p>
      <w:pPr>
        <w:ind w:left="10" w:right="5259" w:hanging="10"/>
        <w:spacing w:after="0" w:line="257" w:lineRule="auto"/>
        <w:tabs>
          <w:tab w:leader="none" w:pos="148"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Amended and Restated Certificate of Incorporation so adopted reads in full as set forth in Exhibit A attached hereto and hereby incorporated by reference.</w:t>
      </w:r>
    </w:p>
    <w:p>
      <w:pPr>
        <w:spacing w:after="0" w:line="145" w:lineRule="exact"/>
        <w:rPr>
          <w:sz w:val="20"/>
          <w:szCs w:val="20"/>
          <w:color w:val="auto"/>
        </w:rPr>
      </w:pPr>
    </w:p>
    <w:p>
      <w:pPr>
        <w:ind w:left="10"/>
        <w:spacing w:after="0"/>
        <w:rPr>
          <w:sz w:val="20"/>
          <w:szCs w:val="20"/>
          <w:color w:val="auto"/>
        </w:rPr>
      </w:pPr>
      <w:r>
        <w:rPr>
          <w:rFonts w:ascii="Arial" w:cs="Arial" w:eastAsia="Arial" w:hAnsi="Arial"/>
          <w:sz w:val="12"/>
          <w:szCs w:val="12"/>
          <w:color w:val="auto"/>
        </w:rPr>
        <w:t>IN WITNESS WHEREOF, Wireless Facilities, Inc. has caused this Amended and</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4"/>
          <w:szCs w:val="14"/>
          <w:color w:val="auto"/>
        </w:rPr>
        <w:t>Restated Certificate of Incorporation to be signed by its Chief Executive</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4"/>
          <w:szCs w:val="14"/>
          <w:color w:val="auto"/>
        </w:rPr>
        <w:t>Officer and Secretary this 2nd day of November, 1999.</w:t>
      </w:r>
    </w:p>
    <w:p>
      <w:pPr>
        <w:spacing w:after="0" w:line="327" w:lineRule="exact"/>
        <w:rPr>
          <w:sz w:val="20"/>
          <w:szCs w:val="20"/>
          <w:color w:val="auto"/>
        </w:rPr>
      </w:pPr>
    </w:p>
    <w:p>
      <w:pPr>
        <w:ind w:left="10"/>
        <w:spacing w:after="0"/>
        <w:rPr>
          <w:sz w:val="20"/>
          <w:szCs w:val="20"/>
          <w:color w:val="auto"/>
        </w:rPr>
      </w:pPr>
      <w:r>
        <w:rPr>
          <w:rFonts w:ascii="Arial" w:cs="Arial" w:eastAsia="Arial" w:hAnsi="Arial"/>
          <w:sz w:val="14"/>
          <w:szCs w:val="14"/>
          <w:color w:val="auto"/>
        </w:rPr>
        <w:t>/s/ Massih Tayebi</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4"/>
          <w:szCs w:val="14"/>
          <w:color w:val="auto"/>
        </w:rPr>
        <w:t>Massih Tayebi, Ph.D.</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4"/>
          <w:szCs w:val="14"/>
          <w:color w:val="auto"/>
        </w:rPr>
        <w:t>Chief Executive Officer and Secretary</w:t>
      </w:r>
    </w:p>
    <w:p>
      <w:pPr>
        <w:spacing w:after="0" w:line="327" w:lineRule="exact"/>
        <w:rPr>
          <w:sz w:val="20"/>
          <w:szCs w:val="20"/>
          <w:color w:val="auto"/>
        </w:rPr>
      </w:pPr>
    </w:p>
    <w:p>
      <w:pPr>
        <w:ind w:left="1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429"/>
          </w:cols>
          <w:pgMar w:left="1030" w:top="481" w:right="1440"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color w:val="auto"/>
        </w:rPr>
        <w:t>Exhibit A</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CERTIFICATE OF INCORPORATION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WIRELESS FACILITIES, INC.</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name of this corporation is Wireless Facilities, Inc.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II.</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address of the registered office of the corporation in the State of</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Delaware is 9 East Loockerman Street, City of Dover, County of Kent, and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name of the registered agent of the corporation in the State of Delaware at such</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address is National Registered Agents, Inc.</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III.</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purpose of this corporation is to engage in any lawful act or activity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for which a corporation may be organized under the General Corporation Law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the State of Delaware.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IV.</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 This corporation is authorized to issue two classes of stock to be</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designated, respectively, "Common Stock" and "Preferred Stock." The total number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of shares which the corporation is authorized to issue is two hundred million</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(200,000,000) shares. One hundred ninety five million (195,000,000) shares shall</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be Common Stock, each having a par value of one tenth of one cent ($0.001). Five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million (5,000,000) shares shall be Preferred Stock, each having a par value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one tenth of one cent ($0.001).</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B. The Preferred Stock may be issued from time to time in one or more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series. The Board of Directors is hereby authorized, by filing a certificate (a</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"Preferred Stock Designation") pursuant to the Delaware General Corporation Law,</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to fix or alter from time to time the designation, powers, preferences and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rights of the shares of each such series and the qualifications, limitations or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restrictions of any wholly unissued series of Preferred Stock, and to establish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from time to time the number of shares constituting any such series or any 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them; and to increase or decrease the number of shares of any series subsequent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to the issuance of shares of that series, but not below the number of shares of</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such series then outstanding. In case the number of shares of any series shall</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be decreased in accordance with the foregoing sentence, the shares constituting</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such decrease shall resume the status that they had prior to the adoption of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resolution originally fixing the number of shares of such series.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419"/>
          </w:cols>
          <w:pgMar w:left="1040" w:top="812" w:right="1440"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auto"/>
        </w:rPr>
        <w:t>V.</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For the management of the business and for the conduct of the affairs of</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and in further definition, limitation and regulation of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powers of the corporation, of its directors and of its stockholders or any class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thereof, as the case may be, it is further provided that: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A. 1. The management of the business and the conduct of the affairs of the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corporation shall be vested in its Board of Directors. The number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which shall constitute the whole Board of Directors shall be fixed exclusively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by one or more resolutions adopted by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2.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 Directors shall be elected at each annual meeting of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to hold office until the next annual meeting. Each director shall hold office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either until the expiration of the term for which elected or appointed and until</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 successor has been elected and qualified, or until such director's death,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resignation or removal. No decrease in the number of directors constituting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shall shorten the term of any incumbent director.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b. No person entitled to vote at an election for directors may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cumulate votes to which such person is entitled, unless, at the time of such</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election, the corporation (i) is subject to Section 2115(b) of the California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General Corporation Law ("CGCL") and (ii) is not a "listed" corporation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ceases to be a "listed" corporation under Section 301.5 of the CGCL. During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this time, every stockholder entitled to vote at an election for directors may</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cumulate such stockholder's votes and give one candidate a number of votes equal</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to the number of directors to be elected multiplied by the number of votes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which such stockholder's shares are otherwise entitled, or distribute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stockholder's votes on the same principle among as many candidates as such</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stockholder thinks fit. No stockholder, however, shall be entitled to so</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cumulate such stockholder's votes unless (i) the names of such candidate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candidates have been placed in nomination prior to the voting and (ii)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stockholder has given notice at the meeting, prior to the voting, of such</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stockholder's intention to cumulate such stockholder's votes. If any stockholder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has given proper notice to cumulate votes, all stockholders may cumulate their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votes for any candidates who have been properly placed in nomination. Under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cumulative voting, the candidates receiving the highest number of votes, up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the number of directors to be elected, are elected.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3. Removal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 During such time or times that the corporation is subject to</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Section 2115(b) of the CGCL, the Board of Directors or any individual director</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may be removed from office at any time without cause by the affirmative vote of</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holders of at least a majority of the outstanding shares entitled to vote 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such removal; provided, however, that unless the entire Board is removed, no</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individual director may be removed when the votes cast against such director's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removal, or not consenting in writing to such removal, would be sufficient to</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elect that director if voted cumulatively at an election which the same total</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number of votes were cast (or, if such action is taken by written consent, all</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shares entitled to vote were voted) and the entire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419"/>
          </w:cols>
          <w:pgMar w:left="1040" w:top="646" w:right="1440"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number of directors authorized at the time of such director's most recent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election were then being elected.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b. At any time or times that the corporation is not subject to</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Section 2115(b) of the CGCL and subject to any limitations imposed by law,</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Section A(3)(a) above shall not apply and the Board of Directors or any director</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may be removed from office at any time with or without cause by the affirmative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vote of the holders of a majority of the voting power of all then-outstanding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shares of voting stock of the corporation, entitled to vote at an election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directors.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4. Vacancies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c. Subject to the rights of the holders of any series of Preferred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Stock, any vacancies on the Board of Directors resulting from death,</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resignation, disqualification, removal or other causes and any newly created</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directorshipsresulting from any increase in the number of directors, shall,</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unless the Board of Directors determines by resolution that any such vacancies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or newly created directorships shall be filled by the stockholders, except as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otherwise provided by law, be filled only by the affirmative vote of a majority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of the directors then in office, even though less than a quorum of the Board 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Directors, and not by the stockholders (except as stockholders may have such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rights as described below). Any director elected in accordance with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preceding sentence shall hold office for the remainder of the full term of the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director for which the vacancy was created or occurred and until such director's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successor shall have been elected and qualified.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d. If at the time of filling any vacancy or any newly created</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directorship, the directors then in office shall constitute less than a majority</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of the whole board (as constituted immediately prior to any such increase), the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Delaware Court of Chancery may, upon application of any stockholder or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stockholders holding at least ten percent (10%) of the total number of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shares at the time outstanding having the right to vote for such directors,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summarily order an election to be held to fill any such vacancies or newly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created directorships, or to replace the directors chosen by the directors then</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in offices as aforesaid, which election shall be governed by Section 211 of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DGCL.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e. At any time or times that the Corporation is subject to Section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2115(b) of the CGCL, if, after the filling of any vacancy by the directors then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in office, where the number of such directors voting to fill, such vacancy who</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have been elected by stockholders shall constitute less than a majority of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directors then in office, then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 Any holder or holders of an aggregate of five percent (5%) or</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more of the total number of shares at the time outstanding having the right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vote for those directors may call a special meeting of stockholders; or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The Superior Court of the proper county shall, upon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application of such stockholder or stockholders, summarily order a special</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meeting of stockholders, to be held to elect the entire board, all in accordance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with Section 305(c) of the CGCL. The term of office of any director shall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terminate upon that election of a successor.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419"/>
          </w:cols>
          <w:pgMar w:left="1040" w:top="646" w:right="1440" w:bottom="1440" w:gutter="0" w:footer="0" w:header="0"/>
        </w:sectPr>
      </w:pPr>
    </w:p>
    <w:bookmarkStart w:id="111" w:name="page112"/>
    <w:bookmarkEnd w:id="111"/>
    <w:p>
      <w:pPr>
        <w:ind w:left="10"/>
        <w:spacing w:after="0"/>
        <w:rPr>
          <w:sz w:val="20"/>
          <w:szCs w:val="20"/>
          <w:color w:val="auto"/>
        </w:rPr>
      </w:pPr>
      <w:r>
        <w:rPr>
          <w:rFonts w:ascii="Arial" w:cs="Arial" w:eastAsia="Arial" w:hAnsi="Arial"/>
          <w:sz w:val="13"/>
          <w:szCs w:val="13"/>
          <w:color w:val="auto"/>
        </w:rPr>
        <w:t>B. 1. Subject to paragraph (h) of Section 43 of the Bylaws, the Bylaws may</w:t>
      </w:r>
    </w:p>
    <w:p>
      <w:pPr>
        <w:spacing w:after="0" w:line="25" w:lineRule="exact"/>
        <w:rPr>
          <w:sz w:val="20"/>
          <w:szCs w:val="20"/>
          <w:color w:val="auto"/>
        </w:rPr>
      </w:pPr>
    </w:p>
    <w:p>
      <w:pPr>
        <w:ind w:left="10"/>
        <w:spacing w:after="0"/>
        <w:rPr>
          <w:sz w:val="20"/>
          <w:szCs w:val="20"/>
          <w:color w:val="auto"/>
        </w:rPr>
      </w:pPr>
      <w:r>
        <w:rPr>
          <w:rFonts w:ascii="Arial" w:cs="Arial" w:eastAsia="Arial" w:hAnsi="Arial"/>
          <w:sz w:val="12"/>
          <w:szCs w:val="12"/>
          <w:color w:val="auto"/>
        </w:rPr>
        <w:t>be altered or amended or new Bylaws adopted by the affirmative vote of at least</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3"/>
          <w:szCs w:val="13"/>
          <w:color w:val="auto"/>
        </w:rPr>
        <w:t>sixty-six and two-thirds percent (66-2/3%) of the voting power of all of the</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3"/>
          <w:szCs w:val="13"/>
          <w:color w:val="auto"/>
        </w:rPr>
        <w:t>then-outstanding shares of the voting stock of the Corporation entitled to vote.</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3"/>
          <w:szCs w:val="13"/>
          <w:color w:val="auto"/>
        </w:rPr>
        <w:t>The Board of Directors shall also have the power to adopt, amend, or repeal</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4"/>
          <w:szCs w:val="14"/>
          <w:color w:val="auto"/>
        </w:rPr>
        <w:t>Bylaws.</w:t>
      </w:r>
    </w:p>
    <w:p>
      <w:pPr>
        <w:spacing w:after="0" w:line="161" w:lineRule="exact"/>
        <w:rPr>
          <w:sz w:val="20"/>
          <w:szCs w:val="20"/>
          <w:color w:val="auto"/>
        </w:rPr>
      </w:pPr>
    </w:p>
    <w:p>
      <w:pPr>
        <w:ind w:left="10" w:right="5819" w:hanging="10"/>
        <w:spacing w:after="0" w:line="267" w:lineRule="auto"/>
        <w:tabs>
          <w:tab w:leader="none" w:pos="148"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directors of the Corporation need not be elected by written ballot unless the Bylaws so provide.</w:t>
      </w:r>
    </w:p>
    <w:p>
      <w:pPr>
        <w:spacing w:after="0" w:line="138" w:lineRule="exact"/>
        <w:rPr>
          <w:rFonts w:ascii="Arial" w:cs="Arial" w:eastAsia="Arial" w:hAnsi="Arial"/>
          <w:sz w:val="14"/>
          <w:szCs w:val="14"/>
          <w:color w:val="auto"/>
        </w:rPr>
      </w:pPr>
    </w:p>
    <w:p>
      <w:pPr>
        <w:ind w:left="130" w:hanging="130"/>
        <w:spacing w:after="0"/>
        <w:tabs>
          <w:tab w:leader="none" w:pos="13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No action shall be taken by the stockholders of the Corporation</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3"/>
          <w:szCs w:val="13"/>
          <w:color w:val="auto"/>
        </w:rPr>
        <w:t>except at an annual or special meeting of stockholders called in accordance</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4"/>
          <w:szCs w:val="14"/>
          <w:color w:val="auto"/>
        </w:rPr>
        <w:t>with the Bylaws. No action shall be taken by the stockholders by written</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4"/>
          <w:szCs w:val="14"/>
          <w:color w:val="auto"/>
        </w:rPr>
        <w:t>consent.</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4"/>
          <w:szCs w:val="14"/>
          <w:color w:val="auto"/>
        </w:rPr>
        <w:t>4. Advance notice of stockholder nominations for the election of</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2"/>
          <w:szCs w:val="12"/>
          <w:color w:val="auto"/>
        </w:rPr>
        <w:t>directors and of business to be brought by stockholders before any meeting of</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2"/>
          <w:szCs w:val="12"/>
          <w:color w:val="auto"/>
        </w:rPr>
        <w:t>the stockholders of the Corporation shall be given in the manner provided in the</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4"/>
          <w:szCs w:val="14"/>
          <w:color w:val="auto"/>
        </w:rPr>
        <w:t>Bylaws of the Corporation.</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4"/>
          <w:szCs w:val="14"/>
          <w:color w:val="auto"/>
        </w:rPr>
        <w:t>VI.</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4"/>
          <w:szCs w:val="14"/>
          <w:color w:val="auto"/>
        </w:rPr>
        <w:t>A. The liability of the directors for monetary damages shall be eliminated</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4"/>
          <w:szCs w:val="14"/>
          <w:color w:val="auto"/>
        </w:rPr>
        <w:t>to the fullest extent under applicable law.</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3"/>
          <w:szCs w:val="13"/>
          <w:color w:val="auto"/>
        </w:rPr>
        <w:t>B. This corporation is authorized to provide indemnification of agents (as</w:t>
      </w:r>
    </w:p>
    <w:p>
      <w:pPr>
        <w:spacing w:after="0" w:line="25" w:lineRule="exact"/>
        <w:rPr>
          <w:sz w:val="20"/>
          <w:szCs w:val="20"/>
          <w:color w:val="auto"/>
        </w:rPr>
      </w:pPr>
    </w:p>
    <w:p>
      <w:pPr>
        <w:ind w:left="10"/>
        <w:spacing w:after="0"/>
        <w:rPr>
          <w:sz w:val="20"/>
          <w:szCs w:val="20"/>
          <w:color w:val="auto"/>
        </w:rPr>
      </w:pPr>
      <w:r>
        <w:rPr>
          <w:rFonts w:ascii="Arial" w:cs="Arial" w:eastAsia="Arial" w:hAnsi="Arial"/>
          <w:sz w:val="13"/>
          <w:szCs w:val="13"/>
          <w:color w:val="auto"/>
        </w:rPr>
        <w:t>defined in Section 317 of the CGCL) for breach of duty to the corporation and</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2"/>
          <w:szCs w:val="12"/>
          <w:color w:val="auto"/>
        </w:rPr>
        <w:t>its shareholders through bylaw provisions or through agreements with the agents,</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4"/>
          <w:szCs w:val="14"/>
          <w:color w:val="auto"/>
        </w:rPr>
        <w:t>or through shareholder resolutions, or otherwise, in excess of the</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2"/>
          <w:szCs w:val="12"/>
          <w:color w:val="auto"/>
        </w:rPr>
        <w:t>indemnification otherwise permitted by Section 317 of the CGCL, subject, at any</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3"/>
          <w:szCs w:val="13"/>
          <w:color w:val="auto"/>
        </w:rPr>
        <w:t>time or times the corporation is subject to Section 2115(b) to the limits on</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4"/>
          <w:szCs w:val="14"/>
          <w:color w:val="auto"/>
        </w:rPr>
        <w:t>such excess indemnification set forth in Section 204 of the CGCL.</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4"/>
          <w:szCs w:val="14"/>
          <w:color w:val="auto"/>
        </w:rPr>
        <w:t>C. Any repeal or modification of this Article VI shall be prospective and</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4"/>
          <w:szCs w:val="14"/>
          <w:color w:val="auto"/>
        </w:rPr>
        <w:t>shall not affect the rights under this Article VI in effect at the time of the</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4"/>
          <w:szCs w:val="14"/>
          <w:color w:val="auto"/>
        </w:rPr>
        <w:t>alleged occurrence of any act or omission to act giving rise to liability or</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4"/>
          <w:szCs w:val="14"/>
          <w:color w:val="auto"/>
        </w:rPr>
        <w:t>indemnification.</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4"/>
          <w:szCs w:val="14"/>
          <w:color w:val="auto"/>
        </w:rPr>
        <w:t>VII.</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3"/>
          <w:szCs w:val="13"/>
          <w:color w:val="auto"/>
        </w:rPr>
        <w:t>A. The corporation reserves the right to amend, alter, change or repeal any</w:t>
      </w:r>
    </w:p>
    <w:p>
      <w:pPr>
        <w:spacing w:after="0" w:line="25" w:lineRule="exact"/>
        <w:rPr>
          <w:sz w:val="20"/>
          <w:szCs w:val="20"/>
          <w:color w:val="auto"/>
        </w:rPr>
      </w:pPr>
    </w:p>
    <w:p>
      <w:pPr>
        <w:ind w:left="10"/>
        <w:spacing w:after="0"/>
        <w:rPr>
          <w:sz w:val="20"/>
          <w:szCs w:val="20"/>
          <w:color w:val="auto"/>
        </w:rPr>
      </w:pPr>
      <w:r>
        <w:rPr>
          <w:rFonts w:ascii="Arial" w:cs="Arial" w:eastAsia="Arial" w:hAnsi="Arial"/>
          <w:sz w:val="13"/>
          <w:szCs w:val="13"/>
          <w:color w:val="auto"/>
        </w:rPr>
        <w:t>provision contained in this Certificate of Incorporation, in the manner now or</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3"/>
          <w:szCs w:val="13"/>
          <w:color w:val="auto"/>
        </w:rPr>
        <w:t>hereafter prescribed by statute, except as provided in paragraph B of this</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3"/>
          <w:szCs w:val="13"/>
          <w:color w:val="auto"/>
        </w:rPr>
        <w:t>Article VII, and all rights conferred upon the stockholders herein are granted</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4"/>
          <w:szCs w:val="14"/>
          <w:color w:val="auto"/>
        </w:rPr>
        <w:t>subject to this reservation.</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4"/>
          <w:szCs w:val="14"/>
          <w:color w:val="auto"/>
        </w:rPr>
        <w:t>B. Notwithstanding any other provisions of this Certificate of</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2"/>
          <w:szCs w:val="12"/>
          <w:color w:val="auto"/>
        </w:rPr>
        <w:t>Incorporation or any provision of law which might otherwise permit a lesser vote</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4"/>
          <w:szCs w:val="14"/>
          <w:color w:val="auto"/>
        </w:rPr>
        <w:t>or no vote, but in addition to any affirmative vote of the holders of any</w:t>
      </w:r>
    </w:p>
    <w:p>
      <w:pPr>
        <w:spacing w:after="0" w:line="5" w:lineRule="exact"/>
        <w:rPr>
          <w:sz w:val="20"/>
          <w:szCs w:val="20"/>
          <w:color w:val="auto"/>
        </w:rPr>
      </w:pPr>
    </w:p>
    <w:p>
      <w:pPr>
        <w:ind w:left="10"/>
        <w:spacing w:after="0"/>
        <w:rPr>
          <w:sz w:val="20"/>
          <w:szCs w:val="20"/>
          <w:color w:val="auto"/>
        </w:rPr>
      </w:pPr>
      <w:r>
        <w:rPr>
          <w:rFonts w:ascii="Arial" w:cs="Arial" w:eastAsia="Arial" w:hAnsi="Arial"/>
          <w:sz w:val="13"/>
          <w:szCs w:val="13"/>
          <w:color w:val="auto"/>
        </w:rPr>
        <w:t>particular class or series of the voting stock required by law, this Certificate</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2"/>
          <w:szCs w:val="12"/>
          <w:color w:val="auto"/>
        </w:rPr>
        <w:t>of Incorporation or any Preferred Stock Designation, the affirmative vote of the</w:t>
      </w:r>
    </w:p>
    <w:p>
      <w:pPr>
        <w:spacing w:after="0" w:line="28" w:lineRule="exact"/>
        <w:rPr>
          <w:sz w:val="20"/>
          <w:szCs w:val="20"/>
          <w:color w:val="auto"/>
        </w:rPr>
      </w:pPr>
    </w:p>
    <w:p>
      <w:pPr>
        <w:ind w:left="10"/>
        <w:spacing w:after="0"/>
        <w:rPr>
          <w:sz w:val="20"/>
          <w:szCs w:val="20"/>
          <w:color w:val="auto"/>
        </w:rPr>
      </w:pPr>
      <w:r>
        <w:rPr>
          <w:rFonts w:ascii="Arial" w:cs="Arial" w:eastAsia="Arial" w:hAnsi="Arial"/>
          <w:sz w:val="13"/>
          <w:szCs w:val="13"/>
          <w:color w:val="auto"/>
        </w:rPr>
        <w:t>holders of at least sixty-six and two-thirds percent (66-2/3%) of the voting</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3"/>
          <w:szCs w:val="13"/>
          <w:color w:val="auto"/>
        </w:rPr>
        <w:t>power of all of the then-outstanding shares of the voting stock, voting together</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3"/>
          <w:szCs w:val="13"/>
          <w:color w:val="auto"/>
        </w:rPr>
        <w:t>as a single class, shall be required to alter, amend or repeal Articles V, VI,</w:t>
      </w:r>
    </w:p>
    <w:p>
      <w:pPr>
        <w:spacing w:after="0" w:line="16" w:lineRule="exact"/>
        <w:rPr>
          <w:sz w:val="20"/>
          <w:szCs w:val="20"/>
          <w:color w:val="auto"/>
        </w:rPr>
      </w:pPr>
    </w:p>
    <w:p>
      <w:pPr>
        <w:ind w:left="10"/>
        <w:spacing w:after="0"/>
        <w:rPr>
          <w:sz w:val="20"/>
          <w:szCs w:val="20"/>
          <w:color w:val="auto"/>
        </w:rPr>
      </w:pPr>
      <w:r>
        <w:rPr>
          <w:rFonts w:ascii="Arial" w:cs="Arial" w:eastAsia="Arial" w:hAnsi="Arial"/>
          <w:sz w:val="14"/>
          <w:szCs w:val="14"/>
          <w:color w:val="auto"/>
        </w:rPr>
        <w:t>and VII.</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429"/>
          </w:cols>
          <w:pgMar w:left="1030" w:top="646" w:right="1440"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color w:val="auto"/>
        </w:rPr>
        <w:t>CERTIFICATE OF DESIGNATIONS, PREFERENCES AND RIGHTS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of</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SERIES A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of</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WIRELESS FACILITIES, INC.</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I, Masood K. Tayebi, Chief Executive Officer of WIRELESS FACILITIES, INC.,</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 corporation organized and existing under the laws of the State of Delaware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in accordance with the provisions of Section 151 of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Delaware General Corporation Law, DO HEREBY CERTIFY:</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That pursuant to the authority conferred upon the Board of Directors of the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Corporation (the "Board of Directors") by the Certificate of Incorporation 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the Corporation and by Section 151(g) of the Delaware General Corporation Law,</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on October 9, 2001, the Board of Directors adopted the following resolution,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creating a series of shares of convertible preferred stock, Series A, designated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as "Series A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"RESOLVED, that pursuant to the authority vested in the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of WIRELESS FACILITIES, INC., a corporation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organized and existing under the laws of the State of Delaware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by the Certificate of Incorporation of the Corporation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"Certificate of Incorporation"), the Board of Directors does hereby provide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for the authorization and issuance of a series of convertible preferred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stock, Series A, par value U.S.$0.001 per share, of the Corporation, to be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designated "Series A Preferred Stock," initially consisting of 63,637</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shares, and to the extent that the designations, powers, preferences, and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relative participating, optional, or other special rights, and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qualifications, limitations, and restrictions of the Series A Preferred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Stock are not stated and expressed in the Certificate of Incorporation,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does hereby fix and herein state and express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designations, powers, preferences, and relative participating, optional, 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other special rights, and the qualifications, limitations, and restrictions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thereof,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 Designation and Rank.</w:t>
      </w:r>
    </w:p>
    <w:p>
      <w:pPr>
        <w:spacing w:after="0" w:line="170" w:lineRule="exact"/>
        <w:rPr>
          <w:sz w:val="20"/>
          <w:szCs w:val="20"/>
          <w:color w:val="auto"/>
        </w:rPr>
      </w:pPr>
    </w:p>
    <w:p>
      <w:pPr>
        <w:jc w:val="both"/>
        <w:ind w:right="5739" w:firstLine="2"/>
        <w:spacing w:after="0" w:line="286" w:lineRule="auto"/>
        <w:tabs>
          <w:tab w:leader="none" w:pos="187" w:val="left"/>
        </w:tabs>
        <w:numPr>
          <w:ilvl w:val="0"/>
          <w:numId w:val="53"/>
        </w:numPr>
        <w:rPr>
          <w:rFonts w:ascii="Arial" w:cs="Arial" w:eastAsia="Arial" w:hAnsi="Arial"/>
          <w:sz w:val="13"/>
          <w:szCs w:val="13"/>
          <w:color w:val="auto"/>
        </w:rPr>
      </w:pPr>
      <w:r>
        <w:rPr>
          <w:rFonts w:ascii="Arial" w:cs="Arial" w:eastAsia="Arial" w:hAnsi="Arial"/>
          <w:sz w:val="13"/>
          <w:szCs w:val="13"/>
          <w:color w:val="auto"/>
        </w:rPr>
        <w:t>Sixty-three thousand six hundred thirty-seven (63,637) shares of the preferred stock of the Corporation, par value $0.001 per share, shall be designated and known as the "Series A Preferred Stock."</w:t>
      </w:r>
    </w:p>
    <w:p>
      <w:pPr>
        <w:spacing w:after="0" w:line="128" w:lineRule="exact"/>
        <w:rPr>
          <w:rFonts w:ascii="Arial" w:cs="Arial" w:eastAsia="Arial" w:hAnsi="Arial"/>
          <w:sz w:val="13"/>
          <w:szCs w:val="13"/>
          <w:color w:val="auto"/>
        </w:rPr>
      </w:pPr>
    </w:p>
    <w:p>
      <w:pPr>
        <w:ind w:right="5179" w:firstLine="2"/>
        <w:spacing w:after="0" w:line="293" w:lineRule="auto"/>
        <w:tabs>
          <w:tab w:leader="none" w:pos="195"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Series A Preferred Stock shall rank senior and prior to the common stock, par value U.S.$0.001 per share, of the Corporation (the "Common Stock"), and all other classes or series of the capital stock (other than preferred</w:t>
      </w:r>
    </w:p>
    <w:p>
      <w:pPr>
        <w:ind w:right="5339"/>
        <w:spacing w:after="0" w:line="297" w:lineRule="auto"/>
        <w:rPr>
          <w:rFonts w:ascii="Arial" w:cs="Arial" w:eastAsia="Arial" w:hAnsi="Arial"/>
          <w:sz w:val="12"/>
          <w:szCs w:val="12"/>
          <w:color w:val="auto"/>
        </w:rPr>
      </w:pPr>
      <w:r>
        <w:rPr>
          <w:rFonts w:ascii="Arial" w:cs="Arial" w:eastAsia="Arial" w:hAnsi="Arial"/>
          <w:sz w:val="12"/>
          <w:szCs w:val="12"/>
          <w:color w:val="auto"/>
        </w:rPr>
        <w:t>stock) of the Corporation (now or hereafter authorized or issued), with respect to the payment of any dividends, the conversion rights set forth herein and any payment upon liquidation or redemption. The Corporation may not issue any additional classes or series of preferred stock with liquidation, redemption or conversion rights or right of payment of any kind that is senior to the Series A Preferred Stock, except pursuant to Section 12.</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679"/>
          </w:cols>
          <w:pgMar w:left="780" w:top="646" w:right="1440"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color w:val="auto"/>
        </w:rPr>
        <w:t>2. Dividend Rights.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From and after the date hereof, when and if the Board of Directors declares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 dividend or distribution payable with respect to the then-outstanding shares</w:t>
      </w:r>
    </w:p>
    <w:p>
      <w:pPr>
        <w:spacing w:after="0" w:line="5" w:lineRule="exact"/>
        <w:rPr>
          <w:sz w:val="20"/>
          <w:szCs w:val="20"/>
          <w:color w:val="auto"/>
        </w:rPr>
      </w:pPr>
    </w:p>
    <w:p>
      <w:pPr>
        <w:ind w:right="4819"/>
        <w:spacing w:after="0" w:line="265" w:lineRule="auto"/>
        <w:rPr>
          <w:sz w:val="20"/>
          <w:szCs w:val="20"/>
          <w:color w:val="auto"/>
        </w:rPr>
      </w:pPr>
      <w:r>
        <w:rPr>
          <w:rFonts w:ascii="Arial" w:cs="Arial" w:eastAsia="Arial" w:hAnsi="Arial"/>
          <w:sz w:val="13"/>
          <w:szCs w:val="13"/>
          <w:color w:val="auto"/>
        </w:rPr>
        <w:t>of Common Stock (other than in additional shares of Common Stock or Common Stock Equivalents (as defined in Section 4(e)(i) below), the holders of the Series A Preferred Stock shall be entitled to the amount of dividends per share in the same form as such Common Stock dividends that would be payable on the largest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number of whole shares of Common Stock into which a holder's aggregate shares of</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Series A Preferred Stock could then be converted pursuant to Section 4 hereof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number to be determined as of the record date for the determination 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holders of Common Stock entitled to receive such dividend).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3. Liquidation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 Liquidation Events. The occurrence of any of the following events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shall be deemed a "Liquidation": (i) any liquidation, dissolution, or winding-up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of the affairs of the Corporation; (ii) any transaction or series of related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transactions in which securities of the Corporation representing 50% or more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the combined voting power of the Corporation's then outstanding voting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securities are acquired by a person, entity or group of related persons 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entities, excluding any consolidation or merger effected exclusively to change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 domicile of the Corporation; (iii) any consolidation, merger 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reorganization of the Corporation with or into any other corporation or other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entity or person pursuant to which the holders of the Corporation's outstanding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securities receive, pursuant to such transaction, securities in the surviving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entity that represent less than 50% of the voting power of such surviving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entity; or (iv) any sale, lease, exclusive license or other disposition of all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 substantially all of the assets of the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(b) Liquidation Preference.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 In the event of any Liquidation, whether voluntary or involuntary,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before any payment of cash or distribution of other property shall be made to</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the holders of Common Stock, or any other class or series of stock subordinate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in liquidation preference to the Series A Preferred Stock, the holders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Series A Preferred Stock shall be entitled to receive out of the assets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legally available for distribution to its stockholders, on behalf 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each share of Series A Preferred Stock held by such holder, U.S.$550.00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"Original Issue Price") (as appropriately adjusted for any combinations,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divisions, or similar recapitalizations affecting the Series A Preferred Stock</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after issuance) and all accumulated or accrued and unpaid dividends thereon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(collectively, the "Series A Liquidation Preference").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If, upon any Liquidation, the assets of the Corporation available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for distribution to its stockholders are insufficient to pay the holders of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Series A Preferred Stock the full amounts to which they are entitled pursuant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clause (b)(i) above, the holders of the Series A Preferred Stock shall share pro</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rata in any distribution of assets in proportion to the respective amounts which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would be payable to the holders of the Series A Preferred Stock and any other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class or series of capital stock of the Corporation ranking on par with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Series A Preferred Stock in respect of the shares held by them if all amounts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payable to them in respect of such were paid in full pursuant to clause (b)(i)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above.</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679"/>
          </w:cols>
          <w:pgMar w:left="780" w:top="646" w:right="1440"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color w:val="auto"/>
        </w:rPr>
        <w:t>(iii) After the distributions described in clause (b)(i) or (b)(ii)</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above have been paid, subject to the rights of any other class or series of</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capital stock of the Corporation that may from time to time come into existence,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the remaining assets of the Corporation available for distribution to</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stockholders shall be distributed among the holders of Common Stock pro rata</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based on the number of shares of Common Stock held by each.</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(c) Non-Cash Distributions. If any distribution to be made pursuant to</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this Section 3 is to be paid other than in cash or Common Stock or Common Stock</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Equivalents, the value of such distribution will be deemed its fair market value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as determined in good faith by the Board of Directors. Any securities shall be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valued as follows:</w:t>
      </w:r>
    </w:p>
    <w:p>
      <w:pPr>
        <w:spacing w:after="0" w:line="161" w:lineRule="exact"/>
        <w:rPr>
          <w:sz w:val="20"/>
          <w:szCs w:val="20"/>
          <w:color w:val="auto"/>
        </w:rPr>
      </w:pPr>
    </w:p>
    <w:p>
      <w:pPr>
        <w:ind w:right="6239" w:firstLine="2"/>
        <w:spacing w:after="0" w:line="352" w:lineRule="auto"/>
        <w:tabs>
          <w:tab w:leader="none" w:pos="165" w:val="left"/>
        </w:tabs>
        <w:numPr>
          <w:ilvl w:val="0"/>
          <w:numId w:val="54"/>
        </w:numPr>
        <w:rPr>
          <w:rFonts w:ascii="Arial" w:cs="Arial" w:eastAsia="Arial" w:hAnsi="Arial"/>
          <w:sz w:val="12"/>
          <w:szCs w:val="12"/>
          <w:color w:val="auto"/>
        </w:rPr>
      </w:pPr>
      <w:r>
        <w:rPr>
          <w:rFonts w:ascii="Arial" w:cs="Arial" w:eastAsia="Arial" w:hAnsi="Arial"/>
          <w:sz w:val="12"/>
          <w:szCs w:val="12"/>
          <w:color w:val="auto"/>
        </w:rPr>
        <w:t>Securities not subject to investment letter or other similar restrictions on free marketability covered by clause (ii) below:</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(1) if traded on a securities exchange or through the Nasdaq</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National Market, the value shall be deemed to be the average of the closing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prices of the securities on such quotation system over the thirty (30) trading</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day period ending three (3) trading days prior to the occurrence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Liquidation;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(2) if actively traded over-the-counter, the value shall be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deemed to be the average of the closing bid or sale prices (whichever is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applicable) over the thirty (30) trading day period ending three (3) trading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days prior to the occurrence of the Liquidation; and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(3) if there is no active public market, the value shall be the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fair market value thereof, as determined by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The method of valuation of securities subject to investment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letter or other restrictions on free marketability (other than restrictions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arising solely by virtue of a stockholder's status as an affiliate or former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affiliate) shall be to effectuate an appropriate discount from the market value,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as determined by clause (i)(1), (2) or (3) of this Section 3(c), so as to</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reflect the approximate fair market value thereof, as determined by the Board of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Directors.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(iii) The holders of at least a majority of the outstanding Series A</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Preferred Stock shall have the right to challenge any determination by the Board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of Directors of fair market value pursuant to this Section 3(c), in which case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the determination of fair market value shall be made by an independent appraiser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selected jointly by the Board of Directors and the challenging parties, the cost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of such appraisal to be borne equally by the Corporation and the challenging</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parties.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4. Conversion Rights.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holders of the Series A Preferred Stock shall have conversion rights as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follows (the "Conversion Right"):</w:t>
      </w:r>
    </w:p>
    <w:p>
      <w:pPr>
        <w:spacing w:after="0" w:line="161" w:lineRule="exact"/>
        <w:rPr>
          <w:sz w:val="20"/>
          <w:szCs w:val="20"/>
          <w:color w:val="auto"/>
        </w:rPr>
      </w:pPr>
    </w:p>
    <w:p>
      <w:pPr>
        <w:ind w:right="5779" w:firstLine="2"/>
        <w:spacing w:after="0" w:line="257" w:lineRule="auto"/>
        <w:tabs>
          <w:tab w:leader="none" w:pos="187"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Conversion Price. The "Conversion Price" shall, initially, be U.S. $5.50 per share and shall be subject to adjustment as set forth below in Sections 4(e) and 4(f).</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679"/>
          </w:cols>
          <w:pgMar w:left="780" w:top="646" w:right="1440"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auto"/>
        </w:rPr>
        <w:t>(b) Automatic Conversion. If the closing price for the shares of the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Corporation's Common Stock (trading on a securities exchange or through Nasdaq</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National Market or other national exchange or market) exceeds $11.00 per share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(as adjusted for events described in Section 4(e)(ii) and 4(e)(iii) below) for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any thirty consecutive trading day period that begins after July 29, 2004, then,</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upon such occurrence, each share of Series A Preferred Stock shall be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automatically converted into such number of fully paid and non-assessable shares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of Common Stock as is determined by dividing (x) the Original Issue Price of</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such share of Series A Preferred Stock (including any accumulated or accrued but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unpaid dividends thereon) by (y) the Conversion Price. The date of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conversion is herein referred to as the "Conversion Date."</w:t>
      </w:r>
    </w:p>
    <w:p>
      <w:pPr>
        <w:spacing w:after="0" w:line="161" w:lineRule="exact"/>
        <w:rPr>
          <w:sz w:val="20"/>
          <w:szCs w:val="20"/>
          <w:color w:val="auto"/>
        </w:rPr>
      </w:pPr>
    </w:p>
    <w:p>
      <w:pPr>
        <w:ind w:right="5159" w:firstLine="2"/>
        <w:spacing w:after="0" w:line="274" w:lineRule="auto"/>
        <w:tabs>
          <w:tab w:leader="none" w:pos="187" w:val="left"/>
        </w:tabs>
        <w:numPr>
          <w:ilvl w:val="0"/>
          <w:numId w:val="56"/>
        </w:numPr>
        <w:rPr>
          <w:rFonts w:ascii="Arial" w:cs="Arial" w:eastAsia="Arial" w:hAnsi="Arial"/>
          <w:sz w:val="13"/>
          <w:szCs w:val="13"/>
          <w:color w:val="auto"/>
        </w:rPr>
      </w:pPr>
      <w:r>
        <w:rPr>
          <w:rFonts w:ascii="Arial" w:cs="Arial" w:eastAsia="Arial" w:hAnsi="Arial"/>
          <w:sz w:val="13"/>
          <w:szCs w:val="13"/>
          <w:color w:val="auto"/>
        </w:rPr>
        <w:t>Optional Conversion. The holders of the Series A Preferred Stock shall have the right, at any time, to convert the shares of Series A Preferred Stock held by such holder into that number of shares of Common Stock into which such shares are convertible pursuant to Section 4(b) ("Optional Conversion"). In the event of any Optional Conversion, the date of the such conversion shall be referred to as the "Optional Conversion Date."</w:t>
      </w:r>
    </w:p>
    <w:p>
      <w:pPr>
        <w:spacing w:after="0" w:line="135" w:lineRule="exact"/>
        <w:rPr>
          <w:rFonts w:ascii="Arial" w:cs="Arial" w:eastAsia="Arial" w:hAnsi="Arial"/>
          <w:sz w:val="13"/>
          <w:szCs w:val="13"/>
          <w:color w:val="auto"/>
        </w:rPr>
      </w:pPr>
    </w:p>
    <w:p>
      <w:pPr>
        <w:ind w:right="5319" w:firstLine="2"/>
        <w:spacing w:after="0" w:line="297" w:lineRule="auto"/>
        <w:tabs>
          <w:tab w:leader="none" w:pos="195" w:val="left"/>
        </w:tabs>
        <w:numPr>
          <w:ilvl w:val="0"/>
          <w:numId w:val="56"/>
        </w:numPr>
        <w:rPr>
          <w:rFonts w:ascii="Arial" w:cs="Arial" w:eastAsia="Arial" w:hAnsi="Arial"/>
          <w:sz w:val="12"/>
          <w:szCs w:val="12"/>
          <w:color w:val="auto"/>
        </w:rPr>
      </w:pPr>
      <w:r>
        <w:rPr>
          <w:rFonts w:ascii="Arial" w:cs="Arial" w:eastAsia="Arial" w:hAnsi="Arial"/>
          <w:sz w:val="12"/>
          <w:szCs w:val="12"/>
          <w:color w:val="auto"/>
        </w:rPr>
        <w:t>Mechanics of Conversion. On the Conversion Date or Optional Conversion Date, as the case may be, (x) each holder shall tender such holder's shares of Series A Preferred Stock to the Corporation for cancellation, free and clear of encumbrances of any type or nature, and (y) the Corporation shall cause to be delivered to such holder a number of shares of Common Stock as calculated pursuant to Section 4(b) above, free and clear of encumbrances of any type or nature. Each holder and the Corporation shall take all other necessary or appropriate actions in connection with or to effect such closing.</w:t>
      </w:r>
    </w:p>
    <w:p>
      <w:pPr>
        <w:spacing w:after="0" w:line="124" w:lineRule="exact"/>
        <w:rPr>
          <w:rFonts w:ascii="Arial" w:cs="Arial" w:eastAsia="Arial" w:hAnsi="Arial"/>
          <w:sz w:val="12"/>
          <w:szCs w:val="12"/>
          <w:color w:val="auto"/>
        </w:rPr>
      </w:pPr>
    </w:p>
    <w:p>
      <w:pPr>
        <w:ind w:left="180" w:hanging="178"/>
        <w:spacing w:after="0"/>
        <w:tabs>
          <w:tab w:leader="none" w:pos="1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Certain Adjustments. To the extent that the holders of Series A</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do not participate fully with other stockholders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with respect to dividends paid pursuant to Section 2 hereof,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following adjustments shall be made to the Conversion Price:</w:t>
      </w:r>
    </w:p>
    <w:p>
      <w:pPr>
        <w:spacing w:after="0" w:line="161" w:lineRule="exact"/>
        <w:rPr>
          <w:sz w:val="20"/>
          <w:szCs w:val="20"/>
          <w:color w:val="auto"/>
        </w:rPr>
      </w:pPr>
    </w:p>
    <w:p>
      <w:pPr>
        <w:ind w:right="5459" w:firstLine="2"/>
        <w:spacing w:after="0" w:line="292" w:lineRule="auto"/>
        <w:tabs>
          <w:tab w:leader="none" w:pos="165" w:val="left"/>
        </w:tabs>
        <w:numPr>
          <w:ilvl w:val="0"/>
          <w:numId w:val="57"/>
        </w:numPr>
        <w:rPr>
          <w:rFonts w:ascii="Arial" w:cs="Arial" w:eastAsia="Arial" w:hAnsi="Arial"/>
          <w:sz w:val="12"/>
          <w:szCs w:val="12"/>
          <w:color w:val="auto"/>
        </w:rPr>
      </w:pPr>
      <w:r>
        <w:rPr>
          <w:rFonts w:ascii="Arial" w:cs="Arial" w:eastAsia="Arial" w:hAnsi="Arial"/>
          <w:sz w:val="12"/>
          <w:szCs w:val="12"/>
          <w:color w:val="auto"/>
        </w:rPr>
        <w:t>Adjustment for Common Stock Dividends and Distributions. If, at any time after the original issue date of the Series A Preferred Stock (the "Original Issue Date"), the Corporation makes, or fixes a record date for the determination of holders of Common Stock entitled to receive, a dividend or</w:t>
      </w:r>
    </w:p>
    <w:p>
      <w:pPr>
        <w:ind w:right="5059"/>
        <w:spacing w:after="0" w:line="265" w:lineRule="auto"/>
        <w:rPr>
          <w:rFonts w:ascii="Arial" w:cs="Arial" w:eastAsia="Arial" w:hAnsi="Arial"/>
          <w:sz w:val="12"/>
          <w:szCs w:val="12"/>
          <w:color w:val="auto"/>
        </w:rPr>
      </w:pPr>
      <w:r>
        <w:rPr>
          <w:rFonts w:ascii="Arial" w:cs="Arial" w:eastAsia="Arial" w:hAnsi="Arial"/>
          <w:sz w:val="13"/>
          <w:szCs w:val="13"/>
          <w:color w:val="auto"/>
        </w:rPr>
        <w:t>other distribution payable in additional shares of Common Stock or Common Stock Equivalents, in each such event the Conversion Price that is then in effect</w:t>
      </w:r>
    </w:p>
    <w:p>
      <w:pPr>
        <w:spacing w:after="0" w:line="1" w:lineRule="exact"/>
        <w:rPr>
          <w:rFonts w:ascii="Arial" w:cs="Arial" w:eastAsia="Arial" w:hAnsi="Arial"/>
          <w:sz w:val="12"/>
          <w:szCs w:val="12"/>
          <w:color w:val="auto"/>
        </w:rPr>
      </w:pPr>
    </w:p>
    <w:p>
      <w:pPr>
        <w:ind w:right="5419"/>
        <w:spacing w:after="0" w:line="288" w:lineRule="auto"/>
        <w:rPr>
          <w:rFonts w:ascii="Arial" w:cs="Arial" w:eastAsia="Arial" w:hAnsi="Arial"/>
          <w:sz w:val="12"/>
          <w:szCs w:val="12"/>
          <w:color w:val="auto"/>
        </w:rPr>
      </w:pPr>
      <w:r>
        <w:rPr>
          <w:rFonts w:ascii="Arial" w:cs="Arial" w:eastAsia="Arial" w:hAnsi="Arial"/>
          <w:sz w:val="12"/>
          <w:szCs w:val="12"/>
          <w:color w:val="auto"/>
        </w:rPr>
        <w:t>shall be decreased as of the time of such issuance or, in the event such record date is fixed, as of the close of business on such record date, by multiplying the Conversion Price then in effect by a fraction (i) the numerator of which is</w:t>
      </w:r>
    </w:p>
    <w:p>
      <w:pPr>
        <w:ind w:right="4999"/>
        <w:spacing w:after="0" w:line="265" w:lineRule="auto"/>
        <w:rPr>
          <w:rFonts w:ascii="Arial" w:cs="Arial" w:eastAsia="Arial" w:hAnsi="Arial"/>
          <w:sz w:val="12"/>
          <w:szCs w:val="12"/>
          <w:color w:val="auto"/>
        </w:rPr>
      </w:pPr>
      <w:r>
        <w:rPr>
          <w:rFonts w:ascii="Arial" w:cs="Arial" w:eastAsia="Arial" w:hAnsi="Arial"/>
          <w:sz w:val="13"/>
          <w:szCs w:val="13"/>
          <w:color w:val="auto"/>
        </w:rPr>
        <w:t>the total number of shares of Common Stock and Common Stock Equivalents issued and outstanding immediately prior to the time of such issuance or the close of business on such record date, and (ii) the denominator of which is the total number of shares of Common Stock and Common Stock Equivalents issued and outstanding immediately prior to the time of such issuance or the close of</w:t>
      </w:r>
    </w:p>
    <w:p>
      <w:pPr>
        <w:spacing w:after="0" w:line="3" w:lineRule="exact"/>
        <w:rPr>
          <w:rFonts w:ascii="Arial" w:cs="Arial" w:eastAsia="Arial" w:hAnsi="Arial"/>
          <w:sz w:val="12"/>
          <w:szCs w:val="12"/>
          <w:color w:val="auto"/>
        </w:rPr>
      </w:pPr>
    </w:p>
    <w:p>
      <w:pPr>
        <w:ind w:right="4899"/>
        <w:spacing w:after="0" w:line="265" w:lineRule="auto"/>
        <w:rPr>
          <w:rFonts w:ascii="Arial" w:cs="Arial" w:eastAsia="Arial" w:hAnsi="Arial"/>
          <w:sz w:val="12"/>
          <w:szCs w:val="12"/>
          <w:color w:val="auto"/>
        </w:rPr>
      </w:pPr>
      <w:r>
        <w:rPr>
          <w:rFonts w:ascii="Arial" w:cs="Arial" w:eastAsia="Arial" w:hAnsi="Arial"/>
          <w:sz w:val="13"/>
          <w:szCs w:val="13"/>
          <w:color w:val="auto"/>
        </w:rPr>
        <w:t>business on such record date plus the number of shares of Common Stock or Common Stock Equivalents issuable in payment of such dividend or distribution;</w:t>
      </w:r>
    </w:p>
    <w:p>
      <w:pPr>
        <w:spacing w:after="0" w:line="1" w:lineRule="exact"/>
        <w:rPr>
          <w:rFonts w:ascii="Arial" w:cs="Arial" w:eastAsia="Arial" w:hAnsi="Arial"/>
          <w:sz w:val="12"/>
          <w:szCs w:val="12"/>
          <w:color w:val="auto"/>
        </w:rPr>
      </w:pPr>
    </w:p>
    <w:p>
      <w:pPr>
        <w:ind w:right="5219"/>
        <w:spacing w:after="0" w:line="248" w:lineRule="auto"/>
        <w:rPr>
          <w:rFonts w:ascii="Arial" w:cs="Arial" w:eastAsia="Arial" w:hAnsi="Arial"/>
          <w:sz w:val="12"/>
          <w:szCs w:val="12"/>
          <w:color w:val="auto"/>
        </w:rPr>
      </w:pPr>
      <w:r>
        <w:rPr>
          <w:rFonts w:ascii="Arial" w:cs="Arial" w:eastAsia="Arial" w:hAnsi="Arial"/>
          <w:sz w:val="14"/>
          <w:szCs w:val="14"/>
          <w:color w:val="auto"/>
        </w:rPr>
        <w:t>provided, however, that if such record date is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Section 4(e)(i) to reflect the actual payment of such dividend or distribution.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679"/>
          </w:cols>
          <w:pgMar w:left="780" w:top="646" w:right="1440"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color w:val="auto"/>
        </w:rPr>
        <w:t>A "Common Stock Equivalent" shall mean each share of Common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Stock into which securities or property or rights are convertible, exchangeable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or exercisable for or into shares of Common Stock, or otherwise entitle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holder thereof to receive directly or indirectly, any of the foregoing.</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Adjustments for Stock Splits, Stock Subdivisions and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Combinations. If, at any time after the Original Issue Date, the Corporation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subdivides or combines the Common Stock without making a corresponding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subdivision or combination of the Series A Preferred Stock, (A) in the case of a</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subdivision (including a stock split), the Conversion Price in effect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immediately prior to such event shall be proportionately decreased and the</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of Common Stock purchasable thereunder shall be proportionately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increased, and (B) in the case of a combination (including a reverse stock</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split), the Conversion Price in effect immediately prior to such event shall be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proportionately increased and the number of shares of Common Stock purchasable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thereunder shall be proportionately decreased. Any adjustment under this Section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4(e)(ii) shall become effective at the close of business on the date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subdivision or combination becomes effective.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(iii) Adjustments for Reclassification, Reorganization and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Consolidation. In case of (A) any reclassification, reorganization, change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conversion of securities of the class issuable upon conversion of the Series 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 (other than a change in par value, or from par value to no par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value) into other shares or securities of the Corporation, or (B) any merger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consolidation of the Corporation with or into another entity (other than 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Liquidation or a merger or consolidation with another entity in which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Corporation is the acquiring and the surviving entity and that does not result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in any reclassification or change of outstanding securities issuable upon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conversion of the Series A Preferred Stock) each holder of shares of Series 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 shall have the right to receive, in lieu of the shares of Common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Stock otherwise issuable upon the conversion of its shares of Series A Preferred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Stock (and accumulated or accrued and unpaid dividends then-outstanding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thereunder) in accordance with Section 4(b), the kind and amount of shares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stock and other securities, money and property receivable upon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reclassification, reorganization, change, merger or consolidation upon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conversion by a holder of the maximum number of shares of Common Stock into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which such shares of Series A Preferred Stock could have been converted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immediately prior to such reclassification, reorganization, change, merger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consolidation, all subject to further adjustment as provided herein or with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respect to such other securities or property by the terms thereof.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provisions of this clause (iii) shall similarly attach to successive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reclassifications, reorganizations, changes, mergers and consolidations.</w:t>
      </w:r>
    </w:p>
    <w:p>
      <w:pPr>
        <w:spacing w:after="0" w:line="161" w:lineRule="exact"/>
        <w:rPr>
          <w:sz w:val="20"/>
          <w:szCs w:val="20"/>
          <w:color w:val="auto"/>
        </w:rPr>
      </w:pPr>
    </w:p>
    <w:p>
      <w:pPr>
        <w:ind w:right="5619" w:firstLine="2"/>
        <w:spacing w:after="0" w:line="296" w:lineRule="auto"/>
        <w:tabs>
          <w:tab w:leader="none" w:pos="172" w:val="left"/>
        </w:tabs>
        <w:numPr>
          <w:ilvl w:val="0"/>
          <w:numId w:val="58"/>
        </w:numPr>
        <w:rPr>
          <w:rFonts w:ascii="Arial" w:cs="Arial" w:eastAsia="Arial" w:hAnsi="Arial"/>
          <w:sz w:val="12"/>
          <w:szCs w:val="12"/>
          <w:color w:val="auto"/>
        </w:rPr>
      </w:pPr>
      <w:r>
        <w:rPr>
          <w:rFonts w:ascii="Arial" w:cs="Arial" w:eastAsia="Arial" w:hAnsi="Arial"/>
          <w:sz w:val="12"/>
          <w:szCs w:val="12"/>
          <w:color w:val="auto"/>
        </w:rPr>
        <w:t>Antidilution Adjustments. To the extent that (i) the Corporation issues after the Original Issue Date and before April 29, 2003, Additional</w:t>
      </w:r>
    </w:p>
    <w:p>
      <w:pPr>
        <w:ind w:right="5099"/>
        <w:spacing w:after="0" w:line="247" w:lineRule="auto"/>
        <w:rPr>
          <w:rFonts w:ascii="Arial" w:cs="Arial" w:eastAsia="Arial" w:hAnsi="Arial"/>
          <w:sz w:val="12"/>
          <w:szCs w:val="12"/>
          <w:color w:val="auto"/>
        </w:rPr>
      </w:pPr>
      <w:r>
        <w:rPr>
          <w:rFonts w:ascii="Arial" w:cs="Arial" w:eastAsia="Arial" w:hAnsi="Arial"/>
          <w:sz w:val="14"/>
          <w:szCs w:val="14"/>
          <w:color w:val="auto"/>
        </w:rPr>
        <w:t>Shares of Common Stock (as defined below) (in one or more transactions, whether or not related), (ii) each such issuance is at an Effective Price (as defined below) per share less than Conversion Price then in effect and (iii) the aggregate gross proceeds of such issuances exceed $15 million, then the Conversion Price shall be adjusted to equal the lowest Effective Price received by the Corporation pursuant to any such issuance. The previous sentence will apply to any issuances of Additional Shares of Common Stock after the $15 million threshold has been met (provided any such issuance is below the Conversion Price then in effect) but will not apply to any issuance of Additional Shares of</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679"/>
          </w:cols>
          <w:pgMar w:left="780" w:top="646" w:right="1440"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color w:val="auto"/>
        </w:rPr>
        <w:t>Common Stock occurring after April 29, 2003. Notwithstanding the foregoing,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Conversion Price shall in no event be lower than U.S.$3.77.</w:t>
      </w:r>
    </w:p>
    <w:p>
      <w:pPr>
        <w:spacing w:after="0" w:line="161" w:lineRule="exact"/>
        <w:rPr>
          <w:sz w:val="20"/>
          <w:szCs w:val="20"/>
          <w:color w:val="auto"/>
        </w:rPr>
      </w:pPr>
    </w:p>
    <w:p>
      <w:pPr>
        <w:ind w:left="160" w:hanging="158"/>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the purpose of making any adjustment required under Section</w:t>
      </w:r>
    </w:p>
    <w:p>
      <w:pPr>
        <w:spacing w:after="0" w:line="13" w:lineRule="exact"/>
        <w:rPr>
          <w:rFonts w:ascii="Arial" w:cs="Arial" w:eastAsia="Arial" w:hAnsi="Arial"/>
          <w:sz w:val="14"/>
          <w:szCs w:val="14"/>
          <w:color w:val="auto"/>
        </w:rPr>
      </w:pPr>
    </w:p>
    <w:p>
      <w:pPr>
        <w:ind w:right="5019"/>
        <w:spacing w:after="0" w:line="288" w:lineRule="auto"/>
        <w:rPr>
          <w:rFonts w:ascii="Arial" w:cs="Arial" w:eastAsia="Arial" w:hAnsi="Arial"/>
          <w:sz w:val="14"/>
          <w:szCs w:val="14"/>
          <w:color w:val="auto"/>
        </w:rPr>
      </w:pPr>
      <w:r>
        <w:rPr>
          <w:rFonts w:ascii="Arial" w:cs="Arial" w:eastAsia="Arial" w:hAnsi="Arial"/>
          <w:sz w:val="12"/>
          <w:szCs w:val="12"/>
          <w:color w:val="auto"/>
        </w:rPr>
        <w:t>4(f), the consideration received by the Company for any issue or sale of securities shall (A) to the extent it consists of cash, be computed at the net amount of cash received by the Company after deduction of any underwriting or similar commissions, compensation or concessions paid or allowed by the Company in connection with such issue or sale but without deduction of any expenses payable by the Company (except for purposes of determining if the $15 million threshold referred to above has been met, in which case the consideration received will be deemed to be the aggregate gross proceeds received by the Company), (B) to the extent it consists of property other than cash, be computed</w:t>
      </w:r>
    </w:p>
    <w:p>
      <w:pPr>
        <w:ind w:right="5179"/>
        <w:spacing w:after="0" w:line="267" w:lineRule="auto"/>
        <w:rPr>
          <w:rFonts w:ascii="Arial" w:cs="Arial" w:eastAsia="Arial" w:hAnsi="Arial"/>
          <w:sz w:val="14"/>
          <w:szCs w:val="14"/>
          <w:color w:val="auto"/>
        </w:rPr>
      </w:pPr>
      <w:r>
        <w:rPr>
          <w:rFonts w:ascii="Arial" w:cs="Arial" w:eastAsia="Arial" w:hAnsi="Arial"/>
          <w:sz w:val="13"/>
          <w:szCs w:val="13"/>
          <w:color w:val="auto"/>
        </w:rPr>
        <w:t>at the fair value of that property as determined in good faith by the Board of Directors,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of Directors to be allocable to such Additional Shares of Common Stock, Convertible Securities or rights or options; provided, however, that the holders of at least a majority of the outstanding Series A Preferred Stock shall have the right to challenge any determination by the Board of Directors of fair market value pursuant to this Section 4(f)(i), in which case the determination of fair market value shall be made by an independent appraiser selected jointly by the Board of Directors and the challenging parties, the cost of such appraisal to be borne equally by the Corporation and the challenging parties.</w:t>
      </w:r>
    </w:p>
    <w:p>
      <w:pPr>
        <w:spacing w:after="0" w:line="146" w:lineRule="exact"/>
        <w:rPr>
          <w:rFonts w:ascii="Arial" w:cs="Arial" w:eastAsia="Arial" w:hAnsi="Arial"/>
          <w:sz w:val="14"/>
          <w:szCs w:val="14"/>
          <w:color w:val="auto"/>
        </w:rPr>
      </w:pPr>
    </w:p>
    <w:p>
      <w:pPr>
        <w:ind w:left="200" w:hanging="198"/>
        <w:spacing w:after="0"/>
        <w:tabs>
          <w:tab w:leader="none" w:pos="2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the purpose of the adjustment required under this Section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4(f), if the Company issues or sells (A) stock or other securities convertible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into, Additional Shares of Common Stock (such convertible stock or securities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being herein referred to as "Convertible Securities") or (B) rights or options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for the purchase of Additional Shares of Common Stock or Convertible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and if the Effective Price of such Additional Shares of Common Stock is less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than the Conversion Price, in each case the Company shall be deemed to have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issued at the time of the issuance of such rights or options or Convertible</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Securities the maximum number of Additional Shares of Common Stock issuable upon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exercise or conversion thereof and to have received as consideration for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issuance of such shares an amount equal to the total amount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consideration, if any, received by the Company for the issuance of such rights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 options or Convertible Securities, plus, in the case of such rights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options, the minimum amounts of consideration, if any, payable to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upon the exercise of such rights or options, plus, in the case of Convertible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Securities, the minimum amounts of consideration, if any, payable to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(other than by cancellation of liabilities or obligations evidenced by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Convertible Securities) upon the conversion thereof; provided that if in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case of Convertible Securities the minimum amounts of such consideration cannot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be ascertained, but are a function of antidilution or similar protective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clauses, the Company shall be deemed to have received the minimum amounts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consideration without reference to such clauses; provided further that if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minimum amount of consideration payable to the Company upon the exercise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conversion of rights, options or Convertible Securities is reduced over time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on the occurrence or non-occurrence of specified events other than by reason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antidilution adjustments, the Effective Price shall be recalculated using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figure to which such minimum amount of consideration is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679"/>
          </w:cols>
          <w:pgMar w:left="780" w:top="646" w:right="1440"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auto"/>
        </w:rPr>
        <w:t>reduced; provided further that if the minimum amount of consideration payable to</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Company upon the exercise or conversion of such rights, options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Convertible Securities is subsequently increased, the Effective Price shall be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again recalculated using the increased minimum amount of consideration payable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to the Company upon the exercise or conversion of such rights, options 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Convertible Securities. No further adjustment of the Conversion Price, as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adjusted upon the issuance of such rights, options or Convertible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shall be made as a result of the actual issuance of Additional Shares of Common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Stock on the exercise of any such rights or options or the conversion of 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Convertible Securities. If any such rights or options or the conversion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privilege represented by any such Convertible Securities shall expire without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having been exercised, the Conversion Price, as adjusted upon the issuance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rights, options or Convertible Securities, shall be readjusted to the</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Conversion Price which would have been in effect had an adjustment been made 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basis that the only Additional Shares of Common Stock so issued were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Additional Shares of Common Stock, if any, actually issued or sold on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exercise of such rights or options or rights of conversion of such Convertible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such Additional Shares of Common Stock, if any, were issued or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sold for the consideration actually received by the Company upon such exercise,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plus the consideration, if any, actually received by the Company for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granting of all such rights or options, whether or not exercised, plus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consideration received for issuing or selling the Convertible Securities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actually converted, plus the consideration, if any, actually received by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Company (other than by cancellation of liabilities or obligations evidenced by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such Convertible Securities) on the conversion of such Convertible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"Additional Shares of Common Stock" shall mean all shares of Common Stock</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issued by the Company or deemed to be issued pursuant to this Section 4(f),</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whether or not subsequently reacquired or retired by the Company other than (A)</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shares of Common Stock and/or options, warrants or other Common Stock purchase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rights, and the Common Stock issued or issuable pursuant to such options,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warrants or other rights to employees, officers or directors of, or consultants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or advisors to the Company or any subsidiary pursuant to stock purchase or stock</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option plans or other arrangements that are approved by the Board; (B) shares of</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Common Stock issued or issuable pursuant to any equipment loan or leasing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arrangement, or debt financing from a bank or similar financial institution; (C)</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shares of Common Stock issued or issuable in connection with licensing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transactions involving the Company and other entities, including (1) joint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ventures, manufacturing, marketing or distribution arrangements or (2)</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technology transfer or development arrangements; provided that such transactions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 (1) and (2) and the issuance of shares therein has been approved by a</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majority of the members of the Company's Board of Directors and the aggregate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so issued does not exceed four million (4,000,000)(as adjusted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for stock splits, stock dividends, stock combinations, recapitalizatons and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like); and (D) any other issuances approved by the holders of a majority of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Series A Preferred Stock then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The "Effective Price" of Additional Shares of Common Stock shall mean the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quotient determined by dividing the total number of Additional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Stock issued or sold, or deemed to have been issued or sold by the Company under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this Section 4(f), into the aggregate consideration received, or deemed to have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been received by the Company for such issue under this Section 4(f), for such</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Additional Shares of Common Stock.</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679"/>
          </w:cols>
          <w:pgMar w:left="780" w:top="646" w:right="1440"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color w:val="auto"/>
        </w:rPr>
        <w:t>5. Other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In the event the Corporation provides the holders of its Common Stock with</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consideration that is not otherwise addressed in Section 4 (including, without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limitation, declaring a distribution payable in securities, assets, cash or</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evidences of indebtedness issued by other persons or the Corporation (excluding</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cash dividends declared and paid by the Corporation out of retained earnings)),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then, in each such case, the holders of the Series A Preferred Stock shall be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entitled to a pro rata share of any such distribution as though such holders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were holders of the number of shares of Common Stock of the Corporation as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though the Series A Preferred Stock had been converted in whole as of the record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date fixed for the determination of the holders of Common Stock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entitled to receive such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6. Recapitalizations.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If at any time there occurs a recapitalization of the Common Stock (other</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than a subdivision, combination, or merger or sale of assets provided for in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 hereof), the holders of the Series A Preferred Stock shall be entitled</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to receive upon conversion of the Series A Preferred Stock the number of shares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of capital stock or other securities or property of the Corporation or otherwise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to which a holder of the Common Stock deliverable upon conversion would have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been entitled on such recapitalization. In any such case, appropriate adjustment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shall be made in the application of the provisions of Section 4 hereof with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respect to the rights of the holders of the Series A Preferred Stock after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recapitalization to the end that the provisions of Section 4 hereof (including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adjustment of the Conversion Price then in effect and the number of shares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purchasable upon conversion of the Series A Preferred Stock) shall be applicable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after that event as nearly equivalent as may be practicable.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7. No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will not, by amendment of the Certificate of Incorporation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or through any reorganization, recapitalization, transfer of assets,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consolidation, merger, dissolution, issuance or sale of securities or any other</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voluntary action, avoid or seek to avoid the observance or performance of any of</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terms to be observed or performed hereunder by the Corporation, but will at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all times in good faith assist in the carrying out of all the provisions hereof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and in the taking of all such action as may be necessary or appropriate in order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to protect the Conversion Right of the holders of the Series A Preferred Stock</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against impairment.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8. No Fractional Shares and Certificate as to Adjustments.</w:t>
      </w:r>
    </w:p>
    <w:p>
      <w:pPr>
        <w:spacing w:after="0" w:line="170" w:lineRule="exact"/>
        <w:rPr>
          <w:sz w:val="20"/>
          <w:szCs w:val="20"/>
          <w:color w:val="auto"/>
        </w:rPr>
      </w:pPr>
    </w:p>
    <w:p>
      <w:pPr>
        <w:ind w:right="5259" w:firstLine="2"/>
        <w:spacing w:after="0" w:line="290" w:lineRule="auto"/>
        <w:tabs>
          <w:tab w:leader="none" w:pos="188" w:val="left"/>
        </w:tabs>
        <w:numPr>
          <w:ilvl w:val="0"/>
          <w:numId w:val="60"/>
        </w:numPr>
        <w:rPr>
          <w:rFonts w:ascii="Arial" w:cs="Arial" w:eastAsia="Arial" w:hAnsi="Arial"/>
          <w:sz w:val="12"/>
          <w:szCs w:val="12"/>
          <w:color w:val="auto"/>
        </w:rPr>
      </w:pPr>
      <w:r>
        <w:rPr>
          <w:rFonts w:ascii="Arial" w:cs="Arial" w:eastAsia="Arial" w:hAnsi="Arial"/>
          <w:sz w:val="12"/>
          <w:szCs w:val="12"/>
          <w:color w:val="auto"/>
        </w:rPr>
        <w:t>No fractional shares of Common Stock will be issued upon the conversion of any share or shares of the Series A Preferred Stock. All shares of Common Stock (including fractions thereof) issuable upon conversion of more than one share of Series A Preferred Stock by a holder shall be aggregated for purposes of determining whether the conversion would result in the issuance of any fractional share. If, after the aforementioned aggregation, the conversion would result in the issuance of a fraction of a share of Common Stock, the Corporation shall, in lieu of issuing any fractional share, pay the holder otherwise</w:t>
      </w:r>
    </w:p>
    <w:p>
      <w:pPr>
        <w:ind w:right="5179"/>
        <w:spacing w:after="0" w:line="278" w:lineRule="auto"/>
        <w:rPr>
          <w:rFonts w:ascii="Arial" w:cs="Arial" w:eastAsia="Arial" w:hAnsi="Arial"/>
          <w:sz w:val="12"/>
          <w:szCs w:val="12"/>
          <w:color w:val="auto"/>
        </w:rPr>
      </w:pPr>
      <w:r>
        <w:rPr>
          <w:rFonts w:ascii="Arial" w:cs="Arial" w:eastAsia="Arial" w:hAnsi="Arial"/>
          <w:sz w:val="13"/>
          <w:szCs w:val="13"/>
          <w:color w:val="auto"/>
        </w:rPr>
        <w:t>entitled to such fraction a sum in cash equal to such fraction multiplied by the closing price of the Corporation's Common Stock on the Nasdaq National Market (or any other national securities exchange on which the Common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679"/>
          </w:cols>
          <w:pgMar w:left="780" w:top="646" w:right="1440"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color w:val="auto"/>
        </w:rPr>
        <w:t>Stock is then traded) on the day immediately preceding the conversion. All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calculations under Section 4 hereof and this Section 8(a) shall be made to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nearest cent or to the nearest share, as the case may be.</w:t>
      </w:r>
    </w:p>
    <w:p>
      <w:pPr>
        <w:spacing w:after="0" w:line="161" w:lineRule="exact"/>
        <w:rPr>
          <w:sz w:val="20"/>
          <w:szCs w:val="20"/>
          <w:color w:val="auto"/>
        </w:rPr>
      </w:pPr>
    </w:p>
    <w:p>
      <w:pPr>
        <w:ind w:right="5219" w:firstLine="2"/>
        <w:spacing w:after="0" w:line="289" w:lineRule="auto"/>
        <w:tabs>
          <w:tab w:leader="none" w:pos="195" w:val="left"/>
        </w:tabs>
        <w:numPr>
          <w:ilvl w:val="0"/>
          <w:numId w:val="61"/>
        </w:numPr>
        <w:rPr>
          <w:rFonts w:ascii="Arial" w:cs="Arial" w:eastAsia="Arial" w:hAnsi="Arial"/>
          <w:sz w:val="12"/>
          <w:szCs w:val="12"/>
          <w:color w:val="auto"/>
        </w:rPr>
      </w:pPr>
      <w:r>
        <w:rPr>
          <w:rFonts w:ascii="Arial" w:cs="Arial" w:eastAsia="Arial" w:hAnsi="Arial"/>
          <w:sz w:val="12"/>
          <w:szCs w:val="12"/>
          <w:color w:val="auto"/>
        </w:rPr>
        <w:t>Upon the occurrence of each adjustment or readjustment of the Conversion Price pursuant to Section 4 hereof, the Corporation, at its expense, shall promptly compute such adjustment or readjustment in accordance with the terms hereof and prepare and furnish to each holder of shares of Series A Preferred Stock a certificate setting forth such adjustment or readjustment and showing in detail the facts upon which such adjustment or readjustment is based. The Corporation shall, upon the written request at any time of any holder of Series A Preferred Stock, use its reasonable best efforts to furnish or cause to be furnished to such holder a like certificate setting forth (i) such adjustment</w:t>
      </w:r>
    </w:p>
    <w:p>
      <w:pPr>
        <w:spacing w:after="0" w:line="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or readjustment, (ii) the Conversion Price at the time in effect, and (iii) the</w:t>
      </w:r>
    </w:p>
    <w:p>
      <w:pPr>
        <w:spacing w:after="0" w:line="4" w:lineRule="exact"/>
        <w:rPr>
          <w:rFonts w:ascii="Arial" w:cs="Arial" w:eastAsia="Arial" w:hAnsi="Arial"/>
          <w:sz w:val="12"/>
          <w:szCs w:val="12"/>
          <w:color w:val="auto"/>
        </w:rPr>
      </w:pPr>
    </w:p>
    <w:p>
      <w:pPr>
        <w:ind w:right="5039"/>
        <w:spacing w:after="0" w:line="250" w:lineRule="auto"/>
        <w:rPr>
          <w:rFonts w:ascii="Arial" w:cs="Arial" w:eastAsia="Arial" w:hAnsi="Arial"/>
          <w:sz w:val="12"/>
          <w:szCs w:val="12"/>
          <w:color w:val="auto"/>
        </w:rPr>
      </w:pPr>
      <w:r>
        <w:rPr>
          <w:rFonts w:ascii="Arial" w:cs="Arial" w:eastAsia="Arial" w:hAnsi="Arial"/>
          <w:sz w:val="14"/>
          <w:szCs w:val="14"/>
          <w:color w:val="auto"/>
        </w:rPr>
        <w:t>number of shares of Common Stock and the amount, if any, of other property which at the time would be received upon the conversion of a share of Series A Preferred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9. Reservation of Stock Issuable Upon Conversion.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shall at all times reserve and keep available out of its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authorized but unissued shares of Common Stock, solely for the purpose of</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effecting the conversion of the shares of the Series A Preferred Stock, such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number of its shares of Common Stock that shall from time to time be sufficient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to effect the conversion of all outstanding shares of the Series A Preferred</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Stock; and if at any time the number of authorized but unissued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Stock not otherwise reserved for issuance shall not be sufficient to effect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conversion of all then outstanding shares of the Series A Preferred Stock,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Corporation shall take such corporate action that may, in the opinion of its</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counsel, be necessary to increase its authorized but unissued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 to such number of shares as shall be sufficient for such purposes,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including, without limitation, engaging in best efforts to obtain the requisite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stockholder approval of any necessary amendment to its Certificate 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10. Notices.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Any notice required by the provisions hereof to be given to the holders of</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shares of Series A Preferred Stock shall be given in writing and shall be deemed</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to have been given (i) in the case of personal or hand delivery, on the date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delivery, (ii) in the case of an internationally-recognized overnight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delivery courier, on the second business day after the date when sent, (iii) in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the case of mailing, on the fifth business day following that day on which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piece of mail containing such communication is posted and (iv) in the case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facsimile transmission, the date of telephone confirmation of receipt.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11.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Holders of Series A Preferred Stock shall be entitled to vote on all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matters submitted to a vote of the holders of the Corporation's Common Stock,</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including with respect to the election of directors of the Corporation, on an as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if converted to Common Stock basis; provided, however, that the number of votes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to which the Series A Preferred Stock is entitled shall be based on a conversion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price of $5.50 per share, giving effect to any future adjustments pursuant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Section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679"/>
          </w:cols>
          <w:pgMar w:left="780" w:top="646" w:right="1440"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color w:val="auto"/>
        </w:rPr>
        <w:t>4(e) above, but without giving any effect to any future adjustments pursuant to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Section 4(f) above.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12. Protective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Subject to the rights of any series of preferred stock that may from time to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time come into existence, so long as any shares of Series A Preferred Stock are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outstanding, the Corporation shall not without first obtaining the approval (by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vote or written consent, as provided by law) of the holders of at least 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majority of the then-outstanding shares of Series A Preferred Stock, voting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separately as a series:</w:t>
      </w:r>
    </w:p>
    <w:p>
      <w:pPr>
        <w:spacing w:after="0" w:line="161" w:lineRule="exact"/>
        <w:rPr>
          <w:sz w:val="20"/>
          <w:szCs w:val="20"/>
          <w:color w:val="auto"/>
        </w:rPr>
      </w:pPr>
    </w:p>
    <w:p>
      <w:pPr>
        <w:ind w:right="5499" w:firstLine="2"/>
        <w:spacing w:after="0" w:line="271" w:lineRule="auto"/>
        <w:tabs>
          <w:tab w:leader="none" w:pos="188" w:val="left"/>
        </w:tabs>
        <w:numPr>
          <w:ilvl w:val="0"/>
          <w:numId w:val="62"/>
        </w:numPr>
        <w:rPr>
          <w:rFonts w:ascii="Arial" w:cs="Arial" w:eastAsia="Arial" w:hAnsi="Arial"/>
          <w:sz w:val="13"/>
          <w:szCs w:val="13"/>
          <w:color w:val="auto"/>
        </w:rPr>
      </w:pPr>
      <w:r>
        <w:rPr>
          <w:rFonts w:ascii="Arial" w:cs="Arial" w:eastAsia="Arial" w:hAnsi="Arial"/>
          <w:sz w:val="13"/>
          <w:szCs w:val="13"/>
          <w:color w:val="auto"/>
        </w:rPr>
        <w:t>amend its Certificate of Incorporation (including the filing of a Certificate of Designations) so as to (i) increase the number of authorized shares of the Corporation's preferred stock or (ii) affect adversely the shares of Series A Preferred Stock or any holder thereof, including, without limitation, by creating any additional series of preferred stock (or issuing shares under any such series) that is senior or pari passu in liquidation preference, redemption right, conversion rights or right of payment to the Series A Preferred Stock;</w:t>
      </w:r>
    </w:p>
    <w:p>
      <w:pPr>
        <w:spacing w:after="0" w:line="140" w:lineRule="exact"/>
        <w:rPr>
          <w:rFonts w:ascii="Arial" w:cs="Arial" w:eastAsia="Arial" w:hAnsi="Arial"/>
          <w:sz w:val="13"/>
          <w:szCs w:val="13"/>
          <w:color w:val="auto"/>
        </w:rPr>
      </w:pPr>
    </w:p>
    <w:p>
      <w:pPr>
        <w:ind w:right="5159" w:firstLine="2"/>
        <w:spacing w:after="0" w:line="252" w:lineRule="auto"/>
        <w:tabs>
          <w:tab w:leader="none" w:pos="195" w:val="left"/>
        </w:tabs>
        <w:numPr>
          <w:ilvl w:val="0"/>
          <w:numId w:val="62"/>
        </w:numPr>
        <w:rPr>
          <w:rFonts w:ascii="Arial" w:cs="Arial" w:eastAsia="Arial" w:hAnsi="Arial"/>
          <w:sz w:val="14"/>
          <w:szCs w:val="14"/>
          <w:color w:val="auto"/>
        </w:rPr>
      </w:pPr>
      <w:r>
        <w:rPr>
          <w:rFonts w:ascii="Arial" w:cs="Arial" w:eastAsia="Arial" w:hAnsi="Arial"/>
          <w:sz w:val="14"/>
          <w:szCs w:val="14"/>
          <w:color w:val="auto"/>
        </w:rPr>
        <w:t>after the date of this Certificate of Designation, create any new debt instrument or create or increase any new or existing bank line (or similar arrangement pursuant to which the Company is or becomes indebted), so that the Company's total indebtedness pursuant to such instruments, lines or arrangements exceeds $105,000,000 in the aggregate; or</w:t>
      </w:r>
    </w:p>
    <w:p>
      <w:pPr>
        <w:spacing w:after="0" w:line="148" w:lineRule="exact"/>
        <w:rPr>
          <w:rFonts w:ascii="Arial" w:cs="Arial" w:eastAsia="Arial" w:hAnsi="Arial"/>
          <w:sz w:val="14"/>
          <w:szCs w:val="14"/>
          <w:color w:val="auto"/>
        </w:rPr>
      </w:pPr>
    </w:p>
    <w:p>
      <w:pPr>
        <w:ind w:left="180" w:hanging="178"/>
        <w:spacing w:after="0"/>
        <w:tabs>
          <w:tab w:leader="none" w:pos="1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change the rights of the holders of the Series A Preferred Stock in 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other respect;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provided, however, that the authorization and issuance of additional shares of</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Common Stock, and creation of any series of preferred stock (or issuing shares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under any such series) that is junior in right of payment upon liquidation,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redemption, conversion and payment rights and otherwise to the Series 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shall not be deemed to adversely affect the rights, preferences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 privileges of the Series A Preferred Stock or any holder thereof or change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 rights of the holders of the Series A Preferred Stock in any other respect.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Series A Preferred Stock shall have no preemptive rights pursuant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hereto.</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13. Legend.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Series A Preferred Stock and any underlying shares of Common Stock will</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be issued under an exemption or exemptions from registration under the Act.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Accordingly, the certificates evidencing the Series A Preferred Stock and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underlying Common Stock shall, upon issuance, contain a legend, substantially in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 form as follows:</w:t>
      </w:r>
    </w:p>
    <w:p>
      <w:pPr>
        <w:spacing w:after="0" w:line="161" w:lineRule="exact"/>
        <w:rPr>
          <w:sz w:val="20"/>
          <w:szCs w:val="20"/>
          <w:color w:val="auto"/>
        </w:rPr>
      </w:pPr>
    </w:p>
    <w:p>
      <w:pPr>
        <w:ind w:right="3879"/>
        <w:spacing w:after="0" w:line="252" w:lineRule="auto"/>
        <w:rPr>
          <w:sz w:val="20"/>
          <w:szCs w:val="20"/>
          <w:color w:val="auto"/>
        </w:rPr>
      </w:pPr>
      <w:r>
        <w:rPr>
          <w:rFonts w:ascii="Arial" w:cs="Arial" w:eastAsia="Arial" w:hAnsi="Arial"/>
          <w:sz w:val="14"/>
          <w:szCs w:val="14"/>
          <w:color w:val="auto"/>
        </w:rPr>
        <w:t>"THE SECURITIES REPRESENTED HEREBY HAVE NOT BEEN REGISTERED UNDER THE U.S. SECURITIES ACT OF 1933, AS AMENDED (THE "ACT"), OR APPLICABLE STATE SECURITIES LAWS AND NO INTEREST HEREIN MAY BE SOLD, TRANSFERRED OR OTHERWISE DISPOSED OF UNLESS (1) A REGISTRATION STATEMENT WITH RESPECT TO SUCH SECURITIES SHALL BE EFFECTIVE UNDER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679"/>
          </w:cols>
          <w:pgMar w:left="780" w:top="646" w:right="1440" w:bottom="1440" w:gutter="0" w:footer="0" w:header="0"/>
        </w:sectPr>
      </w:pPr>
    </w:p>
    <w:bookmarkStart w:id="122" w:name="page123"/>
    <w:bookmarkEnd w:id="122"/>
    <w:p>
      <w:pPr>
        <w:ind w:right="3939"/>
        <w:spacing w:after="0" w:line="251" w:lineRule="auto"/>
        <w:rPr>
          <w:sz w:val="20"/>
          <w:szCs w:val="20"/>
          <w:color w:val="auto"/>
        </w:rPr>
      </w:pPr>
      <w:r>
        <w:rPr>
          <w:rFonts w:ascii="Arial" w:cs="Arial" w:eastAsia="Arial" w:hAnsi="Arial"/>
          <w:sz w:val="14"/>
          <w:szCs w:val="14"/>
          <w:color w:val="auto"/>
        </w:rPr>
        <w:t>THE ACT AND ANY APPLICABLE STATE SECURITIES LAWS OR (2) SUCH SECURITIES ARE TRANSFERRED PURSUANT TO RULE 144 PROMULGATED UNDER THE ACT (OR ANY SUCCESSOR RULE) OR (3) THE ISSUER OF THESE SECURITIES SHALL HAVE RECEIVED AN OPINION OF COUNSEL FOR THE HOLDER OF THESE SECURITIES REASONABLY SATISFACTORY TO THE ISSUER THAT NO VIOLATION OF THE ACT OR SIMILAR STATE SECURITIES LAWS WILL BE INVOLVED IN SUCH TRANSFER.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14. Status of Converted Stock.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In the event any shares of Series A Preferred Stock shall be converted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pursuant to Section 4 hereof, the shares so converted shall be canceled and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shall not be reissuable by the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follows]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679"/>
          </w:cols>
          <w:pgMar w:left="780" w:top="646" w:right="1440" w:bottom="1440" w:gutter="0" w:footer="0" w:header="0"/>
        </w:sectPr>
      </w:pPr>
    </w:p>
    <w:bookmarkStart w:id="123" w:name="page124"/>
    <w:bookmarkEnd w:id="123"/>
    <w:p>
      <w:pPr>
        <w:spacing w:after="0"/>
        <w:rPr>
          <w:sz w:val="20"/>
          <w:szCs w:val="20"/>
          <w:color w:val="auto"/>
        </w:rPr>
      </w:pPr>
      <w:r>
        <w:rPr>
          <w:rFonts w:ascii="Arial" w:cs="Arial" w:eastAsia="Arial" w:hAnsi="Arial"/>
          <w:sz w:val="12"/>
          <w:szCs w:val="12"/>
          <w:color w:val="auto"/>
        </w:rPr>
        <w:t>IN WITNESS WHEREOF, said Wireless Facilities, Inc. has caused this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Certificate of Designations to be signed by Masood K. Tayebi, its Chief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 as of October 29, 2001.</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WIRELESS FACILITIES, INC.</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By: /s/ Masood K. Tayebi</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 Masood K. Tayebi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679"/>
          </w:cols>
          <w:pgMar w:left="780" w:top="812" w:right="1440"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color w:val="auto"/>
        </w:rPr>
        <w:t>FORM OF CERTIFICATE OF DESIGNATIONS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CERTIFICATE OF DESIGNATIONS, PREFERENCES AND RIGHTS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SERIES B PREFERRED STOCK</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WIRELESS FACILITIES, INC.</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 Masood K. Tayebi, Chief Executive Officer of WIRELESS FACILITIES, INC.,</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 corporation organized and existing under the laws of the State of Delaware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or the "Company")), in accordance with the provisions 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Section 151 of the Delaware General Corporation Law, DO HEREBY CERTIFY: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That pursuant to the authority conferred upon the Board of Directors of the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Corporation (the "Board of Directors") by the Certificate of Incorporation 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the Corporation and by Section 151(g) of the Delaware General Corporation Law,</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on May 16, 2002, the Board of Directors adopted the following resolution,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creating a series of shares of convertible preferred stock, Series B, designated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as "Series B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"RESOLVED, that pursuant to the authority vested in the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of WIRELESS FACILITIES, INC., a corporation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organized and existing under the laws of the State of Delaware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by the Certificate of Incorporation of the Corporation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"Certificate of Incorporation"), the Board of Directors does hereby provide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for the authorization and issuance of a series of convertible preferred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stock, Series B, par value U.S.$0.001 per share, of the Corporation, to be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designated "Series B Preferred Stock," initially consisting of 90,000</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shares, and to the extent that the designations, powers, preferences, and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relative participating, optional, or other special rights, and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qualifications, limitations, and restrictions of the Series B Preferred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Stock are not stated and expressed in the Certificate of Incorporation,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does hereby fix and herein state and express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designations, powers, preferences, and relative participating, optional, 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other special rights, and the qualifications, limitations, and restrictions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thereof,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 Designation and Rank.</w:t>
      </w:r>
    </w:p>
    <w:p>
      <w:pPr>
        <w:spacing w:after="0" w:line="170" w:lineRule="exact"/>
        <w:rPr>
          <w:sz w:val="20"/>
          <w:szCs w:val="20"/>
          <w:color w:val="auto"/>
        </w:rPr>
      </w:pPr>
    </w:p>
    <w:p>
      <w:pPr>
        <w:ind w:right="5299" w:firstLine="4"/>
        <w:spacing w:after="0" w:line="257" w:lineRule="auto"/>
        <w:tabs>
          <w:tab w:leader="none" w:pos="188" w:val="left"/>
        </w:tabs>
        <w:numPr>
          <w:ilvl w:val="0"/>
          <w:numId w:val="63"/>
        </w:numPr>
        <w:rPr>
          <w:rFonts w:ascii="Arial" w:cs="Arial" w:eastAsia="Arial" w:hAnsi="Arial"/>
          <w:sz w:val="14"/>
          <w:szCs w:val="14"/>
          <w:color w:val="auto"/>
        </w:rPr>
      </w:pPr>
      <w:r>
        <w:rPr>
          <w:rFonts w:ascii="Arial" w:cs="Arial" w:eastAsia="Arial" w:hAnsi="Arial"/>
          <w:sz w:val="14"/>
          <w:szCs w:val="14"/>
          <w:color w:val="auto"/>
        </w:rPr>
        <w:t>Ninety thousand (90,000) shares of the preferred stock of the Corporation, par value $0.001 per share, shall be designated and known as the "Series B Preferred Stock."</w:t>
      </w:r>
    </w:p>
    <w:p>
      <w:pPr>
        <w:spacing w:after="0" w:line="145" w:lineRule="exact"/>
        <w:rPr>
          <w:rFonts w:ascii="Arial" w:cs="Arial" w:eastAsia="Arial" w:hAnsi="Arial"/>
          <w:sz w:val="14"/>
          <w:szCs w:val="14"/>
          <w:color w:val="auto"/>
        </w:rPr>
      </w:pPr>
    </w:p>
    <w:p>
      <w:pPr>
        <w:ind w:right="5119" w:firstLine="4"/>
        <w:spacing w:after="0" w:line="293" w:lineRule="auto"/>
        <w:tabs>
          <w:tab w:leader="none" w:pos="196"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Series B Preferred Stock shall rank senior and prior to the common stock, par value U.S.$0.001 per share, of the Corporation (the "Common Stock"), and all other classes or series of the capital stock (other than preferred</w:t>
      </w:r>
    </w:p>
    <w:p>
      <w:pPr>
        <w:ind w:right="5119"/>
        <w:spacing w:after="0" w:line="269" w:lineRule="auto"/>
        <w:rPr>
          <w:rFonts w:ascii="Arial" w:cs="Arial" w:eastAsia="Arial" w:hAnsi="Arial"/>
          <w:sz w:val="12"/>
          <w:szCs w:val="12"/>
          <w:color w:val="auto"/>
        </w:rPr>
      </w:pPr>
      <w:r>
        <w:rPr>
          <w:rFonts w:ascii="Arial" w:cs="Arial" w:eastAsia="Arial" w:hAnsi="Arial"/>
          <w:sz w:val="13"/>
          <w:szCs w:val="13"/>
          <w:color w:val="auto"/>
        </w:rPr>
        <w:t>stock) of the Corporation (now or hereafter authorized or issued), with respect to the payment of any dividends, the conversion rights set forth herein and any payment upon liquidation or redemption. The Series B Preferred Stock shall rank on par with the Series A Preferred Stock of the Corporation with respect to the payment of any dividends, the conversion rights set forth herein and any payment upon liquidation or redemption. The Corporation may not issue any additional classes or series of preferred stock with liquidation, redemption or conversion rights or right of payment of any kind that is senior to the Series B Preferred Stock, except pursuant to Section 12.</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619"/>
          </w:cols>
          <w:pgMar w:left="840" w:top="481" w:right="1440"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color w:val="auto"/>
        </w:rPr>
        <w:t>2. Dividend Rights.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From and after the date hereof, when and if the Board of Directors declares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 dividend or distribution payable with respect to the then-outstanding shares</w:t>
      </w:r>
    </w:p>
    <w:p>
      <w:pPr>
        <w:spacing w:after="0" w:line="5" w:lineRule="exact"/>
        <w:rPr>
          <w:sz w:val="20"/>
          <w:szCs w:val="20"/>
          <w:color w:val="auto"/>
        </w:rPr>
      </w:pPr>
    </w:p>
    <w:p>
      <w:pPr>
        <w:ind w:right="4759"/>
        <w:spacing w:after="0" w:line="265" w:lineRule="auto"/>
        <w:rPr>
          <w:sz w:val="20"/>
          <w:szCs w:val="20"/>
          <w:color w:val="auto"/>
        </w:rPr>
      </w:pPr>
      <w:r>
        <w:rPr>
          <w:rFonts w:ascii="Arial" w:cs="Arial" w:eastAsia="Arial" w:hAnsi="Arial"/>
          <w:sz w:val="13"/>
          <w:szCs w:val="13"/>
          <w:color w:val="auto"/>
        </w:rPr>
        <w:t>of Common Stock (other than in additional shares of Common Stock or Common Stock Equivalents (as defined in Section 4(e)(i) below), the holders of the Series B Preferred Stock shall be entitled to the amount of dividends per share in the same form as such Common Stock dividends that would be payable on the largest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number of whole shares of Common Stock into which a holder's aggregate shares of</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Series B Preferred Stock could then be converted pursuant to Section 4 hereof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number to be determined as of the record date for the determination 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holders of Common Stock entitled to receive such dividend).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3. Liquidation Rights.</w:t>
      </w:r>
    </w:p>
    <w:p>
      <w:pPr>
        <w:spacing w:after="0" w:line="170" w:lineRule="exact"/>
        <w:rPr>
          <w:sz w:val="20"/>
          <w:szCs w:val="20"/>
          <w:color w:val="auto"/>
        </w:rPr>
      </w:pPr>
    </w:p>
    <w:p>
      <w:pPr>
        <w:ind w:right="5219" w:firstLine="4"/>
        <w:spacing w:after="0" w:line="289" w:lineRule="auto"/>
        <w:tabs>
          <w:tab w:leader="none" w:pos="188" w:val="left"/>
        </w:tabs>
        <w:numPr>
          <w:ilvl w:val="0"/>
          <w:numId w:val="64"/>
        </w:numPr>
        <w:rPr>
          <w:rFonts w:ascii="Arial" w:cs="Arial" w:eastAsia="Arial" w:hAnsi="Arial"/>
          <w:sz w:val="12"/>
          <w:szCs w:val="12"/>
          <w:color w:val="auto"/>
        </w:rPr>
      </w:pPr>
      <w:r>
        <w:rPr>
          <w:rFonts w:ascii="Arial" w:cs="Arial" w:eastAsia="Arial" w:hAnsi="Arial"/>
          <w:sz w:val="12"/>
          <w:szCs w:val="12"/>
          <w:color w:val="auto"/>
        </w:rPr>
        <w:t>Liquidation Events. The occurrence of any of the following events shall be deemed a "Liquidation": (i) any liquidation, dissolution, or winding-up of the affairs of the Corporation; (ii) any transaction or series of related transactions in which securities of the Corporation representing 50% or more of the combined voting power of the Corporation's then outstanding voting securities are acquired by a person, entity or group of related persons or entities, excluding any consolidation or merger effected exclusively to change the domicile of the Corporation; (iii) any consolidation, merger or reorganization of the Corporation with or into any other corporation or other entity or person pursuant to which the holders of the Corporation's outstanding securities receive, pursuant to such transaction, securities in the surviving entity that represent less than 50% of the voting power of such surviving entity; or (iv) any sale, lease, exclusive license or other disposition of all</w:t>
      </w:r>
    </w:p>
    <w:p>
      <w:pPr>
        <w:spacing w:after="0" w:line="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or substantially all of the assets of the Corporation.</w:t>
      </w:r>
    </w:p>
    <w:p>
      <w:pPr>
        <w:spacing w:after="0" w:line="161" w:lineRule="exact"/>
        <w:rPr>
          <w:rFonts w:ascii="Arial" w:cs="Arial" w:eastAsia="Arial" w:hAnsi="Arial"/>
          <w:sz w:val="12"/>
          <w:szCs w:val="12"/>
          <w:color w:val="auto"/>
        </w:rPr>
      </w:pPr>
    </w:p>
    <w:p>
      <w:pPr>
        <w:ind w:left="200" w:hanging="196"/>
        <w:spacing w:after="0"/>
        <w:tabs>
          <w:tab w:leader="none" w:pos="2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Liquidation Preference.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 In the event of any Liquidation, whether voluntary or involuntary,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before any payment of cash or distribution of other property shall be made to</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the holders of Common Stock, or any other class or series of stock subordinate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in liquidation preference to the Series B Preferred Stock, the holders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Series B Preferred Stock shall be entitled to receive out of the assets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legally available for distribution to its stockholders, on behalf 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each share of Series B Preferred Stock held by such holder, U.S.$500.00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"Original Issue Price") (as appropriately adjusted for any combinations,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divisions, or similar recapitalizations affecting the Series B Preferred Stock</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after issuance) and all accumulated or accrued and unpaid dividends thereon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(collectively, the "Series B Liquidation Preference").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If, upon any Liquidation, the assets of the Corporation available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for distribution to its stockholders are insufficient to pay the holders of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Series B Preferred Stock the full amounts to which they are entitled pursuant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clause (b)(i) above, the holders of the Series B Preferred Stock shall share pro</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rata in any distribution of assets in proportion to the respective amounts which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would be payable to the holders of the Series B Preferred Stock and any other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class or series of capital stock of the Corporation ranking on par with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Series B Preferred Stock in respect of the shares held by them if all amounts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payable to them in respect of such were paid in full pursuant to clause (b)(i)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above.</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619"/>
          </w:cols>
          <w:pgMar w:left="840" w:top="646" w:right="1440"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color w:val="auto"/>
        </w:rPr>
        <w:t>(iii) After the distributions described in clause (b)(i) or (b)(ii)</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above have been paid, subject to the rights of any other class or series 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capital stock of the Corporation that may from time to time come into existence,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 remaining assets of the Corporation available for distribution to</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stockholders shall be distributed among the holders of Common Stock pro rata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based on the number of shares of Common Stock held by each.</w:t>
      </w:r>
    </w:p>
    <w:p>
      <w:pPr>
        <w:spacing w:after="0" w:line="161" w:lineRule="exact"/>
        <w:rPr>
          <w:sz w:val="20"/>
          <w:szCs w:val="20"/>
          <w:color w:val="auto"/>
        </w:rPr>
      </w:pPr>
    </w:p>
    <w:p>
      <w:pPr>
        <w:ind w:right="5259" w:firstLine="4"/>
        <w:spacing w:after="0" w:line="252" w:lineRule="auto"/>
        <w:tabs>
          <w:tab w:leader="none" w:pos="188"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Non-Cash Distributions. If any distribution to be made pursuant to this Section 3 is to be paid other than in cash or Common Stock or Common Stock Equivalents, the value of such distribution will be deemed its fair market value as determined in good faith by the Board of Directors. Any securities shall be valued as follows:</w:t>
      </w:r>
    </w:p>
    <w:p>
      <w:pPr>
        <w:spacing w:after="0" w:line="149" w:lineRule="exact"/>
        <w:rPr>
          <w:sz w:val="20"/>
          <w:szCs w:val="20"/>
          <w:color w:val="auto"/>
        </w:rPr>
      </w:pPr>
    </w:p>
    <w:p>
      <w:pPr>
        <w:ind w:right="6179" w:firstLine="4"/>
        <w:spacing w:after="0" w:line="352" w:lineRule="auto"/>
        <w:tabs>
          <w:tab w:leader="none" w:pos="165" w:val="left"/>
        </w:tabs>
        <w:numPr>
          <w:ilvl w:val="0"/>
          <w:numId w:val="66"/>
        </w:numPr>
        <w:rPr>
          <w:rFonts w:ascii="Arial" w:cs="Arial" w:eastAsia="Arial" w:hAnsi="Arial"/>
          <w:sz w:val="12"/>
          <w:szCs w:val="12"/>
          <w:color w:val="auto"/>
        </w:rPr>
      </w:pPr>
      <w:r>
        <w:rPr>
          <w:rFonts w:ascii="Arial" w:cs="Arial" w:eastAsia="Arial" w:hAnsi="Arial"/>
          <w:sz w:val="12"/>
          <w:szCs w:val="12"/>
          <w:color w:val="auto"/>
        </w:rPr>
        <w:t>Securities not subject to investment letter or other similar restrictions on free marketability covered by clause (ii) below:</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(1) if traded on a securities exchange or through the Nasdaq</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National Market, the value shall be deemed to be the average of the closing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prices of the securities on such quotation system over the thirty (30) trading</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day period ending three (3) trading days prior to the occurrence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Liquidation;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(2) if actively traded over-the-counter, the value shall be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deemed to be the average of the closing bid or sale prices (whichever is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applicable) over the thirty (30) trading day period ending three (3) trading</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days prior to the occurrence of the Liquidation; and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(3) if there is no active public market, the value shall be the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fair market value thereof, as determined by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The method of valuation of securities subject to investment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letter or other restrictions on free marketability (other than restrictions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arising solely by virtue of a stockholder's status as an affiliate or former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affiliate) shall be to effectuate an appropriate discount from the market value,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as determined by clause (i)(1), (2) or (3) of this Section 3(c), so as to</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reflect the approximate fair market value thereof, as determined by the Board of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Directors.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(iii) The holders of at least a majority of the outstanding Series B</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Preferred Stock shall have the right to challenge any determination by the Board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of Directors of fair market value pursuant to this Section 3(c), in which case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the determination of fair market value shall be made by an independent appraiser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selected jointly by the Board of Directors and the challenging parties, the cost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of such appraisal to be borne equally by the Corporation and the challenging</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parties.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4. Conversion Rights.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holders of the Series B Preferred Stock shall have conversion rights as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follows (the "Conversion Right"):</w:t>
      </w:r>
    </w:p>
    <w:p>
      <w:pPr>
        <w:spacing w:after="0" w:line="161" w:lineRule="exact"/>
        <w:rPr>
          <w:sz w:val="20"/>
          <w:szCs w:val="20"/>
          <w:color w:val="auto"/>
        </w:rPr>
      </w:pPr>
    </w:p>
    <w:p>
      <w:pPr>
        <w:ind w:right="5299" w:firstLine="4"/>
        <w:spacing w:after="0" w:line="257" w:lineRule="auto"/>
        <w:tabs>
          <w:tab w:leader="none" w:pos="188"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Conversion Price. The "Conversion Price" shall, initially, be U.S.$5.00 per share and shall be subject to adjustment as set forth below in Sections 4(e) and 4(f).</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619"/>
          </w:cols>
          <w:pgMar w:left="840" w:top="646" w:right="1440"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color w:val="auto"/>
        </w:rPr>
        <w:t>(b) Automatic Conversion. If the closing price for the shares of the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Corporation's Common Stock (trading on a securities exchange or through Nasdaq</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National Market or other national exchange or market) exceeds $11.00 per share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(as adjusted for events described in Section 4(e)(ii) and 4(e)(iii) below) for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any thirty consecutive trading day period that begins after February 28, 2005,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then, upon such occurrence, each share of Series B Preferred Stock shall be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automatically converted into such number of fully paid and non-assessable shares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of Common Stock as is determined by dividing (x) the Original Issue Price of</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such share of Series B Preferred Stock (including any accumulated or accrued but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unpaid dividends thereon) by (y) the Conversion Price. The date of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conversion is herein referred to as the "Conversion Date."</w:t>
      </w:r>
    </w:p>
    <w:p>
      <w:pPr>
        <w:spacing w:after="0" w:line="161" w:lineRule="exact"/>
        <w:rPr>
          <w:sz w:val="20"/>
          <w:szCs w:val="20"/>
          <w:color w:val="auto"/>
        </w:rPr>
      </w:pPr>
    </w:p>
    <w:p>
      <w:pPr>
        <w:ind w:right="5099" w:firstLine="4"/>
        <w:spacing w:after="0" w:line="274" w:lineRule="auto"/>
        <w:tabs>
          <w:tab w:leader="none" w:pos="188" w:val="left"/>
        </w:tabs>
        <w:numPr>
          <w:ilvl w:val="0"/>
          <w:numId w:val="68"/>
        </w:numPr>
        <w:rPr>
          <w:rFonts w:ascii="Arial" w:cs="Arial" w:eastAsia="Arial" w:hAnsi="Arial"/>
          <w:sz w:val="13"/>
          <w:szCs w:val="13"/>
          <w:color w:val="auto"/>
        </w:rPr>
      </w:pPr>
      <w:r>
        <w:rPr>
          <w:rFonts w:ascii="Arial" w:cs="Arial" w:eastAsia="Arial" w:hAnsi="Arial"/>
          <w:sz w:val="13"/>
          <w:szCs w:val="13"/>
          <w:color w:val="auto"/>
        </w:rPr>
        <w:t>Optional Conversion. The holders of the Series B Preferred Stock shall have the right, at any time, to convert the shares of Series B Preferred Stock held by such holder into that number of shares of Common Stock into which such shares are convertible pursuant to Section 4(b) ("Optional Conversion"). In the event of any Optional Conversion, the date of such conversion shall be referred to as the "Optional Conversion Date."</w:t>
      </w:r>
    </w:p>
    <w:p>
      <w:pPr>
        <w:spacing w:after="0" w:line="135" w:lineRule="exact"/>
        <w:rPr>
          <w:rFonts w:ascii="Arial" w:cs="Arial" w:eastAsia="Arial" w:hAnsi="Arial"/>
          <w:sz w:val="13"/>
          <w:szCs w:val="13"/>
          <w:color w:val="auto"/>
        </w:rPr>
      </w:pPr>
    </w:p>
    <w:p>
      <w:pPr>
        <w:ind w:right="5259" w:firstLine="4"/>
        <w:spacing w:after="0" w:line="297" w:lineRule="auto"/>
        <w:tabs>
          <w:tab w:leader="none" w:pos="196" w:val="left"/>
        </w:tabs>
        <w:numPr>
          <w:ilvl w:val="0"/>
          <w:numId w:val="68"/>
        </w:numPr>
        <w:rPr>
          <w:rFonts w:ascii="Arial" w:cs="Arial" w:eastAsia="Arial" w:hAnsi="Arial"/>
          <w:sz w:val="12"/>
          <w:szCs w:val="12"/>
          <w:color w:val="auto"/>
        </w:rPr>
      </w:pPr>
      <w:r>
        <w:rPr>
          <w:rFonts w:ascii="Arial" w:cs="Arial" w:eastAsia="Arial" w:hAnsi="Arial"/>
          <w:sz w:val="12"/>
          <w:szCs w:val="12"/>
          <w:color w:val="auto"/>
        </w:rPr>
        <w:t>Mechanics of Conversion. On the Conversion Date or Optional Conversion Date, as the case may be, (x) each holder shall tender such holder's shares of Series B Preferred Stock to the Corporation for cancellation, free and clear of encumbrances of any type or nature, and (y) the Corporation shall cause to be delivered to such holder a number of shares of Common Stock as calculated pursuant to Section 4(b) above, free and clear of encumbrances of any type or nature. Each holder and the Corporation shall take all other necessary or appropriate actions in connection with or to effect such closing.</w:t>
      </w:r>
    </w:p>
    <w:p>
      <w:pPr>
        <w:spacing w:after="0" w:line="124" w:lineRule="exact"/>
        <w:rPr>
          <w:rFonts w:ascii="Arial" w:cs="Arial" w:eastAsia="Arial" w:hAnsi="Arial"/>
          <w:sz w:val="12"/>
          <w:szCs w:val="12"/>
          <w:color w:val="auto"/>
        </w:rPr>
      </w:pPr>
    </w:p>
    <w:p>
      <w:pPr>
        <w:ind w:left="200" w:hanging="196"/>
        <w:spacing w:after="0"/>
        <w:tabs>
          <w:tab w:leader="none" w:pos="2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Certain Adjustments. To the extent that the holders of Series B</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do not participate fully with other stockholders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with respect to dividends paid pursuant to Section 2 hereof,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following adjustments shall be made to the Conversion Price:</w:t>
      </w:r>
    </w:p>
    <w:p>
      <w:pPr>
        <w:spacing w:after="0" w:line="161" w:lineRule="exact"/>
        <w:rPr>
          <w:sz w:val="20"/>
          <w:szCs w:val="20"/>
          <w:color w:val="auto"/>
        </w:rPr>
      </w:pPr>
    </w:p>
    <w:p>
      <w:pPr>
        <w:ind w:right="5399" w:firstLine="4"/>
        <w:spacing w:after="0" w:line="292" w:lineRule="auto"/>
        <w:tabs>
          <w:tab w:leader="none" w:pos="165" w:val="left"/>
        </w:tabs>
        <w:numPr>
          <w:ilvl w:val="0"/>
          <w:numId w:val="69"/>
        </w:numPr>
        <w:rPr>
          <w:rFonts w:ascii="Arial" w:cs="Arial" w:eastAsia="Arial" w:hAnsi="Arial"/>
          <w:sz w:val="12"/>
          <w:szCs w:val="12"/>
          <w:color w:val="auto"/>
        </w:rPr>
      </w:pPr>
      <w:r>
        <w:rPr>
          <w:rFonts w:ascii="Arial" w:cs="Arial" w:eastAsia="Arial" w:hAnsi="Arial"/>
          <w:sz w:val="12"/>
          <w:szCs w:val="12"/>
          <w:color w:val="auto"/>
        </w:rPr>
        <w:t>Adjustment for Common Stock Dividends and Distributions. If, at any time after the original issue date of the Series B Preferred Stock (the "Original Issue Date"), the Corporation makes, or fixes a record date for the determination of holders of Common Stock entitled to receive, a dividend or</w:t>
      </w:r>
    </w:p>
    <w:p>
      <w:pPr>
        <w:ind w:right="4999"/>
        <w:spacing w:after="0" w:line="265" w:lineRule="auto"/>
        <w:rPr>
          <w:rFonts w:ascii="Arial" w:cs="Arial" w:eastAsia="Arial" w:hAnsi="Arial"/>
          <w:sz w:val="12"/>
          <w:szCs w:val="12"/>
          <w:color w:val="auto"/>
        </w:rPr>
      </w:pPr>
      <w:r>
        <w:rPr>
          <w:rFonts w:ascii="Arial" w:cs="Arial" w:eastAsia="Arial" w:hAnsi="Arial"/>
          <w:sz w:val="13"/>
          <w:szCs w:val="13"/>
          <w:color w:val="auto"/>
        </w:rPr>
        <w:t>other distribution payable in additional shares of Common Stock or Common Stock Equivalents, in each such event the Conversion Price that is then in effect</w:t>
      </w:r>
    </w:p>
    <w:p>
      <w:pPr>
        <w:spacing w:after="0" w:line="1" w:lineRule="exact"/>
        <w:rPr>
          <w:rFonts w:ascii="Arial" w:cs="Arial" w:eastAsia="Arial" w:hAnsi="Arial"/>
          <w:sz w:val="12"/>
          <w:szCs w:val="12"/>
          <w:color w:val="auto"/>
        </w:rPr>
      </w:pPr>
    </w:p>
    <w:p>
      <w:pPr>
        <w:ind w:right="5339"/>
        <w:spacing w:after="0" w:line="288" w:lineRule="auto"/>
        <w:rPr>
          <w:rFonts w:ascii="Arial" w:cs="Arial" w:eastAsia="Arial" w:hAnsi="Arial"/>
          <w:sz w:val="12"/>
          <w:szCs w:val="12"/>
          <w:color w:val="auto"/>
        </w:rPr>
      </w:pPr>
      <w:r>
        <w:rPr>
          <w:rFonts w:ascii="Arial" w:cs="Arial" w:eastAsia="Arial" w:hAnsi="Arial"/>
          <w:sz w:val="12"/>
          <w:szCs w:val="12"/>
          <w:color w:val="auto"/>
        </w:rPr>
        <w:t>shall be decreased as of the time of such issuance or, in the event such record date is fixed, as of the close of business on such record date, by multiplying the Conversion Price then in effect by a fraction (i) the numerator of which is</w:t>
      </w:r>
    </w:p>
    <w:p>
      <w:pPr>
        <w:ind w:right="4939"/>
        <w:spacing w:after="0" w:line="265" w:lineRule="auto"/>
        <w:rPr>
          <w:rFonts w:ascii="Arial" w:cs="Arial" w:eastAsia="Arial" w:hAnsi="Arial"/>
          <w:sz w:val="12"/>
          <w:szCs w:val="12"/>
          <w:color w:val="auto"/>
        </w:rPr>
      </w:pPr>
      <w:r>
        <w:rPr>
          <w:rFonts w:ascii="Arial" w:cs="Arial" w:eastAsia="Arial" w:hAnsi="Arial"/>
          <w:sz w:val="13"/>
          <w:szCs w:val="13"/>
          <w:color w:val="auto"/>
        </w:rPr>
        <w:t>the total number of shares of Common Stock and Common Stock Equivalents issued and outstanding immediately prior to the time of such issuance or the close of business on such record date, and (ii) the denominator of which is the total number of shares of Common Stock and Common Stock Equivalents issued and outstanding immediately prior to the time of such issuance or the close of</w:t>
      </w:r>
    </w:p>
    <w:p>
      <w:pPr>
        <w:spacing w:after="0" w:line="3" w:lineRule="exact"/>
        <w:rPr>
          <w:rFonts w:ascii="Arial" w:cs="Arial" w:eastAsia="Arial" w:hAnsi="Arial"/>
          <w:sz w:val="12"/>
          <w:szCs w:val="12"/>
          <w:color w:val="auto"/>
        </w:rPr>
      </w:pPr>
    </w:p>
    <w:p>
      <w:pPr>
        <w:ind w:right="4839"/>
        <w:spacing w:after="0" w:line="265" w:lineRule="auto"/>
        <w:rPr>
          <w:rFonts w:ascii="Arial" w:cs="Arial" w:eastAsia="Arial" w:hAnsi="Arial"/>
          <w:sz w:val="12"/>
          <w:szCs w:val="12"/>
          <w:color w:val="auto"/>
        </w:rPr>
      </w:pPr>
      <w:r>
        <w:rPr>
          <w:rFonts w:ascii="Arial" w:cs="Arial" w:eastAsia="Arial" w:hAnsi="Arial"/>
          <w:sz w:val="13"/>
          <w:szCs w:val="13"/>
          <w:color w:val="auto"/>
        </w:rPr>
        <w:t>business on such record date plus the number of shares of Common Stock or Common Stock Equivalents issuable in payment of such dividend or distribution;</w:t>
      </w:r>
    </w:p>
    <w:p>
      <w:pPr>
        <w:spacing w:after="0" w:line="1" w:lineRule="exact"/>
        <w:rPr>
          <w:rFonts w:ascii="Arial" w:cs="Arial" w:eastAsia="Arial" w:hAnsi="Arial"/>
          <w:sz w:val="12"/>
          <w:szCs w:val="12"/>
          <w:color w:val="auto"/>
        </w:rPr>
      </w:pPr>
    </w:p>
    <w:p>
      <w:pPr>
        <w:ind w:right="5159"/>
        <w:spacing w:after="0" w:line="248" w:lineRule="auto"/>
        <w:rPr>
          <w:rFonts w:ascii="Arial" w:cs="Arial" w:eastAsia="Arial" w:hAnsi="Arial"/>
          <w:sz w:val="12"/>
          <w:szCs w:val="12"/>
          <w:color w:val="auto"/>
        </w:rPr>
      </w:pPr>
      <w:r>
        <w:rPr>
          <w:rFonts w:ascii="Arial" w:cs="Arial" w:eastAsia="Arial" w:hAnsi="Arial"/>
          <w:sz w:val="14"/>
          <w:szCs w:val="14"/>
          <w:color w:val="auto"/>
        </w:rPr>
        <w:t>provided, however, that if such record date is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Section 4(e)(i) to reflect the actual payment of such dividend or distribution.</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619"/>
          </w:cols>
          <w:pgMar w:left="840" w:top="646" w:right="1440"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color w:val="auto"/>
        </w:rPr>
        <w:t>A "Common Stock Equivalent" shall mean each share of Common Stock</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into which securities or property or rights are convertible, exchangeable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exercisable for or into shares of Common Stock, or otherwise entitle the holder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thereof to receive directly or indirectly, any of the foregoing.</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Adjustments for Stock Splits, Stock Subdivisions and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Combinations. If, at any time after the Original Issue Date, the Corporation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subdivides or combines the Common Stock without making a corresponding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subdivision or combination of the Series B Preferred Stock, (A) in the case of a</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subdivision (including a stock split), the Conversion Price in effect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immediately prior to such event shall be proportionately decreased and the</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of Common Stock purchasable thereunder shall be proportionately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increased, and (B) in the case of a combination (including a reverse stock</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split), the Conversion Price in effect immediately prior to such event shall be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proportionately increased and the number of shares of Common Stock purchasable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thereunder shall be proportionately decreased. Any adjustment under this Section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4(e)(ii) shall become effective at the close of business on the date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subdivision or combination becomes effective.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(iii) Adjustments for Reclassification, Reorganization and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Consolidation. In case of (A) any reclassification, reorganization, change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conversion of securities of the class issuable upon conversion of the Series B</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 (other than a change in par value, or from par value to no par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value) into other shares or securities of the Corporation, or (B) any merger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consolidation of the Corporation with or into another entity (other than 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Liquidation or a merger or consolidation with another entity in which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Corporation is the acquiring and the surviving entity and that does not result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in any reclassification or change of outstanding securities issuable upon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conversion of the Series B Preferred Stock) each holder of shares of Series B</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 shall have the right to receive, in lieu of the shares of Common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Stock otherwise issuable upon the conversion of its shares of Series B Preferred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Stock (and accumulated or accrued and unpaid dividends then-outstanding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thereunder) in accordance with Section 4(b), the kind and amount of shares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stock and other securities, money and property receivable upon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reclassification, reorganization, change, merger or consolidation upon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conversion by a holder of the maximum number of shares of Common Stock into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which such shares of Series B Preferred Stock could have been converted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immediately prior to such reclassification, reorganization, change, merger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consolidation, all subject to further adjustment as provided herein or with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respect to such other securities or property by the terms thereof.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provisions of this clause (iii) shall similarly attach to successive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reclassifications, reorganizations, changes, mergers and consolidations.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(f) Antidilution Adjustments. To the extent that (i) the Corporation issues</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after the Original Issue Date and before November 28, 2003, Additional Shares of</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Common Stock (as defined below) (in one or more transactions, whether or not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related), (ii) each such issuance is at an Effective Price (as defined below)</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 share less than Conversion Price then in effect and (iii) the aggregate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gross proceeds of such issuances exceed $15 million, then the Conversion Price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shall be adjusted to equal the lowest Effective Price received by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Corporation pursuant to any such issuance. The previous sentence will apply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any issuances of Additional Shares of Common Stock after the $15 million</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threshold has been met (provided any such issuance is below the Conversion Price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then in effect) but will not apply to any issuance of Additional</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619"/>
          </w:cols>
          <w:pgMar w:left="840" w:top="646" w:right="1440"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color w:val="auto"/>
        </w:rPr>
        <w:t>Shares of Common Stock occurring after November 28, 2003. Notwithstanding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foregoing, the Conversion Price shall in no event be lower than U.S.$[4.17].</w:t>
      </w:r>
    </w:p>
    <w:p>
      <w:pPr>
        <w:spacing w:after="0" w:line="161" w:lineRule="exact"/>
        <w:rPr>
          <w:sz w:val="20"/>
          <w:szCs w:val="20"/>
          <w:color w:val="auto"/>
        </w:rPr>
      </w:pPr>
    </w:p>
    <w:p>
      <w:pPr>
        <w:ind w:left="160" w:hanging="156"/>
        <w:spacing w:after="0"/>
        <w:tabs>
          <w:tab w:leader="none" w:pos="1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the purpose of making any adjustment required under Section</w:t>
      </w:r>
    </w:p>
    <w:p>
      <w:pPr>
        <w:spacing w:after="0" w:line="13" w:lineRule="exact"/>
        <w:rPr>
          <w:rFonts w:ascii="Arial" w:cs="Arial" w:eastAsia="Arial" w:hAnsi="Arial"/>
          <w:sz w:val="14"/>
          <w:szCs w:val="14"/>
          <w:color w:val="auto"/>
        </w:rPr>
      </w:pPr>
    </w:p>
    <w:p>
      <w:pPr>
        <w:ind w:right="4959"/>
        <w:spacing w:after="0" w:line="288" w:lineRule="auto"/>
        <w:rPr>
          <w:rFonts w:ascii="Arial" w:cs="Arial" w:eastAsia="Arial" w:hAnsi="Arial"/>
          <w:sz w:val="14"/>
          <w:szCs w:val="14"/>
          <w:color w:val="auto"/>
        </w:rPr>
      </w:pPr>
      <w:r>
        <w:rPr>
          <w:rFonts w:ascii="Arial" w:cs="Arial" w:eastAsia="Arial" w:hAnsi="Arial"/>
          <w:sz w:val="12"/>
          <w:szCs w:val="12"/>
          <w:color w:val="auto"/>
        </w:rPr>
        <w:t>4(f), the consideration received by the Company for any issue or sale of securities shall (A) to the extent it consists of cash, be computed at the net amount of cash received by the Company after deduction of any underwriting or similar commissions, compensation or concessions paid or allowed by the Company in connection with such issue or sale but without deduction of any expenses payable by the Company (except for purposes of determining if the $15 million threshold referred to above has been met, in which case the consideration received will be deemed to be the aggregate gross proceeds received by the Company), (B) to the extent it consists of property other than cash, be computed</w:t>
      </w:r>
    </w:p>
    <w:p>
      <w:pPr>
        <w:ind w:right="5119"/>
        <w:spacing w:after="0" w:line="267" w:lineRule="auto"/>
        <w:rPr>
          <w:rFonts w:ascii="Arial" w:cs="Arial" w:eastAsia="Arial" w:hAnsi="Arial"/>
          <w:sz w:val="14"/>
          <w:szCs w:val="14"/>
          <w:color w:val="auto"/>
        </w:rPr>
      </w:pPr>
      <w:r>
        <w:rPr>
          <w:rFonts w:ascii="Arial" w:cs="Arial" w:eastAsia="Arial" w:hAnsi="Arial"/>
          <w:sz w:val="13"/>
          <w:szCs w:val="13"/>
          <w:color w:val="auto"/>
        </w:rPr>
        <w:t>at the fair value of that property as determined in good faith by the Board of Directors,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of Directors to be allocable to such Additional Shares of Common Stock, Convertible Securities or rights or options; provided, however, that the holders of at least a majority of the outstanding Series B Preferred Stock shall have the right to challenge any determination by the Board of Directors of fair market value pursuant to this Section 4(f)(i), in which case the determination of fair market value shall be made by an independent appraiser selected jointly by the Board of Directors and the challenging parties, the cost of such appraisal to be borne equally by the Corporation and the challenging parties.</w:t>
      </w:r>
    </w:p>
    <w:p>
      <w:pPr>
        <w:spacing w:after="0" w:line="146" w:lineRule="exact"/>
        <w:rPr>
          <w:rFonts w:ascii="Arial" w:cs="Arial" w:eastAsia="Arial" w:hAnsi="Arial"/>
          <w:sz w:val="14"/>
          <w:szCs w:val="14"/>
          <w:color w:val="auto"/>
        </w:rPr>
      </w:pPr>
    </w:p>
    <w:p>
      <w:pPr>
        <w:ind w:left="200" w:hanging="196"/>
        <w:spacing w:after="0"/>
        <w:tabs>
          <w:tab w:leader="none" w:pos="2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the purpose of the adjustment required under this Section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4(f), if the Company issues or sells (A) stock or other securities convertible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into, Additional Shares of Common Stock (such convertible stock or securities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being herein referred to as "Convertible Securities") or (B) rights or options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for the purchase of Additional Shares of Common Stock or Convertible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and if the Effective Price of such Additional Shares of Common Stock is less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than the Conversion Price, in each case the Company shall be deemed to have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issued at the time of the issuance of such rights or options or Convertible</w:t>
      </w:r>
    </w:p>
    <w:p>
      <w:pPr>
        <w:spacing w:after="0" w:line="5" w:lineRule="exact"/>
        <w:rPr>
          <w:sz w:val="20"/>
          <w:szCs w:val="20"/>
          <w:color w:val="auto"/>
        </w:rPr>
      </w:pPr>
    </w:p>
    <w:p>
      <w:pPr>
        <w:ind w:right="4799"/>
        <w:spacing w:after="0" w:line="265" w:lineRule="auto"/>
        <w:rPr>
          <w:sz w:val="20"/>
          <w:szCs w:val="20"/>
          <w:color w:val="auto"/>
        </w:rPr>
      </w:pPr>
      <w:r>
        <w:rPr>
          <w:rFonts w:ascii="Arial" w:cs="Arial" w:eastAsia="Arial" w:hAnsi="Arial"/>
          <w:sz w:val="13"/>
          <w:szCs w:val="13"/>
          <w:color w:val="auto"/>
        </w:rPr>
        <w:t>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or options or Convertible Securities, plus, in the case of such rights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options, the minimum amounts of consideration, if any, payable to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upon the exercise of such rights or options, plus, in the case of Convertible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Securities, the minimum amounts of consideration, if any, payable to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(other than by cancellation of liabilities or obligations evidenced by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Convertible Securities) upon the conversion thereof; provided that if in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case of Convertible Securities the minimum amounts of such consideration cannot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be ascertained, but are a function of antidilution or similar protective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clauses, the Company shall be deemed to have received the minimum amounts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consideration without reference to such clauses; provided further that if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minimum amount of consideration payable to the Company upon the exercise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conversion of rights, options or Convertible Securities is reduced over time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on the occurrence or non-occurrence of specified events other than by reason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antidilution adjustments, the Effective Price shall be recalculated using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figure to which such minimum amount of consideration is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619"/>
          </w:cols>
          <w:pgMar w:left="840" w:top="646" w:right="1440" w:bottom="1440" w:gutter="0" w:footer="0" w:header="0"/>
        </w:sectPr>
      </w:pPr>
    </w:p>
    <w:bookmarkStart w:id="130" w:name="page131"/>
    <w:bookmarkEnd w:id="130"/>
    <w:p>
      <w:pPr>
        <w:spacing w:after="0"/>
        <w:rPr>
          <w:sz w:val="20"/>
          <w:szCs w:val="20"/>
          <w:color w:val="auto"/>
        </w:rPr>
      </w:pPr>
      <w:r>
        <w:rPr>
          <w:rFonts w:ascii="Arial" w:cs="Arial" w:eastAsia="Arial" w:hAnsi="Arial"/>
          <w:sz w:val="12"/>
          <w:szCs w:val="12"/>
          <w:color w:val="auto"/>
        </w:rPr>
        <w:t>reduced; provided further that if the minimum amount of consideration payable to</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the Company upon the exercise or conversion of such rights, options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Convertible Securities is subsequently increased, the Effective Price shall be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again recalculated using the increased minimum amount of consideration payable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to the Company upon the exercise or conversion of such rights, options 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Convertible Securities. No further adjustment of the Conversion Price, as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adjusted upon the issuance of such rights, options or Convertible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shall be made as a result of the actual issuance of Additional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Stock on the exercise of any such rights or options or the conversion of 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Convertible Securities. If any such rights or options or the conversion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privilege represented by any such Convertible Securities shall expire without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having been exercised, the Conversion Price, as adjusted upon the issuance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rights, options or Convertible Securities, shall be readjusted to the</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Conversion Price which would have been in effect had an adjustment been made 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basis that the only Additional Shares of Common Stock so issued were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Additional Shares of Common Stock, if any, actually issued or sold on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exercise of such rights or options or rights of conversion of such Convertible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such Additional Shares of Common Stock, if any, were issued or</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sold for the consideration actually received by the Company upon such exercise,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plus the consideration, if any, actually received by the Company for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granting of all such rights or options, whether or not exercised, plus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consideration received for issuing or selling the Convertible Securities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actually converted, plus the consideration, if any, actually received by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Company (other than by cancellation of liabilities or obligations evidenced by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such Convertible Securities) on the conversion of such Convertible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"Additional Shares of Common Stock" shall mean all shares of</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Common Stock issued by the Company or deemed to be issued pursuant to this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4(f), whether or not subsequently reacquired or retired by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other than (A) shares of Common Stock and/or options, warrants or other Common</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Stock purchase rights, and the Common Stock issued or issuable pursuant to such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options, warrants or other rights to employees, officers or directors of,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consultants or advisors to the Company or any subsidiary pursuant to stock</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purchase or stock option plans or other arrangements that are approved by the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Board; (B) shares of Common Stock issued or issuable pursuant to any equipment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loan or leasing arrangement, or debt financing from a bank or similar financial</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institution; (C) shares of Common Stock issued or issuable in connection with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licensing transactions involving the Company and other entities, including (1)</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joint ventures, manufacturing, marketing or distribution arrangements or (2)</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technology transfer or development arrangements; provided that such transactions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 (1) and (2) and the issuance of shares therein has been approved by a</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majority of the members of the Company's Board of Directors and the aggregate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so issued does not exceed four million (4,000,000)(as adjusted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for stock splits, stock dividends, stock combinations, recapitalizatons and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like); and (D) any other issuances approved by the holders of a majority of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Series B Preferred Stock then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"Effective Price" of Additional Shares of Common Stock</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shall mean the quotient determined by dividing the total number of Additional</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Shares of Common Stock issued or sold, or deemed to have been issued or sold by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Company under this Section 4(f), into the aggregate consideration received,</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or deemed to have been received by the Company for such issue under this Section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4(f), for such Additional Shares of Common Stock.</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619"/>
          </w:cols>
          <w:pgMar w:left="840" w:top="646" w:right="1440"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color w:val="auto"/>
        </w:rPr>
        <w:t>5. Other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In the event the Corporation provides the holders of its Common Stock with</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consideration that is not otherwise addressed in Section 4 (including, without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limitation, declaring a distribution payable in securities, assets, cash or</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evidences of indebtedness issued by other persons or the Corporation (excluding</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cash dividends declared and paid by the Corporation out of retained earnings)),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then, in each such case, the holders of the Series B Preferred Stock shall be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entitled to a pro rata share of any such distribution as though such holders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were holders of the number of shares of Common Stock of the Corporation as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though the Series B Preferred Stock had been converted in whole as of the record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date fixed for the determination of the holders of Common Stock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entitled to receive such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6. Recapitalizations.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If at any time there occurs a recapitalization of the Common Stock (other</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than a subdivision, combination, or merger or sale of assets provided for in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 hereof), the holders of the Series B Preferred Stock shall be entitled</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to receive upon conversion of the Series B Preferred Stock the number of shares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of capital stock or other securities or property of the Corporation or otherwise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to which a holder of the Common Stock deliverable upon conversion would have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been entitled on such recapitalization. In any such case, appropriate adjustment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shall be made in the application of the provisions of Section 4 hereof with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respect to the rights of the holders of the Series B Preferred Stock after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recapitalization to the end that the provisions of Section 4 hereof (including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adjustment of the Conversion Price then in effect and the number of shares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purchasable upon conversion of the Series B Preferred Stock) shall be applicable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after that event as nearly equivalent as may be practicable.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7. No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will not, by amendment of the Certificate of Incorporation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or through any reorganization, recapitalization, transfer of assets,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consolidation, merger, dissolution, issuance or sale of securities or any other</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voluntary action, avoid or seek to avoid the observance or performance of any of</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terms to be observed or performed hereunder by the Corporation, but will at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all times in good faith assist in the carrying out of all the provisions hereof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and in the taking of all such action as may be necessary or appropriate in order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to protect the Conversion Right of the holders of the Series B Preferred Stock</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against impairment.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8. No Fractional Shares and Certificate as to Adjustments.</w:t>
      </w:r>
    </w:p>
    <w:p>
      <w:pPr>
        <w:spacing w:after="0" w:line="170" w:lineRule="exact"/>
        <w:rPr>
          <w:sz w:val="20"/>
          <w:szCs w:val="20"/>
          <w:color w:val="auto"/>
        </w:rPr>
      </w:pPr>
    </w:p>
    <w:p>
      <w:pPr>
        <w:ind w:right="5199" w:firstLine="4"/>
        <w:spacing w:after="0" w:line="290" w:lineRule="auto"/>
        <w:tabs>
          <w:tab w:leader="none" w:pos="188" w:val="left"/>
        </w:tabs>
        <w:numPr>
          <w:ilvl w:val="0"/>
          <w:numId w:val="71"/>
        </w:numPr>
        <w:rPr>
          <w:rFonts w:ascii="Arial" w:cs="Arial" w:eastAsia="Arial" w:hAnsi="Arial"/>
          <w:sz w:val="12"/>
          <w:szCs w:val="12"/>
          <w:color w:val="auto"/>
        </w:rPr>
      </w:pPr>
      <w:r>
        <w:rPr>
          <w:rFonts w:ascii="Arial" w:cs="Arial" w:eastAsia="Arial" w:hAnsi="Arial"/>
          <w:sz w:val="12"/>
          <w:szCs w:val="12"/>
          <w:color w:val="auto"/>
        </w:rPr>
        <w:t>No fractional shares of Common Stock will be issued upon the conversion of any share or shares of the Series B Preferred Stock. All shares of Common Stock (including fractions thereof) issuable upon conversion of more than one share of Series B Preferred Stock by a holder shall be aggregated for purposes of determining whether the conversion would result in the issuance of any fractional share. If, after the aforementioned aggregation, the conversion would result in the issuance of a fraction of a share of Common Stock, the Corporation shall, in lieu of issuing any fractional share, pay the holder otherwise</w:t>
      </w:r>
    </w:p>
    <w:p>
      <w:pPr>
        <w:ind w:right="5119"/>
        <w:spacing w:after="0" w:line="278" w:lineRule="auto"/>
        <w:rPr>
          <w:rFonts w:ascii="Arial" w:cs="Arial" w:eastAsia="Arial" w:hAnsi="Arial"/>
          <w:sz w:val="12"/>
          <w:szCs w:val="12"/>
          <w:color w:val="auto"/>
        </w:rPr>
      </w:pPr>
      <w:r>
        <w:rPr>
          <w:rFonts w:ascii="Arial" w:cs="Arial" w:eastAsia="Arial" w:hAnsi="Arial"/>
          <w:sz w:val="13"/>
          <w:szCs w:val="13"/>
          <w:color w:val="auto"/>
        </w:rPr>
        <w:t>entitled to such fraction a sum in cash equal to such fraction multiplied by the closing price of the Corporation's Common Stock on the Nasdaq National Market (or any other national securities exchange on which the Common</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619"/>
          </w:cols>
          <w:pgMar w:left="840" w:top="646" w:right="1440"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color w:val="auto"/>
        </w:rPr>
        <w:t>Stock is then traded) on the day immediately preceding the conversion. All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calculations under Section 4 hereof and this Section 8(a) shall be made to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nearest cent or to the nearest share, as the case may be.</w:t>
      </w:r>
    </w:p>
    <w:p>
      <w:pPr>
        <w:spacing w:after="0" w:line="161" w:lineRule="exact"/>
        <w:rPr>
          <w:sz w:val="20"/>
          <w:szCs w:val="20"/>
          <w:color w:val="auto"/>
        </w:rPr>
      </w:pPr>
    </w:p>
    <w:p>
      <w:pPr>
        <w:ind w:right="5159" w:firstLine="4"/>
        <w:spacing w:after="0" w:line="289" w:lineRule="auto"/>
        <w:tabs>
          <w:tab w:leader="none" w:pos="196" w:val="left"/>
        </w:tabs>
        <w:numPr>
          <w:ilvl w:val="0"/>
          <w:numId w:val="72"/>
        </w:numPr>
        <w:rPr>
          <w:rFonts w:ascii="Arial" w:cs="Arial" w:eastAsia="Arial" w:hAnsi="Arial"/>
          <w:sz w:val="12"/>
          <w:szCs w:val="12"/>
          <w:color w:val="auto"/>
        </w:rPr>
      </w:pPr>
      <w:r>
        <w:rPr>
          <w:rFonts w:ascii="Arial" w:cs="Arial" w:eastAsia="Arial" w:hAnsi="Arial"/>
          <w:sz w:val="12"/>
          <w:szCs w:val="12"/>
          <w:color w:val="auto"/>
        </w:rPr>
        <w:t>Upon the occurrence of each adjustment or readjustment of the Conversion Price pursuant to Section 4 hereof, the Corporation, at its expense, shall promptly compute such adjustment or readjustment in accordance with the terms hereof and prepare and furnish to each holder of shares of Series B Preferred Stock a certificate setting forth such adjustment or readjustment and showing in detail the facts upon which such adjustment or readjustment is based. The Corporation shall, upon the written request at any time of any holder of Series B Preferred Stock, use its reasonable best efforts to furnish or cause to be furnished to such holder a like certificate setting forth (i) such adjustment</w:t>
      </w:r>
    </w:p>
    <w:p>
      <w:pPr>
        <w:spacing w:after="0" w:line="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or readjustment, (ii) the Conversion Price at the time in effect, and (iii) the</w:t>
      </w:r>
    </w:p>
    <w:p>
      <w:pPr>
        <w:spacing w:after="0" w:line="4" w:lineRule="exact"/>
        <w:rPr>
          <w:rFonts w:ascii="Arial" w:cs="Arial" w:eastAsia="Arial" w:hAnsi="Arial"/>
          <w:sz w:val="12"/>
          <w:szCs w:val="12"/>
          <w:color w:val="auto"/>
        </w:rPr>
      </w:pPr>
    </w:p>
    <w:p>
      <w:pPr>
        <w:ind w:right="4979"/>
        <w:spacing w:after="0" w:line="250" w:lineRule="auto"/>
        <w:rPr>
          <w:rFonts w:ascii="Arial" w:cs="Arial" w:eastAsia="Arial" w:hAnsi="Arial"/>
          <w:sz w:val="12"/>
          <w:szCs w:val="12"/>
          <w:color w:val="auto"/>
        </w:rPr>
      </w:pPr>
      <w:r>
        <w:rPr>
          <w:rFonts w:ascii="Arial" w:cs="Arial" w:eastAsia="Arial" w:hAnsi="Arial"/>
          <w:sz w:val="14"/>
          <w:szCs w:val="14"/>
          <w:color w:val="auto"/>
        </w:rPr>
        <w:t>number of shares of Common Stock and the amount, if any, of other property which at the time would be received upon the conversion of a share of Series B Preferred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9. Reservation of Stock Issuable Upon Conversion.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shall at all times reserve and keep available out of its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authorized but unissued shares of Common Stock, solely for the purpose of</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effecting the conversion of the shares of the Series B Preferred Stock, such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number of its shares of Common Stock that shall from time to time be sufficient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to effect the conversion of all outstanding shares of the Series B Preferred</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Stock; and if at any time the number of authorized but unissued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Stock not otherwise reserved for issuance shall not be sufficient to effect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conversion of all then outstanding shares of the Series B Preferred Stock,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Corporation shall take such corporate action that may, in the opinion of its</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counsel, be necessary to increase its authorized but unissued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 to such number of shares as shall be sufficient for such purposes,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including, without limitation, engaging in best efforts to obtain the requisite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stockholder approval of any necessary amendment to its Certificate 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10. Notices.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Any notice required by the provisions hereof to be given to the holders of</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shares of Series B Preferred Stock shall be given in writing and shall be deemed</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to have been given (i) in the case of personal or hand delivery, on the date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delivery, (ii) in the case of an internationally-recognized overnight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delivery courier, on the second business day after the date when sent, (iii) in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the case of mailing, on the fifth business day following that day on which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piece of mail containing such communication is posted, and (iv) in the case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facsimile transmission, the date of telephone confirmation of receipt.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11.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Holders of Series B Preferred Stock shall be entitled to vote on all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matters submitted to a vote of the holders of the Corporation's Common Stock,</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including with respect to the election of directors of the Corporation, on an as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if converted to Common Stock basis; provided, however, that the number of votes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to which the Series B Preferred Stock is entitled shall be based on a conversion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price of $5.00 per share, giving effect to any future adjustments pursuant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Section</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619"/>
          </w:cols>
          <w:pgMar w:left="840" w:top="646" w:right="1440"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auto"/>
        </w:rPr>
        <w:t>4(e) above, but without giving any effect to any future adjustments pursuant to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Section 4(f) above.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12. Protective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Subject to the rights of any series of preferred stock that may from time to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time come into existence, so long as any shares of Series B Preferred Stock are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outstanding, the Corporation shall not without first obtaining the approval (by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vote or written consent, as provided by law) of the holders of at least 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majority of the then-outstanding shares of Series B Preferred Stock, voting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separately as a series:</w:t>
      </w:r>
    </w:p>
    <w:p>
      <w:pPr>
        <w:spacing w:after="0" w:line="161" w:lineRule="exact"/>
        <w:rPr>
          <w:sz w:val="20"/>
          <w:szCs w:val="20"/>
          <w:color w:val="auto"/>
        </w:rPr>
      </w:pPr>
    </w:p>
    <w:p>
      <w:pPr>
        <w:ind w:right="5419" w:firstLine="4"/>
        <w:spacing w:after="0" w:line="271" w:lineRule="auto"/>
        <w:tabs>
          <w:tab w:leader="none" w:pos="188" w:val="left"/>
        </w:tabs>
        <w:numPr>
          <w:ilvl w:val="0"/>
          <w:numId w:val="73"/>
        </w:numPr>
        <w:rPr>
          <w:rFonts w:ascii="Arial" w:cs="Arial" w:eastAsia="Arial" w:hAnsi="Arial"/>
          <w:sz w:val="13"/>
          <w:szCs w:val="13"/>
          <w:color w:val="auto"/>
        </w:rPr>
      </w:pPr>
      <w:r>
        <w:rPr>
          <w:rFonts w:ascii="Arial" w:cs="Arial" w:eastAsia="Arial" w:hAnsi="Arial"/>
          <w:sz w:val="13"/>
          <w:szCs w:val="13"/>
          <w:color w:val="auto"/>
        </w:rPr>
        <w:t>amend its Certificate of Incorporation (including the filing of a Certificate of Designations) so as to (i) increase the number of authorized shares of the Corporation's preferred stock or (ii) affect adversely the shares of Series B Preferred Stock or any holder thereof, including, without limitation, by creating any additional series of preferred stock (or issuing shares under any such series) that is senior or pari passu in liquidation preference, redemption right, conversion rights or right of payment to the Series B Preferred Stock;</w:t>
      </w:r>
    </w:p>
    <w:p>
      <w:pPr>
        <w:spacing w:after="0" w:line="140" w:lineRule="exact"/>
        <w:rPr>
          <w:rFonts w:ascii="Arial" w:cs="Arial" w:eastAsia="Arial" w:hAnsi="Arial"/>
          <w:sz w:val="13"/>
          <w:szCs w:val="13"/>
          <w:color w:val="auto"/>
        </w:rPr>
      </w:pPr>
    </w:p>
    <w:p>
      <w:pPr>
        <w:ind w:right="5099" w:firstLine="4"/>
        <w:spacing w:after="0" w:line="252" w:lineRule="auto"/>
        <w:tabs>
          <w:tab w:leader="none" w:pos="196" w:val="left"/>
        </w:tabs>
        <w:numPr>
          <w:ilvl w:val="0"/>
          <w:numId w:val="73"/>
        </w:numPr>
        <w:rPr>
          <w:rFonts w:ascii="Arial" w:cs="Arial" w:eastAsia="Arial" w:hAnsi="Arial"/>
          <w:sz w:val="14"/>
          <w:szCs w:val="14"/>
          <w:color w:val="auto"/>
        </w:rPr>
      </w:pPr>
      <w:r>
        <w:rPr>
          <w:rFonts w:ascii="Arial" w:cs="Arial" w:eastAsia="Arial" w:hAnsi="Arial"/>
          <w:sz w:val="14"/>
          <w:szCs w:val="14"/>
          <w:color w:val="auto"/>
        </w:rPr>
        <w:t>after the date of this Certificate of Designation, create any new debt instrument or create or increase any new or existing bank line (or similar arrangement pursuant to which the Company is or becomes indebted), so that the Company's total indebtedness pursuant to such instruments, lines or arrangements exceeds $105,000,000 in the aggregate; or</w:t>
      </w:r>
    </w:p>
    <w:p>
      <w:pPr>
        <w:spacing w:after="0" w:line="148" w:lineRule="exact"/>
        <w:rPr>
          <w:rFonts w:ascii="Arial" w:cs="Arial" w:eastAsia="Arial" w:hAnsi="Arial"/>
          <w:sz w:val="14"/>
          <w:szCs w:val="14"/>
          <w:color w:val="auto"/>
        </w:rPr>
      </w:pPr>
    </w:p>
    <w:p>
      <w:pPr>
        <w:ind w:left="200" w:hanging="196"/>
        <w:spacing w:after="0"/>
        <w:tabs>
          <w:tab w:leader="none" w:pos="2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change the rights of the holders of the Series B Preferred Stock in 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other respect;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provided, however, that the authorization and issuance of additional shares of</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Common Stock, and creation of any series of preferred stock (or issuing shares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under any such series) that is junior in right of payment upon liquidation,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redemption, conversion and payment rights and otherwise to the Series B</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shall not be deemed to adversely affect the rights, preferences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 privileges of the Series B Preferred Stock or any holder thereof or change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 rights of the holders of the Series B Preferred Stock in any other respect.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Series B Preferred Stock shall have no preemptive rights pursuant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hereto.</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13. Legend.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Series B Preferred Stock and any underlying shares of Common Stock will</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be issued under an exemption or exemptions from registration under the Act.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Accordingly, the certificates evidencing the Series B Preferred Stock and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underlying Common Stock shall, upon issuance, contain a legend, substantially in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 form as follows:</w:t>
      </w:r>
    </w:p>
    <w:p>
      <w:pPr>
        <w:spacing w:after="0" w:line="161" w:lineRule="exact"/>
        <w:rPr>
          <w:sz w:val="20"/>
          <w:szCs w:val="20"/>
          <w:color w:val="auto"/>
        </w:rPr>
      </w:pPr>
    </w:p>
    <w:p>
      <w:pPr>
        <w:ind w:right="3819"/>
        <w:spacing w:after="0" w:line="252" w:lineRule="auto"/>
        <w:rPr>
          <w:sz w:val="20"/>
          <w:szCs w:val="20"/>
          <w:color w:val="auto"/>
        </w:rPr>
      </w:pPr>
      <w:r>
        <w:rPr>
          <w:rFonts w:ascii="Arial" w:cs="Arial" w:eastAsia="Arial" w:hAnsi="Arial"/>
          <w:sz w:val="14"/>
          <w:szCs w:val="14"/>
          <w:color w:val="auto"/>
        </w:rPr>
        <w:t>"THE SECURITIES REPRESENTED HEREBY HAVE NOT BEEN REGISTERED UNDER THE U.S. SECURITIES ACT OF 1933, AS AMENDED (THE "ACT"), OR APPLICABLE STATE SECURITIES LAWS AND NO INTEREST HEREIN MAY BE SOLD, TRANSFERRED OR OTHERWISE DISPOSED OF UNLESS (1) A REGISTRATION STATEMENT WITH RESPECT TO SUCH SECURITIES SHALL BE EFFECTIVE UNDER</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619"/>
          </w:cols>
          <w:pgMar w:left="840" w:top="646" w:right="1440" w:bottom="1440" w:gutter="0" w:footer="0" w:header="0"/>
        </w:sectPr>
      </w:pPr>
    </w:p>
    <w:bookmarkStart w:id="134" w:name="page135"/>
    <w:bookmarkEnd w:id="134"/>
    <w:p>
      <w:pPr>
        <w:ind w:right="3279"/>
        <w:spacing w:after="0" w:line="251" w:lineRule="auto"/>
        <w:rPr>
          <w:sz w:val="20"/>
          <w:szCs w:val="20"/>
          <w:color w:val="auto"/>
        </w:rPr>
      </w:pPr>
      <w:r>
        <w:rPr>
          <w:rFonts w:ascii="Arial" w:cs="Arial" w:eastAsia="Arial" w:hAnsi="Arial"/>
          <w:sz w:val="14"/>
          <w:szCs w:val="14"/>
          <w:color w:val="auto"/>
        </w:rPr>
        <w:t>THE ACT AND ANY APPLICABLE STATE SECURITIES LAWS OR (2) SUCH SECURITIES ARE TRANSFERRED PURSUANT TO RULE 144 PROMULGATED UNDER THE ACT (OR ANY SUCCESSOR RULE) OR (3) THE ISSUER OF THESE SECURITIES SHALL HAVE RECEIVED AN OPINION OF COUNSEL FOR THE HOLDER OF THESE SECURITIES REASONABLY SATISFACTORY TO THE ISSUER THAT NO VIOLATION OF THE ACT OR SIMILAR STATE SECURITIES LAWS WILL BE INVOLVED IN SUCH TRANSFER.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14. Status of Converted Stock.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In the event any shares of Series B Preferred Stock shall be converted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pursuant to Section 4 hereof, the shares so converted shall be canceled and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shall not be reissuable by the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619"/>
          </w:cols>
          <w:pgMar w:left="840" w:top="646" w:right="1440" w:bottom="1440" w:gutter="0" w:footer="0" w:header="0"/>
        </w:sectPr>
      </w:pPr>
    </w:p>
    <w:bookmarkStart w:id="135" w:name="page136"/>
    <w:bookmarkEnd w:id="135"/>
    <w:p>
      <w:pPr>
        <w:spacing w:after="0"/>
        <w:rPr>
          <w:sz w:val="20"/>
          <w:szCs w:val="20"/>
          <w:color w:val="auto"/>
        </w:rPr>
      </w:pPr>
      <w:r>
        <w:rPr>
          <w:rFonts w:ascii="Arial" w:cs="Arial" w:eastAsia="Arial" w:hAnsi="Arial"/>
          <w:sz w:val="12"/>
          <w:szCs w:val="12"/>
          <w:color w:val="auto"/>
        </w:rPr>
        <w:t>IN WITNESS WHEREOF, said Wireless Facilities, Inc. has caused this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Certificate of Designations to be signed by Masood K. Tayebi, its Chief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 as of May 28, 2002.</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WIRELESS FACILITIES, INC.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u w:val="single" w:color="auto"/>
          <w:color w:val="auto"/>
        </w:rPr>
        <w:t>/s/Masood K. Tayebi</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 Masood K. Tayebi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619"/>
          </w:cols>
          <w:pgMar w:left="840" w:top="646" w:right="1440" w:bottom="1440" w:gutter="0" w:footer="0" w:header="0"/>
        </w:sectPr>
      </w:pPr>
    </w:p>
    <w:bookmarkStart w:id="136" w:name="page137"/>
    <w:bookmarkEnd w:id="136"/>
    <w:p>
      <w:pPr>
        <w:jc w:val="center"/>
        <w:ind w:left="740" w:right="360"/>
        <w:spacing w:after="0" w:line="271" w:lineRule="auto"/>
        <w:rPr>
          <w:sz w:val="20"/>
          <w:szCs w:val="20"/>
          <w:color w:val="auto"/>
        </w:rPr>
      </w:pPr>
      <w:r>
        <w:rPr>
          <w:rFonts w:ascii="Arial" w:cs="Arial" w:eastAsia="Arial" w:hAnsi="Arial"/>
          <w:sz w:val="18"/>
          <w:szCs w:val="18"/>
          <w:b w:val="1"/>
          <w:bCs w:val="1"/>
          <w:color w:val="auto"/>
        </w:rPr>
        <w:t>CERTIFICATE OF CORRECTION OF THE CERTIFICATE OF DESIGNATIONS, PREFERENCES AND RIGHTS OF SERIES B PREFERRED STOCK OF WIRELESS FACILITIES, INC.</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 xml:space="preserve">WIRELESS FACILITIES, INC. </w:t>
      </w:r>
      <w:r>
        <w:rPr>
          <w:rFonts w:ascii="Arial" w:cs="Arial" w:eastAsia="Arial" w:hAnsi="Arial"/>
          <w:sz w:val="15"/>
          <w:szCs w:val="15"/>
          <w:color w:val="auto"/>
        </w:rPr>
        <w:t>(</w:t>
      </w:r>
      <w:r>
        <w:rPr>
          <w:rFonts w:ascii="Arial" w:cs="Arial" w:eastAsia="Arial" w:hAnsi="Arial"/>
          <w:sz w:val="13"/>
          <w:szCs w:val="13"/>
          <w:color w:val="auto"/>
        </w:rPr>
        <w:t>the</w:t>
      </w: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w:t>
      </w:r>
      <w:r>
        <w:rPr>
          <w:rFonts w:ascii="Arial" w:cs="Arial" w:eastAsia="Arial" w:hAnsi="Arial"/>
          <w:sz w:val="16"/>
          <w:szCs w:val="16"/>
          <w:b w:val="1"/>
          <w:bCs w:val="1"/>
          <w:i w:val="1"/>
          <w:iCs w:val="1"/>
          <w:color w:val="auto"/>
        </w:rPr>
        <w:t>Corporation”</w:t>
      </w:r>
      <w:r>
        <w:rPr>
          <w:rFonts w:ascii="Arial" w:cs="Arial" w:eastAsia="Arial" w:hAnsi="Arial"/>
          <w:sz w:val="16"/>
          <w:szCs w:val="16"/>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a corporation organized and existing under and by virtue of the Delaware General Corporation Law, DOES HEREBY CERTIFY:</w:t>
      </w:r>
    </w:p>
    <w:p>
      <w:pPr>
        <w:spacing w:after="0" w:line="209" w:lineRule="exact"/>
        <w:rPr>
          <w:sz w:val="20"/>
          <w:szCs w:val="20"/>
          <w:color w:val="auto"/>
        </w:rPr>
      </w:pPr>
    </w:p>
    <w:p>
      <w:pPr>
        <w:ind w:left="480" w:hanging="247"/>
        <w:spacing w:after="0"/>
        <w:tabs>
          <w:tab w:leader="none" w:pos="480" w:val="left"/>
        </w:tabs>
        <w:numPr>
          <w:ilvl w:val="2"/>
          <w:numId w:val="74"/>
        </w:numPr>
        <w:rPr>
          <w:rFonts w:ascii="Arial" w:cs="Arial" w:eastAsia="Arial" w:hAnsi="Arial"/>
          <w:sz w:val="14"/>
          <w:szCs w:val="14"/>
          <w:color w:val="auto"/>
        </w:rPr>
      </w:pPr>
      <w:r>
        <w:rPr>
          <w:rFonts w:ascii="Arial" w:cs="Arial" w:eastAsia="Arial" w:hAnsi="Arial"/>
          <w:sz w:val="14"/>
          <w:szCs w:val="14"/>
          <w:color w:val="auto"/>
        </w:rPr>
        <w:t>The name of the Corporation is Wireless Facilities, Inc.</w:t>
      </w:r>
    </w:p>
    <w:p>
      <w:pPr>
        <w:spacing w:after="0" w:line="168" w:lineRule="exact"/>
        <w:rPr>
          <w:rFonts w:ascii="Arial" w:cs="Arial" w:eastAsia="Arial" w:hAnsi="Arial"/>
          <w:sz w:val="14"/>
          <w:szCs w:val="14"/>
          <w:color w:val="auto"/>
        </w:rPr>
      </w:pPr>
    </w:p>
    <w:p>
      <w:pPr>
        <w:ind w:left="560" w:hanging="347"/>
        <w:spacing w:after="0" w:line="281" w:lineRule="auto"/>
        <w:tabs>
          <w:tab w:leader="none" w:pos="5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 xml:space="preserve">The instrument being corrected is entitled: Certificate of Designations, Preferences and Rights of Series B Preferred Stock of Wireless Facilities, Inc., which was filed on May </w:t>
      </w:r>
      <w:r>
        <w:rPr>
          <w:rFonts w:ascii="Arial" w:cs="Arial" w:eastAsia="Arial" w:hAnsi="Arial"/>
          <w:sz w:val="15"/>
          <w:szCs w:val="15"/>
          <w:color w:val="auto"/>
        </w:rPr>
        <w:t>30, 2002</w:t>
      </w:r>
      <w:r>
        <w:rPr>
          <w:rFonts w:ascii="Arial" w:cs="Arial" w:eastAsia="Arial" w:hAnsi="Arial"/>
          <w:sz w:val="14"/>
          <w:szCs w:val="14"/>
          <w:color w:val="auto"/>
        </w:rPr>
        <w:t xml:space="preserve"> with the Secretary of State of the State of Delaware (the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Certificate of Designations</w:t>
      </w:r>
      <w:r>
        <w:rPr>
          <w:rFonts w:ascii="Arial" w:cs="Arial" w:eastAsia="Arial" w:hAnsi="Arial"/>
          <w:sz w:val="14"/>
          <w:szCs w:val="14"/>
          <w:b w:val="1"/>
          <w:bCs w:val="1"/>
          <w:color w:val="auto"/>
        </w:rPr>
        <w:t>”</w:t>
      </w:r>
      <w:r>
        <w:rPr>
          <w:rFonts w:ascii="Arial" w:cs="Arial" w:eastAsia="Arial" w:hAnsi="Arial"/>
          <w:sz w:val="14"/>
          <w:szCs w:val="14"/>
          <w:color w:val="auto"/>
        </w:rPr>
        <w:t>).</w:t>
      </w:r>
    </w:p>
    <w:p>
      <w:pPr>
        <w:spacing w:after="0" w:line="129" w:lineRule="exact"/>
        <w:rPr>
          <w:rFonts w:ascii="Arial" w:cs="Arial" w:eastAsia="Arial" w:hAnsi="Arial"/>
          <w:sz w:val="14"/>
          <w:szCs w:val="14"/>
          <w:color w:val="auto"/>
        </w:rPr>
      </w:pPr>
    </w:p>
    <w:p>
      <w:pPr>
        <w:ind w:left="580" w:hanging="357"/>
        <w:spacing w:after="0"/>
        <w:tabs>
          <w:tab w:leader="none" w:pos="5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The caption for the second paragraph was inadvertently omitted. The caption should be inserted to read “FIRST:”.</w:t>
      </w:r>
    </w:p>
    <w:p>
      <w:pPr>
        <w:spacing w:after="0" w:line="180" w:lineRule="exact"/>
        <w:rPr>
          <w:rFonts w:ascii="Arial" w:cs="Arial" w:eastAsia="Arial" w:hAnsi="Arial"/>
          <w:sz w:val="14"/>
          <w:szCs w:val="14"/>
          <w:color w:val="auto"/>
        </w:rPr>
      </w:pPr>
    </w:p>
    <w:p>
      <w:pPr>
        <w:ind w:left="580" w:hanging="357"/>
        <w:spacing w:after="0"/>
        <w:tabs>
          <w:tab w:leader="none" w:pos="5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Article 1, Section 4(f) of the Certificate of Designations had a typographical error. The dollar amount in the last sentence should be U.S.$4.17 not U.S.$4.72.</w:t>
      </w:r>
    </w:p>
    <w:p>
      <w:pPr>
        <w:spacing w:after="0" w:line="191" w:lineRule="exact"/>
        <w:rPr>
          <w:rFonts w:ascii="Arial" w:cs="Arial" w:eastAsia="Arial" w:hAnsi="Arial"/>
          <w:sz w:val="14"/>
          <w:szCs w:val="14"/>
          <w:color w:val="auto"/>
        </w:rPr>
      </w:pPr>
    </w:p>
    <w:p>
      <w:pPr>
        <w:ind w:left="580" w:hanging="357"/>
        <w:spacing w:after="0"/>
        <w:tabs>
          <w:tab w:leader="none" w:pos="580" w:val="left"/>
        </w:tabs>
        <w:numPr>
          <w:ilvl w:val="1"/>
          <w:numId w:val="76"/>
        </w:numPr>
        <w:rPr>
          <w:rFonts w:ascii="Arial" w:cs="Arial" w:eastAsia="Arial" w:hAnsi="Arial"/>
          <w:sz w:val="15"/>
          <w:szCs w:val="15"/>
          <w:i w:val="1"/>
          <w:iCs w:val="1"/>
          <w:color w:val="auto"/>
        </w:rPr>
      </w:pPr>
      <w:r>
        <w:rPr>
          <w:rFonts w:ascii="Arial" w:cs="Arial" w:eastAsia="Arial" w:hAnsi="Arial"/>
          <w:sz w:val="14"/>
          <w:szCs w:val="14"/>
          <w:color w:val="auto"/>
        </w:rPr>
        <w:t>The penultimate paragraph was inadvertently omitted. It should read in its entirety as follows:</w:t>
      </w:r>
    </w:p>
    <w:p>
      <w:pPr>
        <w:spacing w:after="0" w:line="174" w:lineRule="exact"/>
        <w:rPr>
          <w:sz w:val="20"/>
          <w:szCs w:val="20"/>
          <w:color w:val="auto"/>
        </w:rPr>
      </w:pPr>
    </w:p>
    <w:p>
      <w:pPr>
        <w:jc w:val="both"/>
        <w:ind w:left="920"/>
        <w:spacing w:after="0" w:line="293" w:lineRule="auto"/>
        <w:rPr>
          <w:sz w:val="20"/>
          <w:szCs w:val="20"/>
          <w:color w:val="auto"/>
        </w:rPr>
      </w:pPr>
      <w:r>
        <w:rPr>
          <w:rFonts w:ascii="Arial" w:cs="Arial" w:eastAsia="Arial" w:hAnsi="Arial"/>
          <w:sz w:val="14"/>
          <w:szCs w:val="14"/>
          <w:color w:val="auto"/>
        </w:rPr>
        <w:t xml:space="preserve">“SECOND: </w:t>
      </w:r>
      <w:r>
        <w:rPr>
          <w:rFonts w:ascii="Arial" w:cs="Arial" w:eastAsia="Arial" w:hAnsi="Arial"/>
          <w:sz w:val="15"/>
          <w:szCs w:val="15"/>
          <w:color w:val="auto"/>
        </w:rPr>
        <w:t>That</w:t>
      </w:r>
      <w:r>
        <w:rPr>
          <w:rFonts w:ascii="Arial" w:cs="Arial" w:eastAsia="Arial" w:hAnsi="Arial"/>
          <w:sz w:val="14"/>
          <w:szCs w:val="14"/>
          <w:color w:val="auto"/>
        </w:rPr>
        <w:t xml:space="preserve"> the authorization of, and the filing of this Certificate of Designations relating </w:t>
      </w:r>
      <w:r>
        <w:rPr>
          <w:rFonts w:ascii="Arial" w:cs="Arial" w:eastAsia="Arial" w:hAnsi="Arial"/>
          <w:sz w:val="16"/>
          <w:szCs w:val="16"/>
          <w:color w:val="auto"/>
        </w:rPr>
        <w:t>to,</w:t>
      </w:r>
      <w:r>
        <w:rPr>
          <w:rFonts w:ascii="Arial" w:cs="Arial" w:eastAsia="Arial" w:hAnsi="Arial"/>
          <w:sz w:val="14"/>
          <w:szCs w:val="14"/>
          <w:color w:val="auto"/>
        </w:rPr>
        <w:t xml:space="preserve"> the Series B Preferred Stock has been duly approved by the holders of the Company's Series A Preferred Stock </w:t>
      </w:r>
      <w:r>
        <w:rPr>
          <w:rFonts w:ascii="Arial" w:cs="Arial" w:eastAsia="Arial" w:hAnsi="Arial"/>
          <w:sz w:val="15"/>
          <w:szCs w:val="15"/>
          <w:color w:val="auto"/>
        </w:rPr>
        <w:t>in</w:t>
      </w:r>
      <w:r>
        <w:rPr>
          <w:rFonts w:ascii="Arial" w:cs="Arial" w:eastAsia="Arial" w:hAnsi="Arial"/>
          <w:sz w:val="14"/>
          <w:szCs w:val="14"/>
          <w:color w:val="auto"/>
        </w:rPr>
        <w:t xml:space="preserve"> accordance with the Company's Amended and Restated Certificate of Incorporation, as amended by the Certificate of Designations filed on October 29, 2001, and Section 242 of the Delaware General Corporation Law.”</w:t>
      </w:r>
    </w:p>
    <w:p>
      <w:pPr>
        <w:spacing w:after="0" w:line="126" w:lineRule="exact"/>
        <w:rPr>
          <w:sz w:val="20"/>
          <w:szCs w:val="20"/>
          <w:color w:val="auto"/>
        </w:rPr>
      </w:pPr>
    </w:p>
    <w:p>
      <w:pPr>
        <w:ind w:left="560" w:hanging="347"/>
        <w:spacing w:after="0"/>
        <w:tabs>
          <w:tab w:leader="none" w:pos="5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The Certificate of Designations, Preferences and Rights of Series B Preferred Stock, as corrected, is set forth in its entirety as </w:t>
      </w:r>
      <w:r>
        <w:rPr>
          <w:rFonts w:ascii="Arial" w:cs="Arial" w:eastAsia="Arial" w:hAnsi="Arial"/>
          <w:sz w:val="14"/>
          <w:szCs w:val="14"/>
          <w:b w:val="1"/>
          <w:bCs w:val="1"/>
          <w:color w:val="auto"/>
        </w:rPr>
        <w:t>Exhibit A</w:t>
      </w:r>
      <w:r>
        <w:rPr>
          <w:rFonts w:ascii="Arial" w:cs="Arial" w:eastAsia="Arial" w:hAnsi="Arial"/>
          <w:sz w:val="14"/>
          <w:szCs w:val="14"/>
          <w:color w:val="auto"/>
        </w:rPr>
        <w:t xml:space="preserve"> hereto.</w:t>
      </w:r>
    </w:p>
    <w:p>
      <w:pPr>
        <w:spacing w:after="0" w:line="174" w:lineRule="exact"/>
        <w:rPr>
          <w:sz w:val="20"/>
          <w:szCs w:val="20"/>
          <w:color w:val="auto"/>
        </w:rPr>
      </w:pPr>
    </w:p>
    <w:p>
      <w:pPr>
        <w:ind w:firstLine="435"/>
        <w:spacing w:after="0" w:line="267" w:lineRule="auto"/>
        <w:rPr>
          <w:sz w:val="20"/>
          <w:szCs w:val="20"/>
          <w:color w:val="auto"/>
        </w:rPr>
      </w:pPr>
      <w:r>
        <w:rPr>
          <w:rFonts w:ascii="Arial" w:cs="Arial" w:eastAsia="Arial" w:hAnsi="Arial"/>
          <w:sz w:val="14"/>
          <w:szCs w:val="14"/>
          <w:color w:val="auto"/>
        </w:rPr>
        <w:t>IN WITNESS WHEREOF, Wireless Facilities, Inc., acting pursuant to Section 103(f) of the Delaware General Corporation Law, has caused this Corrected Certificate of Designations, Preferences and Rights of Series B Preferred Stock to be signed by its Vice President, Legal Affairs, General Counsel and Secretary this 30th day of May, 2002.</w:t>
      </w:r>
    </w:p>
    <w:p>
      <w:pPr>
        <w:spacing w:after="0" w:line="139"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Wireless Facilities, Inc.</w:t>
      </w:r>
    </w:p>
    <w:p>
      <w:pPr>
        <w:spacing w:after="0" w:line="170"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Wm. Bradford Weller</w:t>
      </w:r>
    </w:p>
    <w:p>
      <w:pPr>
        <w:spacing w:after="0" w:line="14"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Wm. Bradford Weller</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Vice President, Legal Affairs, General Counsel and Secretary</w:t>
      </w:r>
    </w:p>
    <w:p>
      <w:pPr>
        <w:sectPr>
          <w:pgSz w:w="11900" w:h="16838" w:orient="portrait"/>
          <w:cols w:equalWidth="0" w:num="1">
            <w:col w:w="11380"/>
          </w:cols>
          <w:pgMar w:left="300" w:top="467" w:right="2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color w:val="auto"/>
        </w:rPr>
        <w:t>CORRECTED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FORM OF CERTIFICATE OF DESIGNATIONS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CERTIFICATE OF DESIGNATIONS, PREFERENCES AND RIGHTS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SERIES B PREFERRED STOCK</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WIRELESS FACILITIES, INC.</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 Masood K. Tayebi, Chief Executive Officer of WIRELESS FACILITIES, INC.,</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3"/>
          <w:szCs w:val="13"/>
          <w:color w:val="auto"/>
        </w:rPr>
        <w:t>a corporation organized and existing under the laws of the State of Delaware</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"Corporation" or the "Company")), in accordance with the provisions of</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Section 151 of the Delaware General Corporation Law, DO HEREBY CERTIFY: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3"/>
          <w:szCs w:val="13"/>
          <w:color w:val="auto"/>
        </w:rPr>
        <w:t>FIRST: That pursuant to the authority conferred upon the Board of Directors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of the Corporation (the "Board of Directors") by the Certificate of</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2"/>
          <w:szCs w:val="12"/>
          <w:color w:val="auto"/>
        </w:rPr>
        <w:t>Incorporation of the Corporation and by Section 151(g) of the Delaware General</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2"/>
          <w:szCs w:val="12"/>
          <w:color w:val="auto"/>
        </w:rPr>
        <w:t>Corporation Law, on May 16, 2002, the Board of Directors adopted the following</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resolution, creating a series of shares of convertible preferred stock, Series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B, designated as "Series B Preferred Stock":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3"/>
          <w:szCs w:val="13"/>
          <w:color w:val="auto"/>
        </w:rPr>
        <w:t>"RESOLVED, that pursuant to the authority vested in the Board of Directors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"Board of Directors") of WIRELESS FACILITIES, INC., a corporation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organized and existing under the laws of the State of Delaware (the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"Corporation"), by the Certificate of Incorporation of the Corporation (the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3"/>
          <w:szCs w:val="13"/>
          <w:color w:val="auto"/>
        </w:rPr>
        <w:t>"Certificate of Incorporation"), the Board of Directors does hereby provide</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for the authorization and issuance of a series of convertible preferred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stock, Series B, par value U.S.$0.001 per share, of the Corporation, to be</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designated "Series B Preferred Stock," initially consisting of 90,000</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shares, and to the extent that the designations, powers, preferences, and</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relative participating, optional, or other special rights, and the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qualifications, limitations, and restrictions of the Series B Preferred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Stock are not stated and expressed in the Certificate of Incorporation, the</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Board of Directors does hereby fix and herein state and express such</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designations, powers, preferences, and relative participating, optional, or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other special rights, and the qualifications, limitations, and restrictions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thereof, as follows: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Designation and Rank.</w:t>
      </w:r>
    </w:p>
    <w:p>
      <w:pPr>
        <w:spacing w:after="0" w:line="170" w:lineRule="exact"/>
        <w:rPr>
          <w:sz w:val="20"/>
          <w:szCs w:val="20"/>
          <w:color w:val="auto"/>
        </w:rPr>
      </w:pPr>
    </w:p>
    <w:p>
      <w:pPr>
        <w:ind w:left="60" w:right="5239" w:firstLine="6"/>
        <w:spacing w:after="0" w:line="257" w:lineRule="auto"/>
        <w:tabs>
          <w:tab w:leader="none" w:pos="248" w:val="left"/>
        </w:tabs>
        <w:numPr>
          <w:ilvl w:val="0"/>
          <w:numId w:val="78"/>
        </w:numPr>
        <w:rPr>
          <w:rFonts w:ascii="Arial" w:cs="Arial" w:eastAsia="Arial" w:hAnsi="Arial"/>
          <w:sz w:val="14"/>
          <w:szCs w:val="14"/>
          <w:color w:val="auto"/>
        </w:rPr>
      </w:pPr>
      <w:r>
        <w:rPr>
          <w:rFonts w:ascii="Arial" w:cs="Arial" w:eastAsia="Arial" w:hAnsi="Arial"/>
          <w:sz w:val="14"/>
          <w:szCs w:val="14"/>
          <w:color w:val="auto"/>
        </w:rPr>
        <w:t>Ninety thousand (90,000) shares of the preferred stock of the Corporation, par value $0.001 per share, shall be designated and known as the "Series B Preferred Stock."</w:t>
      </w:r>
    </w:p>
    <w:p>
      <w:pPr>
        <w:spacing w:after="0" w:line="145" w:lineRule="exact"/>
        <w:rPr>
          <w:rFonts w:ascii="Arial" w:cs="Arial" w:eastAsia="Arial" w:hAnsi="Arial"/>
          <w:sz w:val="14"/>
          <w:szCs w:val="14"/>
          <w:color w:val="auto"/>
        </w:rPr>
      </w:pPr>
    </w:p>
    <w:p>
      <w:pPr>
        <w:ind w:left="60" w:right="5059" w:firstLine="6"/>
        <w:spacing w:after="0" w:line="293" w:lineRule="auto"/>
        <w:tabs>
          <w:tab w:leader="none" w:pos="255"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Series B Preferred Stock shall rank senior and prior to the common stock, par value U.S.$0.001 per share, of the Corporation (the "Common Stock"), and all other classes or series of the capital stock (other than preferred</w:t>
      </w:r>
    </w:p>
    <w:p>
      <w:pPr>
        <w:ind w:left="60" w:right="5059"/>
        <w:spacing w:after="0" w:line="269" w:lineRule="auto"/>
        <w:rPr>
          <w:rFonts w:ascii="Arial" w:cs="Arial" w:eastAsia="Arial" w:hAnsi="Arial"/>
          <w:sz w:val="12"/>
          <w:szCs w:val="12"/>
          <w:color w:val="auto"/>
        </w:rPr>
      </w:pPr>
      <w:r>
        <w:rPr>
          <w:rFonts w:ascii="Arial" w:cs="Arial" w:eastAsia="Arial" w:hAnsi="Arial"/>
          <w:sz w:val="13"/>
          <w:szCs w:val="13"/>
          <w:color w:val="auto"/>
        </w:rPr>
        <w:t>stock) of the Corporation (now or hereafter authorized or issued), with respect to the payment of any dividends, the conversion rights set forth herein and any payment upon liquidation or redemption. The Series B Preferred Stock shall rank on par with the Series A Preferred Stock of the Corporation with respect to the payment of any dividends, the conversion rights set forth herein and any payment upon liquidation or redemption. The Corporation may not issue any additional classes or series of preferred stock with liquidation, redemption or conversion rights or right of payment of any kind that is senior to the Series B Preferred Stock, except pursuant to Section 12.</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619"/>
          </w:cols>
          <w:pgMar w:left="840" w:top="481" w:right="1440"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auto"/>
        </w:rPr>
        <w:t>2. Dividend Rights.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From and after the date hereof, when and if the Board of Directors declares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 dividend or distribution payable with respect to the then-outstanding shares</w:t>
      </w:r>
    </w:p>
    <w:p>
      <w:pPr>
        <w:spacing w:after="0" w:line="5" w:lineRule="exact"/>
        <w:rPr>
          <w:sz w:val="20"/>
          <w:szCs w:val="20"/>
          <w:color w:val="auto"/>
        </w:rPr>
      </w:pPr>
    </w:p>
    <w:p>
      <w:pPr>
        <w:ind w:right="4699"/>
        <w:spacing w:after="0" w:line="265" w:lineRule="auto"/>
        <w:rPr>
          <w:sz w:val="20"/>
          <w:szCs w:val="20"/>
          <w:color w:val="auto"/>
        </w:rPr>
      </w:pPr>
      <w:r>
        <w:rPr>
          <w:rFonts w:ascii="Arial" w:cs="Arial" w:eastAsia="Arial" w:hAnsi="Arial"/>
          <w:sz w:val="13"/>
          <w:szCs w:val="13"/>
          <w:color w:val="auto"/>
        </w:rPr>
        <w:t>of Common Stock (other than in additional shares of Common Stock or Common Stock Equivalents (as defined in Section 4(e)(i) below), the holders of the Series B Preferred Stock shall be entitled to the amount of dividends per share in the same form as such Common Stock dividends that would be payable on the largest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number of whole shares of Common Stock into which a holder's aggregate shares of</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Series B Preferred Stock could then be converted pursuant to Section 4 hereof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number to be determined as of the record date for the determination 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holders of Common Stock entitled to receive such dividend).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3. Liquidation Rights.</w:t>
      </w:r>
    </w:p>
    <w:p>
      <w:pPr>
        <w:spacing w:after="0" w:line="170" w:lineRule="exact"/>
        <w:rPr>
          <w:sz w:val="20"/>
          <w:szCs w:val="20"/>
          <w:color w:val="auto"/>
        </w:rPr>
      </w:pPr>
    </w:p>
    <w:p>
      <w:pPr>
        <w:ind w:right="5159" w:firstLine="6"/>
        <w:spacing w:after="0" w:line="289" w:lineRule="auto"/>
        <w:tabs>
          <w:tab w:leader="none" w:pos="188" w:val="left"/>
        </w:tabs>
        <w:numPr>
          <w:ilvl w:val="0"/>
          <w:numId w:val="79"/>
        </w:numPr>
        <w:rPr>
          <w:rFonts w:ascii="Arial" w:cs="Arial" w:eastAsia="Arial" w:hAnsi="Arial"/>
          <w:sz w:val="12"/>
          <w:szCs w:val="12"/>
          <w:color w:val="auto"/>
        </w:rPr>
      </w:pPr>
      <w:r>
        <w:rPr>
          <w:rFonts w:ascii="Arial" w:cs="Arial" w:eastAsia="Arial" w:hAnsi="Arial"/>
          <w:sz w:val="12"/>
          <w:szCs w:val="12"/>
          <w:color w:val="auto"/>
        </w:rPr>
        <w:t>Liquidation Events. The occurrence of any of the following events shall be deemed a "Liquidation": (i) any liquidation, dissolution, or winding-up of the affairs of the Corporation; (ii) any transaction or series of related transactions in which securities of the Corporation representing 50% or more of the combined voting power of the Corporation's then outstanding voting securities are acquired by a person, entity or group of related persons or entities, excluding any consolidation or merger effected exclusively to change the domicile of the Corporation; (iii) any consolidation, merger or reorganization of the Corporation with or into any other corporation or other entity or person pursuant to which the holders of the Corporation's outstanding securities receive, pursuant to such transaction, securities in the surviving entity that represent less than 50% of the voting power of such surviving entity; or (iv) any sale, lease, exclusive license or other disposition of all</w:t>
      </w:r>
    </w:p>
    <w:p>
      <w:pPr>
        <w:spacing w:after="0" w:line="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or substantially all of the assets of the Corporation.</w:t>
      </w:r>
    </w:p>
    <w:p>
      <w:pPr>
        <w:spacing w:after="0" w:line="161" w:lineRule="exact"/>
        <w:rPr>
          <w:rFonts w:ascii="Arial" w:cs="Arial" w:eastAsia="Arial" w:hAnsi="Arial"/>
          <w:sz w:val="12"/>
          <w:szCs w:val="12"/>
          <w:color w:val="auto"/>
        </w:rPr>
      </w:pPr>
    </w:p>
    <w:p>
      <w:pPr>
        <w:ind w:left="200" w:hanging="194"/>
        <w:spacing w:after="0"/>
        <w:tabs>
          <w:tab w:leader="none" w:pos="2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Liquidation Preference.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 In the event of any Liquidation, whether voluntary or involuntary,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before any payment of cash or distribution of other property shall be made to</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the holders of Common Stock, or any other class or series of stock subordinate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in liquidation preference to the Series B Preferred Stock, the holders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Series B Preferred Stock shall be entitled to receive out of the assets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legally available for distribution to its stockholders, on behalf 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each share of Series B Preferred Stock held by such holder, U.S.$500.00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"Original Issue Price") (as appropriately adjusted for any combinations,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divisions, or similar recapitalizations affecting the Series B Preferred Stock</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after issuance) and all accumulated or accrued and unpaid dividends thereon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(collectively, the "Series B Liquidation Preference").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If, upon any Liquidation, the assets of the Corporation available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for distribution to its stockholders are insufficient to pay the holders of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Series B Preferred Stock the full amounts to which they are entitled pursuant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clause (b)(i) above, the holders of the Series B Preferred Stock shall share pro</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rata in any distribution of assets in proportion to the respective amounts which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would be payable to the holders of the Series B Preferred Stock and any other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class or series of capital stock of the Corporation ranking on par with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Series B Preferred Stock in respect of the shares held by them if all amounts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payable to them in respect of such were paid in full pursuant to clause (b)(i)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above.</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559"/>
          </w:cols>
          <w:pgMar w:left="900" w:top="646" w:right="1440"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color w:val="auto"/>
        </w:rPr>
        <w:t>(iii) After the distributions described in clause (b)(i) or (b)(ii)</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above have been paid, subject to the rights of any other class or series 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capital stock of the Corporation that may from time to time come into existence,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 remaining assets of the Corporation available for distribution to</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stockholders shall be distributed among the holders of Common Stock pro rata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based on the number of shares of Common Stock held by each.</w:t>
      </w:r>
    </w:p>
    <w:p>
      <w:pPr>
        <w:spacing w:after="0" w:line="161" w:lineRule="exact"/>
        <w:rPr>
          <w:sz w:val="20"/>
          <w:szCs w:val="20"/>
          <w:color w:val="auto"/>
        </w:rPr>
      </w:pPr>
    </w:p>
    <w:p>
      <w:pPr>
        <w:ind w:right="5199" w:firstLine="6"/>
        <w:spacing w:after="0" w:line="252" w:lineRule="auto"/>
        <w:tabs>
          <w:tab w:leader="none" w:pos="188" w:val="left"/>
        </w:tabs>
        <w:numPr>
          <w:ilvl w:val="0"/>
          <w:numId w:val="80"/>
        </w:numPr>
        <w:rPr>
          <w:rFonts w:ascii="Arial" w:cs="Arial" w:eastAsia="Arial" w:hAnsi="Arial"/>
          <w:sz w:val="14"/>
          <w:szCs w:val="14"/>
          <w:color w:val="auto"/>
        </w:rPr>
      </w:pPr>
      <w:r>
        <w:rPr>
          <w:rFonts w:ascii="Arial" w:cs="Arial" w:eastAsia="Arial" w:hAnsi="Arial"/>
          <w:sz w:val="14"/>
          <w:szCs w:val="14"/>
          <w:color w:val="auto"/>
        </w:rPr>
        <w:t>Non-Cash Distributions. If any distribution to be made pursuant to this Section 3 is to be paid other than in cash or Common Stock or Common Stock Equivalents, the value of such distribution will be deemed its fair market value as determined in good faith by the Board of Directors. Any securities shall be valued as follows:</w:t>
      </w:r>
    </w:p>
    <w:p>
      <w:pPr>
        <w:spacing w:after="0" w:line="149" w:lineRule="exact"/>
        <w:rPr>
          <w:sz w:val="20"/>
          <w:szCs w:val="20"/>
          <w:color w:val="auto"/>
        </w:rPr>
      </w:pPr>
    </w:p>
    <w:p>
      <w:pPr>
        <w:ind w:right="6119" w:firstLine="6"/>
        <w:spacing w:after="0" w:line="352" w:lineRule="auto"/>
        <w:tabs>
          <w:tab w:leader="none" w:pos="165" w:val="left"/>
        </w:tabs>
        <w:numPr>
          <w:ilvl w:val="0"/>
          <w:numId w:val="81"/>
        </w:numPr>
        <w:rPr>
          <w:rFonts w:ascii="Arial" w:cs="Arial" w:eastAsia="Arial" w:hAnsi="Arial"/>
          <w:sz w:val="12"/>
          <w:szCs w:val="12"/>
          <w:color w:val="auto"/>
        </w:rPr>
      </w:pPr>
      <w:r>
        <w:rPr>
          <w:rFonts w:ascii="Arial" w:cs="Arial" w:eastAsia="Arial" w:hAnsi="Arial"/>
          <w:sz w:val="12"/>
          <w:szCs w:val="12"/>
          <w:color w:val="auto"/>
        </w:rPr>
        <w:t>Securities not subject to investment letter or other similar restrictions on free marketability covered by clause (ii) below:</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(1) if traded on a securities exchange or through the Nasdaq</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National Market, the value shall be deemed to be the average of the closing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prices of the securities on such quotation system over the thirty (30) trading</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day period ending three (3) trading days prior to the occurrence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Liquidation;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(2) if actively traded over-the-counter, the value shall be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deemed to be the average of the closing bid or sale prices (whichever is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applicable) over the thirty (30) trading day period ending three (3) trading</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days prior to the occurrence of the Liquidation; and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(3) if there is no active public market, the value shall be the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fair market value thereof, as determined by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The method of valuation of securities subject to investment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letter or other restrictions on free marketability (other than restrictions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arising solely by virtue of a stockholder's status as an affiliate or former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affiliate) shall be to effectuate an appropriate discount from the market value,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as determined by clause (i)(1), (2) or (3) of this Section 3(c), so as to</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reflect the approximate fair market value thereof, as determined by the Board of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Directors.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(iii) The holders of at least a majority of the outstanding Series B</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Preferred Stock shall have the right to challenge any determination by the Board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of Directors of fair market value pursuant to this Section 3(c), in which case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the determination of fair market value shall be made by an independent appraiser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selected jointly by the Board of Directors and the challenging parties, the cost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of such appraisal to be borne equally by the Corporation and the challenging</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parties.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4. Conversion Rights.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holders of the Series B Preferred Stock shall have conversion rights as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follows (the "Conversion Right"):</w:t>
      </w:r>
    </w:p>
    <w:p>
      <w:pPr>
        <w:spacing w:after="0" w:line="161" w:lineRule="exact"/>
        <w:rPr>
          <w:sz w:val="20"/>
          <w:szCs w:val="20"/>
          <w:color w:val="auto"/>
        </w:rPr>
      </w:pPr>
    </w:p>
    <w:p>
      <w:pPr>
        <w:ind w:right="5239" w:firstLine="6"/>
        <w:spacing w:after="0" w:line="257" w:lineRule="auto"/>
        <w:tabs>
          <w:tab w:leader="none" w:pos="188"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Conversion Price. The "Conversion Price" shall, initially, be U.S.$5.00 per share and shall be subject to adjustment as set forth below in Sections 4(e) and 4(f).</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559"/>
          </w:cols>
          <w:pgMar w:left="900" w:top="646" w:right="1440"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color w:val="auto"/>
        </w:rPr>
        <w:t>(b) Automatic Conversion. If the closing price for the shares of the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Corporation's Common Stock (trading on a securities exchange or through Nasdaq</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National Market or other national exchange or market) exceeds $11.00 per share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(as adjusted for events described in Section 4(e)(ii) and 4(e)(iii) below) for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any thirty consecutive trading day period that begins after February 28, 2005,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then, upon such occurrence, each share of Series B Preferred Stock shall be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automatically converted into such number of fully paid and non-assessable shares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of Common Stock as is determined by dividing (x) the Original Issue Price of</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such share of Series B Preferred Stock (including any accumulated or accrued but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unpaid dividends thereon) by (y) the Conversion Price. The date of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conversion is herein referred to as the "Conversion Date."</w:t>
      </w:r>
    </w:p>
    <w:p>
      <w:pPr>
        <w:spacing w:after="0" w:line="161" w:lineRule="exact"/>
        <w:rPr>
          <w:sz w:val="20"/>
          <w:szCs w:val="20"/>
          <w:color w:val="auto"/>
        </w:rPr>
      </w:pPr>
    </w:p>
    <w:p>
      <w:pPr>
        <w:ind w:right="5039" w:firstLine="6"/>
        <w:spacing w:after="0" w:line="274" w:lineRule="auto"/>
        <w:tabs>
          <w:tab w:leader="none" w:pos="188" w:val="left"/>
        </w:tabs>
        <w:numPr>
          <w:ilvl w:val="0"/>
          <w:numId w:val="83"/>
        </w:numPr>
        <w:rPr>
          <w:rFonts w:ascii="Arial" w:cs="Arial" w:eastAsia="Arial" w:hAnsi="Arial"/>
          <w:sz w:val="13"/>
          <w:szCs w:val="13"/>
          <w:color w:val="auto"/>
        </w:rPr>
      </w:pPr>
      <w:r>
        <w:rPr>
          <w:rFonts w:ascii="Arial" w:cs="Arial" w:eastAsia="Arial" w:hAnsi="Arial"/>
          <w:sz w:val="13"/>
          <w:szCs w:val="13"/>
          <w:color w:val="auto"/>
        </w:rPr>
        <w:t>Optional Conversion. The holders of the Series B Preferred Stock shall have the right, at any time, to convert the shares of Series B Preferred Stock held by such holder into that number of shares of Common Stock into which such shares are convertible pursuant to Section 4(b) ("Optional Conversion"). In the event of any Optional Conversion, the date of such conversion shall be referred to as the "Optional Conversion Date."</w:t>
      </w:r>
    </w:p>
    <w:p>
      <w:pPr>
        <w:spacing w:after="0" w:line="135" w:lineRule="exact"/>
        <w:rPr>
          <w:rFonts w:ascii="Arial" w:cs="Arial" w:eastAsia="Arial" w:hAnsi="Arial"/>
          <w:sz w:val="13"/>
          <w:szCs w:val="13"/>
          <w:color w:val="auto"/>
        </w:rPr>
      </w:pPr>
    </w:p>
    <w:p>
      <w:pPr>
        <w:ind w:right="5199" w:firstLine="6"/>
        <w:spacing w:after="0" w:line="297" w:lineRule="auto"/>
        <w:tabs>
          <w:tab w:leader="none" w:pos="195" w:val="left"/>
        </w:tabs>
        <w:numPr>
          <w:ilvl w:val="0"/>
          <w:numId w:val="83"/>
        </w:numPr>
        <w:rPr>
          <w:rFonts w:ascii="Arial" w:cs="Arial" w:eastAsia="Arial" w:hAnsi="Arial"/>
          <w:sz w:val="12"/>
          <w:szCs w:val="12"/>
          <w:color w:val="auto"/>
        </w:rPr>
      </w:pPr>
      <w:r>
        <w:rPr>
          <w:rFonts w:ascii="Arial" w:cs="Arial" w:eastAsia="Arial" w:hAnsi="Arial"/>
          <w:sz w:val="12"/>
          <w:szCs w:val="12"/>
          <w:color w:val="auto"/>
        </w:rPr>
        <w:t>Mechanics of Conversion. On the Conversion Date or Optional Conversion Date, as the case may be, (x) each holder shall tender such holder's shares of Series B Preferred Stock to the Corporation for cancellation, free and clear of encumbrances of any type or nature, and (y) the Corporation shall cause to be delivered to such holder a number of shares of Common Stock as calculated pursuant to Section 4(b) above, free and clear of encumbrances of any type or nature. Each holder and the Corporation shall take all other necessary or appropriate actions in connection with or to effect such closing.</w:t>
      </w:r>
    </w:p>
    <w:p>
      <w:pPr>
        <w:spacing w:after="0" w:line="124" w:lineRule="exact"/>
        <w:rPr>
          <w:rFonts w:ascii="Arial" w:cs="Arial" w:eastAsia="Arial" w:hAnsi="Arial"/>
          <w:sz w:val="12"/>
          <w:szCs w:val="12"/>
          <w:color w:val="auto"/>
        </w:rPr>
      </w:pPr>
    </w:p>
    <w:p>
      <w:pPr>
        <w:ind w:left="200" w:hanging="194"/>
        <w:spacing w:after="0"/>
        <w:tabs>
          <w:tab w:leader="none" w:pos="2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Certain Adjustments. To the extent that the holders of Series B</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do not participate fully with other stockholders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with respect to dividends paid pursuant to Section 2 hereof,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following adjustments shall be made to the Conversion Price:</w:t>
      </w:r>
    </w:p>
    <w:p>
      <w:pPr>
        <w:spacing w:after="0" w:line="161" w:lineRule="exact"/>
        <w:rPr>
          <w:sz w:val="20"/>
          <w:szCs w:val="20"/>
          <w:color w:val="auto"/>
        </w:rPr>
      </w:pPr>
    </w:p>
    <w:p>
      <w:pPr>
        <w:ind w:right="5339" w:firstLine="6"/>
        <w:spacing w:after="0" w:line="292" w:lineRule="auto"/>
        <w:tabs>
          <w:tab w:leader="none" w:pos="165" w:val="left"/>
        </w:tabs>
        <w:numPr>
          <w:ilvl w:val="0"/>
          <w:numId w:val="84"/>
        </w:numPr>
        <w:rPr>
          <w:rFonts w:ascii="Arial" w:cs="Arial" w:eastAsia="Arial" w:hAnsi="Arial"/>
          <w:sz w:val="12"/>
          <w:szCs w:val="12"/>
          <w:color w:val="auto"/>
        </w:rPr>
      </w:pPr>
      <w:r>
        <w:rPr>
          <w:rFonts w:ascii="Arial" w:cs="Arial" w:eastAsia="Arial" w:hAnsi="Arial"/>
          <w:sz w:val="12"/>
          <w:szCs w:val="12"/>
          <w:color w:val="auto"/>
        </w:rPr>
        <w:t>Adjustment for Common Stock Dividends and Distributions. If, at any time after the original issue date of the Series B Preferred Stock (the "Original Issue Date"), the Corporation makes, or fixes a record date for the determination of holders of Common Stock entitled to receive, a dividend or</w:t>
      </w:r>
    </w:p>
    <w:p>
      <w:pPr>
        <w:ind w:right="4939"/>
        <w:spacing w:after="0" w:line="265" w:lineRule="auto"/>
        <w:rPr>
          <w:rFonts w:ascii="Arial" w:cs="Arial" w:eastAsia="Arial" w:hAnsi="Arial"/>
          <w:sz w:val="12"/>
          <w:szCs w:val="12"/>
          <w:color w:val="auto"/>
        </w:rPr>
      </w:pPr>
      <w:r>
        <w:rPr>
          <w:rFonts w:ascii="Arial" w:cs="Arial" w:eastAsia="Arial" w:hAnsi="Arial"/>
          <w:sz w:val="13"/>
          <w:szCs w:val="13"/>
          <w:color w:val="auto"/>
        </w:rPr>
        <w:t>other distribution payable in additional shares of Common Stock or Common Stock Equivalents, in each such event the Conversion Price that is then in effect</w:t>
      </w:r>
    </w:p>
    <w:p>
      <w:pPr>
        <w:spacing w:after="0" w:line="1" w:lineRule="exact"/>
        <w:rPr>
          <w:rFonts w:ascii="Arial" w:cs="Arial" w:eastAsia="Arial" w:hAnsi="Arial"/>
          <w:sz w:val="12"/>
          <w:szCs w:val="12"/>
          <w:color w:val="auto"/>
        </w:rPr>
      </w:pPr>
    </w:p>
    <w:p>
      <w:pPr>
        <w:ind w:right="5279"/>
        <w:spacing w:after="0" w:line="288" w:lineRule="auto"/>
        <w:rPr>
          <w:rFonts w:ascii="Arial" w:cs="Arial" w:eastAsia="Arial" w:hAnsi="Arial"/>
          <w:sz w:val="12"/>
          <w:szCs w:val="12"/>
          <w:color w:val="auto"/>
        </w:rPr>
      </w:pPr>
      <w:r>
        <w:rPr>
          <w:rFonts w:ascii="Arial" w:cs="Arial" w:eastAsia="Arial" w:hAnsi="Arial"/>
          <w:sz w:val="12"/>
          <w:szCs w:val="12"/>
          <w:color w:val="auto"/>
        </w:rPr>
        <w:t>shall be decreased as of the time of such issuance or, in the event such record date is fixed, as of the close of business on such record date, by multiplying the Conversion Price then in effect by a fraction (i) the numerator of which is</w:t>
      </w:r>
    </w:p>
    <w:p>
      <w:pPr>
        <w:ind w:right="4879"/>
        <w:spacing w:after="0" w:line="265" w:lineRule="auto"/>
        <w:rPr>
          <w:rFonts w:ascii="Arial" w:cs="Arial" w:eastAsia="Arial" w:hAnsi="Arial"/>
          <w:sz w:val="12"/>
          <w:szCs w:val="12"/>
          <w:color w:val="auto"/>
        </w:rPr>
      </w:pPr>
      <w:r>
        <w:rPr>
          <w:rFonts w:ascii="Arial" w:cs="Arial" w:eastAsia="Arial" w:hAnsi="Arial"/>
          <w:sz w:val="13"/>
          <w:szCs w:val="13"/>
          <w:color w:val="auto"/>
        </w:rPr>
        <w:t>the total number of shares of Common Stock and Common Stock Equivalents issued and outstanding immediately prior to the time of such issuance or the close of business on such record date, and (ii) the denominator of which is the total number of shares of Common Stock and Common Stock Equivalents issued and outstanding immediately prior to the time of such issuance or the close of</w:t>
      </w:r>
    </w:p>
    <w:p>
      <w:pPr>
        <w:spacing w:after="0" w:line="3" w:lineRule="exact"/>
        <w:rPr>
          <w:rFonts w:ascii="Arial" w:cs="Arial" w:eastAsia="Arial" w:hAnsi="Arial"/>
          <w:sz w:val="12"/>
          <w:szCs w:val="12"/>
          <w:color w:val="auto"/>
        </w:rPr>
      </w:pPr>
    </w:p>
    <w:p>
      <w:pPr>
        <w:ind w:right="4779"/>
        <w:spacing w:after="0" w:line="265" w:lineRule="auto"/>
        <w:rPr>
          <w:rFonts w:ascii="Arial" w:cs="Arial" w:eastAsia="Arial" w:hAnsi="Arial"/>
          <w:sz w:val="12"/>
          <w:szCs w:val="12"/>
          <w:color w:val="auto"/>
        </w:rPr>
      </w:pPr>
      <w:r>
        <w:rPr>
          <w:rFonts w:ascii="Arial" w:cs="Arial" w:eastAsia="Arial" w:hAnsi="Arial"/>
          <w:sz w:val="13"/>
          <w:szCs w:val="13"/>
          <w:color w:val="auto"/>
        </w:rPr>
        <w:t>business on such record date plus the number of shares of Common Stock or Common Stock Equivalents issuable in payment of such dividend or distribution;</w:t>
      </w:r>
    </w:p>
    <w:p>
      <w:pPr>
        <w:spacing w:after="0" w:line="1" w:lineRule="exact"/>
        <w:rPr>
          <w:rFonts w:ascii="Arial" w:cs="Arial" w:eastAsia="Arial" w:hAnsi="Arial"/>
          <w:sz w:val="12"/>
          <w:szCs w:val="12"/>
          <w:color w:val="auto"/>
        </w:rPr>
      </w:pPr>
    </w:p>
    <w:p>
      <w:pPr>
        <w:ind w:right="5099"/>
        <w:spacing w:after="0" w:line="248" w:lineRule="auto"/>
        <w:rPr>
          <w:rFonts w:ascii="Arial" w:cs="Arial" w:eastAsia="Arial" w:hAnsi="Arial"/>
          <w:sz w:val="12"/>
          <w:szCs w:val="12"/>
          <w:color w:val="auto"/>
        </w:rPr>
      </w:pPr>
      <w:r>
        <w:rPr>
          <w:rFonts w:ascii="Arial" w:cs="Arial" w:eastAsia="Arial" w:hAnsi="Arial"/>
          <w:sz w:val="14"/>
          <w:szCs w:val="14"/>
          <w:color w:val="auto"/>
        </w:rPr>
        <w:t>provided, however, that if such record date is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Section 4(e)(i) to reflect the actual payment of such dividend or distribution.</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559"/>
          </w:cols>
          <w:pgMar w:left="900" w:top="646" w:right="1440"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color w:val="auto"/>
        </w:rPr>
        <w:t>A "Common Stock Equivalent" shall mean each share of Common Stock</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into which securities or property or rights are convertible, exchangeable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exercisable for or into shares of Common Stock, or otherwise entitle the holder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thereof to receive directly or indirectly, any of the foregoing.</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 Adjustments for Stock Splits, Stock Subdivisions and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Combinations. If, at any time after the Original Issue Date, the Corporation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subdivides or combines the Common Stock without making a corresponding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subdivision or combination of the Series B Preferred Stock, (A) in the case of a</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subdivision (including a stock split), the Conversion Price in effect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immediately prior to such event shall be proportionately decreased and the</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of Common Stock purchasable thereunder shall be proportionately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increased, and (B) in the case of a combination (including a reverse stock</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split), the Conversion Price in effect immediately prior to such event shall be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proportionately increased and the number of shares of Common Stock purchasable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thereunder shall be proportionately decreased. Any adjustment under this Section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4(e)(ii) shall become effective at the close of business on the date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subdivision or combination becomes effective.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(iii) Adjustments for Reclassification, Reorganization and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Consolidation. In case of (A) any reclassification, reorganization, change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conversion of securities of the class issuable upon conversion of the Series B</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 (other than a change in par value, or from par value to no par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value) into other shares or securities of the Corporation, or (B) any merger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consolidation of the Corporation with or into another entity (other than 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Liquidation or a merger or consolidation with another entity in which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Corporation is the acquiring and the surviving entity and that does not result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in any reclassification or change of outstanding securities issuable upon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conversion of the Series B Preferred Stock) each holder of shares of Series B</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 shall have the right to receive, in lieu of the shares of Common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Stock otherwise issuable upon the conversion of its shares of Series B Preferred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Stock (and accumulated or accrued and unpaid dividends then-outstanding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thereunder) in accordance with Section 4(b), the kind and amount of shares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stock and other securities, money and property receivable upon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reclassification, reorganization, change, merger or consolidation upon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conversion by a holder of the maximum number of shares of Common Stock into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which such shares of Series B Preferred Stock could have been converted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immediately prior to such reclassification, reorganization, change, merger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consolidation, all subject to further adjustment as provided herein or with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respect to such other securities or property by the terms thereof.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provisions of this clause (iii) shall similarly attach to successive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reclassifications, reorganizations, changes, mergers and consolidations.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(f) Antidilution Adjustments. To the extent that (i) the Corporation issues</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after the Original Issue Date and before November 30, 2003, Additional Shares of</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Common Stock (as defined below) (in one or more transactions, whether or not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related), (ii) each such issuance is at an Effective Price (as defined below)</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 share less than Conversion Price then in effect and (iii) the aggregate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gross proceeds of such issuances exceed $15 million, then the Conversion Price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shall be adjusted to equal the lowest Effective Price received by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Corporation pursuant to any such issuance. The previous sentence will apply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any issuances of Additional Shares of Common Stock after the $15 million</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threshold has been met (provided any such issuance is below the Conversion Price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then in effect) but will not apply to any issuance of Additional</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559"/>
          </w:cols>
          <w:pgMar w:left="900" w:top="646" w:right="1440"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color w:val="auto"/>
        </w:rPr>
        <w:t>Shares of Common Stock occurring after November 30, 2003. Notwithstanding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foregoing, the Conversion Price shall in no event be lower than U.S.$4.17.</w:t>
      </w:r>
    </w:p>
    <w:p>
      <w:pPr>
        <w:spacing w:after="0" w:line="161" w:lineRule="exact"/>
        <w:rPr>
          <w:sz w:val="20"/>
          <w:szCs w:val="20"/>
          <w:color w:val="auto"/>
        </w:rPr>
      </w:pPr>
    </w:p>
    <w:p>
      <w:pPr>
        <w:ind w:left="180" w:hanging="174"/>
        <w:spacing w:after="0"/>
        <w:tabs>
          <w:tab w:leader="none" w:pos="1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For the purpose of making any adjustment required under Section</w:t>
      </w:r>
    </w:p>
    <w:p>
      <w:pPr>
        <w:spacing w:after="0" w:line="13" w:lineRule="exact"/>
        <w:rPr>
          <w:rFonts w:ascii="Arial" w:cs="Arial" w:eastAsia="Arial" w:hAnsi="Arial"/>
          <w:sz w:val="14"/>
          <w:szCs w:val="14"/>
          <w:color w:val="auto"/>
        </w:rPr>
      </w:pPr>
    </w:p>
    <w:p>
      <w:pPr>
        <w:ind w:right="4899"/>
        <w:spacing w:after="0" w:line="288" w:lineRule="auto"/>
        <w:rPr>
          <w:rFonts w:ascii="Arial" w:cs="Arial" w:eastAsia="Arial" w:hAnsi="Arial"/>
          <w:sz w:val="14"/>
          <w:szCs w:val="14"/>
          <w:color w:val="auto"/>
        </w:rPr>
      </w:pPr>
      <w:r>
        <w:rPr>
          <w:rFonts w:ascii="Arial" w:cs="Arial" w:eastAsia="Arial" w:hAnsi="Arial"/>
          <w:sz w:val="12"/>
          <w:szCs w:val="12"/>
          <w:color w:val="auto"/>
        </w:rPr>
        <w:t>4(f), the consideration received by the Company for any issue or sale of securities shall (A) to the extent it consists of cash, be computed at the net amount of cash received by the Company after deduction of any underwriting or similar commissions, compensation or concessions paid or allowed by the Company in connection with such issue or sale but without deduction of any expenses payable by the Company (except for purposes of determining if the $15 million threshold referred to above has been met, in which case the consideration received will be deemed to be the aggregate gross proceeds received by the Company), (B) to the extent it consists of property other than cash, be computed</w:t>
      </w:r>
    </w:p>
    <w:p>
      <w:pPr>
        <w:ind w:right="5059"/>
        <w:spacing w:after="0" w:line="267" w:lineRule="auto"/>
        <w:rPr>
          <w:rFonts w:ascii="Arial" w:cs="Arial" w:eastAsia="Arial" w:hAnsi="Arial"/>
          <w:sz w:val="14"/>
          <w:szCs w:val="14"/>
          <w:color w:val="auto"/>
        </w:rPr>
      </w:pPr>
      <w:r>
        <w:rPr>
          <w:rFonts w:ascii="Arial" w:cs="Arial" w:eastAsia="Arial" w:hAnsi="Arial"/>
          <w:sz w:val="13"/>
          <w:szCs w:val="13"/>
          <w:color w:val="auto"/>
        </w:rPr>
        <w:t>at the fair value of that property as determined in good faith by the Board of Directors,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of Directors to be allocable to such Additional Shares of Common Stock, Convertible Securities or rights or options; provided, however, that the holders of at least a majority of the outstanding Series B Preferred Stock shall have the right to challenge any determination by the Board of Directors of fair market value pursuant to this Section 4(f)(i), in which case the determination of fair market value shall be made by an independent appraiser selected jointly by the Board of Directors and the challenging parties, the cost of such appraisal to be borne equally by the Corporation and the challenging parties.</w:t>
      </w:r>
    </w:p>
    <w:p>
      <w:pPr>
        <w:spacing w:after="0" w:line="146" w:lineRule="exact"/>
        <w:rPr>
          <w:rFonts w:ascii="Arial" w:cs="Arial" w:eastAsia="Arial" w:hAnsi="Arial"/>
          <w:sz w:val="14"/>
          <w:szCs w:val="14"/>
          <w:color w:val="auto"/>
        </w:rPr>
      </w:pPr>
    </w:p>
    <w:p>
      <w:pPr>
        <w:ind w:left="200" w:hanging="194"/>
        <w:spacing w:after="0"/>
        <w:tabs>
          <w:tab w:leader="none" w:pos="2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For the purpose of the adjustment required under this Section</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4(f), if the Company issues or sells (A) stock or other securities convertible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into, Additional Shares of Common Stock (such convertible stock or securities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being herein referred to as "Convertible Securities") or (B) rights or options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for the purchase of Additional Shares of Common Stock or Convertible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and if the Effective Price of such Additional Shares of Common Stock is less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than the Conversion Price, in each case the Company shall be deemed to have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issued at the time of the issuance of such rights or options or Convertible</w:t>
      </w:r>
    </w:p>
    <w:p>
      <w:pPr>
        <w:spacing w:after="0" w:line="5" w:lineRule="exact"/>
        <w:rPr>
          <w:sz w:val="20"/>
          <w:szCs w:val="20"/>
          <w:color w:val="auto"/>
        </w:rPr>
      </w:pPr>
    </w:p>
    <w:p>
      <w:pPr>
        <w:ind w:right="4739"/>
        <w:spacing w:after="0" w:line="265" w:lineRule="auto"/>
        <w:rPr>
          <w:sz w:val="20"/>
          <w:szCs w:val="20"/>
          <w:color w:val="auto"/>
        </w:rPr>
      </w:pPr>
      <w:r>
        <w:rPr>
          <w:rFonts w:ascii="Arial" w:cs="Arial" w:eastAsia="Arial" w:hAnsi="Arial"/>
          <w:sz w:val="13"/>
          <w:szCs w:val="13"/>
          <w:color w:val="auto"/>
        </w:rPr>
        <w:t>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or options or Convertible Securities, plus, in the case of such rights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options, the minimum amounts of consideration, if any, payable to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upon the exercise of such rights or options, plus, in the case of Convertible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Securities, the minimum amounts of consideration, if any, payable to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(other than by cancellation of liabilities or obligations evidenced by such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Convertible Securities) upon the conversion thereof; provided that if in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case of Convertible Securities the minimum amounts of such consideration cannot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be ascertained, but are a function of antidilution or similar protective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clauses, the Company shall be deemed to have received the minimum amounts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consideration without reference to such clauses; provided further that if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minimum amount of consideration payable to the Company upon the exercise or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conversion of rights, options or Convertible Securities is reduced over time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on the occurrence or non-occurrence of specified events other than by reason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antidilution adjustments, the Effective Price shall be recalculated using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figure to which such minimum amount of consideration is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559"/>
          </w:cols>
          <w:pgMar w:left="900" w:top="646" w:right="1440" w:bottom="1440" w:gutter="0" w:footer="0" w:header="0"/>
        </w:sectPr>
      </w:pPr>
    </w:p>
    <w:bookmarkStart w:id="143" w:name="page144"/>
    <w:bookmarkEnd w:id="143"/>
    <w:p>
      <w:pPr>
        <w:spacing w:after="0"/>
        <w:rPr>
          <w:sz w:val="20"/>
          <w:szCs w:val="20"/>
          <w:color w:val="auto"/>
        </w:rPr>
      </w:pPr>
      <w:r>
        <w:rPr>
          <w:rFonts w:ascii="Arial" w:cs="Arial" w:eastAsia="Arial" w:hAnsi="Arial"/>
          <w:sz w:val="12"/>
          <w:szCs w:val="12"/>
          <w:color w:val="auto"/>
        </w:rPr>
        <w:t>reduced; provided further that if the minimum amount of consideration payable to</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the Company upon the exercise or conversion of such rights, options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Convertible Securities is subsequently increased, the Effective Price shall be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again recalculated using the increased minimum amount of consideration payable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to the Company upon the exercise or conversion of such rights, options or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Convertible Securities. No further adjustment of the Conversion Price, as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adjusted upon the issuance of such rights, options or Convertible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shall be made as a result of the actual issuance of Additional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Stock on the exercise of any such rights or options or the conversion of 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Convertible Securities. If any such rights or options or the conversion</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privilege represented by any such Convertible Securities shall expire without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having been exercised, the Conversion Price, as adjusted upon the issuance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rights, options or Convertible Securities, shall be readjusted to the</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Conversion Price which would have been in effect had an adjustment been made 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basis that the only Additional Shares of Common Stock so issued were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Additional Shares of Common Stock, if any, actually issued or sold on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exercise of such rights or options or rights of conversion of such Convertible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such Additional Shares of Common Stock, if any, were issued or</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sold for the consideration actually received by the Company upon such exercise,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plus the consideration, if any, actually received by the Company for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granting of all such rights or options, whether or not exercised, plus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consideration received for issuing or selling the Convertible Securities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actually converted, plus the consideration, if any, actually received by the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Company (other than by cancellation of liabilities or obligations evidenced by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such Convertible Securities) on the conversion of such Convertible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"Additional Shares of Common Stock" shall mean all shares of</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Common Stock issued by the Company or deemed to be issued pursuant to this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4(f), whether or not subsequently reacquired or retired by the Company</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other than (A) shares of Common Stock and/or options, warrants or other Common</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Stock purchase rights, and the Common Stock issued or issuable pursuant to such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options, warrants or other rights to employees, officers or directors of, or</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consultants or advisors to the Company or any subsidiary pursuant to stock</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purchase or stock option plans or other arrangements that are approved by the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Board; (B) shares of Common Stock issued or issuable pursuant to any equipment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loan or leasing arrangement, or debt financing from a bank or similar financial</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institution; (C) shares of Common Stock issued or issuable in connection with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licensing transactions involving the Company and other entities, including (1)</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joint ventures, manufacturing, marketing or distribution arrangements or (2)</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technology transfer or development arrangements; provided that such transactions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 (1) and (2) and the issuance of shares therein has been approved by a</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majority of the members of the Company's Board of Directors and the aggregate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number of shares so issued does not exceed four million (4,000,000)(as adjusted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for stock splits, stock dividends, stock combinations, recapitalizatons and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like); and (D) any other issuances approved by the holders of a majority of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Series B Preferred Stock then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"Effective Price" of Additional Shares of Common Stock</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shall mean the quotient determined by dividing the total number of Additional</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Shares of Common Stock issued or sold, or deemed to have been issued or sold by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Company under this Section 4(f), into the aggregate consideration received,</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or deemed to have been received by the Company for such issue under this Section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4(f), for such Additional Shares of Common Stock.</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559"/>
          </w:cols>
          <w:pgMar w:left="900" w:top="646" w:right="1440"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auto"/>
        </w:rPr>
        <w:t>5. Other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In the event the Corporation provides the holders of its Common Stock with</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consideration that is not otherwise addressed in Section 4 (including, without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limitation, declaring a distribution payable in securities, assets, cash or</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evidences of indebtedness issued by other persons or the Corporation (excluding</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cash dividends declared and paid by the Corporation out of retained earnings)),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then, in each such case, the holders of the Series B Preferred Stock shall be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entitled to a pro rata share of any such distribution as though such holders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were holders of the number of shares of Common Stock of the Corporation as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though the Series B Preferred Stock had been converted in whole as of the record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date fixed for the determination of the holders of Common Stock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Corporation entitled to receive such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6. Recapitalizations.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If at any time there occurs a recapitalization of the Common Stock (other</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than a subdivision, combination, or merger or sale of assets provided for in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 hereof), the holders of the Series B Preferred Stock shall be entitled</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to receive upon conversion of the Series B Preferred Stock the number of shares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of capital stock or other securities or property of the Corporation or otherwise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to which a holder of the Common Stock deliverable upon conversion would have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been entitled on such recapitalization. In any such case, appropriate adjustment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shall be made in the application of the provisions of Section 4 hereof with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respect to the rights of the holders of the Series B Preferred Stock after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recapitalization to the end that the provisions of Section 4 hereof (including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adjustment of the Conversion Price then in effect and the number of shares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purchasable upon conversion of the Series B Preferred Stock) shall be applicable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after that event as nearly equivalent as may be practicable.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7. No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will not, by amendment of the Certificate of Incorporation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or through any reorganization, recapitalization, transfer of assets,</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consolidation, merger, dissolution, issuance or sale of securities or any other</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voluntary action, avoid or seek to avoid the observance or performance of any of</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terms to be observed or performed hereunder by the Corporation, but will at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all times in good faith assist in the carrying out of all the provisions hereof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and in the taking of all such action as may be necessary or appropriate in order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to protect the Conversion Right of the holders of the Series B Preferred Stock</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against impairment.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8. No Fractional Shares and Certificate as to Adjustments.</w:t>
      </w:r>
    </w:p>
    <w:p>
      <w:pPr>
        <w:spacing w:after="0" w:line="170" w:lineRule="exact"/>
        <w:rPr>
          <w:sz w:val="20"/>
          <w:szCs w:val="20"/>
          <w:color w:val="auto"/>
        </w:rPr>
      </w:pPr>
    </w:p>
    <w:p>
      <w:pPr>
        <w:ind w:right="5139" w:firstLine="6"/>
        <w:spacing w:after="0" w:line="290" w:lineRule="auto"/>
        <w:tabs>
          <w:tab w:leader="none" w:pos="188" w:val="left"/>
        </w:tabs>
        <w:numPr>
          <w:ilvl w:val="0"/>
          <w:numId w:val="86"/>
        </w:numPr>
        <w:rPr>
          <w:rFonts w:ascii="Arial" w:cs="Arial" w:eastAsia="Arial" w:hAnsi="Arial"/>
          <w:sz w:val="12"/>
          <w:szCs w:val="12"/>
          <w:color w:val="auto"/>
        </w:rPr>
      </w:pPr>
      <w:r>
        <w:rPr>
          <w:rFonts w:ascii="Arial" w:cs="Arial" w:eastAsia="Arial" w:hAnsi="Arial"/>
          <w:sz w:val="12"/>
          <w:szCs w:val="12"/>
          <w:color w:val="auto"/>
        </w:rPr>
        <w:t>No fractional shares of Common Stock will be issued upon the conversion of any share or shares of the Series B Preferred Stock. All shares of Common Stock (including fractions thereof) issuable upon conversion of more than one share of Series B Preferred Stock by a holder shall be aggregated for purposes of determining whether the conversion would result in the issuance of any fractional share. If, after the aforementioned aggregation, the conversion would result in the issuance of a fraction of a share of Common Stock, the Corporation shall, in lieu of issuing any fractional share, pay the holder otherwise</w:t>
      </w:r>
    </w:p>
    <w:p>
      <w:pPr>
        <w:ind w:right="5039"/>
        <w:spacing w:after="0" w:line="278" w:lineRule="auto"/>
        <w:rPr>
          <w:rFonts w:ascii="Arial" w:cs="Arial" w:eastAsia="Arial" w:hAnsi="Arial"/>
          <w:sz w:val="12"/>
          <w:szCs w:val="12"/>
          <w:color w:val="auto"/>
        </w:rPr>
      </w:pPr>
      <w:r>
        <w:rPr>
          <w:rFonts w:ascii="Arial" w:cs="Arial" w:eastAsia="Arial" w:hAnsi="Arial"/>
          <w:sz w:val="13"/>
          <w:szCs w:val="13"/>
          <w:color w:val="auto"/>
        </w:rPr>
        <w:t>entitled to such fraction a sum in cash equal to such fraction multiplied by the closing price of the Corporation's Common Stock on the Nasdaq National Market (or any other national securities exchange on which the Common</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559"/>
          </w:cols>
          <w:pgMar w:left="900" w:top="646" w:right="1440"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color w:val="auto"/>
        </w:rPr>
        <w:t>Stock is then traded) on the day immediately preceding the conversion. All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calculations under Section 4 hereof and this Section 8(a) shall be made to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nearest cent or to the nearest share, as the case may be.</w:t>
      </w:r>
    </w:p>
    <w:p>
      <w:pPr>
        <w:spacing w:after="0" w:line="161" w:lineRule="exact"/>
        <w:rPr>
          <w:sz w:val="20"/>
          <w:szCs w:val="20"/>
          <w:color w:val="auto"/>
        </w:rPr>
      </w:pPr>
    </w:p>
    <w:p>
      <w:pPr>
        <w:ind w:right="5079" w:firstLine="6"/>
        <w:spacing w:after="0" w:line="289" w:lineRule="auto"/>
        <w:tabs>
          <w:tab w:leader="none" w:pos="195" w:val="left"/>
        </w:tabs>
        <w:numPr>
          <w:ilvl w:val="0"/>
          <w:numId w:val="87"/>
        </w:numPr>
        <w:rPr>
          <w:rFonts w:ascii="Arial" w:cs="Arial" w:eastAsia="Arial" w:hAnsi="Arial"/>
          <w:sz w:val="12"/>
          <w:szCs w:val="12"/>
          <w:color w:val="auto"/>
        </w:rPr>
      </w:pPr>
      <w:r>
        <w:rPr>
          <w:rFonts w:ascii="Arial" w:cs="Arial" w:eastAsia="Arial" w:hAnsi="Arial"/>
          <w:sz w:val="12"/>
          <w:szCs w:val="12"/>
          <w:color w:val="auto"/>
        </w:rPr>
        <w:t>Upon the occurrence of each adjustment or readjustment of the Conversion Price pursuant to Section 4 hereof, the Corporation, at its expense, shall promptly compute such adjustment or readjustment in accordance with the terms hereof and prepare and furnish to each holder of shares of Series B Preferred Stock a certificate setting forth such adjustment or readjustment and showing in detail the facts upon which such adjustment or readjustment is based. The Corporation shall, upon the written request at any time of any holder of Series B Preferred Stock, use its reasonable best efforts to furnish or cause to be furnished to such holder a like certificate setting forth (i) such adjustment</w:t>
      </w:r>
    </w:p>
    <w:p>
      <w:pPr>
        <w:spacing w:after="0" w:line="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or readjustment, (ii) the Conversion Price at the time in effect, and (iii) the</w:t>
      </w:r>
    </w:p>
    <w:p>
      <w:pPr>
        <w:spacing w:after="0" w:line="4" w:lineRule="exact"/>
        <w:rPr>
          <w:rFonts w:ascii="Arial" w:cs="Arial" w:eastAsia="Arial" w:hAnsi="Arial"/>
          <w:sz w:val="12"/>
          <w:szCs w:val="12"/>
          <w:color w:val="auto"/>
        </w:rPr>
      </w:pPr>
    </w:p>
    <w:p>
      <w:pPr>
        <w:ind w:right="4919"/>
        <w:spacing w:after="0" w:line="250" w:lineRule="auto"/>
        <w:rPr>
          <w:rFonts w:ascii="Arial" w:cs="Arial" w:eastAsia="Arial" w:hAnsi="Arial"/>
          <w:sz w:val="12"/>
          <w:szCs w:val="12"/>
          <w:color w:val="auto"/>
        </w:rPr>
      </w:pPr>
      <w:r>
        <w:rPr>
          <w:rFonts w:ascii="Arial" w:cs="Arial" w:eastAsia="Arial" w:hAnsi="Arial"/>
          <w:sz w:val="14"/>
          <w:szCs w:val="14"/>
          <w:color w:val="auto"/>
        </w:rPr>
        <w:t>number of shares of Common Stock and the amount, if any, of other property which at the time would be received upon the conversion of a share of Series B Preferred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9. Reservation of Stock Issuable Upon Conversion.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shall at all times reserve and keep available out of its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authorized but unissued shares of Common Stock, solely for the purpose of</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effecting the conversion of the shares of the Series B Preferred Stock, such</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number of its shares of Common Stock that shall from time to time be sufficient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to effect the conversion of all outstanding shares of the Series B Preferred</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Stock; and if at any time the number of authorized but unissued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Stock not otherwise reserved for issuance shall not be sufficient to effect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conversion of all then outstanding shares of the Series B Preferred Stock, the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Corporation shall take such corporate action that may, in the opinion of its</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counsel, be necessary to increase its authorized but unissued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 to such number of shares as shall be sufficient for such purposes,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including, without limitation, engaging in best efforts to obtain the requisite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stockholder approval of any necessary amendment to its Certificate of</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10. Notices.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Any notice required by the provisions hereof to be given to the holders of</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shares of Series B Preferred Stock shall be given in writing and shall be deemed</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to have been given (i) in the case of personal or hand delivery, on the date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such delivery, (ii) in the case of an internationally-recognized overnight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delivery courier, on the second business day after the date when sent, (iii) in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the case of mailing, on the fifth business day following that day on which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piece of mail containing such communication is posted, and (iv) in the case of</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facsimile transmission, the date of telephone confirmation of receipt.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11.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Holders of Series B Preferred Stock shall be entitled to vote on all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matters submitted to a vote of the holders of the Corporation's Common Stock,</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including with respect to the election of directors of the Corporation, on an as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if converted to Common Stock basis; provided, however, that the number of votes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to which the Series B Preferred Stock is entitled shall be based on a conversion</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price of $5.00 per share, giving effect to any future adjustments pursuant to</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Section</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559"/>
          </w:cols>
          <w:pgMar w:left="900" w:top="646" w:right="1440"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color w:val="auto"/>
        </w:rPr>
        <w:t>4(e) above, but without giving any effect to any future adjustments pursuant to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Section 4(f) above.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12. Protective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Subject to the rights of any series of preferred stock that may from time to</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time come into existence, so long as any shares of Series B Preferred Stock are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outstanding, the Corporation shall not without first obtaining the approval (by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vote or written consent, as provided by law) of the holders of at least a</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majority of the then-outstanding shares of Series B Preferred Stock, voting</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separately as a series:</w:t>
      </w:r>
    </w:p>
    <w:p>
      <w:pPr>
        <w:spacing w:after="0" w:line="161" w:lineRule="exact"/>
        <w:rPr>
          <w:sz w:val="20"/>
          <w:szCs w:val="20"/>
          <w:color w:val="auto"/>
        </w:rPr>
      </w:pPr>
    </w:p>
    <w:p>
      <w:pPr>
        <w:ind w:right="5359" w:firstLine="6"/>
        <w:spacing w:after="0" w:line="271" w:lineRule="auto"/>
        <w:tabs>
          <w:tab w:leader="none" w:pos="188" w:val="left"/>
        </w:tabs>
        <w:numPr>
          <w:ilvl w:val="0"/>
          <w:numId w:val="88"/>
        </w:numPr>
        <w:rPr>
          <w:rFonts w:ascii="Arial" w:cs="Arial" w:eastAsia="Arial" w:hAnsi="Arial"/>
          <w:sz w:val="13"/>
          <w:szCs w:val="13"/>
          <w:color w:val="auto"/>
        </w:rPr>
      </w:pPr>
      <w:r>
        <w:rPr>
          <w:rFonts w:ascii="Arial" w:cs="Arial" w:eastAsia="Arial" w:hAnsi="Arial"/>
          <w:sz w:val="13"/>
          <w:szCs w:val="13"/>
          <w:color w:val="auto"/>
        </w:rPr>
        <w:t>amend its Certificate of Incorporation (including the filing of a Certificate of Designations) so as to (i) increase the number of authorized shares of the Corporation's preferred stock or (ii) affect adversely the shares of Series B Preferred Stock or any holder thereof, including, without limitation, by creating any additional series of preferred stock (or issuing shares under any such series) that is senior or pari passu in liquidation preference, redemption right, conversion rights or right of payment to the Series B Preferred Stock;</w:t>
      </w:r>
    </w:p>
    <w:p>
      <w:pPr>
        <w:spacing w:after="0" w:line="140" w:lineRule="exact"/>
        <w:rPr>
          <w:rFonts w:ascii="Arial" w:cs="Arial" w:eastAsia="Arial" w:hAnsi="Arial"/>
          <w:sz w:val="13"/>
          <w:szCs w:val="13"/>
          <w:color w:val="auto"/>
        </w:rPr>
      </w:pPr>
    </w:p>
    <w:p>
      <w:pPr>
        <w:ind w:right="5039" w:firstLine="6"/>
        <w:spacing w:after="0" w:line="252" w:lineRule="auto"/>
        <w:tabs>
          <w:tab w:leader="none" w:pos="195" w:val="left"/>
        </w:tabs>
        <w:numPr>
          <w:ilvl w:val="0"/>
          <w:numId w:val="88"/>
        </w:numPr>
        <w:rPr>
          <w:rFonts w:ascii="Arial" w:cs="Arial" w:eastAsia="Arial" w:hAnsi="Arial"/>
          <w:sz w:val="14"/>
          <w:szCs w:val="14"/>
          <w:color w:val="auto"/>
        </w:rPr>
      </w:pPr>
      <w:r>
        <w:rPr>
          <w:rFonts w:ascii="Arial" w:cs="Arial" w:eastAsia="Arial" w:hAnsi="Arial"/>
          <w:sz w:val="14"/>
          <w:szCs w:val="14"/>
          <w:color w:val="auto"/>
        </w:rPr>
        <w:t>after the date of this Certificate of Designation, create any new debt instrument or create or increase any new or existing bank line (or similar arrangement pursuant to which the Company is or becomes indebted), so that the Company's total indebtedness pursuant to such instruments, lines or arrangements exceeds $105,000,000 in the aggregate; or</w:t>
      </w:r>
    </w:p>
    <w:p>
      <w:pPr>
        <w:spacing w:after="0" w:line="148" w:lineRule="exact"/>
        <w:rPr>
          <w:rFonts w:ascii="Arial" w:cs="Arial" w:eastAsia="Arial" w:hAnsi="Arial"/>
          <w:sz w:val="14"/>
          <w:szCs w:val="14"/>
          <w:color w:val="auto"/>
        </w:rPr>
      </w:pPr>
    </w:p>
    <w:p>
      <w:pPr>
        <w:ind w:left="200" w:hanging="194"/>
        <w:spacing w:after="0"/>
        <w:tabs>
          <w:tab w:leader="none" w:pos="2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change the rights of the holders of the Series B Preferred Stock in any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other respect;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provided, however, that the authorization and issuance of additional shares of</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Common Stock, and creation of any series of preferred stock (or issuing shares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under any such series) that is junior in right of payment upon liquidation,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redemption, conversion and payment rights and otherwise to the Series B</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shall not be deemed to adversely affect the rights, preferences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or privileges of the Series B Preferred Stock or any holder thereof or change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 rights of the holders of the Series B Preferred Stock in any other respect.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Series B Preferred Stock shall have no preemptive rights pursuant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hereto.</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13. Legend.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Series B Preferred Stock and any underlying shares of Common Stock will</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be issued under an exemption or exemptions from registration under the Act.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Accordingly, the certificates evidencing the Series B Preferred Stock and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underlying Common Stock shall, upon issuance, contain a legend, substantially in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 form as follows:</w:t>
      </w:r>
    </w:p>
    <w:p>
      <w:pPr>
        <w:spacing w:after="0" w:line="161" w:lineRule="exact"/>
        <w:rPr>
          <w:sz w:val="20"/>
          <w:szCs w:val="20"/>
          <w:color w:val="auto"/>
        </w:rPr>
      </w:pPr>
    </w:p>
    <w:p>
      <w:pPr>
        <w:ind w:right="3739"/>
        <w:spacing w:after="0" w:line="252" w:lineRule="auto"/>
        <w:rPr>
          <w:sz w:val="20"/>
          <w:szCs w:val="20"/>
          <w:color w:val="auto"/>
        </w:rPr>
      </w:pPr>
      <w:r>
        <w:rPr>
          <w:rFonts w:ascii="Arial" w:cs="Arial" w:eastAsia="Arial" w:hAnsi="Arial"/>
          <w:sz w:val="14"/>
          <w:szCs w:val="14"/>
          <w:color w:val="auto"/>
        </w:rPr>
        <w:t>"THE SECURITIES REPRESENTED HEREBY HAVE NOT BEEN REGISTERED UNDER THE U.S. SECURITIES ACT OF 1933, AS AMENDED (THE "ACT"), OR APPLICABLE STATE SECURITIES LAWS AND NO INTEREST HEREIN MAY BE SOLD, TRANSFERRED OR OTHERWISE DISPOSED OF UNLESS (1) A REGISTRATION STATEMENT WITH RESPECT TO SUCH SECURITIES SHALL BE EFFECTIVE UNDER</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559"/>
          </w:cols>
          <w:pgMar w:left="900" w:top="646" w:right="1440" w:bottom="1440" w:gutter="0" w:footer="0" w:header="0"/>
        </w:sectPr>
      </w:pPr>
    </w:p>
    <w:bookmarkStart w:id="147" w:name="page148"/>
    <w:bookmarkEnd w:id="147"/>
    <w:p>
      <w:pPr>
        <w:ind w:right="3219"/>
        <w:spacing w:after="0" w:line="251" w:lineRule="auto"/>
        <w:rPr>
          <w:sz w:val="20"/>
          <w:szCs w:val="20"/>
          <w:color w:val="auto"/>
        </w:rPr>
      </w:pPr>
      <w:r>
        <w:rPr>
          <w:rFonts w:ascii="Arial" w:cs="Arial" w:eastAsia="Arial" w:hAnsi="Arial"/>
          <w:sz w:val="14"/>
          <w:szCs w:val="14"/>
          <w:color w:val="auto"/>
        </w:rPr>
        <w:t>THE ACT AND ANY APPLICABLE STATE SECURITIES LAWS OR (2) SUCH SECURITIES ARE TRANSFERRED PURSUANT TO RULE 144 PROMULGATED UNDER THE ACT (OR ANY SUCCESSOR RULE) OR (3) THE ISSUER OF THESE SECURITIES SHALL HAVE RECEIVED AN OPINION OF COUNSEL FOR THE HOLDER OF THESE SECURITIES REASONABLY SATISFACTORY TO THE ISSUER THAT NO VIOLATION OF THE ACT OR SIMILAR STATE SECURITIES LAWS WILL BE INVOLVED IN SUCH TRANSFER.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14. Status of Converted Stock.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In the event any shares of Series B Preferred Stock shall be converted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pursuant to Section 4 hereof, the shares so converted shall be canceled and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shall not be reissuable by the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SECOND: That the authorization of, and the filing of this Certificate of</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Designations relating to, the Series B Preferred Stock has been duly approved by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the holders of the Company's Series A Preferred Stock in accordance with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Company's Amended and Restated Certificate of Incorporation, as amended by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Certificate of Designations filed on October 29, 2001, and Section 242 of the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Delaware General Corporation Law.</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559"/>
          </w:cols>
          <w:pgMar w:left="900" w:top="646" w:right="1440" w:bottom="1440" w:gutter="0" w:footer="0" w:header="0"/>
        </w:sectPr>
      </w:pPr>
    </w:p>
    <w:bookmarkStart w:id="148" w:name="page149"/>
    <w:bookmarkEnd w:id="148"/>
    <w:p>
      <w:pPr>
        <w:spacing w:after="0"/>
        <w:rPr>
          <w:sz w:val="20"/>
          <w:szCs w:val="20"/>
          <w:color w:val="auto"/>
        </w:rPr>
      </w:pPr>
      <w:r>
        <w:rPr>
          <w:rFonts w:ascii="Arial" w:cs="Arial" w:eastAsia="Arial" w:hAnsi="Arial"/>
          <w:sz w:val="12"/>
          <w:szCs w:val="12"/>
          <w:color w:val="auto"/>
        </w:rPr>
        <w:t>IN WITNESS WHEREOF, said Wireless Facilities, Inc. has caused this</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Certificate of Designations to be signed by Masood K. Tayebi, its Chief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 as of May 30, 2002.</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WIRELESS FACILITIES, INC.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Masood K. Tayebi</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Name: Masood K. Tayebi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559"/>
          </w:cols>
          <w:pgMar w:left="900" w:top="812" w:right="1440" w:bottom="1440" w:gutter="0" w:footer="0" w:header="0"/>
        </w:sectPr>
      </w:pPr>
    </w:p>
    <w:bookmarkStart w:id="149" w:name="page150"/>
    <w:bookmarkEnd w:id="149"/>
    <w:p>
      <w:pPr>
        <w:jc w:val="center"/>
        <w:ind w:right="-99"/>
        <w:spacing w:after="0"/>
        <w:rPr>
          <w:sz w:val="20"/>
          <w:szCs w:val="20"/>
          <w:color w:val="auto"/>
        </w:rPr>
      </w:pPr>
      <w:r>
        <w:rPr>
          <w:rFonts w:ascii="Arial" w:cs="Arial" w:eastAsia="Arial" w:hAnsi="Arial"/>
          <w:sz w:val="14"/>
          <w:szCs w:val="14"/>
          <w:b w:val="1"/>
          <w:bCs w:val="1"/>
          <w:color w:val="auto"/>
        </w:rPr>
        <w:t>CERTIFICATE OF DESIGNATION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OF THE</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SERIES C PREFERRED STOCK</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OF</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WIRELESS FACILITIES, INC.</w:t>
      </w:r>
    </w:p>
    <w:p>
      <w:pPr>
        <w:spacing w:after="0" w:line="161"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Pursuant to Section 151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154940</wp:posOffset>
            </wp:positionV>
            <wp:extent cx="730377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377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00" w:firstLine="497"/>
        <w:spacing w:after="0" w:line="267" w:lineRule="auto"/>
        <w:rPr>
          <w:sz w:val="20"/>
          <w:szCs w:val="20"/>
          <w:color w:val="auto"/>
        </w:rPr>
      </w:pPr>
      <w:r>
        <w:rPr>
          <w:rFonts w:ascii="Arial" w:cs="Arial" w:eastAsia="Arial" w:hAnsi="Arial"/>
          <w:sz w:val="14"/>
          <w:szCs w:val="14"/>
          <w:color w:val="auto"/>
        </w:rPr>
        <w:t>The undersigned officers of Wireless Facilities, Inc., a corporation organized and existing under the General Corporation Law of the State of Delaware (the “</w:t>
      </w:r>
      <w:r>
        <w:rPr>
          <w:rFonts w:ascii="Arial" w:cs="Arial" w:eastAsia="Arial" w:hAnsi="Arial"/>
          <w:sz w:val="14"/>
          <w:szCs w:val="14"/>
          <w:i w:val="1"/>
          <w:iCs w:val="1"/>
          <w:color w:val="auto"/>
        </w:rPr>
        <w:t>Corporation</w:t>
      </w:r>
      <w:r>
        <w:rPr>
          <w:rFonts w:ascii="Arial" w:cs="Arial" w:eastAsia="Arial" w:hAnsi="Arial"/>
          <w:sz w:val="14"/>
          <w:szCs w:val="14"/>
          <w:color w:val="auto"/>
        </w:rPr>
        <w:t xml:space="preserve">”), in accordance with the provisions of Section 103 thereof, </w:t>
      </w:r>
      <w:r>
        <w:rPr>
          <w:rFonts w:ascii="Arial" w:cs="Arial" w:eastAsia="Arial" w:hAnsi="Arial"/>
          <w:sz w:val="14"/>
          <w:szCs w:val="14"/>
          <w:b w:val="1"/>
          <w:bCs w:val="1"/>
          <w:color w:val="auto"/>
        </w:rPr>
        <w:t>DO HEREBY CERTIFY</w:t>
      </w:r>
      <w:r>
        <w:rPr>
          <w:rFonts w:ascii="Arial" w:cs="Arial" w:eastAsia="Arial" w:hAnsi="Arial"/>
          <w:sz w:val="14"/>
          <w:szCs w:val="14"/>
          <w:color w:val="auto"/>
        </w:rPr>
        <w:t>:</w:t>
      </w:r>
    </w:p>
    <w:p>
      <w:pPr>
        <w:spacing w:after="0" w:line="139" w:lineRule="exact"/>
        <w:rPr>
          <w:sz w:val="20"/>
          <w:szCs w:val="20"/>
          <w:color w:val="auto"/>
        </w:rPr>
      </w:pPr>
    </w:p>
    <w:p>
      <w:pPr>
        <w:ind w:firstLine="497"/>
        <w:spacing w:after="0" w:line="253" w:lineRule="auto"/>
        <w:rPr>
          <w:sz w:val="20"/>
          <w:szCs w:val="20"/>
          <w:color w:val="auto"/>
        </w:rPr>
      </w:pPr>
      <w:r>
        <w:rPr>
          <w:rFonts w:ascii="Arial" w:cs="Arial" w:eastAsia="Arial" w:hAnsi="Arial"/>
          <w:sz w:val="14"/>
          <w:szCs w:val="14"/>
          <w:color w:val="auto"/>
        </w:rPr>
        <w:t>That, pursuant to the authority conferred upon the Board of Directors of the Corporation by its Amended and Restated Certificate of Incorporation (the “</w:t>
      </w:r>
      <w:r>
        <w:rPr>
          <w:rFonts w:ascii="Arial" w:cs="Arial" w:eastAsia="Arial" w:hAnsi="Arial"/>
          <w:sz w:val="14"/>
          <w:szCs w:val="14"/>
          <w:i w:val="1"/>
          <w:iCs w:val="1"/>
          <w:color w:val="auto"/>
        </w:rPr>
        <w:t>Certificate</w:t>
      </w:r>
      <w:r>
        <w:rPr>
          <w:rFonts w:ascii="Arial" w:cs="Arial" w:eastAsia="Arial" w:hAnsi="Arial"/>
          <w:sz w:val="14"/>
          <w:szCs w:val="14"/>
          <w:color w:val="auto"/>
        </w:rPr>
        <w:t>”), the said Board of Directors unanimously adopted the following resolution by written consent on December 16, 2004, which resolution remains in full force and effect on the date hereof, creating a series of Preferred Stock having a par value of $0.001 per share, designated as Series C Preferred Stock (the “</w:t>
      </w:r>
      <w:r>
        <w:rPr>
          <w:rFonts w:ascii="Arial" w:cs="Arial" w:eastAsia="Arial" w:hAnsi="Arial"/>
          <w:sz w:val="14"/>
          <w:szCs w:val="14"/>
          <w:i w:val="1"/>
          <w:iCs w:val="1"/>
          <w:color w:val="auto"/>
        </w:rPr>
        <w:t>Series C Preferred Stock</w:t>
      </w:r>
      <w:r>
        <w:rPr>
          <w:rFonts w:ascii="Arial" w:cs="Arial" w:eastAsia="Arial" w:hAnsi="Arial"/>
          <w:sz w:val="14"/>
          <w:szCs w:val="14"/>
          <w:color w:val="auto"/>
        </w:rPr>
        <w:t>”) out of the Corporation’s shares of preferred stock of the par value of $0.001 per share (the ”</w:t>
      </w:r>
      <w:r>
        <w:rPr>
          <w:rFonts w:ascii="Arial" w:cs="Arial" w:eastAsia="Arial" w:hAnsi="Arial"/>
          <w:sz w:val="14"/>
          <w:szCs w:val="14"/>
          <w:i w:val="1"/>
          <w:iCs w:val="1"/>
          <w:color w:val="auto"/>
        </w:rPr>
        <w:t>Preferred</w:t>
      </w:r>
      <w:r>
        <w:rPr>
          <w:rFonts w:ascii="Arial" w:cs="Arial" w:eastAsia="Arial" w:hAnsi="Arial"/>
          <w:sz w:val="14"/>
          <w:szCs w:val="14"/>
          <w:color w:val="auto"/>
        </w:rPr>
        <w:t xml:space="preserve"> </w:t>
      </w:r>
      <w:r>
        <w:rPr>
          <w:rFonts w:ascii="Arial" w:cs="Arial" w:eastAsia="Arial" w:hAnsi="Arial"/>
          <w:sz w:val="14"/>
          <w:szCs w:val="14"/>
          <w:i w:val="1"/>
          <w:iCs w:val="1"/>
          <w:color w:val="auto"/>
        </w:rPr>
        <w:t>Stock</w:t>
      </w:r>
      <w:r>
        <w:rPr>
          <w:rFonts w:ascii="Arial" w:cs="Arial" w:eastAsia="Arial" w:hAnsi="Arial"/>
          <w:sz w:val="14"/>
          <w:szCs w:val="14"/>
          <w:color w:val="auto"/>
        </w:rPr>
        <w:t>”):</w:t>
      </w:r>
    </w:p>
    <w:p>
      <w:pPr>
        <w:spacing w:after="0" w:line="145" w:lineRule="exact"/>
        <w:rPr>
          <w:sz w:val="20"/>
          <w:szCs w:val="20"/>
          <w:color w:val="auto"/>
        </w:rPr>
      </w:pPr>
    </w:p>
    <w:p>
      <w:pPr>
        <w:jc w:val="both"/>
        <w:ind w:right="20" w:firstLine="497"/>
        <w:spacing w:after="0" w:line="260" w:lineRule="auto"/>
        <w:rPr>
          <w:sz w:val="20"/>
          <w:szCs w:val="20"/>
          <w:color w:val="auto"/>
        </w:rPr>
      </w:pPr>
      <w:r>
        <w:rPr>
          <w:rFonts w:ascii="Arial" w:cs="Arial" w:eastAsia="Arial" w:hAnsi="Arial"/>
          <w:sz w:val="14"/>
          <w:szCs w:val="14"/>
          <w:b w:val="1"/>
          <w:bCs w:val="1"/>
          <w:color w:val="auto"/>
        </w:rPr>
        <w:t>RESOLVED</w:t>
      </w:r>
      <w:r>
        <w:rPr>
          <w:rFonts w:ascii="Arial" w:cs="Arial" w:eastAsia="Arial" w:hAnsi="Arial"/>
          <w:sz w:val="14"/>
          <w:szCs w:val="14"/>
          <w:color w:val="auto"/>
        </w:rPr>
        <w:t>, that pursuant to the authority vested in the Board of Directors in accordance with the provisions of its Certificate, the Board of Directors does hereby create, authorize and provide for</w:t>
      </w:r>
      <w:r>
        <w:rPr>
          <w:rFonts w:ascii="Arial" w:cs="Arial" w:eastAsia="Arial" w:hAnsi="Arial"/>
          <w:sz w:val="14"/>
          <w:szCs w:val="14"/>
          <w:b w:val="1"/>
          <w:bCs w:val="1"/>
          <w:color w:val="auto"/>
        </w:rPr>
        <w:t xml:space="preserve"> </w:t>
      </w:r>
      <w:r>
        <w:rPr>
          <w:rFonts w:ascii="Arial" w:cs="Arial" w:eastAsia="Arial" w:hAnsi="Arial"/>
          <w:sz w:val="14"/>
          <w:szCs w:val="14"/>
          <w:color w:val="auto"/>
        </w:rPr>
        <w:t>1,200,000 shares of its authorized Preferred Stock to be designated and issued as the Series C Preferred Stock, having the voting powers, designation, relative, participating, optional and other special rights, preferences and qualifications, limitations and restrictions that are set forth as follows:</w:t>
      </w:r>
    </w:p>
    <w:p>
      <w:pPr>
        <w:spacing w:after="0" w:line="143" w:lineRule="exact"/>
        <w:rPr>
          <w:sz w:val="20"/>
          <w:szCs w:val="20"/>
          <w:color w:val="auto"/>
        </w:rPr>
      </w:pPr>
    </w:p>
    <w:p>
      <w:pPr>
        <w:ind w:left="760" w:hanging="260"/>
        <w:spacing w:after="0"/>
        <w:tabs>
          <w:tab w:leader="none" w:pos="760"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Voting Rights</w:t>
      </w:r>
      <w:r>
        <w:rPr>
          <w:rFonts w:ascii="Arial" w:cs="Arial" w:eastAsia="Arial" w:hAnsi="Arial"/>
          <w:sz w:val="14"/>
          <w:szCs w:val="14"/>
          <w:color w:val="auto"/>
        </w:rPr>
        <w:t>. The holders of one one-hundredth (1/100) of a share (a “</w:t>
      </w:r>
      <w:r>
        <w:rPr>
          <w:rFonts w:ascii="Arial" w:cs="Arial" w:eastAsia="Arial" w:hAnsi="Arial"/>
          <w:sz w:val="14"/>
          <w:szCs w:val="14"/>
          <w:i w:val="1"/>
          <w:iCs w:val="1"/>
          <w:color w:val="auto"/>
        </w:rPr>
        <w:t>Unit</w:t>
      </w:r>
      <w:r>
        <w:rPr>
          <w:rFonts w:ascii="Arial" w:cs="Arial" w:eastAsia="Arial" w:hAnsi="Arial"/>
          <w:sz w:val="14"/>
          <w:szCs w:val="14"/>
          <w:color w:val="auto"/>
        </w:rPr>
        <w:t>”) of Series C Preferred Stock shall have the following voting rights:</w:t>
      </w:r>
    </w:p>
    <w:p>
      <w:pPr>
        <w:spacing w:after="0" w:line="201" w:lineRule="exact"/>
        <w:rPr>
          <w:sz w:val="20"/>
          <w:szCs w:val="20"/>
          <w:color w:val="auto"/>
        </w:rPr>
      </w:pPr>
    </w:p>
    <w:p>
      <w:pPr>
        <w:ind w:left="1500" w:hanging="503"/>
        <w:spacing w:after="0"/>
        <w:tabs>
          <w:tab w:leader="none" w:pos="150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Subject to the provision for adjustment hereinafter set forth, each Unit of Series C Preferred Stock shall entitle the holder thereof to one vote on all matters submitted to a vote of</w:t>
      </w:r>
    </w:p>
    <w:p>
      <w:pPr>
        <w:spacing w:after="0" w:line="59"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the stockholders of the Corporation. In the event the Corporation shall, at any time after the December 16, 2004 (the “</w:t>
      </w:r>
      <w:r>
        <w:rPr>
          <w:rFonts w:ascii="Arial" w:cs="Arial" w:eastAsia="Arial" w:hAnsi="Arial"/>
          <w:sz w:val="14"/>
          <w:szCs w:val="14"/>
          <w:i w:val="1"/>
          <w:iCs w:val="1"/>
          <w:color w:val="auto"/>
        </w:rPr>
        <w:t>Rights Declaration Date</w:t>
      </w:r>
      <w:r>
        <w:rPr>
          <w:rFonts w:ascii="Arial" w:cs="Arial" w:eastAsia="Arial" w:hAnsi="Arial"/>
          <w:sz w:val="14"/>
          <w:szCs w:val="14"/>
          <w:color w:val="auto"/>
        </w:rPr>
        <w:t>”), (i) declare any dividend on outstanding shares of Common Stock payable in shares of Common Stock, (ii) subdivide outstanding shares of Common Stock or (iii) combine the outstanding shares of Common Stock into a smaller number of shares, then in each such case the number of votes per Unit to which holders of Units of Series C Preferred Stock were entitled immediately prior to such event shall be adjusted by multiplying such number by a fraction (y) the numerator of which shall be the number of shares of Common Stock outstanding immediately after such event and (z) the denominator of which shall be the number of shares of Common Stock that were outstanding immediately prior to such event;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380"/>
          </w:cols>
          <w:pgMar w:left="220" w:top="642" w:right="299" w:bottom="1440" w:gutter="0" w:footer="0" w:header="0"/>
        </w:sectPr>
      </w:pPr>
    </w:p>
    <w:bookmarkStart w:id="150" w:name="page151"/>
    <w:bookmarkEnd w:id="150"/>
    <w:p>
      <w:pPr>
        <w:ind w:right="160" w:firstLine="997"/>
        <w:spacing w:after="0" w:line="314" w:lineRule="auto"/>
        <w:tabs>
          <w:tab w:leader="none" w:pos="1509" w:val="left"/>
        </w:tabs>
        <w:numPr>
          <w:ilvl w:val="1"/>
          <w:numId w:val="91"/>
        </w:numPr>
        <w:rPr>
          <w:rFonts w:ascii="Arial" w:cs="Arial" w:eastAsia="Arial" w:hAnsi="Arial"/>
          <w:sz w:val="14"/>
          <w:szCs w:val="14"/>
          <w:color w:val="auto"/>
        </w:rPr>
      </w:pPr>
      <w:r>
        <w:rPr>
          <w:rFonts w:ascii="Arial" w:cs="Arial" w:eastAsia="Arial" w:hAnsi="Arial"/>
          <w:sz w:val="14"/>
          <w:szCs w:val="14"/>
          <w:color w:val="auto"/>
        </w:rPr>
        <w:t>Except as otherwise provided herein, in the Certificate or the Bylaws of the Corporation or as required by law, the holders of Units of Series C Preferred Stock and the holders of shares of Common Stock shall vote together as one class on all matters submitted to a vote of stockholders of the Corporation.</w:t>
      </w:r>
    </w:p>
    <w:p>
      <w:pPr>
        <w:spacing w:after="0" w:line="106" w:lineRule="exact"/>
        <w:rPr>
          <w:rFonts w:ascii="Arial" w:cs="Arial" w:eastAsia="Arial" w:hAnsi="Arial"/>
          <w:sz w:val="14"/>
          <w:szCs w:val="14"/>
          <w:color w:val="auto"/>
        </w:rPr>
      </w:pPr>
    </w:p>
    <w:p>
      <w:pPr>
        <w:ind w:left="1000" w:hanging="500"/>
        <w:spacing w:after="0"/>
        <w:tabs>
          <w:tab w:leader="none" w:pos="1000"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Reacquired Shares</w:t>
      </w:r>
      <w:r>
        <w:rPr>
          <w:rFonts w:ascii="Arial" w:cs="Arial" w:eastAsia="Arial" w:hAnsi="Arial"/>
          <w:sz w:val="12"/>
          <w:szCs w:val="12"/>
          <w:color w:val="auto"/>
        </w:rPr>
        <w:t>. Any Units of Series C Preferred Stock purchased or otherwise acquired by the Corporation in any manner whatsoever shall be retired and cancelled promptly after the</w:t>
      </w:r>
    </w:p>
    <w:p>
      <w:pPr>
        <w:spacing w:after="0" w:line="59"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acquisition thereof. All such Units shall, upon their cancellation, become authorized but unissued shares (or fractions of shares) of Preferred Stock and may be reissued as part of a new series of Preferred Stock to be created by resolution or resolutions of the Board of Directors, subject to the conditions and restrictions on issuance set forth herein.</w:t>
      </w:r>
    </w:p>
    <w:p>
      <w:pPr>
        <w:spacing w:after="0" w:line="139" w:lineRule="exact"/>
        <w:rPr>
          <w:sz w:val="20"/>
          <w:szCs w:val="20"/>
          <w:color w:val="auto"/>
        </w:rPr>
      </w:pPr>
    </w:p>
    <w:p>
      <w:pPr>
        <w:ind w:left="1000" w:hanging="500"/>
        <w:spacing w:after="0"/>
        <w:tabs>
          <w:tab w:leader="none" w:pos="1000"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Liquidation, Dissolution or Winding Up</w:t>
      </w:r>
      <w:r>
        <w:rPr>
          <w:rFonts w:ascii="Arial" w:cs="Arial" w:eastAsia="Arial" w:hAnsi="Arial"/>
          <w:sz w:val="13"/>
          <w:szCs w:val="13"/>
          <w:color w:val="auto"/>
        </w:rPr>
        <w:t>. (A) Upon any voluntary or involuntary liquidation, dissolution or winding up of the Corporation, no distribution shall be made (i) to the holders of</w:t>
      </w:r>
    </w:p>
    <w:p>
      <w:pPr>
        <w:spacing w:after="0" w:line="47"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shares of junior stock, unless the holders of Units of Series C Preferred Stock shall have received, subject to adjustment as hereinafter provided in paragraph (B), the greater of either (a) $0.01 per Unit plus an amount equal to accrued and unpaid dividends and distributions thereon to the date of such payment, or (b) the amount equal to the aggregate per share amount to be distributed to holders of shares of Common Stock, or (ii) to the holders of shares of parity stock, unless simultaneously therewith distributions are made ratably on Units of Series C Preferred Stock and all other shares of such parity stock in proportion to the total amounts to which the holders of Units of Series C Preferred Stock are entitled under clause (i)(a) of this sentence and to which the holders of shares of such parity stock are entitled, in each case upon such liquidation, dissolution or winding up.</w:t>
      </w:r>
    </w:p>
    <w:p>
      <w:pPr>
        <w:spacing w:after="0" w:line="149" w:lineRule="exact"/>
        <w:rPr>
          <w:sz w:val="20"/>
          <w:szCs w:val="20"/>
          <w:color w:val="auto"/>
        </w:rPr>
      </w:pPr>
    </w:p>
    <w:p>
      <w:pPr>
        <w:ind w:left="1520" w:hanging="523"/>
        <w:spacing w:after="0"/>
        <w:tabs>
          <w:tab w:leader="none" w:pos="15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 the event the Corporation shall at any time after the Rights Declaration Date (i) declare any dividend on outstanding shares of Common Stock payable in shares of Common</w:t>
      </w:r>
    </w:p>
    <w:p>
      <w:pPr>
        <w:spacing w:after="0" w:line="59" w:lineRule="exact"/>
        <w:rPr>
          <w:sz w:val="20"/>
          <w:szCs w:val="20"/>
          <w:color w:val="auto"/>
        </w:rPr>
      </w:pPr>
    </w:p>
    <w:p>
      <w:pPr>
        <w:jc w:val="both"/>
        <w:ind w:right="380"/>
        <w:spacing w:after="0" w:line="253" w:lineRule="auto"/>
        <w:rPr>
          <w:sz w:val="20"/>
          <w:szCs w:val="20"/>
          <w:color w:val="auto"/>
        </w:rPr>
      </w:pPr>
      <w:r>
        <w:rPr>
          <w:rFonts w:ascii="Arial" w:cs="Arial" w:eastAsia="Arial" w:hAnsi="Arial"/>
          <w:sz w:val="14"/>
          <w:szCs w:val="14"/>
          <w:color w:val="auto"/>
        </w:rPr>
        <w:t xml:space="preserve">Stock, (ii) subdivide outstanding shares of Common Stock, or (iii) combine outstanding shares of Common Stock into a smaller number of shares, then in each such case the aggregate amount to which holders of Units of Series C Preferred Stock were entitled immediately prior to such event pursuant to clause (i)(b) of paragraph (A) of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shall be adjusted by multiplying such amount by a fraction (y) the numerator of which shall be the number of shares of Common Stock that are outstanding immediately after such event and (z) the denominator of which shall be the number of shares of Common Stock that were outstanding immediately prior to such event.</w:t>
      </w:r>
    </w:p>
    <w:p>
      <w:pPr>
        <w:spacing w:after="0" w:line="149" w:lineRule="exact"/>
        <w:rPr>
          <w:sz w:val="20"/>
          <w:szCs w:val="20"/>
          <w:color w:val="auto"/>
        </w:rPr>
      </w:pPr>
    </w:p>
    <w:p>
      <w:pPr>
        <w:ind w:left="760" w:hanging="260"/>
        <w:spacing w:after="0"/>
        <w:tabs>
          <w:tab w:leader="none" w:pos="760" w:val="left"/>
        </w:tabs>
        <w:numPr>
          <w:ilvl w:val="0"/>
          <w:numId w:val="95"/>
        </w:numPr>
        <w:rPr>
          <w:rFonts w:ascii="Arial" w:cs="Arial" w:eastAsia="Arial" w:hAnsi="Arial"/>
          <w:sz w:val="12"/>
          <w:szCs w:val="12"/>
          <w:color w:val="auto"/>
        </w:rPr>
      </w:pPr>
      <w:r>
        <w:rPr>
          <w:rFonts w:ascii="Arial" w:cs="Arial" w:eastAsia="Arial" w:hAnsi="Arial"/>
          <w:sz w:val="12"/>
          <w:szCs w:val="12"/>
          <w:u w:val="single" w:color="auto"/>
          <w:color w:val="auto"/>
        </w:rPr>
        <w:t>Consolidation, Merger, etc</w:t>
      </w:r>
      <w:r>
        <w:rPr>
          <w:rFonts w:ascii="Arial" w:cs="Arial" w:eastAsia="Arial" w:hAnsi="Arial"/>
          <w:sz w:val="12"/>
          <w:szCs w:val="12"/>
          <w:color w:val="auto"/>
        </w:rPr>
        <w:t>. In case the Corporation shall enter into any consolidation, merger, combination or other transaction in which the shares of Common Stock are exchanged for or</w:t>
      </w:r>
    </w:p>
    <w:p>
      <w:pPr>
        <w:spacing w:after="0" w:line="59"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converted into other stock or securities, cash and/or any other property, then in any such case Units of Series C Preferred Stock shall at the same time be similarly exchanged for or converted into an amount per Unit (subject to the provision for adjustment hereinafter set forth) equal to the aggregate amount of stock, securities, cash and/or any other property (payable in kind), as the case may be, into which or for which each share of Common Stock is converted or exchanged. In the event the Corporation shall at any time after the Rights Declaration Date (i) declare any dividend on outstanding shares of Common Stock payable in shares of Common Stock, (ii) subdivide outstanding shares of Common Stock, or (iii) combine outstanding Common Stock into a smaller number of shares, then in each such case the amount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C-2</w:t>
      </w:r>
    </w:p>
    <w:p>
      <w:pPr>
        <w:sectPr>
          <w:pgSz w:w="11900" w:h="16838" w:orient="portrait"/>
          <w:cols w:equalWidth="0" w:num="1">
            <w:col w:w="11460"/>
          </w:cols>
          <w:pgMar w:left="220" w:top="646" w:right="219" w:bottom="1440" w:gutter="0" w:footer="0" w:header="0"/>
        </w:sectPr>
      </w:pPr>
    </w:p>
    <w:bookmarkStart w:id="151" w:name="page152"/>
    <w:bookmarkEnd w:id="151"/>
    <w:p>
      <w:pPr>
        <w:jc w:val="both"/>
        <w:ind w:right="180"/>
        <w:spacing w:after="0" w:line="257" w:lineRule="auto"/>
        <w:rPr>
          <w:sz w:val="20"/>
          <w:szCs w:val="20"/>
          <w:color w:val="auto"/>
        </w:rPr>
      </w:pPr>
      <w:r>
        <w:rPr>
          <w:rFonts w:ascii="Arial" w:cs="Arial" w:eastAsia="Arial" w:hAnsi="Arial"/>
          <w:sz w:val="14"/>
          <w:szCs w:val="14"/>
          <w:color w:val="auto"/>
        </w:rPr>
        <w:t>the immediately preceding sentence with respect to the exchange or conversion of Units of Series C Preferred Stock shall be adjusted by multiplying such amount by a fraction (y) the numerator of which shall be the number of shares of Common Stock that are outstanding immediately after such event and (z) the denominator of which shall be the number of shares of Common Stock that were outstanding immediately prior to such event.</w:t>
      </w:r>
    </w:p>
    <w:p>
      <w:pPr>
        <w:spacing w:after="0" w:line="145" w:lineRule="exact"/>
        <w:rPr>
          <w:sz w:val="20"/>
          <w:szCs w:val="20"/>
          <w:color w:val="auto"/>
        </w:rPr>
      </w:pPr>
    </w:p>
    <w:p>
      <w:pPr>
        <w:ind w:left="1000" w:hanging="500"/>
        <w:spacing w:after="0"/>
        <w:tabs>
          <w:tab w:leader="none" w:pos="1000"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Redemption</w:t>
      </w:r>
      <w:r>
        <w:rPr>
          <w:rFonts w:ascii="Arial" w:cs="Arial" w:eastAsia="Arial" w:hAnsi="Arial"/>
          <w:sz w:val="14"/>
          <w:szCs w:val="14"/>
          <w:color w:val="auto"/>
        </w:rPr>
        <w:t>. The Units of Series C Preferred Stock and shares of Series C Preferred Stock shall not be redeemable.</w:t>
      </w:r>
    </w:p>
    <w:p>
      <w:pPr>
        <w:spacing w:after="0" w:line="201" w:lineRule="exact"/>
        <w:rPr>
          <w:rFonts w:ascii="Arial" w:cs="Arial" w:eastAsia="Arial" w:hAnsi="Arial"/>
          <w:sz w:val="14"/>
          <w:szCs w:val="14"/>
          <w:color w:val="auto"/>
        </w:rPr>
      </w:pPr>
    </w:p>
    <w:p>
      <w:pPr>
        <w:ind w:left="1000" w:hanging="500"/>
        <w:spacing w:after="0"/>
        <w:tabs>
          <w:tab w:leader="none" w:pos="100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Ranking</w:t>
      </w:r>
      <w:r>
        <w:rPr>
          <w:rFonts w:ascii="Arial" w:cs="Arial" w:eastAsia="Arial" w:hAnsi="Arial"/>
          <w:sz w:val="13"/>
          <w:szCs w:val="13"/>
          <w:color w:val="auto"/>
        </w:rPr>
        <w:t>. The Units of Series C Preferred Stock and shares of Series C Preferred Stock shall rank junior to all other series and any other class of Preferred Stock (now or hereafter</w:t>
      </w:r>
    </w:p>
    <w:p>
      <w:pPr>
        <w:spacing w:after="0" w:line="47"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authorized or issued by the Corporation) as to the payment of dividends, conversion, redemption or liquidation rights and the distribution of assets, unless the terms of any such series or class shall provide otherwise.</w:t>
      </w:r>
    </w:p>
    <w:p>
      <w:pPr>
        <w:spacing w:after="0" w:line="139" w:lineRule="exact"/>
        <w:rPr>
          <w:sz w:val="20"/>
          <w:szCs w:val="20"/>
          <w:color w:val="auto"/>
        </w:rPr>
      </w:pPr>
    </w:p>
    <w:p>
      <w:pPr>
        <w:ind w:right="40" w:firstLine="500"/>
        <w:spacing w:after="0" w:line="356" w:lineRule="auto"/>
        <w:tabs>
          <w:tab w:leader="none" w:pos="1004"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Fractional Shares</w:t>
      </w:r>
      <w:r>
        <w:rPr>
          <w:rFonts w:ascii="Arial" w:cs="Arial" w:eastAsia="Arial" w:hAnsi="Arial"/>
          <w:sz w:val="13"/>
          <w:szCs w:val="13"/>
          <w:color w:val="auto"/>
        </w:rPr>
        <w:t>. The Series C Preferred Stock may be issued in Units or other fractions of a share, which Units or fractions shall entitle the holder, in proportion to such holder’s units or fractional shares, to exercise voting rights, receive dividends, participate in distributions and to have the benefit of all other rights of holders of Series C Preferred Stock.</w:t>
      </w:r>
    </w:p>
    <w:p>
      <w:pPr>
        <w:spacing w:after="0" w:line="84" w:lineRule="exact"/>
        <w:rPr>
          <w:rFonts w:ascii="Arial" w:cs="Arial" w:eastAsia="Arial" w:hAnsi="Arial"/>
          <w:sz w:val="13"/>
          <w:szCs w:val="13"/>
          <w:color w:val="auto"/>
        </w:rPr>
      </w:pPr>
    </w:p>
    <w:p>
      <w:pPr>
        <w:ind w:left="1020" w:hanging="520"/>
        <w:spacing w:after="0"/>
        <w:tabs>
          <w:tab w:leader="none" w:pos="1020" w:val="left"/>
        </w:tabs>
        <w:numPr>
          <w:ilvl w:val="0"/>
          <w:numId w:val="97"/>
        </w:numPr>
        <w:rPr>
          <w:rFonts w:ascii="Arial" w:cs="Arial" w:eastAsia="Arial" w:hAnsi="Arial"/>
          <w:sz w:val="12"/>
          <w:szCs w:val="12"/>
          <w:color w:val="auto"/>
        </w:rPr>
      </w:pPr>
      <w:r>
        <w:rPr>
          <w:rFonts w:ascii="Arial" w:cs="Arial" w:eastAsia="Arial" w:hAnsi="Arial"/>
          <w:sz w:val="12"/>
          <w:szCs w:val="12"/>
          <w:u w:val="single" w:color="auto"/>
          <w:color w:val="auto"/>
        </w:rPr>
        <w:t>Amendment.</w:t>
      </w:r>
      <w:r>
        <w:rPr>
          <w:rFonts w:ascii="Arial" w:cs="Arial" w:eastAsia="Arial" w:hAnsi="Arial"/>
          <w:sz w:val="12"/>
          <w:szCs w:val="12"/>
          <w:color w:val="auto"/>
        </w:rPr>
        <w:t xml:space="preserve"> At any time when any Units of Series C Preferred Stock are outstanding, neither the Certificate of the Corporation nor this Certificate of Designation shall be amended in any</w:t>
      </w:r>
    </w:p>
    <w:p>
      <w:pPr>
        <w:spacing w:after="0" w:line="59"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manner that would materially alter or change the powers, preferences or special rights of the Units of Series C Preferred Stock so as to affect them adversely without the affirmative vote of the holders of a majority or more of the outstanding Units of Series C Preferred Stock, voting separately as a class.</w:t>
      </w:r>
    </w:p>
    <w:p>
      <w:pPr>
        <w:spacing w:after="0" w:line="139" w:lineRule="exact"/>
        <w:rPr>
          <w:sz w:val="20"/>
          <w:szCs w:val="20"/>
          <w:color w:val="auto"/>
        </w:rPr>
      </w:pPr>
    </w:p>
    <w:p>
      <w:pPr>
        <w:ind w:left="1000" w:hanging="500"/>
        <w:spacing w:after="0"/>
        <w:tabs>
          <w:tab w:leader="none" w:pos="1000"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Certain Definitions</w:t>
      </w:r>
      <w:r>
        <w:rPr>
          <w:rFonts w:ascii="Arial" w:cs="Arial" w:eastAsia="Arial" w:hAnsi="Arial"/>
          <w:sz w:val="14"/>
          <w:szCs w:val="14"/>
          <w:color w:val="auto"/>
        </w:rPr>
        <w:t>. As used in this resolution with respect to the Series C Preferred Stock, the following terms shall have the following meanings:</w:t>
      </w:r>
    </w:p>
    <w:p>
      <w:pPr>
        <w:spacing w:after="0" w:line="201" w:lineRule="exact"/>
        <w:rPr>
          <w:rFonts w:ascii="Arial" w:cs="Arial" w:eastAsia="Arial" w:hAnsi="Arial"/>
          <w:sz w:val="14"/>
          <w:szCs w:val="14"/>
          <w:color w:val="auto"/>
        </w:rPr>
      </w:pPr>
    </w:p>
    <w:p>
      <w:pPr>
        <w:ind w:right="180" w:firstLine="997"/>
        <w:spacing w:after="0" w:line="314" w:lineRule="auto"/>
        <w:tabs>
          <w:tab w:leader="none" w:pos="1496"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term “Common Stock” shall mean the class of stock designated as the common stock, par value $0.001 per share, of the Corporation at the date hereof or any other class of stock resulting from successive changes or reclassification of the common stock.</w:t>
      </w:r>
    </w:p>
    <w:p>
      <w:pPr>
        <w:spacing w:after="0" w:line="106" w:lineRule="exact"/>
        <w:rPr>
          <w:rFonts w:ascii="Arial" w:cs="Arial" w:eastAsia="Arial" w:hAnsi="Arial"/>
          <w:sz w:val="14"/>
          <w:szCs w:val="14"/>
          <w:color w:val="auto"/>
        </w:rPr>
      </w:pPr>
    </w:p>
    <w:p>
      <w:pPr>
        <w:ind w:right="100" w:firstLine="997"/>
        <w:spacing w:after="0" w:line="314" w:lineRule="auto"/>
        <w:tabs>
          <w:tab w:leader="none" w:pos="1509" w:val="left"/>
        </w:tabs>
        <w:numPr>
          <w:ilvl w:val="1"/>
          <w:numId w:val="98"/>
        </w:numPr>
        <w:rPr>
          <w:rFonts w:ascii="Arial" w:cs="Arial" w:eastAsia="Arial" w:hAnsi="Arial"/>
          <w:sz w:val="14"/>
          <w:szCs w:val="14"/>
          <w:color w:val="auto"/>
        </w:rPr>
      </w:pPr>
      <w:r>
        <w:rPr>
          <w:rFonts w:ascii="Arial" w:cs="Arial" w:eastAsia="Arial" w:hAnsi="Arial"/>
          <w:sz w:val="14"/>
          <w:szCs w:val="14"/>
          <w:color w:val="auto"/>
        </w:rPr>
        <w:t>The term “junior stock” shall mean the Common Stock and any other class or series of capital stock of the Corporation over which the Series C Preferred Stock has preference or priority in the distribution of assets on any liquidation, dissolution or winding up of the Corporation.</w:t>
      </w:r>
    </w:p>
    <w:p>
      <w:pPr>
        <w:spacing w:after="0" w:line="106" w:lineRule="exact"/>
        <w:rPr>
          <w:rFonts w:ascii="Arial" w:cs="Arial" w:eastAsia="Arial" w:hAnsi="Arial"/>
          <w:sz w:val="14"/>
          <w:szCs w:val="14"/>
          <w:color w:val="auto"/>
        </w:rPr>
      </w:pPr>
    </w:p>
    <w:p>
      <w:pPr>
        <w:ind w:left="1520" w:hanging="523"/>
        <w:spacing w:after="0"/>
        <w:tabs>
          <w:tab w:leader="none" w:pos="1520" w:val="left"/>
        </w:tabs>
        <w:numPr>
          <w:ilvl w:val="1"/>
          <w:numId w:val="98"/>
        </w:numPr>
        <w:rPr>
          <w:rFonts w:ascii="Arial" w:cs="Arial" w:eastAsia="Arial" w:hAnsi="Arial"/>
          <w:sz w:val="13"/>
          <w:szCs w:val="13"/>
          <w:color w:val="auto"/>
        </w:rPr>
      </w:pPr>
      <w:r>
        <w:rPr>
          <w:rFonts w:ascii="Arial" w:cs="Arial" w:eastAsia="Arial" w:hAnsi="Arial"/>
          <w:sz w:val="13"/>
          <w:szCs w:val="13"/>
          <w:color w:val="auto"/>
        </w:rPr>
        <w:t xml:space="preserve">The term “parity stock” shall mean any class or series of capital stock ranking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Series C Preferred Stock in the distribution of assets on any liquidation,</w:t>
      </w:r>
    </w:p>
    <w:p>
      <w:pPr>
        <w:spacing w:after="0" w:line="4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dissolution or winding up.</w:t>
      </w:r>
    </w:p>
    <w:p>
      <w:pPr>
        <w:spacing w:after="0" w:line="166" w:lineRule="exact"/>
        <w:rPr>
          <w:sz w:val="20"/>
          <w:szCs w:val="20"/>
          <w:color w:val="auto"/>
        </w:rPr>
      </w:pPr>
    </w:p>
    <w:p>
      <w:pPr>
        <w:ind w:right="460" w:firstLine="497"/>
        <w:spacing w:after="0" w:line="273" w:lineRule="auto"/>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Wireless Facilities, Inc. has caused this Certificate of Designation to be signed by its Chief Executive Officer and President and its Sr. Vice President and Chief</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Officer this 16th day of December,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C-3</w:t>
      </w:r>
    </w:p>
    <w:p>
      <w:pPr>
        <w:sectPr>
          <w:pgSz w:w="11900" w:h="16838" w:orient="portrait"/>
          <w:cols w:equalWidth="0" w:num="1">
            <w:col w:w="11400"/>
          </w:cols>
          <w:pgMar w:left="220" w:top="646" w:right="279" w:bottom="1440" w:gutter="0" w:footer="0" w:header="0"/>
        </w:sectPr>
      </w:pPr>
    </w:p>
    <w:bookmarkStart w:id="152" w:name="page153"/>
    <w:bookmarkEnd w:id="152"/>
    <w:p>
      <w:pPr>
        <w:ind w:left="4980"/>
        <w:spacing w:after="0"/>
        <w:rPr>
          <w:sz w:val="20"/>
          <w:szCs w:val="20"/>
          <w:color w:val="auto"/>
        </w:rPr>
      </w:pPr>
      <w:r>
        <w:rPr>
          <w:rFonts w:ascii="Arial" w:cs="Arial" w:eastAsia="Arial" w:hAnsi="Arial"/>
          <w:sz w:val="14"/>
          <w:szCs w:val="14"/>
          <w:b w:val="1"/>
          <w:bCs w:val="1"/>
          <w:color w:val="auto"/>
        </w:rPr>
        <w:t>WIRELESS FACILITIES, INC.</w:t>
      </w:r>
    </w:p>
    <w:p>
      <w:pPr>
        <w:spacing w:after="0" w:line="200" w:lineRule="exact"/>
        <w:rPr>
          <w:sz w:val="20"/>
          <w:szCs w:val="20"/>
          <w:color w:val="auto"/>
        </w:rPr>
      </w:pPr>
    </w:p>
    <w:p>
      <w:pPr>
        <w:spacing w:after="0" w:line="264"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22860</wp:posOffset>
            </wp:positionV>
            <wp:extent cx="246570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65705" cy="6350"/>
                    </a:xfrm>
                    <a:prstGeom prst="rect">
                      <a:avLst/>
                    </a:prstGeom>
                    <a:noFill/>
                  </pic:spPr>
                </pic:pic>
              </a:graphicData>
            </a:graphic>
          </wp:anchor>
        </w:drawing>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Name: Eric M. DeMarco</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i w:val="1"/>
          <w:iCs w:val="1"/>
          <w:color w:val="auto"/>
        </w:rPr>
        <w:t>Chief Executive Officer and President</w:t>
      </w:r>
    </w:p>
    <w:p>
      <w:pPr>
        <w:spacing w:after="0" w:line="200" w:lineRule="exact"/>
        <w:rPr>
          <w:sz w:val="20"/>
          <w:szCs w:val="20"/>
          <w:color w:val="auto"/>
        </w:rPr>
      </w:pPr>
    </w:p>
    <w:p>
      <w:pPr>
        <w:spacing w:after="0" w:line="251"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22860</wp:posOffset>
            </wp:positionV>
            <wp:extent cx="246570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65705" cy="6350"/>
                    </a:xfrm>
                    <a:prstGeom prst="rect">
                      <a:avLst/>
                    </a:prstGeom>
                    <a:noFill/>
                  </pic:spPr>
                </pic:pic>
              </a:graphicData>
            </a:graphic>
          </wp:anchor>
        </w:drawing>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Name: Deanna H. Lund</w:t>
      </w:r>
    </w:p>
    <w:p>
      <w:pPr>
        <w:spacing w:after="0" w:line="46" w:lineRule="exact"/>
        <w:rPr>
          <w:sz w:val="20"/>
          <w:szCs w:val="20"/>
          <w:color w:val="auto"/>
        </w:rPr>
      </w:pPr>
    </w:p>
    <w:p>
      <w:pPr>
        <w:ind w:left="4980"/>
        <w:spacing w:after="0"/>
        <w:rPr>
          <w:sz w:val="20"/>
          <w:szCs w:val="20"/>
          <w:color w:val="auto"/>
        </w:rPr>
      </w:pPr>
      <w:r>
        <w:rPr>
          <w:rFonts w:ascii="Arial" w:cs="Arial" w:eastAsia="Arial" w:hAnsi="Arial"/>
          <w:sz w:val="12"/>
          <w:szCs w:val="12"/>
          <w:color w:val="auto"/>
        </w:rPr>
        <w:t xml:space="preserve">Title:  </w:t>
      </w:r>
      <w:r>
        <w:rPr>
          <w:rFonts w:ascii="Arial" w:cs="Arial" w:eastAsia="Arial" w:hAnsi="Arial"/>
          <w:sz w:val="12"/>
          <w:szCs w:val="12"/>
          <w:i w:val="1"/>
          <w:iCs w:val="1"/>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C-4</w:t>
      </w:r>
    </w:p>
    <w:p>
      <w:pPr>
        <w:sectPr>
          <w:pgSz w:w="11900" w:h="16838" w:orient="portrait"/>
          <w:cols w:equalWidth="0" w:num="1">
            <w:col w:w="9019"/>
          </w:cols>
          <w:pgMar w:left="1440" w:top="932" w:right="1440" w:bottom="1440" w:gutter="0" w:footer="0" w:header="0"/>
        </w:sectPr>
      </w:pPr>
    </w:p>
    <w:bookmarkStart w:id="153" w:name="page154"/>
    <w:bookmarkEnd w:id="153"/>
    <w:p>
      <w:pPr>
        <w:ind w:left="560"/>
        <w:spacing w:after="0"/>
        <w:rPr>
          <w:sz w:val="20"/>
          <w:szCs w:val="20"/>
          <w:color w:val="auto"/>
        </w:rPr>
      </w:pPr>
      <w:r>
        <w:rPr>
          <w:rFonts w:ascii="Arial" w:cs="Arial" w:eastAsia="Arial" w:hAnsi="Arial"/>
          <w:sz w:val="17"/>
          <w:szCs w:val="17"/>
          <w:b w:val="1"/>
          <w:bCs w:val="1"/>
          <w:color w:val="010101"/>
        </w:rPr>
        <w:t>CERTIFICATE OF CHANGE OF LOCATION OF REGISTERED OFFICE AND OF REGISTERED AGENT</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7"/>
          <w:szCs w:val="17"/>
          <w:b w:val="1"/>
          <w:bCs w:val="1"/>
          <w:color w:val="010101"/>
        </w:rPr>
        <w:t>OF</w:t>
      </w:r>
    </w:p>
    <w:p>
      <w:pPr>
        <w:spacing w:after="0" w:line="149"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010101"/>
        </w:rPr>
        <w:t>WIRELESS FACILITIES, INC.</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010101"/>
        </w:rPr>
        <w:t xml:space="preserve">It </w:t>
      </w:r>
      <w:r>
        <w:rPr>
          <w:rFonts w:ascii="Arial" w:cs="Arial" w:eastAsia="Arial" w:hAnsi="Arial"/>
          <w:sz w:val="15"/>
          <w:szCs w:val="15"/>
          <w:color w:val="010101"/>
        </w:rPr>
        <w:t>is hereby certified that:</w:t>
      </w:r>
    </w:p>
    <w:p>
      <w:pPr>
        <w:spacing w:after="0" w:line="169" w:lineRule="exact"/>
        <w:rPr>
          <w:sz w:val="20"/>
          <w:szCs w:val="20"/>
          <w:color w:val="auto"/>
        </w:rPr>
      </w:pPr>
    </w:p>
    <w:p>
      <w:pPr>
        <w:ind w:left="1180" w:hanging="159"/>
        <w:spacing w:after="0"/>
        <w:tabs>
          <w:tab w:leader="none" w:pos="1180" w:val="left"/>
        </w:tabs>
        <w:numPr>
          <w:ilvl w:val="1"/>
          <w:numId w:val="99"/>
        </w:numPr>
        <w:rPr>
          <w:rFonts w:ascii="Arial" w:cs="Arial" w:eastAsia="Arial" w:hAnsi="Arial"/>
          <w:sz w:val="15"/>
          <w:szCs w:val="15"/>
          <w:color w:val="010101"/>
        </w:rPr>
      </w:pPr>
      <w:r>
        <w:rPr>
          <w:rFonts w:ascii="Arial" w:cs="Arial" w:eastAsia="Arial" w:hAnsi="Arial"/>
          <w:sz w:val="15"/>
          <w:szCs w:val="15"/>
          <w:color w:val="010101"/>
        </w:rPr>
        <w:t>The name of the corporation (hereinafter called the "corporation") is:</w:t>
      </w:r>
    </w:p>
    <w:p>
      <w:pPr>
        <w:spacing w:after="0" w:line="171" w:lineRule="exact"/>
        <w:rPr>
          <w:rFonts w:ascii="Arial" w:cs="Arial" w:eastAsia="Arial" w:hAnsi="Arial"/>
          <w:sz w:val="15"/>
          <w:szCs w:val="15"/>
          <w:color w:val="010101"/>
        </w:rPr>
      </w:pPr>
    </w:p>
    <w:p>
      <w:pPr>
        <w:ind w:left="2000"/>
        <w:spacing w:after="0"/>
        <w:rPr>
          <w:rFonts w:ascii="Arial" w:cs="Arial" w:eastAsia="Arial" w:hAnsi="Arial"/>
          <w:sz w:val="15"/>
          <w:szCs w:val="15"/>
          <w:color w:val="010101"/>
        </w:rPr>
      </w:pPr>
      <w:r>
        <w:rPr>
          <w:rFonts w:ascii="Arial" w:cs="Arial" w:eastAsia="Arial" w:hAnsi="Arial"/>
          <w:sz w:val="17"/>
          <w:szCs w:val="17"/>
          <w:b w:val="1"/>
          <w:bCs w:val="1"/>
          <w:color w:val="010101"/>
        </w:rPr>
        <w:t>WIRELESS FACILITIES, INC.</w:t>
      </w:r>
    </w:p>
    <w:p>
      <w:pPr>
        <w:spacing w:after="0" w:line="174" w:lineRule="exact"/>
        <w:rPr>
          <w:rFonts w:ascii="Arial" w:cs="Arial" w:eastAsia="Arial" w:hAnsi="Arial"/>
          <w:sz w:val="15"/>
          <w:szCs w:val="15"/>
          <w:color w:val="010101"/>
        </w:rPr>
      </w:pPr>
    </w:p>
    <w:p>
      <w:pPr>
        <w:ind w:left="1480" w:hanging="480"/>
        <w:spacing w:after="0"/>
        <w:tabs>
          <w:tab w:leader="none" w:pos="1480" w:val="left"/>
        </w:tabs>
        <w:numPr>
          <w:ilvl w:val="0"/>
          <w:numId w:val="100"/>
        </w:numPr>
        <w:rPr>
          <w:rFonts w:ascii="Arial" w:cs="Arial" w:eastAsia="Arial" w:hAnsi="Arial"/>
          <w:sz w:val="13"/>
          <w:szCs w:val="13"/>
          <w:color w:val="auto"/>
        </w:rPr>
      </w:pPr>
      <w:r>
        <w:rPr>
          <w:rFonts w:ascii="Arial" w:cs="Arial" w:eastAsia="Arial" w:hAnsi="Arial"/>
          <w:sz w:val="14"/>
          <w:szCs w:val="14"/>
          <w:color w:val="010101"/>
        </w:rPr>
        <w:t>The registered office of the corporation within the State of Delaware is hereby changed to 2711 Centerville Road, Suite 400, City of Wilmington 19808, County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010101"/>
        </w:rPr>
        <w:t>of New Castle.</w:t>
      </w:r>
    </w:p>
    <w:p>
      <w:pPr>
        <w:spacing w:after="0" w:line="190" w:lineRule="exact"/>
        <w:rPr>
          <w:sz w:val="20"/>
          <w:szCs w:val="20"/>
          <w:color w:val="auto"/>
        </w:rPr>
      </w:pPr>
    </w:p>
    <w:p>
      <w:pPr>
        <w:ind w:firstLine="1000"/>
        <w:spacing w:after="0" w:line="299" w:lineRule="auto"/>
        <w:tabs>
          <w:tab w:leader="none" w:pos="1480" w:val="left"/>
        </w:tabs>
        <w:numPr>
          <w:ilvl w:val="0"/>
          <w:numId w:val="101"/>
        </w:numPr>
        <w:rPr>
          <w:rFonts w:ascii="Arial" w:cs="Arial" w:eastAsia="Arial" w:hAnsi="Arial"/>
          <w:sz w:val="14"/>
          <w:szCs w:val="14"/>
          <w:color w:val="auto"/>
        </w:rPr>
      </w:pPr>
      <w:r>
        <w:rPr>
          <w:rFonts w:ascii="Arial" w:cs="Arial" w:eastAsia="Arial" w:hAnsi="Arial"/>
          <w:sz w:val="15"/>
          <w:szCs w:val="15"/>
          <w:color w:val="010101"/>
        </w:rPr>
        <w:t>The registered agent of the corporation within the State of Delaware is hereby changed to Corporation Service Company, the business office of which is identical with the registered office of the corporation as hereby changed.</w:t>
      </w:r>
    </w:p>
    <w:p>
      <w:pPr>
        <w:spacing w:after="0" w:line="129" w:lineRule="exact"/>
        <w:rPr>
          <w:rFonts w:ascii="Arial" w:cs="Arial" w:eastAsia="Arial" w:hAnsi="Arial"/>
          <w:sz w:val="14"/>
          <w:szCs w:val="14"/>
          <w:color w:val="auto"/>
        </w:rPr>
      </w:pPr>
    </w:p>
    <w:p>
      <w:pPr>
        <w:ind w:left="1480" w:hanging="480"/>
        <w:spacing w:after="0"/>
        <w:tabs>
          <w:tab w:leader="none" w:pos="1480" w:val="left"/>
        </w:tabs>
        <w:numPr>
          <w:ilvl w:val="0"/>
          <w:numId w:val="101"/>
        </w:numPr>
        <w:rPr>
          <w:rFonts w:ascii="Arial" w:cs="Arial" w:eastAsia="Arial" w:hAnsi="Arial"/>
          <w:sz w:val="14"/>
          <w:szCs w:val="14"/>
          <w:color w:val="auto"/>
        </w:rPr>
      </w:pPr>
      <w:r>
        <w:rPr>
          <w:rFonts w:ascii="Arial" w:cs="Arial" w:eastAsia="Arial" w:hAnsi="Arial"/>
          <w:sz w:val="15"/>
          <w:szCs w:val="15"/>
          <w:color w:val="010101"/>
        </w:rPr>
        <w:t>The corporation has authorized the changes hereinbefore set forth by resolution of its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010101"/>
        </w:rPr>
        <w:t>Signed on May 2, 2005.</w:t>
      </w:r>
    </w:p>
    <w:p>
      <w:pPr>
        <w:spacing w:after="0" w:line="200" w:lineRule="exact"/>
        <w:rPr>
          <w:sz w:val="20"/>
          <w:szCs w:val="20"/>
          <w:color w:val="auto"/>
        </w:rPr>
      </w:pPr>
    </w:p>
    <w:p>
      <w:pPr>
        <w:spacing w:after="0" w:line="301" w:lineRule="exact"/>
        <w:rPr>
          <w:sz w:val="20"/>
          <w:szCs w:val="20"/>
          <w:color w:val="auto"/>
        </w:rPr>
      </w:pPr>
    </w:p>
    <w:p>
      <w:pPr>
        <w:ind w:left="3540"/>
        <w:spacing w:after="0"/>
        <w:rPr>
          <w:sz w:val="20"/>
          <w:szCs w:val="20"/>
          <w:color w:val="auto"/>
        </w:rPr>
      </w:pPr>
      <w:r>
        <w:rPr>
          <w:rFonts w:ascii="Arial" w:cs="Arial" w:eastAsia="Arial" w:hAnsi="Arial"/>
          <w:sz w:val="15"/>
          <w:szCs w:val="15"/>
          <w:color w:val="010101"/>
        </w:rPr>
        <w:t xml:space="preserve">Name: /s/James </w:t>
      </w:r>
      <w:r>
        <w:rPr>
          <w:rFonts w:ascii="Arial" w:cs="Arial" w:eastAsia="Arial" w:hAnsi="Arial"/>
          <w:sz w:val="13"/>
          <w:szCs w:val="13"/>
          <w:color w:val="010101"/>
        </w:rPr>
        <w:t>R.</w:t>
      </w:r>
      <w:r>
        <w:rPr>
          <w:rFonts w:ascii="Arial" w:cs="Arial" w:eastAsia="Arial" w:hAnsi="Arial"/>
          <w:sz w:val="15"/>
          <w:szCs w:val="15"/>
          <w:color w:val="010101"/>
        </w:rPr>
        <w:t xml:space="preserve"> Edwards</w:t>
      </w:r>
    </w:p>
    <w:p>
      <w:pPr>
        <w:spacing w:after="0" w:line="16" w:lineRule="exact"/>
        <w:rPr>
          <w:sz w:val="20"/>
          <w:szCs w:val="20"/>
          <w:color w:val="auto"/>
        </w:rPr>
      </w:pPr>
    </w:p>
    <w:p>
      <w:pPr>
        <w:ind w:left="3540"/>
        <w:spacing w:after="0"/>
        <w:rPr>
          <w:sz w:val="20"/>
          <w:szCs w:val="20"/>
          <w:color w:val="auto"/>
        </w:rPr>
      </w:pPr>
      <w:r>
        <w:rPr>
          <w:rFonts w:ascii="Arial" w:cs="Arial" w:eastAsia="Arial" w:hAnsi="Arial"/>
          <w:sz w:val="15"/>
          <w:szCs w:val="15"/>
          <w:color w:val="010101"/>
        </w:rPr>
        <w:t>Title: Senior Vice President</w:t>
      </w:r>
    </w:p>
    <w:p>
      <w:pPr>
        <w:sectPr>
          <w:pgSz w:w="11900" w:h="16838" w:orient="portrait"/>
          <w:cols w:equalWidth="0" w:num="1">
            <w:col w:w="11360"/>
          </w:cols>
          <w:pgMar w:left="320" w:top="688" w:right="219" w:bottom="1440" w:gutter="0" w:footer="0" w:header="0"/>
        </w:sectPr>
      </w:pPr>
    </w:p>
    <w:bookmarkStart w:id="154" w:name="page155"/>
    <w:bookmarkEnd w:id="154"/>
    <w:p>
      <w:pPr>
        <w:jc w:val="center"/>
        <w:ind w:right="-59"/>
        <w:spacing w:after="0"/>
        <w:rPr>
          <w:sz w:val="20"/>
          <w:szCs w:val="20"/>
          <w:color w:val="auto"/>
        </w:rPr>
      </w:pPr>
      <w:r>
        <w:rPr>
          <w:rFonts w:ascii="Arial" w:cs="Arial" w:eastAsia="Arial" w:hAnsi="Arial"/>
          <w:sz w:val="12"/>
          <w:szCs w:val="12"/>
          <w:b w:val="1"/>
          <w:bCs w:val="1"/>
          <w:color w:val="auto"/>
        </w:rPr>
        <w:t>CERTIFICATE OF OWNERSHIP AND MERGER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OF</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KRATOS DEFENSE &amp; SECURITY SOLUTIONS, INC.</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(A DELAWARE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INTO</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WIRELESS FACILITIES,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It is hereby certified that:</w:t>
      </w:r>
    </w:p>
    <w:p>
      <w:pPr>
        <w:spacing w:after="0" w:line="16" w:lineRule="exact"/>
        <w:rPr>
          <w:sz w:val="20"/>
          <w:szCs w:val="20"/>
          <w:color w:val="auto"/>
        </w:rPr>
      </w:pPr>
    </w:p>
    <w:p>
      <w:pPr>
        <w:ind w:left="500" w:hanging="497"/>
        <w:spacing w:after="0"/>
        <w:tabs>
          <w:tab w:leader="none" w:pos="5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Wireless Facilities, Inc. (hereinafter sometimes. referred to as the “Corporation”) is a business corporation of the State of Delaware.</w:t>
      </w:r>
    </w:p>
    <w:p>
      <w:pPr>
        <w:spacing w:after="0" w:line="6" w:lineRule="exact"/>
        <w:rPr>
          <w:rFonts w:ascii="Arial" w:cs="Arial" w:eastAsia="Arial" w:hAnsi="Arial"/>
          <w:sz w:val="12"/>
          <w:szCs w:val="12"/>
          <w:color w:val="auto"/>
        </w:rPr>
      </w:pPr>
    </w:p>
    <w:p>
      <w:pPr>
        <w:ind w:left="500" w:hanging="497"/>
        <w:spacing w:after="0"/>
        <w:tabs>
          <w:tab w:leader="none" w:pos="5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Corporation is the owner of all of the outstanding shares of the common stock of Kratos Defense &amp; Security Solutions, Inc. which is also a business corporation of the State of Delaware.</w:t>
      </w:r>
    </w:p>
    <w:p>
      <w:pPr>
        <w:spacing w:after="0" w:line="6" w:lineRule="exact"/>
        <w:rPr>
          <w:rFonts w:ascii="Arial" w:cs="Arial" w:eastAsia="Arial" w:hAnsi="Arial"/>
          <w:sz w:val="12"/>
          <w:szCs w:val="12"/>
          <w:color w:val="auto"/>
        </w:rPr>
      </w:pPr>
    </w:p>
    <w:p>
      <w:pPr>
        <w:ind w:left="500" w:hanging="497"/>
        <w:spacing w:after="0"/>
        <w:tabs>
          <w:tab w:leader="none" w:pos="5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On September 5, 2007, the Board of Directors of the Corporation adopted the following resolutions to merge Kratos Defense &amp; Security Solutions, Inc. into the Corporation:</w:t>
      </w:r>
    </w:p>
    <w:p>
      <w:pPr>
        <w:spacing w:after="0" w:line="5" w:lineRule="exact"/>
        <w:rPr>
          <w:sz w:val="20"/>
          <w:szCs w:val="20"/>
          <w:color w:val="auto"/>
        </w:rPr>
      </w:pPr>
    </w:p>
    <w:p>
      <w:pPr>
        <w:jc w:val="both"/>
        <w:spacing w:after="0" w:line="264" w:lineRule="auto"/>
        <w:rPr>
          <w:sz w:val="20"/>
          <w:szCs w:val="20"/>
          <w:color w:val="auto"/>
        </w:rPr>
      </w:pPr>
      <w:r>
        <w:rPr>
          <w:rFonts w:ascii="Arial" w:cs="Arial" w:eastAsia="Arial" w:hAnsi="Arial"/>
          <w:sz w:val="12"/>
          <w:szCs w:val="12"/>
          <w:b w:val="1"/>
          <w:bCs w:val="1"/>
          <w:color w:val="auto"/>
        </w:rPr>
        <w:t>NOW THEREFORE, BE IT RESOLVED</w:t>
      </w:r>
      <w:r>
        <w:rPr>
          <w:rFonts w:ascii="Arial" w:cs="Arial" w:eastAsia="Arial" w:hAnsi="Arial"/>
          <w:sz w:val="13"/>
          <w:szCs w:val="13"/>
          <w:color w:val="auto"/>
        </w:rPr>
        <w:t>, that Kratos Defense &amp; Security Solutions, Inc. be merged into this Corporation, and that all of the estate, property, rights, privileges, powers and franchises of Kratos</w:t>
      </w:r>
      <w:r>
        <w:rPr>
          <w:rFonts w:ascii="Arial" w:cs="Arial" w:eastAsia="Arial" w:hAnsi="Arial"/>
          <w:sz w:val="12"/>
          <w:szCs w:val="12"/>
          <w:b w:val="1"/>
          <w:bCs w:val="1"/>
          <w:color w:val="auto"/>
        </w:rPr>
        <w:t xml:space="preserve"> </w:t>
      </w:r>
      <w:r>
        <w:rPr>
          <w:rFonts w:ascii="Arial" w:cs="Arial" w:eastAsia="Arial" w:hAnsi="Arial"/>
          <w:sz w:val="13"/>
          <w:szCs w:val="13"/>
          <w:color w:val="auto"/>
        </w:rPr>
        <w:t>Defense &amp; Security Solutions, Inc. be vested in and held and enjoyed by this Corporation as fully and entirely and without change or diminution as the same were before held and enjoyed by Kratos Defense &amp; Security Solutions, Inc. in its name;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3"/>
          <w:szCs w:val="13"/>
          <w:color w:val="auto"/>
        </w:rPr>
        <w:t>, that this Corporation shall assume all of the obligations of Kratos Defense &amp; Security Solutions, Inc.;</w:t>
      </w:r>
    </w:p>
    <w:p>
      <w:pPr>
        <w:spacing w:after="0" w:line="16" w:lineRule="exact"/>
        <w:rPr>
          <w:sz w:val="20"/>
          <w:szCs w:val="20"/>
          <w:color w:val="auto"/>
        </w:rPr>
      </w:pPr>
    </w:p>
    <w:p>
      <w:pPr>
        <w:ind w:right="240"/>
        <w:spacing w:after="0" w:line="291"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3"/>
          <w:szCs w:val="13"/>
          <w:color w:val="auto"/>
        </w:rPr>
        <w:t>, that this Corporation shall cause to be executed and filed and/or recorded the documents prescribed by the laws of the State of Delaware and by the laws of any other appropriate</w:t>
      </w:r>
      <w:r>
        <w:rPr>
          <w:rFonts w:ascii="Arial" w:cs="Arial" w:eastAsia="Arial" w:hAnsi="Arial"/>
          <w:sz w:val="12"/>
          <w:szCs w:val="12"/>
          <w:b w:val="1"/>
          <w:bCs w:val="1"/>
          <w:color w:val="auto"/>
        </w:rPr>
        <w:t xml:space="preserve"> </w:t>
      </w:r>
      <w:r>
        <w:rPr>
          <w:rFonts w:ascii="Arial" w:cs="Arial" w:eastAsia="Arial" w:hAnsi="Arial"/>
          <w:sz w:val="13"/>
          <w:szCs w:val="13"/>
          <w:color w:val="auto"/>
        </w:rPr>
        <w:t>jurisdiction and will cause to be performed all necessary acts within the State of Delaware and within any other appropriate jurisdiction;</w:t>
      </w:r>
    </w:p>
    <w:p>
      <w:pPr>
        <w:sectPr>
          <w:pgSz w:w="11900" w:h="16838" w:orient="portrait"/>
          <w:cols w:equalWidth="0" w:num="1">
            <w:col w:w="11400"/>
          </w:cols>
          <w:pgMar w:left="220" w:top="812" w:right="279" w:bottom="1440" w:gutter="0" w:footer="0" w:header="0"/>
        </w:sectPr>
      </w:pPr>
    </w:p>
    <w:bookmarkStart w:id="155" w:name="page156"/>
    <w:bookmarkEnd w:id="155"/>
    <w:p>
      <w:pPr>
        <w:spacing w:after="0"/>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3"/>
          <w:szCs w:val="13"/>
          <w:color w:val="auto"/>
        </w:rPr>
        <w:t>, that this Corporation shall change its corporate name to Kratos Defense &amp; Security Solutions, Inc.;</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12"/>
          <w:szCs w:val="12"/>
          <w:b w:val="1"/>
          <w:bCs w:val="1"/>
          <w:color w:val="auto"/>
        </w:rPr>
        <w:t>RESOLVED FURTHER</w:t>
      </w:r>
      <w:r>
        <w:rPr>
          <w:rFonts w:ascii="Arial" w:cs="Arial" w:eastAsia="Arial" w:hAnsi="Arial"/>
          <w:sz w:val="13"/>
          <w:szCs w:val="13"/>
          <w:color w:val="auto"/>
        </w:rPr>
        <w:t>, that the effective time of the Certificate of Ownership and Merger setting forth a copy of these resolutions, and the time when the merger therein provided for, shall become effective</w:t>
      </w:r>
      <w:r>
        <w:rPr>
          <w:rFonts w:ascii="Arial" w:cs="Arial" w:eastAsia="Arial" w:hAnsi="Arial"/>
          <w:sz w:val="12"/>
          <w:szCs w:val="12"/>
          <w:b w:val="1"/>
          <w:bCs w:val="1"/>
          <w:color w:val="auto"/>
        </w:rPr>
        <w:t xml:space="preserve"> </w:t>
      </w:r>
      <w:r>
        <w:rPr>
          <w:rFonts w:ascii="Arial" w:cs="Arial" w:eastAsia="Arial" w:hAnsi="Arial"/>
          <w:sz w:val="13"/>
          <w:szCs w:val="13"/>
          <w:color w:val="auto"/>
        </w:rPr>
        <w:t>shall be September 12, 2007.</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Executed on September 7</w:t>
      </w:r>
      <w:r>
        <w:rPr>
          <w:rFonts w:ascii="Arial" w:cs="Arial" w:eastAsia="Arial" w:hAnsi="Arial"/>
          <w:sz w:val="9"/>
          <w:szCs w:val="9"/>
          <w:color w:val="auto"/>
        </w:rPr>
        <w:t>th</w:t>
      </w:r>
      <w:r>
        <w:rPr>
          <w:rFonts w:ascii="Arial" w:cs="Arial" w:eastAsia="Arial" w:hAnsi="Arial"/>
          <w:sz w:val="13"/>
          <w:szCs w:val="13"/>
          <w:color w:val="auto"/>
        </w:rPr>
        <w:t>, 2007</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WIRELESS FACILITIES, INC.</w:t>
      </w:r>
    </w:p>
    <w:p>
      <w:pPr>
        <w:spacing w:after="0" w:line="127" w:lineRule="exact"/>
        <w:rPr>
          <w:sz w:val="20"/>
          <w:szCs w:val="20"/>
          <w:color w:val="auto"/>
        </w:rPr>
      </w:pPr>
    </w:p>
    <w:p>
      <w:pPr>
        <w:ind w:left="2280"/>
        <w:spacing w:after="0"/>
        <w:tabs>
          <w:tab w:leader="none" w:pos="26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James R. Edwards</w:t>
      </w:r>
    </w:p>
    <w:p>
      <w:pPr>
        <w:sectPr>
          <w:pgSz w:w="11900" w:h="16838" w:orient="portrait"/>
          <w:cols w:equalWidth="0" w:num="1">
            <w:col w:w="11380"/>
          </w:cols>
          <w:pgMar w:left="220" w:top="646" w:right="29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4"/>
          <w:szCs w:val="14"/>
          <w:b w:val="1"/>
          <w:bCs w:val="1"/>
          <w:color w:val="auto"/>
        </w:rPr>
        <w:t>CERTIFICATE OF AMENDMENT TO</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AMENDED AND RESTATED CERTIFICATE OF INCORPORATION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KRATOS DEFENSE &amp; SECURITY SOLUTIONS, INC.</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Kratos Defense &amp; Security Solutions, Inc., a corporation organized and existing under and by virtue of the General Corporation Law of the State of Delaware (the “Corporation”), does hereby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certify:</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FIRST: The name under which the Corporation was originally incorporated was Wireless Facilities, Inc.</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SECOND: The date on which the Certificate of Incorporation of the Corporation was originally filed with the Secretary of State of the State of Delaware was July 7, 1997.</w:t>
      </w:r>
    </w:p>
    <w:p>
      <w:pPr>
        <w:spacing w:after="0" w:line="170" w:lineRule="exact"/>
        <w:rPr>
          <w:sz w:val="20"/>
          <w:szCs w:val="20"/>
          <w:color w:val="auto"/>
        </w:rPr>
      </w:pPr>
    </w:p>
    <w:p>
      <w:pPr>
        <w:ind w:left="500" w:right="20"/>
        <w:spacing w:after="0" w:line="267" w:lineRule="auto"/>
        <w:rPr>
          <w:sz w:val="20"/>
          <w:szCs w:val="20"/>
          <w:color w:val="auto"/>
        </w:rPr>
      </w:pPr>
      <w:r>
        <w:rPr>
          <w:rFonts w:ascii="Arial" w:cs="Arial" w:eastAsia="Arial" w:hAnsi="Arial"/>
          <w:sz w:val="14"/>
          <w:szCs w:val="14"/>
          <w:color w:val="auto"/>
        </w:rPr>
        <w:t>THIRD: The Board of Directors of the Corporation, acting in accordance with the provisions of Section 141 and 142 of the General Corporation Law of the State of Delaware adopted resolutions to amend paragraph (A) of ARTICLE IV of the Amended and Restated Certificate of Incorporation of the Corporation to read in its entirety as follows:</w:t>
      </w:r>
    </w:p>
    <w:p>
      <w:pPr>
        <w:spacing w:after="0" w:line="139" w:lineRule="exact"/>
        <w:rPr>
          <w:sz w:val="20"/>
          <w:szCs w:val="20"/>
          <w:color w:val="auto"/>
        </w:rPr>
      </w:pPr>
    </w:p>
    <w:p>
      <w:pPr>
        <w:ind w:left="1000"/>
        <w:spacing w:after="0" w:line="271" w:lineRule="auto"/>
        <w:rPr>
          <w:sz w:val="20"/>
          <w:szCs w:val="20"/>
          <w:color w:val="auto"/>
        </w:rPr>
      </w:pPr>
      <w:r>
        <w:rPr>
          <w:rFonts w:ascii="Arial" w:cs="Arial" w:eastAsia="Arial" w:hAnsi="Arial"/>
          <w:sz w:val="13"/>
          <w:szCs w:val="13"/>
          <w:color w:val="auto"/>
        </w:rPr>
        <w:t>“A. This corporation is authorized to issue two classes of stock to be designated, respectively, “Common Stock” and “Preferred Stock.” The total number of shares which the corporation is authorized to issue is two hundred million (200,000,000) shares. One hundred ninety five million (195,000,000) shares shall be Common Stock, each having a par value of one tenth of one cent ($0.001). Five million (5,000,000) shares shall be Preferred Stock, each having a par value of one tenth of one cent ($0.001). Effective as of 5:00 p.m., Eastern Time, on the date this Certificate of Amendment to Amended and Restated Certificate of Incorporation is filed with the Secretary of State of the State of Delaware, each ten (10) shares of this corporation’s Common Stock, par value $0.001 per share, issued and outstanding shall, automatically and without any action on the part of the respective holders thereof, be combined and converted into one (1) share of Common Stock, par value $0.001 per share, of this corporation. No fractional shares shall be issued and, in lieu thereof, any holder of less than one share of Common Stock shall be entitled to receive cash for such holder’s fractional share based upon the fair market value of the Common Stock as of the date this Certificate of Amendment is filed with the Secretary of State of the State of Delaware as determined by this corporation’s Board of Directors.”</w:t>
      </w:r>
    </w:p>
    <w:p>
      <w:pPr>
        <w:spacing w:after="0" w:line="141" w:lineRule="exact"/>
        <w:rPr>
          <w:sz w:val="20"/>
          <w:szCs w:val="20"/>
          <w:color w:val="auto"/>
        </w:rPr>
      </w:pPr>
    </w:p>
    <w:p>
      <w:pPr>
        <w:ind w:left="500"/>
        <w:spacing w:after="0" w:line="267" w:lineRule="auto"/>
        <w:rPr>
          <w:sz w:val="20"/>
          <w:szCs w:val="20"/>
          <w:color w:val="auto"/>
        </w:rPr>
      </w:pPr>
      <w:r>
        <w:rPr>
          <w:rFonts w:ascii="Arial" w:cs="Arial" w:eastAsia="Arial" w:hAnsi="Arial"/>
          <w:sz w:val="14"/>
          <w:szCs w:val="14"/>
          <w:color w:val="auto"/>
        </w:rPr>
        <w:t>FOURTH: This Certificate of Amendment to Amended and Restated Certificate of Incorporation was submitted to the stockholders of the Corporation and was duly approved by the required vote of the stockholders of the Corporation in accordance with Sections 222 and 242 of the Delaware General Corporation Law.</w:t>
      </w:r>
    </w:p>
    <w:p>
      <w:pPr>
        <w:spacing w:after="0" w:line="139" w:lineRule="exact"/>
        <w:rPr>
          <w:sz w:val="20"/>
          <w:szCs w:val="20"/>
          <w:color w:val="auto"/>
        </w:rPr>
      </w:pPr>
    </w:p>
    <w:p>
      <w:pPr>
        <w:ind w:left="500" w:right="80" w:firstLine="497"/>
        <w:spacing w:after="0" w:line="267" w:lineRule="auto"/>
        <w:rPr>
          <w:sz w:val="20"/>
          <w:szCs w:val="20"/>
          <w:color w:val="auto"/>
        </w:rPr>
      </w:pPr>
      <w:r>
        <w:rPr>
          <w:rFonts w:ascii="Arial" w:cs="Arial" w:eastAsia="Arial" w:hAnsi="Arial"/>
          <w:sz w:val="14"/>
          <w:szCs w:val="14"/>
          <w:color w:val="auto"/>
        </w:rPr>
        <w:t>IN WITNESS WHEREOF, Kratos Defense &amp; Security Solutions, Inc. has caused this Certificate of Amendment to be signed by its Executive Vice President and Chief Financial Officer as of September 10, 2009.</w:t>
      </w:r>
    </w:p>
    <w:p>
      <w:pPr>
        <w:spacing w:after="0" w:line="263"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22860</wp:posOffset>
            </wp:positionV>
            <wp:extent cx="311658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6580" cy="6350"/>
                    </a:xfrm>
                    <a:prstGeom prst="rect">
                      <a:avLst/>
                    </a:prstGeom>
                    <a:noFill/>
                  </pic:spPr>
                </pic:pic>
              </a:graphicData>
            </a:graphic>
          </wp:anchor>
        </w:drawing>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Deanna H. Lund,</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Executive Vice President and Chief Financial Officer</w:t>
      </w:r>
    </w:p>
    <w:p>
      <w:pPr>
        <w:sectPr>
          <w:pgSz w:w="11900" w:h="16838" w:orient="portrait"/>
          <w:cols w:equalWidth="0" w:num="1">
            <w:col w:w="11440"/>
          </w:cols>
          <w:pgMar w:left="220" w:top="477" w:right="239" w:bottom="1440" w:gutter="0" w:footer="0" w:header="0"/>
        </w:sectPr>
      </w:pPr>
    </w:p>
    <w:bookmarkStart w:id="157" w:name="page158"/>
    <w:bookmarkEnd w:id="157"/>
    <w:p>
      <w:pPr>
        <w:ind w:left="4460"/>
        <w:spacing w:after="0"/>
        <w:rPr>
          <w:sz w:val="20"/>
          <w:szCs w:val="20"/>
          <w:color w:val="auto"/>
        </w:rPr>
      </w:pPr>
      <w:r>
        <w:rPr>
          <w:rFonts w:ascii="Arial" w:cs="Arial" w:eastAsia="Arial" w:hAnsi="Arial"/>
          <w:sz w:val="15"/>
          <w:szCs w:val="15"/>
          <w:color w:val="111111"/>
        </w:rPr>
        <w:t>CERTIFICATE OF OWNERSHIP AND MERGER MERGING</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15"/>
          <w:szCs w:val="15"/>
          <w:color w:val="111111"/>
        </w:rPr>
        <w:t>ACQUISITION CO. LANZA PARENT</w:t>
      </w:r>
    </w:p>
    <w:p>
      <w:pPr>
        <w:spacing w:after="0" w:line="4" w:lineRule="exact"/>
        <w:rPr>
          <w:sz w:val="20"/>
          <w:szCs w:val="20"/>
          <w:color w:val="auto"/>
        </w:rPr>
      </w:pPr>
    </w:p>
    <w:p>
      <w:pPr>
        <w:ind w:left="5540"/>
        <w:spacing w:after="0"/>
        <w:rPr>
          <w:sz w:val="20"/>
          <w:szCs w:val="20"/>
          <w:color w:val="auto"/>
        </w:rPr>
      </w:pPr>
      <w:r>
        <w:rPr>
          <w:rFonts w:ascii="Arial" w:cs="Arial" w:eastAsia="Arial" w:hAnsi="Arial"/>
          <w:sz w:val="15"/>
          <w:szCs w:val="15"/>
          <w:color w:val="262626"/>
        </w:rPr>
        <w:t xml:space="preserve">(a Delaware </w:t>
      </w:r>
      <w:r>
        <w:rPr>
          <w:rFonts w:ascii="Arial" w:cs="Arial" w:eastAsia="Arial" w:hAnsi="Arial"/>
          <w:sz w:val="15"/>
          <w:szCs w:val="15"/>
          <w:color w:val="111111"/>
        </w:rPr>
        <w:t>corporation) WITH AND INTO</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111111"/>
        </w:rPr>
        <w:t>KRATOS DEFENSE &amp; SECURITY SOLUTIONS, INC.</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5"/>
          <w:szCs w:val="15"/>
          <w:color w:val="262626"/>
        </w:rPr>
        <w:t xml:space="preserve">(a </w:t>
      </w:r>
      <w:r>
        <w:rPr>
          <w:rFonts w:ascii="Arial" w:cs="Arial" w:eastAsia="Arial" w:hAnsi="Arial"/>
          <w:sz w:val="15"/>
          <w:szCs w:val="15"/>
          <w:color w:val="111111"/>
        </w:rPr>
        <w:t>Delaware</w:t>
      </w:r>
      <w:r>
        <w:rPr>
          <w:rFonts w:ascii="Arial" w:cs="Arial" w:eastAsia="Arial" w:hAnsi="Arial"/>
          <w:sz w:val="15"/>
          <w:szCs w:val="15"/>
          <w:color w:val="262626"/>
        </w:rPr>
        <w:t xml:space="preserve"> corporation) April4 </w:t>
      </w:r>
      <w:r>
        <w:rPr>
          <w:rFonts w:ascii="Arial" w:cs="Arial" w:eastAsia="Arial" w:hAnsi="Arial"/>
          <w:sz w:val="15"/>
          <w:szCs w:val="15"/>
          <w:color w:val="4B4B4B"/>
        </w:rPr>
        <w:t>,</w:t>
      </w:r>
      <w:r>
        <w:rPr>
          <w:rFonts w:ascii="Arial" w:cs="Arial" w:eastAsia="Arial" w:hAnsi="Arial"/>
          <w:sz w:val="15"/>
          <w:szCs w:val="15"/>
          <w:color w:val="262626"/>
        </w:rPr>
        <w:t xml:space="preserve"> 2011</w:t>
      </w:r>
    </w:p>
    <w:p>
      <w:pPr>
        <w:spacing w:after="0" w:line="7" w:lineRule="exact"/>
        <w:rPr>
          <w:sz w:val="20"/>
          <w:szCs w:val="20"/>
          <w:color w:val="auto"/>
        </w:rPr>
      </w:pPr>
    </w:p>
    <w:p>
      <w:pPr>
        <w:ind w:right="140" w:firstLine="994"/>
        <w:spacing w:after="0" w:line="254" w:lineRule="auto"/>
        <w:rPr>
          <w:sz w:val="20"/>
          <w:szCs w:val="20"/>
          <w:color w:val="auto"/>
        </w:rPr>
      </w:pPr>
      <w:r>
        <w:rPr>
          <w:rFonts w:ascii="Arial" w:cs="Arial" w:eastAsia="Arial" w:hAnsi="Arial"/>
          <w:sz w:val="15"/>
          <w:szCs w:val="15"/>
          <w:color w:val="111111"/>
        </w:rPr>
        <w:t xml:space="preserve">Pursuant to Section </w:t>
      </w:r>
      <w:r>
        <w:rPr>
          <w:rFonts w:ascii="Arial" w:cs="Arial" w:eastAsia="Arial" w:hAnsi="Arial"/>
          <w:sz w:val="15"/>
          <w:szCs w:val="15"/>
          <w:color w:val="262626"/>
        </w:rPr>
        <w:t>253 of</w:t>
      </w:r>
      <w:r>
        <w:rPr>
          <w:rFonts w:ascii="Arial" w:cs="Arial" w:eastAsia="Arial" w:hAnsi="Arial"/>
          <w:sz w:val="15"/>
          <w:szCs w:val="15"/>
          <w:color w:val="111111"/>
        </w:rPr>
        <w:t xml:space="preserve"> the </w:t>
      </w:r>
      <w:r>
        <w:rPr>
          <w:rFonts w:ascii="Arial" w:cs="Arial" w:eastAsia="Arial" w:hAnsi="Arial"/>
          <w:sz w:val="15"/>
          <w:szCs w:val="15"/>
          <w:color w:val="262626"/>
        </w:rPr>
        <w:t>General Corporation</w:t>
      </w:r>
      <w:r>
        <w:rPr>
          <w:rFonts w:ascii="Arial" w:cs="Arial" w:eastAsia="Arial" w:hAnsi="Arial"/>
          <w:sz w:val="15"/>
          <w:szCs w:val="15"/>
          <w:color w:val="111111"/>
        </w:rPr>
        <w:t xml:space="preserve"> Law </w:t>
      </w:r>
      <w:r>
        <w:rPr>
          <w:rFonts w:ascii="Arial" w:cs="Arial" w:eastAsia="Arial" w:hAnsi="Arial"/>
          <w:sz w:val="15"/>
          <w:szCs w:val="15"/>
          <w:color w:val="262626"/>
        </w:rPr>
        <w:t>of</w:t>
      </w:r>
      <w:r>
        <w:rPr>
          <w:rFonts w:ascii="Arial" w:cs="Arial" w:eastAsia="Arial" w:hAnsi="Arial"/>
          <w:sz w:val="15"/>
          <w:szCs w:val="15"/>
          <w:color w:val="111111"/>
        </w:rPr>
        <w:t xml:space="preserve"> th</w:t>
      </w:r>
      <w:r>
        <w:rPr>
          <w:rFonts w:ascii="Arial" w:cs="Arial" w:eastAsia="Arial" w:hAnsi="Arial"/>
          <w:sz w:val="15"/>
          <w:szCs w:val="15"/>
          <w:color w:val="383838"/>
        </w:rPr>
        <w:t>e</w:t>
      </w:r>
      <w:r>
        <w:rPr>
          <w:rFonts w:ascii="Arial" w:cs="Arial" w:eastAsia="Arial" w:hAnsi="Arial"/>
          <w:sz w:val="15"/>
          <w:szCs w:val="15"/>
          <w:color w:val="111111"/>
        </w:rPr>
        <w:t xml:space="preserve"> State </w:t>
      </w:r>
      <w:r>
        <w:rPr>
          <w:rFonts w:ascii="Arial" w:cs="Arial" w:eastAsia="Arial" w:hAnsi="Arial"/>
          <w:sz w:val="15"/>
          <w:szCs w:val="15"/>
          <w:color w:val="262626"/>
        </w:rPr>
        <w:t>of</w:t>
      </w:r>
      <w:r>
        <w:rPr>
          <w:rFonts w:ascii="Arial" w:cs="Arial" w:eastAsia="Arial" w:hAnsi="Arial"/>
          <w:sz w:val="15"/>
          <w:szCs w:val="15"/>
          <w:color w:val="111111"/>
        </w:rPr>
        <w:t xml:space="preserve"> Delaware </w:t>
      </w:r>
      <w:r>
        <w:rPr>
          <w:rFonts w:ascii="Arial" w:cs="Arial" w:eastAsia="Arial" w:hAnsi="Arial"/>
          <w:sz w:val="15"/>
          <w:szCs w:val="15"/>
          <w:color w:val="262626"/>
        </w:rPr>
        <w:t>(the</w:t>
      </w:r>
      <w:r>
        <w:rPr>
          <w:rFonts w:ascii="Arial" w:cs="Arial" w:eastAsia="Arial" w:hAnsi="Arial"/>
          <w:sz w:val="15"/>
          <w:szCs w:val="15"/>
          <w:color w:val="111111"/>
        </w:rPr>
        <w:t xml:space="preserve"> </w:t>
      </w:r>
      <w:r>
        <w:rPr>
          <w:rFonts w:ascii="Arial" w:cs="Arial" w:eastAsia="Arial" w:hAnsi="Arial"/>
          <w:sz w:val="15"/>
          <w:szCs w:val="15"/>
          <w:color w:val="5B5B5B"/>
        </w:rPr>
        <w:t>"</w:t>
      </w:r>
      <w:r>
        <w:rPr>
          <w:rFonts w:ascii="Arial" w:cs="Arial" w:eastAsia="Arial" w:hAnsi="Arial"/>
          <w:sz w:val="15"/>
          <w:szCs w:val="15"/>
          <w:color w:val="111111"/>
        </w:rPr>
        <w:t>DGCL</w:t>
      </w:r>
      <w:r>
        <w:rPr>
          <w:rFonts w:ascii="Arial" w:cs="Arial" w:eastAsia="Arial" w:hAnsi="Arial"/>
          <w:sz w:val="15"/>
          <w:szCs w:val="15"/>
          <w:color w:val="5B5B5B"/>
        </w:rPr>
        <w:t>"</w:t>
      </w:r>
      <w:r>
        <w:rPr>
          <w:rFonts w:ascii="Arial" w:cs="Arial" w:eastAsia="Arial" w:hAnsi="Arial"/>
          <w:sz w:val="15"/>
          <w:szCs w:val="15"/>
          <w:color w:val="111111"/>
        </w:rPr>
        <w:t>)</w:t>
      </w:r>
      <w:r>
        <w:rPr>
          <w:rFonts w:ascii="Arial" w:cs="Arial" w:eastAsia="Arial" w:hAnsi="Arial"/>
          <w:sz w:val="15"/>
          <w:szCs w:val="15"/>
          <w:color w:val="383838"/>
        </w:rPr>
        <w:t>,</w:t>
      </w:r>
      <w:r>
        <w:rPr>
          <w:rFonts w:ascii="Arial" w:cs="Arial" w:eastAsia="Arial" w:hAnsi="Arial"/>
          <w:sz w:val="15"/>
          <w:szCs w:val="15"/>
          <w:color w:val="111111"/>
        </w:rPr>
        <w:t xml:space="preserve"> Kratos Defen</w:t>
      </w:r>
      <w:r>
        <w:rPr>
          <w:rFonts w:ascii="Arial" w:cs="Arial" w:eastAsia="Arial" w:hAnsi="Arial"/>
          <w:sz w:val="15"/>
          <w:szCs w:val="15"/>
          <w:color w:val="383838"/>
        </w:rPr>
        <w:t>se</w:t>
      </w:r>
      <w:r>
        <w:rPr>
          <w:rFonts w:ascii="Arial" w:cs="Arial" w:eastAsia="Arial" w:hAnsi="Arial"/>
          <w:sz w:val="15"/>
          <w:szCs w:val="15"/>
          <w:color w:val="111111"/>
        </w:rPr>
        <w:t xml:space="preserve"> &amp; Security Solutions</w:t>
      </w:r>
      <w:r>
        <w:rPr>
          <w:rFonts w:ascii="Arial" w:cs="Arial" w:eastAsia="Arial" w:hAnsi="Arial"/>
          <w:sz w:val="15"/>
          <w:szCs w:val="15"/>
          <w:color w:val="4B4B4B"/>
        </w:rPr>
        <w:t>,</w:t>
      </w:r>
      <w:r>
        <w:rPr>
          <w:rFonts w:ascii="Arial" w:cs="Arial" w:eastAsia="Arial" w:hAnsi="Arial"/>
          <w:sz w:val="15"/>
          <w:szCs w:val="15"/>
          <w:color w:val="111111"/>
        </w:rPr>
        <w:t xml:space="preserve"> Inc</w:t>
      </w:r>
      <w:r>
        <w:rPr>
          <w:rFonts w:ascii="Arial" w:cs="Arial" w:eastAsia="Arial" w:hAnsi="Arial"/>
          <w:sz w:val="15"/>
          <w:szCs w:val="15"/>
          <w:color w:val="383838"/>
        </w:rPr>
        <w:t>.</w:t>
      </w:r>
      <w:r>
        <w:rPr>
          <w:rFonts w:ascii="Arial" w:cs="Arial" w:eastAsia="Arial" w:hAnsi="Arial"/>
          <w:sz w:val="15"/>
          <w:szCs w:val="15"/>
          <w:color w:val="111111"/>
        </w:rPr>
        <w:t>, a Delawar</w:t>
      </w:r>
      <w:r>
        <w:rPr>
          <w:rFonts w:ascii="Arial" w:cs="Arial" w:eastAsia="Arial" w:hAnsi="Arial"/>
          <w:sz w:val="15"/>
          <w:szCs w:val="15"/>
          <w:color w:val="383838"/>
        </w:rPr>
        <w:t>e</w:t>
      </w:r>
      <w:r>
        <w:rPr>
          <w:rFonts w:ascii="Arial" w:cs="Arial" w:eastAsia="Arial" w:hAnsi="Arial"/>
          <w:sz w:val="15"/>
          <w:szCs w:val="15"/>
          <w:color w:val="111111"/>
        </w:rPr>
        <w:t xml:space="preserve"> </w:t>
      </w:r>
      <w:r>
        <w:rPr>
          <w:rFonts w:ascii="Arial" w:cs="Arial" w:eastAsia="Arial" w:hAnsi="Arial"/>
          <w:sz w:val="15"/>
          <w:szCs w:val="15"/>
          <w:color w:val="262626"/>
        </w:rPr>
        <w:t>corporation (the</w:t>
      </w:r>
      <w:r>
        <w:rPr>
          <w:rFonts w:ascii="Arial" w:cs="Arial" w:eastAsia="Arial" w:hAnsi="Arial"/>
          <w:sz w:val="15"/>
          <w:szCs w:val="15"/>
          <w:color w:val="111111"/>
        </w:rPr>
        <w:t xml:space="preserve"> </w:t>
      </w:r>
      <w:r>
        <w:rPr>
          <w:rFonts w:ascii="Arial" w:cs="Arial" w:eastAsia="Arial" w:hAnsi="Arial"/>
          <w:sz w:val="15"/>
          <w:szCs w:val="15"/>
          <w:color w:val="4B4B4B"/>
        </w:rPr>
        <w:t>“</w:t>
      </w:r>
      <w:r>
        <w:rPr>
          <w:rFonts w:ascii="Arial" w:cs="Arial" w:eastAsia="Arial" w:hAnsi="Arial"/>
          <w:sz w:val="15"/>
          <w:szCs w:val="15"/>
          <w:color w:val="262626"/>
        </w:rPr>
        <w:t>Company”),</w:t>
      </w:r>
      <w:r>
        <w:rPr>
          <w:rFonts w:ascii="Arial" w:cs="Arial" w:eastAsia="Arial" w:hAnsi="Arial"/>
          <w:sz w:val="15"/>
          <w:szCs w:val="15"/>
          <w:color w:val="4B4B4B"/>
        </w:rPr>
        <w:t xml:space="preserve"> </w:t>
      </w:r>
      <w:r>
        <w:rPr>
          <w:rFonts w:ascii="Arial" w:cs="Arial" w:eastAsia="Arial" w:hAnsi="Arial"/>
          <w:sz w:val="15"/>
          <w:szCs w:val="15"/>
          <w:color w:val="111111"/>
        </w:rPr>
        <w:t>hereby certifies the following information relating to the merger</w:t>
      </w:r>
      <w:r>
        <w:rPr>
          <w:rFonts w:ascii="Arial" w:cs="Arial" w:eastAsia="Arial" w:hAnsi="Arial"/>
          <w:sz w:val="15"/>
          <w:szCs w:val="15"/>
          <w:color w:val="4B4B4B"/>
        </w:rPr>
        <w:t xml:space="preserve"> </w:t>
      </w:r>
      <w:r>
        <w:rPr>
          <w:rFonts w:ascii="Arial" w:cs="Arial" w:eastAsia="Arial" w:hAnsi="Arial"/>
          <w:sz w:val="15"/>
          <w:szCs w:val="15"/>
          <w:color w:val="262626"/>
        </w:rPr>
        <w:t>(the</w:t>
      </w:r>
      <w:r>
        <w:rPr>
          <w:rFonts w:ascii="Arial" w:cs="Arial" w:eastAsia="Arial" w:hAnsi="Arial"/>
          <w:sz w:val="15"/>
          <w:szCs w:val="15"/>
          <w:color w:val="4B4B4B"/>
        </w:rPr>
        <w:t xml:space="preserve"> "</w:t>
      </w:r>
      <w:r>
        <w:rPr>
          <w:rFonts w:ascii="Arial" w:cs="Arial" w:eastAsia="Arial" w:hAnsi="Arial"/>
          <w:sz w:val="15"/>
          <w:szCs w:val="15"/>
          <w:color w:val="262626"/>
        </w:rPr>
        <w:t>Merger</w:t>
      </w:r>
      <w:r>
        <w:rPr>
          <w:rFonts w:ascii="Arial" w:cs="Arial" w:eastAsia="Arial" w:hAnsi="Arial"/>
          <w:sz w:val="15"/>
          <w:szCs w:val="15"/>
          <w:color w:val="4B4B4B"/>
        </w:rPr>
        <w:t>"</w:t>
      </w:r>
      <w:r>
        <w:rPr>
          <w:rFonts w:ascii="Arial" w:cs="Arial" w:eastAsia="Arial" w:hAnsi="Arial"/>
          <w:sz w:val="15"/>
          <w:szCs w:val="15"/>
          <w:color w:val="262626"/>
        </w:rPr>
        <w:t>)</w:t>
      </w:r>
      <w:r>
        <w:rPr>
          <w:rFonts w:ascii="Arial" w:cs="Arial" w:eastAsia="Arial" w:hAnsi="Arial"/>
          <w:sz w:val="15"/>
          <w:szCs w:val="15"/>
          <w:color w:val="4B4B4B"/>
        </w:rPr>
        <w:t xml:space="preserve"> </w:t>
      </w:r>
      <w:r>
        <w:rPr>
          <w:rFonts w:ascii="Arial" w:cs="Arial" w:eastAsia="Arial" w:hAnsi="Arial"/>
          <w:sz w:val="15"/>
          <w:szCs w:val="15"/>
          <w:color w:val="111111"/>
        </w:rPr>
        <w:t>of</w:t>
      </w:r>
      <w:r>
        <w:rPr>
          <w:rFonts w:ascii="Arial" w:cs="Arial" w:eastAsia="Arial" w:hAnsi="Arial"/>
          <w:sz w:val="15"/>
          <w:szCs w:val="15"/>
          <w:color w:val="4B4B4B"/>
        </w:rPr>
        <w:t xml:space="preserve"> </w:t>
      </w:r>
      <w:r>
        <w:rPr>
          <w:rFonts w:ascii="Arial" w:cs="Arial" w:eastAsia="Arial" w:hAnsi="Arial"/>
          <w:sz w:val="15"/>
          <w:szCs w:val="15"/>
          <w:color w:val="262626"/>
        </w:rPr>
        <w:t>Acquisition Co.</w:t>
      </w:r>
      <w:r>
        <w:rPr>
          <w:rFonts w:ascii="Arial" w:cs="Arial" w:eastAsia="Arial" w:hAnsi="Arial"/>
          <w:sz w:val="15"/>
          <w:szCs w:val="15"/>
          <w:color w:val="4B4B4B"/>
        </w:rPr>
        <w:t xml:space="preserve"> </w:t>
      </w:r>
      <w:r>
        <w:rPr>
          <w:rFonts w:ascii="Arial" w:cs="Arial" w:eastAsia="Arial" w:hAnsi="Arial"/>
          <w:sz w:val="15"/>
          <w:szCs w:val="15"/>
          <w:color w:val="111111"/>
        </w:rPr>
        <w:t>Lanza Parent, a Delaware</w:t>
      </w:r>
      <w:r>
        <w:rPr>
          <w:rFonts w:ascii="Arial" w:cs="Arial" w:eastAsia="Arial" w:hAnsi="Arial"/>
          <w:sz w:val="15"/>
          <w:szCs w:val="15"/>
          <w:color w:val="4B4B4B"/>
        </w:rPr>
        <w:t xml:space="preserve"> </w:t>
      </w:r>
      <w:r>
        <w:rPr>
          <w:rFonts w:ascii="Arial" w:cs="Arial" w:eastAsia="Arial" w:hAnsi="Arial"/>
          <w:sz w:val="15"/>
          <w:szCs w:val="15"/>
          <w:color w:val="262626"/>
        </w:rPr>
        <w:t>corporation</w:t>
      </w:r>
      <w:r>
        <w:rPr>
          <w:rFonts w:ascii="Arial" w:cs="Arial" w:eastAsia="Arial" w:hAnsi="Arial"/>
          <w:sz w:val="15"/>
          <w:szCs w:val="15"/>
          <w:color w:val="4B4B4B"/>
        </w:rPr>
        <w:t xml:space="preserve"> </w:t>
      </w:r>
      <w:r>
        <w:rPr>
          <w:rFonts w:ascii="Arial" w:cs="Arial" w:eastAsia="Arial" w:hAnsi="Arial"/>
          <w:sz w:val="15"/>
          <w:szCs w:val="15"/>
          <w:color w:val="111111"/>
        </w:rPr>
        <w:t>(the “</w:t>
      </w:r>
      <w:r>
        <w:rPr>
          <w:rFonts w:ascii="Arial" w:cs="Arial" w:eastAsia="Arial" w:hAnsi="Arial"/>
          <w:sz w:val="15"/>
          <w:szCs w:val="15"/>
          <w:u w:val="single" w:color="auto"/>
          <w:color w:val="111111"/>
        </w:rPr>
        <w:t>Sub</w:t>
      </w:r>
      <w:r>
        <w:rPr>
          <w:rFonts w:ascii="Arial" w:cs="Arial" w:eastAsia="Arial" w:hAnsi="Arial"/>
          <w:sz w:val="15"/>
          <w:szCs w:val="15"/>
          <w:color w:val="383838"/>
        </w:rPr>
        <w:t>”)</w:t>
      </w:r>
      <w:r>
        <w:rPr>
          <w:rFonts w:ascii="Arial" w:cs="Arial" w:eastAsia="Arial" w:hAnsi="Arial"/>
          <w:sz w:val="15"/>
          <w:szCs w:val="15"/>
          <w:color w:val="111111"/>
        </w:rPr>
        <w:t>, with</w:t>
      </w:r>
      <w:r>
        <w:rPr>
          <w:rFonts w:ascii="Arial" w:cs="Arial" w:eastAsia="Arial" w:hAnsi="Arial"/>
          <w:sz w:val="15"/>
          <w:szCs w:val="15"/>
          <w:color w:val="4B4B4B"/>
        </w:rPr>
        <w:t xml:space="preserve"> </w:t>
      </w:r>
      <w:r>
        <w:rPr>
          <w:rFonts w:ascii="Arial" w:cs="Arial" w:eastAsia="Arial" w:hAnsi="Arial"/>
          <w:sz w:val="15"/>
          <w:szCs w:val="15"/>
          <w:color w:val="262626"/>
        </w:rPr>
        <w:t>and</w:t>
      </w:r>
      <w:r>
        <w:rPr>
          <w:rFonts w:ascii="Arial" w:cs="Arial" w:eastAsia="Arial" w:hAnsi="Arial"/>
          <w:sz w:val="15"/>
          <w:szCs w:val="15"/>
          <w:color w:val="4B4B4B"/>
        </w:rPr>
        <w:t xml:space="preserve"> </w:t>
      </w:r>
      <w:r>
        <w:rPr>
          <w:rFonts w:ascii="Arial" w:cs="Arial" w:eastAsia="Arial" w:hAnsi="Arial"/>
          <w:sz w:val="15"/>
          <w:szCs w:val="15"/>
          <w:color w:val="111111"/>
        </w:rPr>
        <w:t>into the</w:t>
      </w:r>
      <w:r>
        <w:rPr>
          <w:rFonts w:ascii="Arial" w:cs="Arial" w:eastAsia="Arial" w:hAnsi="Arial"/>
          <w:sz w:val="15"/>
          <w:szCs w:val="15"/>
          <w:color w:val="4B4B4B"/>
        </w:rPr>
        <w:t xml:space="preserve"> </w:t>
      </w:r>
      <w:r>
        <w:rPr>
          <w:rFonts w:ascii="Arial" w:cs="Arial" w:eastAsia="Arial" w:hAnsi="Arial"/>
          <w:sz w:val="15"/>
          <w:szCs w:val="15"/>
          <w:color w:val="262626"/>
        </w:rPr>
        <w:t>Company:</w:t>
      </w:r>
    </w:p>
    <w:p>
      <w:pPr>
        <w:spacing w:after="0" w:line="162" w:lineRule="exact"/>
        <w:rPr>
          <w:sz w:val="20"/>
          <w:szCs w:val="20"/>
          <w:color w:val="auto"/>
        </w:rPr>
      </w:pPr>
    </w:p>
    <w:p>
      <w:pPr>
        <w:ind w:firstLine="1010"/>
        <w:spacing w:after="0" w:line="299" w:lineRule="auto"/>
        <w:tabs>
          <w:tab w:leader="none" w:pos="1501" w:val="left"/>
        </w:tabs>
        <w:numPr>
          <w:ilvl w:val="2"/>
          <w:numId w:val="103"/>
        </w:numPr>
        <w:rPr>
          <w:rFonts w:ascii="Arial" w:cs="Arial" w:eastAsia="Arial" w:hAnsi="Arial"/>
          <w:sz w:val="14"/>
          <w:szCs w:val="14"/>
          <w:color w:val="auto"/>
        </w:rPr>
      </w:pPr>
      <w:r>
        <w:rPr>
          <w:rFonts w:ascii="Arial" w:cs="Arial" w:eastAsia="Arial" w:hAnsi="Arial"/>
          <w:sz w:val="15"/>
          <w:szCs w:val="15"/>
          <w:color w:val="111111"/>
        </w:rPr>
        <w:t xml:space="preserve">The Company </w:t>
      </w:r>
      <w:r>
        <w:rPr>
          <w:rFonts w:ascii="Arial" w:cs="Arial" w:eastAsia="Arial" w:hAnsi="Arial"/>
          <w:sz w:val="15"/>
          <w:szCs w:val="15"/>
          <w:color w:val="262626"/>
        </w:rPr>
        <w:t>is the owner</w:t>
      </w:r>
      <w:r>
        <w:rPr>
          <w:rFonts w:ascii="Arial" w:cs="Arial" w:eastAsia="Arial" w:hAnsi="Arial"/>
          <w:sz w:val="15"/>
          <w:szCs w:val="15"/>
          <w:color w:val="111111"/>
        </w:rPr>
        <w:t xml:space="preserve"> of 100% of the outstanding </w:t>
      </w:r>
      <w:r>
        <w:rPr>
          <w:rFonts w:ascii="Arial" w:cs="Arial" w:eastAsia="Arial" w:hAnsi="Arial"/>
          <w:sz w:val="15"/>
          <w:szCs w:val="15"/>
          <w:color w:val="262626"/>
        </w:rPr>
        <w:t>shares of common stock,</w:t>
      </w:r>
      <w:r>
        <w:rPr>
          <w:rFonts w:ascii="Arial" w:cs="Arial" w:eastAsia="Arial" w:hAnsi="Arial"/>
          <w:sz w:val="15"/>
          <w:szCs w:val="15"/>
          <w:color w:val="111111"/>
        </w:rPr>
        <w:t xml:space="preserve"> par value $0.00 l per share (the </w:t>
      </w:r>
      <w:r>
        <w:rPr>
          <w:rFonts w:ascii="Arial" w:cs="Arial" w:eastAsia="Arial" w:hAnsi="Arial"/>
          <w:sz w:val="15"/>
          <w:szCs w:val="15"/>
          <w:color w:val="262626"/>
        </w:rPr>
        <w:t>“Common</w:t>
      </w:r>
      <w:r>
        <w:rPr>
          <w:rFonts w:ascii="Arial" w:cs="Arial" w:eastAsia="Arial" w:hAnsi="Arial"/>
          <w:sz w:val="15"/>
          <w:szCs w:val="15"/>
          <w:color w:val="111111"/>
        </w:rPr>
        <w:t xml:space="preserve"> Stock”) of Sub. The </w:t>
      </w:r>
      <w:r>
        <w:rPr>
          <w:rFonts w:ascii="Arial" w:cs="Arial" w:eastAsia="Arial" w:hAnsi="Arial"/>
          <w:sz w:val="15"/>
          <w:szCs w:val="15"/>
          <w:color w:val="262626"/>
        </w:rPr>
        <w:t>Common</w:t>
      </w:r>
      <w:r>
        <w:rPr>
          <w:rFonts w:ascii="Arial" w:cs="Arial" w:eastAsia="Arial" w:hAnsi="Arial"/>
          <w:sz w:val="15"/>
          <w:szCs w:val="15"/>
          <w:color w:val="111111"/>
        </w:rPr>
        <w:t xml:space="preserve"> Stock con</w:t>
      </w:r>
      <w:r>
        <w:rPr>
          <w:rFonts w:ascii="Arial" w:cs="Arial" w:eastAsia="Arial" w:hAnsi="Arial"/>
          <w:sz w:val="15"/>
          <w:szCs w:val="15"/>
          <w:color w:val="383838"/>
        </w:rPr>
        <w:t>st</w:t>
      </w:r>
      <w:r>
        <w:rPr>
          <w:rFonts w:ascii="Arial" w:cs="Arial" w:eastAsia="Arial" w:hAnsi="Arial"/>
          <w:sz w:val="15"/>
          <w:szCs w:val="15"/>
          <w:color w:val="111111"/>
        </w:rPr>
        <w:t xml:space="preserve">itutes the </w:t>
      </w:r>
      <w:r>
        <w:rPr>
          <w:rFonts w:ascii="Arial" w:cs="Arial" w:eastAsia="Arial" w:hAnsi="Arial"/>
          <w:sz w:val="15"/>
          <w:szCs w:val="15"/>
          <w:color w:val="262626"/>
        </w:rPr>
        <w:t>sole</w:t>
      </w:r>
      <w:r>
        <w:rPr>
          <w:rFonts w:ascii="Arial" w:cs="Arial" w:eastAsia="Arial" w:hAnsi="Arial"/>
          <w:sz w:val="15"/>
          <w:szCs w:val="15"/>
          <w:color w:val="111111"/>
        </w:rPr>
        <w:t xml:space="preserve"> outstanding class of capital </w:t>
      </w:r>
      <w:r>
        <w:rPr>
          <w:rFonts w:ascii="Arial" w:cs="Arial" w:eastAsia="Arial" w:hAnsi="Arial"/>
          <w:sz w:val="15"/>
          <w:szCs w:val="15"/>
          <w:color w:val="262626"/>
        </w:rPr>
        <w:t>stock of</w:t>
      </w:r>
      <w:r>
        <w:rPr>
          <w:rFonts w:ascii="Arial" w:cs="Arial" w:eastAsia="Arial" w:hAnsi="Arial"/>
          <w:sz w:val="15"/>
          <w:szCs w:val="15"/>
          <w:color w:val="111111"/>
        </w:rPr>
        <w:t xml:space="preserve"> Sub.</w:t>
      </w:r>
    </w:p>
    <w:p>
      <w:pPr>
        <w:spacing w:after="0" w:line="139" w:lineRule="exact"/>
        <w:rPr>
          <w:rFonts w:ascii="Arial" w:cs="Arial" w:eastAsia="Arial" w:hAnsi="Arial"/>
          <w:sz w:val="14"/>
          <w:szCs w:val="14"/>
          <w:color w:val="auto"/>
        </w:rPr>
      </w:pPr>
    </w:p>
    <w:p>
      <w:pPr>
        <w:ind w:right="260" w:firstLine="979"/>
        <w:spacing w:after="0" w:line="382" w:lineRule="auto"/>
        <w:tabs>
          <w:tab w:leader="none" w:pos="1501" w:val="left"/>
        </w:tabs>
        <w:numPr>
          <w:ilvl w:val="0"/>
          <w:numId w:val="104"/>
        </w:numPr>
        <w:rPr>
          <w:rFonts w:ascii="Arial" w:cs="Arial" w:eastAsia="Arial" w:hAnsi="Arial"/>
          <w:sz w:val="12"/>
          <w:szCs w:val="12"/>
          <w:color w:val="auto"/>
        </w:rPr>
      </w:pPr>
      <w:r>
        <w:rPr>
          <w:rFonts w:ascii="Arial" w:cs="Arial" w:eastAsia="Arial" w:hAnsi="Arial"/>
          <w:sz w:val="13"/>
          <w:szCs w:val="13"/>
          <w:color w:val="111111"/>
        </w:rPr>
        <w:t xml:space="preserve">The board </w:t>
      </w:r>
      <w:r>
        <w:rPr>
          <w:rFonts w:ascii="Arial" w:cs="Arial" w:eastAsia="Arial" w:hAnsi="Arial"/>
          <w:sz w:val="13"/>
          <w:szCs w:val="13"/>
          <w:color w:val="262626"/>
        </w:rPr>
        <w:t>of</w:t>
      </w:r>
      <w:r>
        <w:rPr>
          <w:rFonts w:ascii="Arial" w:cs="Arial" w:eastAsia="Arial" w:hAnsi="Arial"/>
          <w:sz w:val="13"/>
          <w:szCs w:val="13"/>
          <w:color w:val="111111"/>
        </w:rPr>
        <w:t xml:space="preserve"> directors of the </w:t>
      </w:r>
      <w:r>
        <w:rPr>
          <w:rFonts w:ascii="Arial" w:cs="Arial" w:eastAsia="Arial" w:hAnsi="Arial"/>
          <w:sz w:val="13"/>
          <w:szCs w:val="13"/>
          <w:color w:val="262626"/>
        </w:rPr>
        <w:t>Company,</w:t>
      </w:r>
      <w:r>
        <w:rPr>
          <w:rFonts w:ascii="Arial" w:cs="Arial" w:eastAsia="Arial" w:hAnsi="Arial"/>
          <w:sz w:val="13"/>
          <w:szCs w:val="13"/>
          <w:color w:val="111111"/>
        </w:rPr>
        <w:t xml:space="preserve"> at a meeting held </w:t>
      </w:r>
      <w:r>
        <w:rPr>
          <w:rFonts w:ascii="Arial" w:cs="Arial" w:eastAsia="Arial" w:hAnsi="Arial"/>
          <w:sz w:val="13"/>
          <w:szCs w:val="13"/>
          <w:color w:val="262626"/>
        </w:rPr>
        <w:t>on March</w:t>
      </w:r>
      <w:r>
        <w:rPr>
          <w:rFonts w:ascii="Arial" w:cs="Arial" w:eastAsia="Arial" w:hAnsi="Arial"/>
          <w:sz w:val="13"/>
          <w:szCs w:val="13"/>
          <w:color w:val="111111"/>
        </w:rPr>
        <w:t xml:space="preserve"> 10</w:t>
      </w:r>
      <w:r>
        <w:rPr>
          <w:rFonts w:ascii="Arial" w:cs="Arial" w:eastAsia="Arial" w:hAnsi="Arial"/>
          <w:sz w:val="13"/>
          <w:szCs w:val="13"/>
          <w:color w:val="383838"/>
        </w:rPr>
        <w:t>,</w:t>
      </w:r>
      <w:r>
        <w:rPr>
          <w:rFonts w:ascii="Arial" w:cs="Arial" w:eastAsia="Arial" w:hAnsi="Arial"/>
          <w:sz w:val="13"/>
          <w:szCs w:val="13"/>
          <w:color w:val="111111"/>
        </w:rPr>
        <w:t xml:space="preserve"> </w:t>
      </w:r>
      <w:r>
        <w:rPr>
          <w:rFonts w:ascii="Arial" w:cs="Arial" w:eastAsia="Arial" w:hAnsi="Arial"/>
          <w:sz w:val="13"/>
          <w:szCs w:val="13"/>
          <w:color w:val="262626"/>
        </w:rPr>
        <w:t>2011</w:t>
      </w:r>
      <w:r>
        <w:rPr>
          <w:rFonts w:ascii="Arial" w:cs="Arial" w:eastAsia="Arial" w:hAnsi="Arial"/>
          <w:sz w:val="13"/>
          <w:szCs w:val="13"/>
          <w:color w:val="4B4B4B"/>
        </w:rPr>
        <w:t>,</w:t>
      </w:r>
      <w:r>
        <w:rPr>
          <w:rFonts w:ascii="Arial" w:cs="Arial" w:eastAsia="Arial" w:hAnsi="Arial"/>
          <w:sz w:val="13"/>
          <w:szCs w:val="13"/>
          <w:color w:val="111111"/>
        </w:rPr>
        <w:t xml:space="preserve"> duly </w:t>
      </w:r>
      <w:r>
        <w:rPr>
          <w:rFonts w:ascii="Arial" w:cs="Arial" w:eastAsia="Arial" w:hAnsi="Arial"/>
          <w:sz w:val="13"/>
          <w:szCs w:val="13"/>
          <w:color w:val="262626"/>
        </w:rPr>
        <w:t>adopted</w:t>
      </w:r>
      <w:r>
        <w:rPr>
          <w:rFonts w:ascii="Arial" w:cs="Arial" w:eastAsia="Arial" w:hAnsi="Arial"/>
          <w:sz w:val="13"/>
          <w:szCs w:val="13"/>
          <w:color w:val="111111"/>
        </w:rPr>
        <w:t xml:space="preserve"> the resolutions </w:t>
      </w:r>
      <w:r>
        <w:rPr>
          <w:rFonts w:ascii="Arial" w:cs="Arial" w:eastAsia="Arial" w:hAnsi="Arial"/>
          <w:sz w:val="13"/>
          <w:szCs w:val="13"/>
          <w:color w:val="262626"/>
        </w:rPr>
        <w:t>attached</w:t>
      </w:r>
      <w:r>
        <w:rPr>
          <w:rFonts w:ascii="Arial" w:cs="Arial" w:eastAsia="Arial" w:hAnsi="Arial"/>
          <w:sz w:val="13"/>
          <w:szCs w:val="13"/>
          <w:color w:val="111111"/>
        </w:rPr>
        <w:t xml:space="preserve"> hereto </w:t>
      </w:r>
      <w:r>
        <w:rPr>
          <w:rFonts w:ascii="Arial" w:cs="Arial" w:eastAsia="Arial" w:hAnsi="Arial"/>
          <w:sz w:val="13"/>
          <w:szCs w:val="13"/>
          <w:color w:val="262626"/>
        </w:rPr>
        <w:t>as Exhibit</w:t>
      </w:r>
      <w:r>
        <w:rPr>
          <w:rFonts w:ascii="Arial" w:cs="Arial" w:eastAsia="Arial" w:hAnsi="Arial"/>
          <w:sz w:val="13"/>
          <w:szCs w:val="13"/>
          <w:color w:val="111111"/>
        </w:rPr>
        <w:t xml:space="preserve"> A, which have not </w:t>
      </w:r>
      <w:r>
        <w:rPr>
          <w:rFonts w:ascii="Arial" w:cs="Arial" w:eastAsia="Arial" w:hAnsi="Arial"/>
          <w:sz w:val="13"/>
          <w:szCs w:val="13"/>
          <w:color w:val="262626"/>
        </w:rPr>
        <w:t>been</w:t>
      </w:r>
      <w:r>
        <w:rPr>
          <w:rFonts w:ascii="Arial" w:cs="Arial" w:eastAsia="Arial" w:hAnsi="Arial"/>
          <w:sz w:val="13"/>
          <w:szCs w:val="13"/>
          <w:color w:val="111111"/>
        </w:rPr>
        <w:t xml:space="preserve"> amended or r</w:t>
      </w:r>
      <w:r>
        <w:rPr>
          <w:rFonts w:ascii="Arial" w:cs="Arial" w:eastAsia="Arial" w:hAnsi="Arial"/>
          <w:sz w:val="13"/>
          <w:szCs w:val="13"/>
          <w:color w:val="383838"/>
        </w:rPr>
        <w:t>es</w:t>
      </w:r>
      <w:r>
        <w:rPr>
          <w:rFonts w:ascii="Arial" w:cs="Arial" w:eastAsia="Arial" w:hAnsi="Arial"/>
          <w:sz w:val="13"/>
          <w:szCs w:val="13"/>
          <w:color w:val="111111"/>
        </w:rPr>
        <w:t>cind</w:t>
      </w:r>
      <w:r>
        <w:rPr>
          <w:rFonts w:ascii="Arial" w:cs="Arial" w:eastAsia="Arial" w:hAnsi="Arial"/>
          <w:sz w:val="13"/>
          <w:szCs w:val="13"/>
          <w:color w:val="383838"/>
        </w:rPr>
        <w:t>e</w:t>
      </w:r>
      <w:r>
        <w:rPr>
          <w:rFonts w:ascii="Arial" w:cs="Arial" w:eastAsia="Arial" w:hAnsi="Arial"/>
          <w:sz w:val="13"/>
          <w:szCs w:val="13"/>
          <w:color w:val="111111"/>
        </w:rPr>
        <w:t xml:space="preserve">d </w:t>
      </w:r>
      <w:r>
        <w:rPr>
          <w:rFonts w:ascii="Arial" w:cs="Arial" w:eastAsia="Arial" w:hAnsi="Arial"/>
          <w:sz w:val="13"/>
          <w:szCs w:val="13"/>
          <w:color w:val="262626"/>
        </w:rPr>
        <w:t>and are</w:t>
      </w:r>
      <w:r>
        <w:rPr>
          <w:rFonts w:ascii="Arial" w:cs="Arial" w:eastAsia="Arial" w:hAnsi="Arial"/>
          <w:sz w:val="13"/>
          <w:szCs w:val="13"/>
          <w:color w:val="111111"/>
        </w:rPr>
        <w:t xml:space="preserve"> now in full force and effect</w:t>
      </w:r>
      <w:r>
        <w:rPr>
          <w:rFonts w:ascii="Arial" w:cs="Arial" w:eastAsia="Arial" w:hAnsi="Arial"/>
          <w:sz w:val="13"/>
          <w:szCs w:val="13"/>
          <w:color w:val="383838"/>
        </w:rPr>
        <w:t>,</w:t>
      </w:r>
      <w:r>
        <w:rPr>
          <w:rFonts w:ascii="Arial" w:cs="Arial" w:eastAsia="Arial" w:hAnsi="Arial"/>
          <w:sz w:val="13"/>
          <w:szCs w:val="13"/>
          <w:color w:val="111111"/>
        </w:rPr>
        <w:t xml:space="preserve"> to merge </w:t>
      </w:r>
      <w:r>
        <w:rPr>
          <w:rFonts w:ascii="Arial" w:cs="Arial" w:eastAsia="Arial" w:hAnsi="Arial"/>
          <w:sz w:val="13"/>
          <w:szCs w:val="13"/>
          <w:color w:val="262626"/>
        </w:rPr>
        <w:t>Sub</w:t>
      </w:r>
      <w:r>
        <w:rPr>
          <w:rFonts w:ascii="Arial" w:cs="Arial" w:eastAsia="Arial" w:hAnsi="Arial"/>
          <w:sz w:val="13"/>
          <w:szCs w:val="13"/>
          <w:color w:val="111111"/>
        </w:rPr>
        <w:t xml:space="preserve"> with </w:t>
      </w:r>
      <w:r>
        <w:rPr>
          <w:rFonts w:ascii="Arial" w:cs="Arial" w:eastAsia="Arial" w:hAnsi="Arial"/>
          <w:sz w:val="13"/>
          <w:szCs w:val="13"/>
          <w:color w:val="262626"/>
        </w:rPr>
        <w:t>and</w:t>
      </w:r>
      <w:r>
        <w:rPr>
          <w:rFonts w:ascii="Arial" w:cs="Arial" w:eastAsia="Arial" w:hAnsi="Arial"/>
          <w:sz w:val="13"/>
          <w:szCs w:val="13"/>
          <w:color w:val="111111"/>
        </w:rPr>
        <w:t xml:space="preserve"> into the </w:t>
      </w:r>
      <w:r>
        <w:rPr>
          <w:rFonts w:ascii="Arial" w:cs="Arial" w:eastAsia="Arial" w:hAnsi="Arial"/>
          <w:sz w:val="13"/>
          <w:szCs w:val="13"/>
          <w:color w:val="262626"/>
        </w:rPr>
        <w:t>Company</w:t>
      </w:r>
      <w:r>
        <w:rPr>
          <w:rFonts w:ascii="Arial" w:cs="Arial" w:eastAsia="Arial" w:hAnsi="Arial"/>
          <w:sz w:val="13"/>
          <w:szCs w:val="13"/>
          <w:color w:val="4B4B4B"/>
        </w:rPr>
        <w:t>,</w:t>
      </w:r>
      <w:r>
        <w:rPr>
          <w:rFonts w:ascii="Arial" w:cs="Arial" w:eastAsia="Arial" w:hAnsi="Arial"/>
          <w:sz w:val="13"/>
          <w:szCs w:val="13"/>
          <w:color w:val="111111"/>
        </w:rPr>
        <w:t xml:space="preserve"> </w:t>
      </w:r>
      <w:r>
        <w:rPr>
          <w:rFonts w:ascii="Arial" w:cs="Arial" w:eastAsia="Arial" w:hAnsi="Arial"/>
          <w:sz w:val="13"/>
          <w:szCs w:val="13"/>
          <w:color w:val="262626"/>
        </w:rPr>
        <w:t>with the Company</w:t>
      </w:r>
      <w:r>
        <w:rPr>
          <w:rFonts w:ascii="Arial" w:cs="Arial" w:eastAsia="Arial" w:hAnsi="Arial"/>
          <w:sz w:val="13"/>
          <w:szCs w:val="13"/>
          <w:color w:val="111111"/>
        </w:rPr>
        <w:t xml:space="preserve"> being the </w:t>
      </w:r>
      <w:r>
        <w:rPr>
          <w:rFonts w:ascii="Arial" w:cs="Arial" w:eastAsia="Arial" w:hAnsi="Arial"/>
          <w:sz w:val="13"/>
          <w:szCs w:val="13"/>
          <w:color w:val="262626"/>
        </w:rPr>
        <w:t>surviving</w:t>
      </w:r>
      <w:r>
        <w:rPr>
          <w:rFonts w:ascii="Arial" w:cs="Arial" w:eastAsia="Arial" w:hAnsi="Arial"/>
          <w:sz w:val="13"/>
          <w:szCs w:val="13"/>
          <w:color w:val="111111"/>
        </w:rPr>
        <w:t xml:space="preserve"> corporation </w:t>
      </w:r>
      <w:r>
        <w:rPr>
          <w:rFonts w:ascii="Arial" w:cs="Arial" w:eastAsia="Arial" w:hAnsi="Arial"/>
          <w:sz w:val="13"/>
          <w:szCs w:val="13"/>
          <w:color w:val="262626"/>
        </w:rPr>
        <w:t>(the</w:t>
      </w:r>
      <w:r>
        <w:rPr>
          <w:rFonts w:ascii="Arial" w:cs="Arial" w:eastAsia="Arial" w:hAnsi="Arial"/>
          <w:sz w:val="13"/>
          <w:szCs w:val="13"/>
          <w:color w:val="111111"/>
        </w:rPr>
        <w:t xml:space="preserve"> </w:t>
      </w:r>
      <w:r>
        <w:rPr>
          <w:rFonts w:ascii="Arial" w:cs="Arial" w:eastAsia="Arial" w:hAnsi="Arial"/>
          <w:sz w:val="13"/>
          <w:szCs w:val="13"/>
          <w:color w:val="4B4B4B"/>
        </w:rPr>
        <w:t>“</w:t>
      </w:r>
      <w:r>
        <w:rPr>
          <w:rFonts w:ascii="Arial" w:cs="Arial" w:eastAsia="Arial" w:hAnsi="Arial"/>
          <w:sz w:val="13"/>
          <w:szCs w:val="13"/>
          <w:u w:val="single" w:color="auto"/>
          <w:color w:val="262626"/>
        </w:rPr>
        <w:t>Surviving</w:t>
      </w:r>
      <w:r>
        <w:rPr>
          <w:rFonts w:ascii="Arial" w:cs="Arial" w:eastAsia="Arial" w:hAnsi="Arial"/>
          <w:sz w:val="13"/>
          <w:szCs w:val="13"/>
          <w:color w:val="111111"/>
        </w:rPr>
        <w:t xml:space="preserve"> </w:t>
      </w:r>
      <w:r>
        <w:rPr>
          <w:rFonts w:ascii="Arial" w:cs="Arial" w:eastAsia="Arial" w:hAnsi="Arial"/>
          <w:sz w:val="13"/>
          <w:szCs w:val="13"/>
          <w:u w:val="single" w:color="auto"/>
          <w:color w:val="111111"/>
        </w:rPr>
        <w:t>Corporation</w:t>
      </w:r>
      <w:r>
        <w:rPr>
          <w:rFonts w:ascii="Arial" w:cs="Arial" w:eastAsia="Arial" w:hAnsi="Arial"/>
          <w:sz w:val="13"/>
          <w:szCs w:val="13"/>
          <w:color w:val="5B5B5B"/>
        </w:rPr>
        <w:t>”</w:t>
      </w:r>
      <w:r>
        <w:rPr>
          <w:rFonts w:ascii="Arial" w:cs="Arial" w:eastAsia="Arial" w:hAnsi="Arial"/>
          <w:sz w:val="13"/>
          <w:szCs w:val="13"/>
          <w:color w:val="383838"/>
        </w:rPr>
        <w:t>).</w:t>
      </w:r>
    </w:p>
    <w:p>
      <w:pPr>
        <w:spacing w:after="0" w:line="83" w:lineRule="exact"/>
        <w:rPr>
          <w:rFonts w:ascii="Arial" w:cs="Arial" w:eastAsia="Arial" w:hAnsi="Arial"/>
          <w:sz w:val="12"/>
          <w:szCs w:val="12"/>
          <w:color w:val="auto"/>
        </w:rPr>
      </w:pPr>
    </w:p>
    <w:p>
      <w:pPr>
        <w:ind w:left="1500" w:hanging="500"/>
        <w:spacing w:after="0"/>
        <w:tabs>
          <w:tab w:leader="none" w:pos="1500" w:val="left"/>
        </w:tabs>
        <w:numPr>
          <w:ilvl w:val="1"/>
          <w:numId w:val="104"/>
        </w:numPr>
        <w:rPr>
          <w:rFonts w:ascii="Arial" w:cs="Arial" w:eastAsia="Arial" w:hAnsi="Arial"/>
          <w:sz w:val="14"/>
          <w:szCs w:val="14"/>
          <w:color w:val="auto"/>
        </w:rPr>
      </w:pPr>
      <w:r>
        <w:rPr>
          <w:rFonts w:ascii="Arial" w:cs="Arial" w:eastAsia="Arial" w:hAnsi="Arial"/>
          <w:sz w:val="15"/>
          <w:szCs w:val="15"/>
          <w:color w:val="111111"/>
        </w:rPr>
        <w:t xml:space="preserve">The Merger </w:t>
      </w:r>
      <w:r>
        <w:rPr>
          <w:rFonts w:ascii="Arial" w:cs="Arial" w:eastAsia="Arial" w:hAnsi="Arial"/>
          <w:sz w:val="15"/>
          <w:szCs w:val="15"/>
          <w:color w:val="383838"/>
        </w:rPr>
        <w:t>s</w:t>
      </w:r>
      <w:r>
        <w:rPr>
          <w:rFonts w:ascii="Arial" w:cs="Arial" w:eastAsia="Arial" w:hAnsi="Arial"/>
          <w:sz w:val="15"/>
          <w:szCs w:val="15"/>
          <w:color w:val="111111"/>
        </w:rPr>
        <w:t xml:space="preserve">hall become </w:t>
      </w:r>
      <w:r>
        <w:rPr>
          <w:rFonts w:ascii="Arial" w:cs="Arial" w:eastAsia="Arial" w:hAnsi="Arial"/>
          <w:sz w:val="15"/>
          <w:szCs w:val="15"/>
          <w:color w:val="262626"/>
        </w:rPr>
        <w:t>effective</w:t>
      </w:r>
      <w:r>
        <w:rPr>
          <w:rFonts w:ascii="Arial" w:cs="Arial" w:eastAsia="Arial" w:hAnsi="Arial"/>
          <w:sz w:val="15"/>
          <w:szCs w:val="15"/>
          <w:color w:val="111111"/>
        </w:rPr>
        <w:t xml:space="preserve"> upon the filing of this </w:t>
      </w:r>
      <w:r>
        <w:rPr>
          <w:rFonts w:ascii="Arial" w:cs="Arial" w:eastAsia="Arial" w:hAnsi="Arial"/>
          <w:sz w:val="15"/>
          <w:szCs w:val="15"/>
          <w:color w:val="262626"/>
        </w:rPr>
        <w:t>Certificate of</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111111"/>
        </w:rPr>
        <w:t>Owner</w:t>
      </w:r>
      <w:r>
        <w:rPr>
          <w:rFonts w:ascii="Arial" w:cs="Arial" w:eastAsia="Arial" w:hAnsi="Arial"/>
          <w:sz w:val="15"/>
          <w:szCs w:val="15"/>
          <w:color w:val="383838"/>
        </w:rPr>
        <w:t>s</w:t>
      </w:r>
      <w:r>
        <w:rPr>
          <w:rFonts w:ascii="Arial" w:cs="Arial" w:eastAsia="Arial" w:hAnsi="Arial"/>
          <w:sz w:val="15"/>
          <w:szCs w:val="15"/>
          <w:color w:val="111111"/>
        </w:rPr>
        <w:t>hip and Merger.</w:t>
      </w: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15"/>
          <w:szCs w:val="15"/>
          <w:i w:val="1"/>
          <w:iCs w:val="1"/>
          <w:color w:val="111111"/>
        </w:rPr>
        <w:t xml:space="preserve">[Remainder </w:t>
      </w:r>
      <w:r>
        <w:rPr>
          <w:rFonts w:ascii="Arial" w:cs="Arial" w:eastAsia="Arial" w:hAnsi="Arial"/>
          <w:sz w:val="15"/>
          <w:szCs w:val="15"/>
          <w:i w:val="1"/>
          <w:iCs w:val="1"/>
          <w:color w:val="262626"/>
        </w:rPr>
        <w:t>of</w:t>
      </w:r>
      <w:r>
        <w:rPr>
          <w:rFonts w:ascii="Arial" w:cs="Arial" w:eastAsia="Arial" w:hAnsi="Arial"/>
          <w:sz w:val="15"/>
          <w:szCs w:val="15"/>
          <w:i w:val="1"/>
          <w:iCs w:val="1"/>
          <w:color w:val="111111"/>
        </w:rPr>
        <w:t xml:space="preserve"> this </w:t>
      </w:r>
      <w:r>
        <w:rPr>
          <w:rFonts w:ascii="Arial" w:cs="Arial" w:eastAsia="Arial" w:hAnsi="Arial"/>
          <w:sz w:val="15"/>
          <w:szCs w:val="15"/>
          <w:i w:val="1"/>
          <w:iCs w:val="1"/>
          <w:color w:val="262626"/>
        </w:rPr>
        <w:t>page</w:t>
      </w:r>
      <w:r>
        <w:rPr>
          <w:rFonts w:ascii="Arial" w:cs="Arial" w:eastAsia="Arial" w:hAnsi="Arial"/>
          <w:sz w:val="15"/>
          <w:szCs w:val="15"/>
          <w:i w:val="1"/>
          <w:iCs w:val="1"/>
          <w:color w:val="111111"/>
        </w:rPr>
        <w:t xml:space="preserve"> intentionally left blank]</w:t>
      </w:r>
    </w:p>
    <w:p>
      <w:pPr>
        <w:sectPr>
          <w:pgSz w:w="11900" w:h="16838" w:orient="portrait"/>
          <w:cols w:equalWidth="0" w:num="1">
            <w:col w:w="11380"/>
          </w:cols>
          <w:pgMar w:left="300" w:top="655" w:right="219" w:bottom="1440" w:gutter="0" w:footer="0" w:header="0"/>
        </w:sectPr>
      </w:pPr>
    </w:p>
    <w:bookmarkStart w:id="158" w:name="page159"/>
    <w:bookmarkEnd w:id="158"/>
    <w:p>
      <w:pPr>
        <w:ind w:left="1000"/>
        <w:spacing w:after="0"/>
        <w:rPr>
          <w:sz w:val="20"/>
          <w:szCs w:val="20"/>
          <w:color w:val="auto"/>
        </w:rPr>
      </w:pPr>
      <w:r>
        <w:rPr>
          <w:rFonts w:ascii="Arial" w:cs="Arial" w:eastAsia="Arial" w:hAnsi="Arial"/>
          <w:sz w:val="13"/>
          <w:szCs w:val="13"/>
          <w:color w:val="0C0C0C"/>
        </w:rPr>
        <w:t xml:space="preserve">IN </w:t>
      </w:r>
      <w:r>
        <w:rPr>
          <w:rFonts w:ascii="Arial" w:cs="Arial" w:eastAsia="Arial" w:hAnsi="Arial"/>
          <w:sz w:val="13"/>
          <w:szCs w:val="13"/>
          <w:color w:val="1F1F1F"/>
        </w:rPr>
        <w:t>WITNESS WHEREOF</w:t>
      </w:r>
      <w:r>
        <w:rPr>
          <w:rFonts w:ascii="Arial" w:cs="Arial" w:eastAsia="Arial" w:hAnsi="Arial"/>
          <w:sz w:val="13"/>
          <w:szCs w:val="13"/>
          <w:color w:val="0C0C0C"/>
        </w:rPr>
        <w:t xml:space="preserve"> </w:t>
      </w:r>
      <w:r>
        <w:rPr>
          <w:rFonts w:ascii="Arial" w:cs="Arial" w:eastAsia="Arial" w:hAnsi="Arial"/>
          <w:sz w:val="13"/>
          <w:szCs w:val="13"/>
          <w:color w:val="5D5D5D"/>
        </w:rPr>
        <w:t>,</w:t>
      </w:r>
      <w:r>
        <w:rPr>
          <w:rFonts w:ascii="Arial" w:cs="Arial" w:eastAsia="Arial" w:hAnsi="Arial"/>
          <w:sz w:val="13"/>
          <w:szCs w:val="13"/>
          <w:color w:val="0C0C0C"/>
        </w:rPr>
        <w:t xml:space="preserve"> </w:t>
      </w:r>
      <w:r>
        <w:rPr>
          <w:rFonts w:ascii="Arial" w:cs="Arial" w:eastAsia="Arial" w:hAnsi="Arial"/>
          <w:sz w:val="13"/>
          <w:szCs w:val="13"/>
          <w:color w:val="1F1F1F"/>
        </w:rPr>
        <w:t>the</w:t>
      </w:r>
      <w:r>
        <w:rPr>
          <w:rFonts w:ascii="Arial" w:cs="Arial" w:eastAsia="Arial" w:hAnsi="Arial"/>
          <w:sz w:val="13"/>
          <w:szCs w:val="13"/>
          <w:color w:val="0C0C0C"/>
        </w:rPr>
        <w:t xml:space="preserve"> </w:t>
      </w:r>
      <w:r>
        <w:rPr>
          <w:rFonts w:ascii="Arial" w:cs="Arial" w:eastAsia="Arial" w:hAnsi="Arial"/>
          <w:sz w:val="13"/>
          <w:szCs w:val="13"/>
          <w:color w:val="343434"/>
        </w:rPr>
        <w:t>Co</w:t>
      </w:r>
      <w:r>
        <w:rPr>
          <w:rFonts w:ascii="Arial" w:cs="Arial" w:eastAsia="Arial" w:hAnsi="Arial"/>
          <w:sz w:val="13"/>
          <w:szCs w:val="13"/>
          <w:color w:val="0C0C0C"/>
        </w:rPr>
        <w:t>mpan</w:t>
      </w:r>
      <w:r>
        <w:rPr>
          <w:rFonts w:ascii="Arial" w:cs="Arial" w:eastAsia="Arial" w:hAnsi="Arial"/>
          <w:sz w:val="13"/>
          <w:szCs w:val="13"/>
          <w:color w:val="343434"/>
        </w:rPr>
        <w:t>y</w:t>
      </w:r>
      <w:r>
        <w:rPr>
          <w:rFonts w:ascii="Arial" w:cs="Arial" w:eastAsia="Arial" w:hAnsi="Arial"/>
          <w:sz w:val="13"/>
          <w:szCs w:val="13"/>
          <w:color w:val="0C0C0C"/>
        </w:rPr>
        <w:t xml:space="preserve"> has </w:t>
      </w:r>
      <w:r>
        <w:rPr>
          <w:rFonts w:ascii="Arial" w:cs="Arial" w:eastAsia="Arial" w:hAnsi="Arial"/>
          <w:sz w:val="13"/>
          <w:szCs w:val="13"/>
          <w:color w:val="1F1F1F"/>
        </w:rPr>
        <w:t>caused this Certificate of Ownership and</w:t>
      </w:r>
      <w:r>
        <w:rPr>
          <w:rFonts w:ascii="Arial" w:cs="Arial" w:eastAsia="Arial" w:hAnsi="Arial"/>
          <w:sz w:val="13"/>
          <w:szCs w:val="13"/>
          <w:color w:val="0C0C0C"/>
        </w:rPr>
        <w:t xml:space="preserve"> M</w:t>
      </w:r>
      <w:r>
        <w:rPr>
          <w:rFonts w:ascii="Arial" w:cs="Arial" w:eastAsia="Arial" w:hAnsi="Arial"/>
          <w:sz w:val="13"/>
          <w:szCs w:val="13"/>
          <w:color w:val="343434"/>
        </w:rPr>
        <w:t>e</w:t>
      </w:r>
      <w:r>
        <w:rPr>
          <w:rFonts w:ascii="Arial" w:cs="Arial" w:eastAsia="Arial" w:hAnsi="Arial"/>
          <w:sz w:val="13"/>
          <w:szCs w:val="13"/>
          <w:color w:val="0C0C0C"/>
        </w:rPr>
        <w:t xml:space="preserve">rger to </w:t>
      </w:r>
      <w:r>
        <w:rPr>
          <w:rFonts w:ascii="Arial" w:cs="Arial" w:eastAsia="Arial" w:hAnsi="Arial"/>
          <w:sz w:val="13"/>
          <w:szCs w:val="13"/>
          <w:color w:val="1F1F1F"/>
        </w:rPr>
        <w:t>be executed</w:t>
      </w:r>
      <w:r>
        <w:rPr>
          <w:rFonts w:ascii="Arial" w:cs="Arial" w:eastAsia="Arial" w:hAnsi="Arial"/>
          <w:sz w:val="13"/>
          <w:szCs w:val="13"/>
          <w:color w:val="0C0C0C"/>
        </w:rPr>
        <w:t xml:space="preserve"> by its duly </w:t>
      </w:r>
      <w:r>
        <w:rPr>
          <w:rFonts w:ascii="Arial" w:cs="Arial" w:eastAsia="Arial" w:hAnsi="Arial"/>
          <w:sz w:val="13"/>
          <w:szCs w:val="13"/>
          <w:color w:val="343434"/>
        </w:rPr>
        <w:t>a</w:t>
      </w:r>
      <w:r>
        <w:rPr>
          <w:rFonts w:ascii="Arial" w:cs="Arial" w:eastAsia="Arial" w:hAnsi="Arial"/>
          <w:sz w:val="13"/>
          <w:szCs w:val="13"/>
          <w:color w:val="0C0C0C"/>
        </w:rPr>
        <w:t xml:space="preserve">uthorized </w:t>
      </w:r>
      <w:r>
        <w:rPr>
          <w:rFonts w:ascii="Arial" w:cs="Arial" w:eastAsia="Arial" w:hAnsi="Arial"/>
          <w:sz w:val="13"/>
          <w:szCs w:val="13"/>
          <w:color w:val="1F1F1F"/>
        </w:rPr>
        <w:t>officer on</w:t>
      </w:r>
      <w:r>
        <w:rPr>
          <w:rFonts w:ascii="Arial" w:cs="Arial" w:eastAsia="Arial" w:hAnsi="Arial"/>
          <w:sz w:val="13"/>
          <w:szCs w:val="13"/>
          <w:color w:val="0C0C0C"/>
        </w:rPr>
        <w:t xml:space="preserve"> the dat</w:t>
      </w:r>
      <w:r>
        <w:rPr>
          <w:rFonts w:ascii="Arial" w:cs="Arial" w:eastAsia="Arial" w:hAnsi="Arial"/>
          <w:sz w:val="13"/>
          <w:szCs w:val="13"/>
          <w:color w:val="343434"/>
        </w:rPr>
        <w:t>e</w:t>
      </w:r>
      <w:r>
        <w:rPr>
          <w:rFonts w:ascii="Arial" w:cs="Arial" w:eastAsia="Arial" w:hAnsi="Arial"/>
          <w:sz w:val="13"/>
          <w:szCs w:val="13"/>
          <w:color w:val="0C0C0C"/>
        </w:rPr>
        <w:t xml:space="preserve"> fir</w:t>
      </w:r>
      <w:r>
        <w:rPr>
          <w:rFonts w:ascii="Arial" w:cs="Arial" w:eastAsia="Arial" w:hAnsi="Arial"/>
          <w:sz w:val="13"/>
          <w:szCs w:val="13"/>
          <w:color w:val="343434"/>
        </w:rPr>
        <w:t>st</w:t>
      </w:r>
      <w:r>
        <w:rPr>
          <w:rFonts w:ascii="Arial" w:cs="Arial" w:eastAsia="Arial" w:hAnsi="Arial"/>
          <w:sz w:val="13"/>
          <w:szCs w:val="13"/>
          <w:color w:val="0C0C0C"/>
        </w:rPr>
        <w:t xml:space="preserve"> </w:t>
      </w:r>
      <w:r>
        <w:rPr>
          <w:rFonts w:ascii="Arial" w:cs="Arial" w:eastAsia="Arial" w:hAnsi="Arial"/>
          <w:sz w:val="13"/>
          <w:szCs w:val="13"/>
          <w:color w:val="1F1F1F"/>
        </w:rPr>
        <w:t>written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1F1F1F"/>
        </w:rPr>
        <w:t>above.</w:t>
      </w:r>
    </w:p>
    <w:p>
      <w:pPr>
        <w:spacing w:after="0" w:line="200" w:lineRule="exact"/>
        <w:rPr>
          <w:sz w:val="20"/>
          <w:szCs w:val="20"/>
          <w:color w:val="auto"/>
        </w:rPr>
      </w:pPr>
    </w:p>
    <w:p>
      <w:pPr>
        <w:spacing w:after="0" w:line="295" w:lineRule="exact"/>
        <w:rPr>
          <w:sz w:val="20"/>
          <w:szCs w:val="20"/>
          <w:color w:val="auto"/>
        </w:rPr>
      </w:pPr>
    </w:p>
    <w:p>
      <w:pPr>
        <w:ind w:left="2000"/>
        <w:spacing w:after="0"/>
        <w:rPr>
          <w:sz w:val="20"/>
          <w:szCs w:val="20"/>
          <w:color w:val="auto"/>
        </w:rPr>
      </w:pPr>
      <w:r>
        <w:rPr>
          <w:rFonts w:ascii="Arial" w:cs="Arial" w:eastAsia="Arial" w:hAnsi="Arial"/>
          <w:sz w:val="15"/>
          <w:szCs w:val="15"/>
          <w:color w:val="0C0C0C"/>
        </w:rPr>
        <w:t xml:space="preserve">KRATOS DEFENSE </w:t>
      </w:r>
      <w:r>
        <w:rPr>
          <w:rFonts w:ascii="Arial" w:cs="Arial" w:eastAsia="Arial" w:hAnsi="Arial"/>
          <w:sz w:val="16"/>
          <w:szCs w:val="16"/>
          <w:color w:val="0C0C0C"/>
        </w:rPr>
        <w:t>&amp;</w:t>
      </w:r>
      <w:r>
        <w:rPr>
          <w:rFonts w:ascii="Arial" w:cs="Arial" w:eastAsia="Arial" w:hAnsi="Arial"/>
          <w:sz w:val="15"/>
          <w:szCs w:val="15"/>
          <w:color w:val="0C0C0C"/>
        </w:rPr>
        <w:t xml:space="preserve"> SECURITY SOLUTIONS, INC.</w:t>
      </w:r>
    </w:p>
    <w:p>
      <w:pPr>
        <w:spacing w:after="0" w:line="200" w:lineRule="exact"/>
        <w:rPr>
          <w:sz w:val="20"/>
          <w:szCs w:val="20"/>
          <w:color w:val="auto"/>
        </w:rPr>
      </w:pPr>
    </w:p>
    <w:p>
      <w:pPr>
        <w:spacing w:after="0" w:line="320" w:lineRule="exact"/>
        <w:rPr>
          <w:sz w:val="20"/>
          <w:szCs w:val="20"/>
          <w:color w:val="auto"/>
        </w:rPr>
      </w:pPr>
    </w:p>
    <w:p>
      <w:pPr>
        <w:ind w:left="2960"/>
        <w:spacing w:after="0"/>
        <w:rPr>
          <w:sz w:val="20"/>
          <w:szCs w:val="20"/>
          <w:color w:val="auto"/>
        </w:rPr>
      </w:pPr>
      <w:r>
        <w:rPr>
          <w:rFonts w:ascii="Arial" w:cs="Arial" w:eastAsia="Arial" w:hAnsi="Arial"/>
          <w:sz w:val="15"/>
          <w:szCs w:val="15"/>
          <w:color w:val="1F1F1F"/>
        </w:rPr>
        <w:t xml:space="preserve">By: </w:t>
      </w:r>
      <w:r>
        <w:rPr>
          <w:rFonts w:ascii="Arial" w:cs="Arial" w:eastAsia="Arial" w:hAnsi="Arial"/>
          <w:sz w:val="16"/>
          <w:szCs w:val="16"/>
          <w:i w:val="1"/>
          <w:iCs w:val="1"/>
          <w:u w:val="single" w:color="auto"/>
          <w:color w:val="1F1F1F"/>
        </w:rPr>
        <w:t>/s/</w:t>
      </w:r>
      <w:r>
        <w:rPr>
          <w:rFonts w:ascii="Arial" w:cs="Arial" w:eastAsia="Arial" w:hAnsi="Arial"/>
          <w:sz w:val="15"/>
          <w:szCs w:val="15"/>
          <w:color w:val="1F1F1F"/>
        </w:rPr>
        <w:t xml:space="preserve"> </w:t>
      </w:r>
      <w:r>
        <w:rPr>
          <w:rFonts w:ascii="Arial" w:cs="Arial" w:eastAsia="Arial" w:hAnsi="Arial"/>
          <w:sz w:val="15"/>
          <w:szCs w:val="15"/>
          <w:u w:val="single" w:color="auto"/>
          <w:color w:val="0C0C0C"/>
        </w:rPr>
        <w:t>Deanna H. Lund</w:t>
      </w:r>
    </w:p>
    <w:p>
      <w:pPr>
        <w:spacing w:after="0" w:line="28" w:lineRule="exact"/>
        <w:rPr>
          <w:sz w:val="20"/>
          <w:szCs w:val="20"/>
          <w:color w:val="auto"/>
        </w:rPr>
      </w:pPr>
    </w:p>
    <w:p>
      <w:pPr>
        <w:ind w:left="2960"/>
        <w:spacing w:after="0"/>
        <w:rPr>
          <w:sz w:val="20"/>
          <w:szCs w:val="20"/>
          <w:color w:val="auto"/>
        </w:rPr>
      </w:pPr>
      <w:r>
        <w:rPr>
          <w:rFonts w:ascii="Arial" w:cs="Arial" w:eastAsia="Arial" w:hAnsi="Arial"/>
          <w:sz w:val="15"/>
          <w:szCs w:val="15"/>
          <w:color w:val="1F1F1F"/>
        </w:rPr>
        <w:t xml:space="preserve">Name: </w:t>
      </w:r>
      <w:r>
        <w:rPr>
          <w:rFonts w:ascii="Arial" w:cs="Arial" w:eastAsia="Arial" w:hAnsi="Arial"/>
          <w:sz w:val="15"/>
          <w:szCs w:val="15"/>
          <w:color w:val="0C0C0C"/>
        </w:rPr>
        <w:t>Deanna H. Lund</w:t>
      </w:r>
    </w:p>
    <w:p>
      <w:pPr>
        <w:spacing w:after="0" w:line="3" w:lineRule="exact"/>
        <w:rPr>
          <w:sz w:val="20"/>
          <w:szCs w:val="20"/>
          <w:color w:val="auto"/>
        </w:rPr>
      </w:pPr>
    </w:p>
    <w:p>
      <w:pPr>
        <w:ind w:left="2900"/>
        <w:spacing w:after="0"/>
        <w:rPr>
          <w:sz w:val="20"/>
          <w:szCs w:val="20"/>
          <w:color w:val="auto"/>
        </w:rPr>
      </w:pPr>
      <w:r>
        <w:rPr>
          <w:rFonts w:ascii="Arial" w:cs="Arial" w:eastAsia="Arial" w:hAnsi="Arial"/>
          <w:sz w:val="15"/>
          <w:szCs w:val="15"/>
          <w:color w:val="1F1F1F"/>
        </w:rPr>
        <w:t>Title: Executive Vice President &amp; Chief</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5"/>
          <w:szCs w:val="15"/>
          <w:color w:val="1F1F1F"/>
        </w:rPr>
        <w:t>Financial Officer</w:t>
      </w:r>
    </w:p>
    <w:p>
      <w:pPr>
        <w:sectPr>
          <w:pgSz w:w="11900" w:h="16838" w:orient="portrait"/>
          <w:cols w:equalWidth="0" w:num="1">
            <w:col w:w="10960"/>
          </w:cols>
          <w:pgMar w:left="300" w:top="852" w:right="63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SECOND AMENDED AND RESTATED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BYLAWS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OF</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 Delaware corporation</w:t>
      </w:r>
    </w:p>
    <w:p>
      <w:pPr>
        <w:sectPr>
          <w:pgSz w:w="11900" w:h="16838" w:orient="portrait"/>
          <w:cols w:equalWidth="0" w:num="1">
            <w:col w:w="9019"/>
          </w:cols>
          <w:pgMar w:left="1440" w:top="1440"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75"/>
        </w:trPr>
        <w:tc>
          <w:tcPr>
            <w:tcW w:w="1840" w:type="dxa"/>
            <w:vAlign w:val="bottom"/>
          </w:tcPr>
          <w:p>
            <w:pPr>
              <w:spacing w:after="0"/>
              <w:rPr>
                <w:sz w:val="15"/>
                <w:szCs w:val="15"/>
                <w:color w:val="auto"/>
              </w:rPr>
            </w:pPr>
          </w:p>
        </w:tc>
        <w:tc>
          <w:tcPr>
            <w:tcW w:w="8200" w:type="dxa"/>
            <w:vAlign w:val="bottom"/>
          </w:tcPr>
          <w:p>
            <w:pPr>
              <w:ind w:left="3180"/>
              <w:spacing w:after="0"/>
              <w:rPr>
                <w:sz w:val="20"/>
                <w:szCs w:val="20"/>
                <w:color w:val="auto"/>
              </w:rPr>
            </w:pPr>
            <w:r>
              <w:rPr>
                <w:rFonts w:ascii="Arial" w:cs="Arial" w:eastAsia="Arial" w:hAnsi="Arial"/>
                <w:sz w:val="14"/>
                <w:szCs w:val="14"/>
                <w:color w:val="auto"/>
              </w:rPr>
              <w:t>TABLE OF CONTENTS</w:t>
            </w:r>
          </w:p>
        </w:tc>
        <w:tc>
          <w:tcPr>
            <w:tcW w:w="1300" w:type="dxa"/>
            <w:vAlign w:val="bottom"/>
          </w:tcPr>
          <w:p>
            <w:pPr>
              <w:spacing w:after="0"/>
              <w:rPr>
                <w:sz w:val="15"/>
                <w:szCs w:val="15"/>
                <w:color w:val="auto"/>
              </w:rPr>
            </w:pPr>
          </w:p>
        </w:tc>
      </w:tr>
      <w:tr>
        <w:trPr>
          <w:trHeight w:val="207"/>
        </w:trPr>
        <w:tc>
          <w:tcPr>
            <w:tcW w:w="184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300" w:type="dxa"/>
            <w:vAlign w:val="bottom"/>
          </w:tcPr>
          <w:p>
            <w:pPr>
              <w:jc w:val="right"/>
              <w:ind w:right="91"/>
              <w:spacing w:after="0"/>
              <w:rPr>
                <w:sz w:val="20"/>
                <w:szCs w:val="20"/>
                <w:color w:val="auto"/>
              </w:rPr>
            </w:pPr>
            <w:r>
              <w:rPr>
                <w:rFonts w:ascii="Arial" w:cs="Arial" w:eastAsia="Arial" w:hAnsi="Arial"/>
                <w:sz w:val="14"/>
                <w:szCs w:val="14"/>
                <w:color w:val="auto"/>
              </w:rPr>
              <w:t>Page</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1</w:t>
            </w:r>
          </w:p>
        </w:tc>
        <w:tc>
          <w:tcPr>
            <w:tcW w:w="8200" w:type="dxa"/>
            <w:vAlign w:val="bottom"/>
          </w:tcPr>
          <w:p>
            <w:pPr>
              <w:ind w:left="460"/>
              <w:spacing w:after="0"/>
              <w:rPr>
                <w:sz w:val="20"/>
                <w:szCs w:val="20"/>
                <w:color w:val="auto"/>
              </w:rPr>
            </w:pPr>
            <w:r>
              <w:rPr>
                <w:rFonts w:ascii="Arial" w:cs="Arial" w:eastAsia="Arial" w:hAnsi="Arial"/>
                <w:sz w:val="14"/>
                <w:szCs w:val="14"/>
                <w:color w:val="auto"/>
              </w:rPr>
              <w:t>OFFICES</w:t>
            </w: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1.1</w:t>
            </w:r>
          </w:p>
        </w:tc>
        <w:tc>
          <w:tcPr>
            <w:tcW w:w="8200" w:type="dxa"/>
            <w:vAlign w:val="bottom"/>
          </w:tcPr>
          <w:p>
            <w:pPr>
              <w:ind w:left="1260"/>
              <w:spacing w:after="0"/>
              <w:rPr>
                <w:sz w:val="20"/>
                <w:szCs w:val="20"/>
                <w:color w:val="auto"/>
              </w:rPr>
            </w:pPr>
            <w:r>
              <w:rPr>
                <w:rFonts w:ascii="Arial" w:cs="Arial" w:eastAsia="Arial" w:hAnsi="Arial"/>
                <w:sz w:val="14"/>
                <w:szCs w:val="14"/>
                <w:color w:val="auto"/>
              </w:rPr>
              <w:t>Registered Office</w:t>
            </w: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1.2</w:t>
            </w:r>
          </w:p>
        </w:tc>
        <w:tc>
          <w:tcPr>
            <w:tcW w:w="8200" w:type="dxa"/>
            <w:vAlign w:val="bottom"/>
          </w:tcPr>
          <w:p>
            <w:pPr>
              <w:ind w:left="1260"/>
              <w:spacing w:after="0"/>
              <w:rPr>
                <w:sz w:val="20"/>
                <w:szCs w:val="20"/>
                <w:color w:val="auto"/>
              </w:rPr>
            </w:pPr>
            <w:r>
              <w:rPr>
                <w:rFonts w:ascii="Arial" w:cs="Arial" w:eastAsia="Arial" w:hAnsi="Arial"/>
                <w:sz w:val="14"/>
                <w:szCs w:val="14"/>
                <w:color w:val="auto"/>
              </w:rPr>
              <w:t>Other Offices</w:t>
            </w: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2</w:t>
            </w:r>
          </w:p>
        </w:tc>
        <w:tc>
          <w:tcPr>
            <w:tcW w:w="8200" w:type="dxa"/>
            <w:vAlign w:val="bottom"/>
          </w:tcPr>
          <w:p>
            <w:pPr>
              <w:ind w:left="460"/>
              <w:spacing w:after="0"/>
              <w:rPr>
                <w:sz w:val="20"/>
                <w:szCs w:val="20"/>
                <w:color w:val="auto"/>
              </w:rPr>
            </w:pPr>
            <w:r>
              <w:rPr>
                <w:rFonts w:ascii="Arial" w:cs="Arial" w:eastAsia="Arial" w:hAnsi="Arial"/>
                <w:sz w:val="14"/>
                <w:szCs w:val="14"/>
                <w:color w:val="auto"/>
              </w:rPr>
              <w:t>STOCKHOLDERS' MEETINGS</w:t>
            </w: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2.1</w:t>
            </w:r>
          </w:p>
        </w:tc>
        <w:tc>
          <w:tcPr>
            <w:tcW w:w="8200" w:type="dxa"/>
            <w:vAlign w:val="bottom"/>
          </w:tcPr>
          <w:p>
            <w:pPr>
              <w:ind w:left="1260"/>
              <w:spacing w:after="0"/>
              <w:rPr>
                <w:sz w:val="20"/>
                <w:szCs w:val="20"/>
                <w:color w:val="auto"/>
              </w:rPr>
            </w:pPr>
            <w:r>
              <w:rPr>
                <w:rFonts w:ascii="Arial" w:cs="Arial" w:eastAsia="Arial" w:hAnsi="Arial"/>
                <w:sz w:val="14"/>
                <w:szCs w:val="14"/>
                <w:color w:val="auto"/>
              </w:rPr>
              <w:t>Place of Meetings</w:t>
            </w: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2.2</w:t>
            </w:r>
          </w:p>
        </w:tc>
        <w:tc>
          <w:tcPr>
            <w:tcW w:w="8200" w:type="dxa"/>
            <w:vAlign w:val="bottom"/>
          </w:tcPr>
          <w:p>
            <w:pPr>
              <w:ind w:left="1260"/>
              <w:spacing w:after="0"/>
              <w:rPr>
                <w:sz w:val="20"/>
                <w:szCs w:val="20"/>
                <w:color w:val="auto"/>
              </w:rPr>
            </w:pPr>
            <w:r>
              <w:rPr>
                <w:rFonts w:ascii="Arial" w:cs="Arial" w:eastAsia="Arial" w:hAnsi="Arial"/>
                <w:sz w:val="14"/>
                <w:szCs w:val="14"/>
                <w:color w:val="auto"/>
              </w:rPr>
              <w:t>Annual Meetings</w:t>
            </w: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2.3</w:t>
            </w:r>
          </w:p>
        </w:tc>
        <w:tc>
          <w:tcPr>
            <w:tcW w:w="8200" w:type="dxa"/>
            <w:vAlign w:val="bottom"/>
          </w:tcPr>
          <w:p>
            <w:pPr>
              <w:ind w:left="1260"/>
              <w:spacing w:after="0"/>
              <w:rPr>
                <w:sz w:val="20"/>
                <w:szCs w:val="20"/>
                <w:color w:val="auto"/>
              </w:rPr>
            </w:pPr>
            <w:r>
              <w:rPr>
                <w:rFonts w:ascii="Arial" w:cs="Arial" w:eastAsia="Arial" w:hAnsi="Arial"/>
                <w:sz w:val="14"/>
                <w:szCs w:val="14"/>
                <w:color w:val="auto"/>
              </w:rPr>
              <w:t>Special Meetings</w:t>
            </w: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2.4</w:t>
            </w:r>
          </w:p>
        </w:tc>
        <w:tc>
          <w:tcPr>
            <w:tcW w:w="8200" w:type="dxa"/>
            <w:vAlign w:val="bottom"/>
          </w:tcPr>
          <w:p>
            <w:pPr>
              <w:ind w:left="1260"/>
              <w:spacing w:after="0"/>
              <w:rPr>
                <w:sz w:val="20"/>
                <w:szCs w:val="20"/>
                <w:color w:val="auto"/>
              </w:rPr>
            </w:pPr>
            <w:r>
              <w:rPr>
                <w:rFonts w:ascii="Arial" w:cs="Arial" w:eastAsia="Arial" w:hAnsi="Arial"/>
                <w:sz w:val="14"/>
                <w:szCs w:val="14"/>
                <w:color w:val="auto"/>
              </w:rPr>
              <w:t>Notice of Meetings</w:t>
            </w: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2.5</w:t>
            </w:r>
          </w:p>
        </w:tc>
        <w:tc>
          <w:tcPr>
            <w:tcW w:w="8200" w:type="dxa"/>
            <w:vAlign w:val="bottom"/>
          </w:tcPr>
          <w:p>
            <w:pPr>
              <w:ind w:left="1260"/>
              <w:spacing w:after="0"/>
              <w:rPr>
                <w:sz w:val="20"/>
                <w:szCs w:val="20"/>
                <w:color w:val="auto"/>
              </w:rPr>
            </w:pPr>
            <w:r>
              <w:rPr>
                <w:rFonts w:ascii="Arial" w:cs="Arial" w:eastAsia="Arial" w:hAnsi="Arial"/>
                <w:sz w:val="14"/>
                <w:szCs w:val="14"/>
                <w:color w:val="auto"/>
              </w:rPr>
              <w:t>Quorum and Voting</w:t>
            </w:r>
          </w:p>
        </w:tc>
        <w:tc>
          <w:tcPr>
            <w:tcW w:w="13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2.6</w:t>
            </w:r>
          </w:p>
        </w:tc>
        <w:tc>
          <w:tcPr>
            <w:tcW w:w="8200" w:type="dxa"/>
            <w:vAlign w:val="bottom"/>
          </w:tcPr>
          <w:p>
            <w:pPr>
              <w:ind w:left="1260"/>
              <w:spacing w:after="0"/>
              <w:rPr>
                <w:sz w:val="20"/>
                <w:szCs w:val="20"/>
                <w:color w:val="auto"/>
              </w:rPr>
            </w:pPr>
            <w:r>
              <w:rPr>
                <w:rFonts w:ascii="Arial" w:cs="Arial" w:eastAsia="Arial" w:hAnsi="Arial"/>
                <w:sz w:val="14"/>
                <w:szCs w:val="14"/>
                <w:color w:val="auto"/>
              </w:rPr>
              <w:t>Voting Rights</w:t>
            </w:r>
          </w:p>
        </w:tc>
        <w:tc>
          <w:tcPr>
            <w:tcW w:w="13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2.7</w:t>
            </w:r>
          </w:p>
        </w:tc>
        <w:tc>
          <w:tcPr>
            <w:tcW w:w="8200" w:type="dxa"/>
            <w:vAlign w:val="bottom"/>
          </w:tcPr>
          <w:p>
            <w:pPr>
              <w:ind w:left="1260"/>
              <w:spacing w:after="0"/>
              <w:rPr>
                <w:sz w:val="20"/>
                <w:szCs w:val="20"/>
                <w:color w:val="auto"/>
              </w:rPr>
            </w:pPr>
            <w:r>
              <w:rPr>
                <w:rFonts w:ascii="Arial" w:cs="Arial" w:eastAsia="Arial" w:hAnsi="Arial"/>
                <w:sz w:val="14"/>
                <w:szCs w:val="14"/>
                <w:color w:val="auto"/>
              </w:rPr>
              <w:t>Voting Procedures and Inspectors of Elections</w:t>
            </w:r>
          </w:p>
        </w:tc>
        <w:tc>
          <w:tcPr>
            <w:tcW w:w="13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2.8</w:t>
            </w:r>
          </w:p>
        </w:tc>
        <w:tc>
          <w:tcPr>
            <w:tcW w:w="8200" w:type="dxa"/>
            <w:vAlign w:val="bottom"/>
          </w:tcPr>
          <w:p>
            <w:pPr>
              <w:ind w:left="1260"/>
              <w:spacing w:after="0"/>
              <w:rPr>
                <w:sz w:val="20"/>
                <w:szCs w:val="20"/>
                <w:color w:val="auto"/>
              </w:rPr>
            </w:pPr>
            <w:r>
              <w:rPr>
                <w:rFonts w:ascii="Arial" w:cs="Arial" w:eastAsia="Arial" w:hAnsi="Arial"/>
                <w:sz w:val="14"/>
                <w:szCs w:val="14"/>
                <w:color w:val="auto"/>
              </w:rPr>
              <w:t>List of Stockholders</w:t>
            </w:r>
          </w:p>
        </w:tc>
        <w:tc>
          <w:tcPr>
            <w:tcW w:w="13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2.9</w:t>
            </w:r>
          </w:p>
        </w:tc>
        <w:tc>
          <w:tcPr>
            <w:tcW w:w="8200" w:type="dxa"/>
            <w:vAlign w:val="bottom"/>
          </w:tcPr>
          <w:p>
            <w:pPr>
              <w:ind w:left="1260"/>
              <w:spacing w:after="0"/>
              <w:rPr>
                <w:sz w:val="20"/>
                <w:szCs w:val="20"/>
                <w:color w:val="auto"/>
              </w:rPr>
            </w:pPr>
            <w:r>
              <w:rPr>
                <w:rFonts w:ascii="Arial" w:cs="Arial" w:eastAsia="Arial" w:hAnsi="Arial"/>
                <w:sz w:val="14"/>
                <w:szCs w:val="14"/>
                <w:color w:val="auto"/>
              </w:rPr>
              <w:t>Stockholder Proposals at Annual or Special Meetings</w:t>
            </w: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2.10</w:t>
            </w:r>
          </w:p>
        </w:tc>
        <w:tc>
          <w:tcPr>
            <w:tcW w:w="8200" w:type="dxa"/>
            <w:vAlign w:val="bottom"/>
          </w:tcPr>
          <w:p>
            <w:pPr>
              <w:ind w:left="1260"/>
              <w:spacing w:after="0"/>
              <w:rPr>
                <w:sz w:val="20"/>
                <w:szCs w:val="20"/>
                <w:color w:val="auto"/>
              </w:rPr>
            </w:pPr>
            <w:r>
              <w:rPr>
                <w:rFonts w:ascii="Arial" w:cs="Arial" w:eastAsia="Arial" w:hAnsi="Arial"/>
                <w:sz w:val="14"/>
                <w:szCs w:val="14"/>
                <w:color w:val="auto"/>
              </w:rPr>
              <w:t>Nominations of Persons for Election to the Board of Directors</w:t>
            </w:r>
          </w:p>
        </w:tc>
        <w:tc>
          <w:tcPr>
            <w:tcW w:w="13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2.11</w:t>
            </w:r>
          </w:p>
        </w:tc>
        <w:tc>
          <w:tcPr>
            <w:tcW w:w="8200" w:type="dxa"/>
            <w:vAlign w:val="bottom"/>
          </w:tcPr>
          <w:p>
            <w:pPr>
              <w:ind w:left="1260"/>
              <w:spacing w:after="0"/>
              <w:rPr>
                <w:sz w:val="20"/>
                <w:szCs w:val="20"/>
                <w:color w:val="auto"/>
              </w:rPr>
            </w:pPr>
            <w:r>
              <w:rPr>
                <w:rFonts w:ascii="Arial" w:cs="Arial" w:eastAsia="Arial" w:hAnsi="Arial"/>
                <w:sz w:val="14"/>
                <w:szCs w:val="14"/>
                <w:color w:val="auto"/>
              </w:rPr>
              <w:t>Action Without Meeting</w:t>
            </w: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2.12</w:t>
            </w:r>
          </w:p>
        </w:tc>
        <w:tc>
          <w:tcPr>
            <w:tcW w:w="8200" w:type="dxa"/>
            <w:vAlign w:val="bottom"/>
          </w:tcPr>
          <w:p>
            <w:pPr>
              <w:ind w:left="1260"/>
              <w:spacing w:after="0"/>
              <w:rPr>
                <w:sz w:val="20"/>
                <w:szCs w:val="20"/>
                <w:color w:val="auto"/>
              </w:rPr>
            </w:pPr>
            <w:r>
              <w:rPr>
                <w:rFonts w:ascii="Arial" w:cs="Arial" w:eastAsia="Arial" w:hAnsi="Arial"/>
                <w:sz w:val="14"/>
                <w:szCs w:val="14"/>
                <w:color w:val="auto"/>
              </w:rPr>
              <w:t>Submission of Questionnaire, Representation and Agreement</w:t>
            </w: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3</w:t>
            </w:r>
          </w:p>
        </w:tc>
        <w:tc>
          <w:tcPr>
            <w:tcW w:w="8200" w:type="dxa"/>
            <w:vAlign w:val="bottom"/>
          </w:tcPr>
          <w:p>
            <w:pPr>
              <w:ind w:left="460"/>
              <w:spacing w:after="0"/>
              <w:rPr>
                <w:sz w:val="20"/>
                <w:szCs w:val="20"/>
                <w:color w:val="auto"/>
              </w:rPr>
            </w:pPr>
            <w:r>
              <w:rPr>
                <w:rFonts w:ascii="Arial" w:cs="Arial" w:eastAsia="Arial" w:hAnsi="Arial"/>
                <w:sz w:val="14"/>
                <w:szCs w:val="14"/>
                <w:color w:val="auto"/>
              </w:rPr>
              <w:t>DIRECTORS</w:t>
            </w:r>
          </w:p>
        </w:tc>
        <w:tc>
          <w:tcPr>
            <w:tcW w:w="13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3.1</w:t>
            </w:r>
          </w:p>
        </w:tc>
        <w:tc>
          <w:tcPr>
            <w:tcW w:w="8200" w:type="dxa"/>
            <w:vAlign w:val="bottom"/>
          </w:tcPr>
          <w:p>
            <w:pPr>
              <w:ind w:left="1260"/>
              <w:spacing w:after="0"/>
              <w:rPr>
                <w:sz w:val="20"/>
                <w:szCs w:val="20"/>
                <w:color w:val="auto"/>
              </w:rPr>
            </w:pPr>
            <w:r>
              <w:rPr>
                <w:rFonts w:ascii="Arial" w:cs="Arial" w:eastAsia="Arial" w:hAnsi="Arial"/>
                <w:sz w:val="14"/>
                <w:szCs w:val="14"/>
                <w:color w:val="auto"/>
              </w:rPr>
              <w:t>Number and Term of Office</w:t>
            </w:r>
          </w:p>
        </w:tc>
        <w:tc>
          <w:tcPr>
            <w:tcW w:w="13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3.2</w:t>
            </w:r>
          </w:p>
        </w:tc>
        <w:tc>
          <w:tcPr>
            <w:tcW w:w="8200" w:type="dxa"/>
            <w:vAlign w:val="bottom"/>
          </w:tcPr>
          <w:p>
            <w:pPr>
              <w:ind w:left="1260"/>
              <w:spacing w:after="0"/>
              <w:rPr>
                <w:sz w:val="20"/>
                <w:szCs w:val="20"/>
                <w:color w:val="auto"/>
              </w:rPr>
            </w:pPr>
            <w:r>
              <w:rPr>
                <w:rFonts w:ascii="Arial" w:cs="Arial" w:eastAsia="Arial" w:hAnsi="Arial"/>
                <w:sz w:val="14"/>
                <w:szCs w:val="14"/>
                <w:color w:val="auto"/>
              </w:rPr>
              <w:t>Powers of the Board of Directors and Director Qualifications</w:t>
            </w:r>
          </w:p>
        </w:tc>
        <w:tc>
          <w:tcPr>
            <w:tcW w:w="13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3.3</w:t>
            </w:r>
          </w:p>
        </w:tc>
        <w:tc>
          <w:tcPr>
            <w:tcW w:w="8200" w:type="dxa"/>
            <w:vAlign w:val="bottom"/>
          </w:tcPr>
          <w:p>
            <w:pPr>
              <w:ind w:left="1260"/>
              <w:spacing w:after="0"/>
              <w:rPr>
                <w:sz w:val="20"/>
                <w:szCs w:val="20"/>
                <w:color w:val="auto"/>
              </w:rPr>
            </w:pPr>
            <w:r>
              <w:rPr>
                <w:rFonts w:ascii="Arial" w:cs="Arial" w:eastAsia="Arial" w:hAnsi="Arial"/>
                <w:sz w:val="14"/>
                <w:szCs w:val="14"/>
                <w:color w:val="auto"/>
              </w:rPr>
              <w:t>Vacancies</w:t>
            </w:r>
          </w:p>
        </w:tc>
        <w:tc>
          <w:tcPr>
            <w:tcW w:w="13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3.4</w:t>
            </w:r>
          </w:p>
        </w:tc>
        <w:tc>
          <w:tcPr>
            <w:tcW w:w="8200" w:type="dxa"/>
            <w:vAlign w:val="bottom"/>
          </w:tcPr>
          <w:p>
            <w:pPr>
              <w:ind w:left="1260"/>
              <w:spacing w:after="0"/>
              <w:rPr>
                <w:sz w:val="20"/>
                <w:szCs w:val="20"/>
                <w:color w:val="auto"/>
              </w:rPr>
            </w:pPr>
            <w:r>
              <w:rPr>
                <w:rFonts w:ascii="Arial" w:cs="Arial" w:eastAsia="Arial" w:hAnsi="Arial"/>
                <w:sz w:val="14"/>
                <w:szCs w:val="14"/>
                <w:color w:val="auto"/>
              </w:rPr>
              <w:t>Resignations and Removals</w:t>
            </w:r>
          </w:p>
        </w:tc>
        <w:tc>
          <w:tcPr>
            <w:tcW w:w="13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3.5</w:t>
            </w:r>
          </w:p>
        </w:tc>
        <w:tc>
          <w:tcPr>
            <w:tcW w:w="8200" w:type="dxa"/>
            <w:vAlign w:val="bottom"/>
          </w:tcPr>
          <w:p>
            <w:pPr>
              <w:ind w:left="1260"/>
              <w:spacing w:after="0"/>
              <w:rPr>
                <w:sz w:val="20"/>
                <w:szCs w:val="20"/>
                <w:color w:val="auto"/>
              </w:rPr>
            </w:pPr>
            <w:r>
              <w:rPr>
                <w:rFonts w:ascii="Arial" w:cs="Arial" w:eastAsia="Arial" w:hAnsi="Arial"/>
                <w:sz w:val="14"/>
                <w:szCs w:val="14"/>
                <w:color w:val="auto"/>
              </w:rPr>
              <w:t>Meetings</w:t>
            </w: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3.6</w:t>
            </w:r>
          </w:p>
        </w:tc>
        <w:tc>
          <w:tcPr>
            <w:tcW w:w="8200" w:type="dxa"/>
            <w:vAlign w:val="bottom"/>
          </w:tcPr>
          <w:p>
            <w:pPr>
              <w:ind w:left="1260"/>
              <w:spacing w:after="0"/>
              <w:rPr>
                <w:sz w:val="20"/>
                <w:szCs w:val="20"/>
                <w:color w:val="auto"/>
              </w:rPr>
            </w:pPr>
            <w:r>
              <w:rPr>
                <w:rFonts w:ascii="Arial" w:cs="Arial" w:eastAsia="Arial" w:hAnsi="Arial"/>
                <w:sz w:val="14"/>
                <w:szCs w:val="14"/>
                <w:color w:val="auto"/>
              </w:rPr>
              <w:t>Quorum and Voting</w:t>
            </w: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3.7</w:t>
            </w:r>
          </w:p>
        </w:tc>
        <w:tc>
          <w:tcPr>
            <w:tcW w:w="8200" w:type="dxa"/>
            <w:vAlign w:val="bottom"/>
          </w:tcPr>
          <w:p>
            <w:pPr>
              <w:ind w:left="1260"/>
              <w:spacing w:after="0"/>
              <w:rPr>
                <w:sz w:val="20"/>
                <w:szCs w:val="20"/>
                <w:color w:val="auto"/>
              </w:rPr>
            </w:pPr>
            <w:r>
              <w:rPr>
                <w:rFonts w:ascii="Arial" w:cs="Arial" w:eastAsia="Arial" w:hAnsi="Arial"/>
                <w:sz w:val="14"/>
                <w:szCs w:val="14"/>
                <w:color w:val="auto"/>
              </w:rPr>
              <w:t>Action Without Meeting</w:t>
            </w: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3.8</w:t>
            </w:r>
          </w:p>
        </w:tc>
        <w:tc>
          <w:tcPr>
            <w:tcW w:w="8200" w:type="dxa"/>
            <w:vAlign w:val="bottom"/>
          </w:tcPr>
          <w:p>
            <w:pPr>
              <w:ind w:left="1260"/>
              <w:spacing w:after="0"/>
              <w:rPr>
                <w:sz w:val="20"/>
                <w:szCs w:val="20"/>
                <w:color w:val="auto"/>
              </w:rPr>
            </w:pPr>
            <w:r>
              <w:rPr>
                <w:rFonts w:ascii="Arial" w:cs="Arial" w:eastAsia="Arial" w:hAnsi="Arial"/>
                <w:sz w:val="14"/>
                <w:szCs w:val="14"/>
                <w:color w:val="auto"/>
              </w:rPr>
              <w:t>Fees and Compensation</w:t>
            </w:r>
          </w:p>
        </w:tc>
        <w:tc>
          <w:tcPr>
            <w:tcW w:w="13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3.9</w:t>
            </w:r>
          </w:p>
        </w:tc>
        <w:tc>
          <w:tcPr>
            <w:tcW w:w="8200" w:type="dxa"/>
            <w:vAlign w:val="bottom"/>
          </w:tcPr>
          <w:p>
            <w:pPr>
              <w:ind w:left="1260"/>
              <w:spacing w:after="0"/>
              <w:rPr>
                <w:sz w:val="20"/>
                <w:szCs w:val="20"/>
                <w:color w:val="auto"/>
              </w:rPr>
            </w:pPr>
            <w:r>
              <w:rPr>
                <w:rFonts w:ascii="Arial" w:cs="Arial" w:eastAsia="Arial" w:hAnsi="Arial"/>
                <w:sz w:val="14"/>
                <w:szCs w:val="14"/>
                <w:color w:val="auto"/>
              </w:rPr>
              <w:t>Committees</w:t>
            </w:r>
          </w:p>
        </w:tc>
        <w:tc>
          <w:tcPr>
            <w:tcW w:w="13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3.10</w:t>
            </w:r>
          </w:p>
        </w:tc>
        <w:tc>
          <w:tcPr>
            <w:tcW w:w="8200" w:type="dxa"/>
            <w:vAlign w:val="bottom"/>
          </w:tcPr>
          <w:p>
            <w:pPr>
              <w:ind w:left="1260"/>
              <w:spacing w:after="0"/>
              <w:rPr>
                <w:sz w:val="20"/>
                <w:szCs w:val="20"/>
                <w:color w:val="auto"/>
              </w:rPr>
            </w:pPr>
            <w:r>
              <w:rPr>
                <w:rFonts w:ascii="Arial" w:cs="Arial" w:eastAsia="Arial" w:hAnsi="Arial"/>
                <w:sz w:val="14"/>
                <w:szCs w:val="14"/>
                <w:color w:val="auto"/>
              </w:rPr>
              <w:t>Service on other Boards</w:t>
            </w:r>
          </w:p>
        </w:tc>
        <w:tc>
          <w:tcPr>
            <w:tcW w:w="13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4</w:t>
            </w:r>
          </w:p>
        </w:tc>
        <w:tc>
          <w:tcPr>
            <w:tcW w:w="8200" w:type="dxa"/>
            <w:vAlign w:val="bottom"/>
          </w:tcPr>
          <w:p>
            <w:pPr>
              <w:ind w:left="460"/>
              <w:spacing w:after="0"/>
              <w:rPr>
                <w:sz w:val="20"/>
                <w:szCs w:val="20"/>
                <w:color w:val="auto"/>
              </w:rPr>
            </w:pPr>
            <w:r>
              <w:rPr>
                <w:rFonts w:ascii="Arial" w:cs="Arial" w:eastAsia="Arial" w:hAnsi="Arial"/>
                <w:sz w:val="14"/>
                <w:szCs w:val="14"/>
                <w:color w:val="auto"/>
              </w:rPr>
              <w:t>OFFICERS</w:t>
            </w:r>
          </w:p>
        </w:tc>
        <w:tc>
          <w:tcPr>
            <w:tcW w:w="13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4.1</w:t>
            </w:r>
          </w:p>
        </w:tc>
        <w:tc>
          <w:tcPr>
            <w:tcW w:w="8200" w:type="dxa"/>
            <w:vAlign w:val="bottom"/>
          </w:tcPr>
          <w:p>
            <w:pPr>
              <w:ind w:left="1260"/>
              <w:spacing w:after="0"/>
              <w:rPr>
                <w:sz w:val="20"/>
                <w:szCs w:val="20"/>
                <w:color w:val="auto"/>
              </w:rPr>
            </w:pPr>
            <w:r>
              <w:rPr>
                <w:rFonts w:ascii="Arial" w:cs="Arial" w:eastAsia="Arial" w:hAnsi="Arial"/>
                <w:sz w:val="14"/>
                <w:szCs w:val="14"/>
                <w:color w:val="auto"/>
              </w:rPr>
              <w:t>Officers Designated</w:t>
            </w:r>
          </w:p>
        </w:tc>
        <w:tc>
          <w:tcPr>
            <w:tcW w:w="13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4.2</w:t>
            </w:r>
          </w:p>
        </w:tc>
        <w:tc>
          <w:tcPr>
            <w:tcW w:w="8200" w:type="dxa"/>
            <w:vAlign w:val="bottom"/>
          </w:tcPr>
          <w:p>
            <w:pPr>
              <w:ind w:left="1260"/>
              <w:spacing w:after="0"/>
              <w:rPr>
                <w:sz w:val="20"/>
                <w:szCs w:val="20"/>
                <w:color w:val="auto"/>
              </w:rPr>
            </w:pPr>
            <w:r>
              <w:rPr>
                <w:rFonts w:ascii="Arial" w:cs="Arial" w:eastAsia="Arial" w:hAnsi="Arial"/>
                <w:sz w:val="14"/>
                <w:szCs w:val="14"/>
                <w:color w:val="auto"/>
              </w:rPr>
              <w:t>Tenure and Duties of Officers</w:t>
            </w:r>
          </w:p>
        </w:tc>
        <w:tc>
          <w:tcPr>
            <w:tcW w:w="13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5</w:t>
            </w:r>
          </w:p>
        </w:tc>
        <w:tc>
          <w:tcPr>
            <w:tcW w:w="8200" w:type="dxa"/>
            <w:vAlign w:val="bottom"/>
          </w:tcPr>
          <w:p>
            <w:pPr>
              <w:ind w:left="460"/>
              <w:spacing w:after="0"/>
              <w:rPr>
                <w:sz w:val="20"/>
                <w:szCs w:val="20"/>
                <w:color w:val="auto"/>
              </w:rPr>
            </w:pPr>
            <w:r>
              <w:rPr>
                <w:rFonts w:ascii="Arial" w:cs="Arial" w:eastAsia="Arial" w:hAnsi="Arial"/>
                <w:sz w:val="14"/>
                <w:szCs w:val="14"/>
                <w:color w:val="auto"/>
              </w:rPr>
              <w:t>EXECUTION OF CORPORATE INSTRUMENTS, AND VOTING OF SECURITIES OWNED BY THE CORPORATION</w:t>
            </w:r>
          </w:p>
        </w:tc>
        <w:tc>
          <w:tcPr>
            <w:tcW w:w="13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5.1</w:t>
            </w:r>
          </w:p>
        </w:tc>
        <w:tc>
          <w:tcPr>
            <w:tcW w:w="8200" w:type="dxa"/>
            <w:vAlign w:val="bottom"/>
          </w:tcPr>
          <w:p>
            <w:pPr>
              <w:ind w:left="1260"/>
              <w:spacing w:after="0"/>
              <w:rPr>
                <w:sz w:val="20"/>
                <w:szCs w:val="20"/>
                <w:color w:val="auto"/>
              </w:rPr>
            </w:pPr>
            <w:r>
              <w:rPr>
                <w:rFonts w:ascii="Arial" w:cs="Arial" w:eastAsia="Arial" w:hAnsi="Arial"/>
                <w:sz w:val="14"/>
                <w:szCs w:val="14"/>
                <w:color w:val="auto"/>
              </w:rPr>
              <w:t>Execution of Corporate Instruments</w:t>
            </w:r>
          </w:p>
        </w:tc>
        <w:tc>
          <w:tcPr>
            <w:tcW w:w="13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5.2</w:t>
            </w:r>
          </w:p>
        </w:tc>
        <w:tc>
          <w:tcPr>
            <w:tcW w:w="8200" w:type="dxa"/>
            <w:vAlign w:val="bottom"/>
          </w:tcPr>
          <w:p>
            <w:pPr>
              <w:ind w:left="1260"/>
              <w:spacing w:after="0"/>
              <w:rPr>
                <w:sz w:val="20"/>
                <w:szCs w:val="20"/>
                <w:color w:val="auto"/>
              </w:rPr>
            </w:pPr>
            <w:r>
              <w:rPr>
                <w:rFonts w:ascii="Arial" w:cs="Arial" w:eastAsia="Arial" w:hAnsi="Arial"/>
                <w:sz w:val="14"/>
                <w:szCs w:val="14"/>
                <w:color w:val="auto"/>
              </w:rPr>
              <w:t>Voting of Securities Owned by Corporation</w:t>
            </w:r>
          </w:p>
        </w:tc>
        <w:tc>
          <w:tcPr>
            <w:tcW w:w="13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6</w:t>
            </w:r>
          </w:p>
        </w:tc>
        <w:tc>
          <w:tcPr>
            <w:tcW w:w="8200" w:type="dxa"/>
            <w:vAlign w:val="bottom"/>
          </w:tcPr>
          <w:p>
            <w:pPr>
              <w:ind w:left="460"/>
              <w:spacing w:after="0"/>
              <w:rPr>
                <w:sz w:val="20"/>
                <w:szCs w:val="20"/>
                <w:color w:val="auto"/>
              </w:rPr>
            </w:pPr>
            <w:r>
              <w:rPr>
                <w:rFonts w:ascii="Arial" w:cs="Arial" w:eastAsia="Arial" w:hAnsi="Arial"/>
                <w:sz w:val="14"/>
                <w:szCs w:val="14"/>
                <w:color w:val="auto"/>
              </w:rPr>
              <w:t>SHARES OF STOCK</w:t>
            </w: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6.1</w:t>
            </w:r>
          </w:p>
        </w:tc>
        <w:tc>
          <w:tcPr>
            <w:tcW w:w="8200" w:type="dxa"/>
            <w:vAlign w:val="bottom"/>
          </w:tcPr>
          <w:p>
            <w:pPr>
              <w:ind w:left="1260"/>
              <w:spacing w:after="0"/>
              <w:rPr>
                <w:sz w:val="20"/>
                <w:szCs w:val="20"/>
                <w:color w:val="auto"/>
              </w:rPr>
            </w:pPr>
            <w:r>
              <w:rPr>
                <w:rFonts w:ascii="Arial" w:cs="Arial" w:eastAsia="Arial" w:hAnsi="Arial"/>
                <w:sz w:val="14"/>
                <w:szCs w:val="14"/>
                <w:color w:val="auto"/>
              </w:rPr>
              <w:t>Form and Execution of Certificates</w:t>
            </w: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6.2</w:t>
            </w:r>
          </w:p>
        </w:tc>
        <w:tc>
          <w:tcPr>
            <w:tcW w:w="8200" w:type="dxa"/>
            <w:vAlign w:val="bottom"/>
          </w:tcPr>
          <w:p>
            <w:pPr>
              <w:ind w:left="1260"/>
              <w:spacing w:after="0"/>
              <w:rPr>
                <w:sz w:val="20"/>
                <w:szCs w:val="20"/>
                <w:color w:val="auto"/>
              </w:rPr>
            </w:pPr>
            <w:r>
              <w:rPr>
                <w:rFonts w:ascii="Arial" w:cs="Arial" w:eastAsia="Arial" w:hAnsi="Arial"/>
                <w:sz w:val="14"/>
                <w:szCs w:val="14"/>
                <w:color w:val="auto"/>
              </w:rPr>
              <w:t>Lost Certificates</w:t>
            </w: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6.3</w:t>
            </w:r>
          </w:p>
        </w:tc>
        <w:tc>
          <w:tcPr>
            <w:tcW w:w="8200" w:type="dxa"/>
            <w:vAlign w:val="bottom"/>
          </w:tcPr>
          <w:p>
            <w:pPr>
              <w:ind w:left="1260"/>
              <w:spacing w:after="0"/>
              <w:rPr>
                <w:sz w:val="20"/>
                <w:szCs w:val="20"/>
                <w:color w:val="auto"/>
              </w:rPr>
            </w:pPr>
            <w:r>
              <w:rPr>
                <w:rFonts w:ascii="Arial" w:cs="Arial" w:eastAsia="Arial" w:hAnsi="Arial"/>
                <w:sz w:val="14"/>
                <w:szCs w:val="14"/>
                <w:color w:val="auto"/>
              </w:rPr>
              <w:t>Transfers</w:t>
            </w: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6.4</w:t>
            </w:r>
          </w:p>
        </w:tc>
        <w:tc>
          <w:tcPr>
            <w:tcW w:w="8200" w:type="dxa"/>
            <w:vAlign w:val="bottom"/>
          </w:tcPr>
          <w:p>
            <w:pPr>
              <w:ind w:left="1260"/>
              <w:spacing w:after="0"/>
              <w:rPr>
                <w:sz w:val="20"/>
                <w:szCs w:val="20"/>
                <w:color w:val="auto"/>
              </w:rPr>
            </w:pPr>
            <w:r>
              <w:rPr>
                <w:rFonts w:ascii="Arial" w:cs="Arial" w:eastAsia="Arial" w:hAnsi="Arial"/>
                <w:sz w:val="14"/>
                <w:szCs w:val="14"/>
                <w:color w:val="auto"/>
              </w:rPr>
              <w:t>Fixing Record Dates</w:t>
            </w: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6.5</w:t>
            </w:r>
          </w:p>
        </w:tc>
        <w:tc>
          <w:tcPr>
            <w:tcW w:w="8200" w:type="dxa"/>
            <w:vAlign w:val="bottom"/>
          </w:tcPr>
          <w:p>
            <w:pPr>
              <w:ind w:left="1260"/>
              <w:spacing w:after="0"/>
              <w:rPr>
                <w:sz w:val="20"/>
                <w:szCs w:val="20"/>
                <w:color w:val="auto"/>
              </w:rPr>
            </w:pPr>
            <w:r>
              <w:rPr>
                <w:rFonts w:ascii="Arial" w:cs="Arial" w:eastAsia="Arial" w:hAnsi="Arial"/>
                <w:sz w:val="14"/>
                <w:szCs w:val="14"/>
                <w:color w:val="auto"/>
              </w:rPr>
              <w:t>Registered Stockholders</w:t>
            </w:r>
          </w:p>
        </w:tc>
        <w:tc>
          <w:tcPr>
            <w:tcW w:w="13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7</w:t>
            </w:r>
          </w:p>
        </w:tc>
        <w:tc>
          <w:tcPr>
            <w:tcW w:w="8200" w:type="dxa"/>
            <w:vAlign w:val="bottom"/>
          </w:tcPr>
          <w:p>
            <w:pPr>
              <w:ind w:left="460"/>
              <w:spacing w:after="0"/>
              <w:rPr>
                <w:sz w:val="20"/>
                <w:szCs w:val="20"/>
                <w:color w:val="auto"/>
              </w:rPr>
            </w:pPr>
            <w:r>
              <w:rPr>
                <w:rFonts w:ascii="Arial" w:cs="Arial" w:eastAsia="Arial" w:hAnsi="Arial"/>
                <w:sz w:val="14"/>
                <w:szCs w:val="14"/>
                <w:color w:val="auto"/>
              </w:rPr>
              <w:t>OTHER SECURITIES OF THE CORPORATION</w:t>
            </w:r>
          </w:p>
        </w:tc>
        <w:tc>
          <w:tcPr>
            <w:tcW w:w="13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8</w:t>
            </w:r>
          </w:p>
        </w:tc>
        <w:tc>
          <w:tcPr>
            <w:tcW w:w="8200" w:type="dxa"/>
            <w:vAlign w:val="bottom"/>
          </w:tcPr>
          <w:p>
            <w:pPr>
              <w:ind w:left="460"/>
              <w:spacing w:after="0"/>
              <w:rPr>
                <w:sz w:val="20"/>
                <w:szCs w:val="20"/>
                <w:color w:val="auto"/>
              </w:rPr>
            </w:pPr>
            <w:r>
              <w:rPr>
                <w:rFonts w:ascii="Arial" w:cs="Arial" w:eastAsia="Arial" w:hAnsi="Arial"/>
                <w:sz w:val="14"/>
                <w:szCs w:val="14"/>
                <w:color w:val="auto"/>
              </w:rPr>
              <w:t>CORPORATE SEAL</w:t>
            </w:r>
          </w:p>
        </w:tc>
        <w:tc>
          <w:tcPr>
            <w:tcW w:w="13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9</w:t>
            </w:r>
          </w:p>
        </w:tc>
        <w:tc>
          <w:tcPr>
            <w:tcW w:w="8200" w:type="dxa"/>
            <w:vAlign w:val="bottom"/>
          </w:tcPr>
          <w:p>
            <w:pPr>
              <w:ind w:left="460"/>
              <w:spacing w:after="0"/>
              <w:rPr>
                <w:sz w:val="20"/>
                <w:szCs w:val="20"/>
                <w:color w:val="auto"/>
              </w:rPr>
            </w:pPr>
            <w:r>
              <w:rPr>
                <w:rFonts w:ascii="Arial" w:cs="Arial" w:eastAsia="Arial" w:hAnsi="Arial"/>
                <w:sz w:val="14"/>
                <w:szCs w:val="14"/>
                <w:color w:val="auto"/>
              </w:rPr>
              <w:t>INDEMNIFICATION OF OFFICERS, DIRECTORS, EMPLOYEES AND AGENTS</w:t>
            </w:r>
          </w:p>
        </w:tc>
        <w:tc>
          <w:tcPr>
            <w:tcW w:w="130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340"/>
          </w:cols>
          <w:pgMar w:left="240" w:top="439" w:right="3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75"/>
        </w:trPr>
        <w:tc>
          <w:tcPr>
            <w:tcW w:w="18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6400" w:type="dxa"/>
            <w:vAlign w:val="bottom"/>
          </w:tcPr>
          <w:p>
            <w:pPr>
              <w:jc w:val="right"/>
              <w:ind w:right="4851"/>
              <w:spacing w:after="0"/>
              <w:rPr>
                <w:sz w:val="20"/>
                <w:szCs w:val="20"/>
                <w:color w:val="auto"/>
              </w:rPr>
            </w:pPr>
            <w:r>
              <w:rPr>
                <w:rFonts w:ascii="Arial" w:cs="Arial" w:eastAsia="Arial" w:hAnsi="Arial"/>
                <w:sz w:val="14"/>
                <w:szCs w:val="14"/>
                <w:color w:val="auto"/>
                <w:w w:val="98"/>
              </w:rPr>
              <w:t>TABLE OF CONTENTS</w:t>
            </w:r>
          </w:p>
        </w:tc>
      </w:tr>
      <w:tr>
        <w:trPr>
          <w:trHeight w:val="207"/>
        </w:trPr>
        <w:tc>
          <w:tcPr>
            <w:tcW w:w="18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400" w:type="dxa"/>
            <w:vAlign w:val="bottom"/>
          </w:tcPr>
          <w:p>
            <w:pPr>
              <w:jc w:val="right"/>
              <w:ind w:right="91"/>
              <w:spacing w:after="0"/>
              <w:rPr>
                <w:sz w:val="20"/>
                <w:szCs w:val="20"/>
                <w:color w:val="auto"/>
              </w:rPr>
            </w:pPr>
            <w:r>
              <w:rPr>
                <w:rFonts w:ascii="Arial" w:cs="Arial" w:eastAsia="Arial" w:hAnsi="Arial"/>
                <w:sz w:val="14"/>
                <w:szCs w:val="14"/>
                <w:color w:val="auto"/>
              </w:rPr>
              <w:t>Page</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9.1</w:t>
            </w:r>
          </w:p>
        </w:tc>
        <w:tc>
          <w:tcPr>
            <w:tcW w:w="3100" w:type="dxa"/>
            <w:vAlign w:val="bottom"/>
          </w:tcPr>
          <w:p>
            <w:pPr>
              <w:ind w:left="1260"/>
              <w:spacing w:after="0"/>
              <w:rPr>
                <w:sz w:val="20"/>
                <w:szCs w:val="20"/>
                <w:color w:val="auto"/>
              </w:rPr>
            </w:pPr>
            <w:r>
              <w:rPr>
                <w:rFonts w:ascii="Arial" w:cs="Arial" w:eastAsia="Arial" w:hAnsi="Arial"/>
                <w:sz w:val="14"/>
                <w:szCs w:val="14"/>
                <w:color w:val="auto"/>
              </w:rPr>
              <w:t>Right to Indemnification</w:t>
            </w:r>
          </w:p>
        </w:tc>
        <w:tc>
          <w:tcPr>
            <w:tcW w:w="64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9.2</w:t>
            </w:r>
          </w:p>
        </w:tc>
        <w:tc>
          <w:tcPr>
            <w:tcW w:w="3100" w:type="dxa"/>
            <w:vAlign w:val="bottom"/>
          </w:tcPr>
          <w:p>
            <w:pPr>
              <w:ind w:left="1260"/>
              <w:spacing w:after="0"/>
              <w:rPr>
                <w:sz w:val="20"/>
                <w:szCs w:val="20"/>
                <w:color w:val="auto"/>
              </w:rPr>
            </w:pPr>
            <w:r>
              <w:rPr>
                <w:rFonts w:ascii="Arial" w:cs="Arial" w:eastAsia="Arial" w:hAnsi="Arial"/>
                <w:sz w:val="14"/>
                <w:szCs w:val="14"/>
                <w:color w:val="auto"/>
                <w:w w:val="93"/>
              </w:rPr>
              <w:t>Authority to Advance Expenses</w:t>
            </w:r>
          </w:p>
        </w:tc>
        <w:tc>
          <w:tcPr>
            <w:tcW w:w="64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9.3</w:t>
            </w:r>
          </w:p>
        </w:tc>
        <w:tc>
          <w:tcPr>
            <w:tcW w:w="3100" w:type="dxa"/>
            <w:vAlign w:val="bottom"/>
          </w:tcPr>
          <w:p>
            <w:pPr>
              <w:ind w:left="1260"/>
              <w:spacing w:after="0"/>
              <w:rPr>
                <w:sz w:val="20"/>
                <w:szCs w:val="20"/>
                <w:color w:val="auto"/>
              </w:rPr>
            </w:pPr>
            <w:r>
              <w:rPr>
                <w:rFonts w:ascii="Arial" w:cs="Arial" w:eastAsia="Arial" w:hAnsi="Arial"/>
                <w:sz w:val="14"/>
                <w:szCs w:val="14"/>
                <w:color w:val="auto"/>
                <w:w w:val="97"/>
              </w:rPr>
              <w:t>Right of Claimant to Bring Suit</w:t>
            </w:r>
          </w:p>
        </w:tc>
        <w:tc>
          <w:tcPr>
            <w:tcW w:w="64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9.4</w:t>
            </w:r>
          </w:p>
        </w:tc>
        <w:tc>
          <w:tcPr>
            <w:tcW w:w="3100" w:type="dxa"/>
            <w:vAlign w:val="bottom"/>
          </w:tcPr>
          <w:p>
            <w:pPr>
              <w:ind w:left="1260"/>
              <w:spacing w:after="0"/>
              <w:rPr>
                <w:sz w:val="20"/>
                <w:szCs w:val="20"/>
                <w:color w:val="auto"/>
              </w:rPr>
            </w:pPr>
            <w:r>
              <w:rPr>
                <w:rFonts w:ascii="Arial" w:cs="Arial" w:eastAsia="Arial" w:hAnsi="Arial"/>
                <w:sz w:val="14"/>
                <w:szCs w:val="14"/>
                <w:color w:val="auto"/>
              </w:rPr>
              <w:t>Provisions Nonexclusive</w:t>
            </w:r>
          </w:p>
        </w:tc>
        <w:tc>
          <w:tcPr>
            <w:tcW w:w="6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9.5</w:t>
            </w:r>
          </w:p>
        </w:tc>
        <w:tc>
          <w:tcPr>
            <w:tcW w:w="3100" w:type="dxa"/>
            <w:vAlign w:val="bottom"/>
          </w:tcPr>
          <w:p>
            <w:pPr>
              <w:ind w:left="1260"/>
              <w:spacing w:after="0"/>
              <w:rPr>
                <w:sz w:val="20"/>
                <w:szCs w:val="20"/>
                <w:color w:val="auto"/>
              </w:rPr>
            </w:pPr>
            <w:r>
              <w:rPr>
                <w:rFonts w:ascii="Arial" w:cs="Arial" w:eastAsia="Arial" w:hAnsi="Arial"/>
                <w:sz w:val="14"/>
                <w:szCs w:val="14"/>
                <w:color w:val="auto"/>
              </w:rPr>
              <w:t>Authority to Insure</w:t>
            </w:r>
          </w:p>
        </w:tc>
        <w:tc>
          <w:tcPr>
            <w:tcW w:w="6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9.6</w:t>
            </w:r>
          </w:p>
        </w:tc>
        <w:tc>
          <w:tcPr>
            <w:tcW w:w="3100" w:type="dxa"/>
            <w:vAlign w:val="bottom"/>
          </w:tcPr>
          <w:p>
            <w:pPr>
              <w:ind w:left="1260"/>
              <w:spacing w:after="0"/>
              <w:rPr>
                <w:sz w:val="20"/>
                <w:szCs w:val="20"/>
                <w:color w:val="auto"/>
              </w:rPr>
            </w:pPr>
            <w:r>
              <w:rPr>
                <w:rFonts w:ascii="Arial" w:cs="Arial" w:eastAsia="Arial" w:hAnsi="Arial"/>
                <w:sz w:val="14"/>
                <w:szCs w:val="14"/>
                <w:color w:val="auto"/>
              </w:rPr>
              <w:t>Survival of Rights</w:t>
            </w:r>
          </w:p>
        </w:tc>
        <w:tc>
          <w:tcPr>
            <w:tcW w:w="6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9.7</w:t>
            </w:r>
          </w:p>
        </w:tc>
        <w:tc>
          <w:tcPr>
            <w:tcW w:w="3100" w:type="dxa"/>
            <w:vAlign w:val="bottom"/>
          </w:tcPr>
          <w:p>
            <w:pPr>
              <w:ind w:left="1260"/>
              <w:spacing w:after="0"/>
              <w:rPr>
                <w:sz w:val="20"/>
                <w:szCs w:val="20"/>
                <w:color w:val="auto"/>
              </w:rPr>
            </w:pPr>
            <w:r>
              <w:rPr>
                <w:rFonts w:ascii="Arial" w:cs="Arial" w:eastAsia="Arial" w:hAnsi="Arial"/>
                <w:sz w:val="14"/>
                <w:szCs w:val="14"/>
                <w:color w:val="auto"/>
              </w:rPr>
              <w:t>Settlement of Claims</w:t>
            </w:r>
          </w:p>
        </w:tc>
        <w:tc>
          <w:tcPr>
            <w:tcW w:w="6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9.8</w:t>
            </w:r>
          </w:p>
        </w:tc>
        <w:tc>
          <w:tcPr>
            <w:tcW w:w="3100" w:type="dxa"/>
            <w:vAlign w:val="bottom"/>
          </w:tcPr>
          <w:p>
            <w:pPr>
              <w:ind w:left="1260"/>
              <w:spacing w:after="0"/>
              <w:rPr>
                <w:sz w:val="20"/>
                <w:szCs w:val="20"/>
                <w:color w:val="auto"/>
              </w:rPr>
            </w:pPr>
            <w:r>
              <w:rPr>
                <w:rFonts w:ascii="Arial" w:cs="Arial" w:eastAsia="Arial" w:hAnsi="Arial"/>
                <w:sz w:val="14"/>
                <w:szCs w:val="14"/>
                <w:color w:val="auto"/>
              </w:rPr>
              <w:t>Effect of Amendment</w:t>
            </w:r>
          </w:p>
        </w:tc>
        <w:tc>
          <w:tcPr>
            <w:tcW w:w="6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9.9</w:t>
            </w:r>
          </w:p>
        </w:tc>
        <w:tc>
          <w:tcPr>
            <w:tcW w:w="3100" w:type="dxa"/>
            <w:vAlign w:val="bottom"/>
          </w:tcPr>
          <w:p>
            <w:pPr>
              <w:ind w:left="1260"/>
              <w:spacing w:after="0"/>
              <w:rPr>
                <w:sz w:val="20"/>
                <w:szCs w:val="20"/>
                <w:color w:val="auto"/>
              </w:rPr>
            </w:pPr>
            <w:r>
              <w:rPr>
                <w:rFonts w:ascii="Arial" w:cs="Arial" w:eastAsia="Arial" w:hAnsi="Arial"/>
                <w:sz w:val="14"/>
                <w:szCs w:val="14"/>
                <w:color w:val="auto"/>
              </w:rPr>
              <w:t>Subrogation</w:t>
            </w:r>
          </w:p>
        </w:tc>
        <w:tc>
          <w:tcPr>
            <w:tcW w:w="6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1840" w:type="dxa"/>
            <w:vAlign w:val="bottom"/>
          </w:tcPr>
          <w:p>
            <w:pPr>
              <w:ind w:left="700"/>
              <w:spacing w:after="0"/>
              <w:rPr>
                <w:sz w:val="20"/>
                <w:szCs w:val="20"/>
                <w:color w:val="auto"/>
              </w:rPr>
            </w:pPr>
            <w:r>
              <w:rPr>
                <w:rFonts w:ascii="Arial" w:cs="Arial" w:eastAsia="Arial" w:hAnsi="Arial"/>
                <w:sz w:val="14"/>
                <w:szCs w:val="14"/>
                <w:color w:val="auto"/>
              </w:rPr>
              <w:t>Section 9.10</w:t>
            </w:r>
          </w:p>
        </w:tc>
        <w:tc>
          <w:tcPr>
            <w:tcW w:w="3100" w:type="dxa"/>
            <w:vAlign w:val="bottom"/>
          </w:tcPr>
          <w:p>
            <w:pPr>
              <w:ind w:left="1260"/>
              <w:spacing w:after="0"/>
              <w:rPr>
                <w:sz w:val="20"/>
                <w:szCs w:val="20"/>
                <w:color w:val="auto"/>
              </w:rPr>
            </w:pPr>
            <w:r>
              <w:rPr>
                <w:rFonts w:ascii="Arial" w:cs="Arial" w:eastAsia="Arial" w:hAnsi="Arial"/>
                <w:sz w:val="14"/>
                <w:szCs w:val="14"/>
                <w:color w:val="auto"/>
              </w:rPr>
              <w:t>No Duplication of Payments</w:t>
            </w:r>
          </w:p>
        </w:tc>
        <w:tc>
          <w:tcPr>
            <w:tcW w:w="6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10</w:t>
            </w:r>
          </w:p>
        </w:tc>
        <w:tc>
          <w:tcPr>
            <w:tcW w:w="3100" w:type="dxa"/>
            <w:vAlign w:val="bottom"/>
          </w:tcPr>
          <w:p>
            <w:pPr>
              <w:ind w:left="460"/>
              <w:spacing w:after="0"/>
              <w:rPr>
                <w:sz w:val="20"/>
                <w:szCs w:val="20"/>
                <w:color w:val="auto"/>
              </w:rPr>
            </w:pPr>
            <w:r>
              <w:rPr>
                <w:rFonts w:ascii="Arial" w:cs="Arial" w:eastAsia="Arial" w:hAnsi="Arial"/>
                <w:sz w:val="14"/>
                <w:szCs w:val="14"/>
                <w:color w:val="auto"/>
              </w:rPr>
              <w:t>NOTICES</w:t>
            </w:r>
          </w:p>
        </w:tc>
        <w:tc>
          <w:tcPr>
            <w:tcW w:w="6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1840" w:type="dxa"/>
            <w:vAlign w:val="bottom"/>
          </w:tcPr>
          <w:p>
            <w:pPr>
              <w:spacing w:after="0"/>
              <w:rPr>
                <w:sz w:val="20"/>
                <w:szCs w:val="20"/>
                <w:color w:val="auto"/>
              </w:rPr>
            </w:pPr>
            <w:r>
              <w:rPr>
                <w:rFonts w:ascii="Arial" w:cs="Arial" w:eastAsia="Arial" w:hAnsi="Arial"/>
                <w:sz w:val="14"/>
                <w:szCs w:val="14"/>
                <w:color w:val="auto"/>
              </w:rPr>
              <w:t>ARTICLE 11</w:t>
            </w:r>
          </w:p>
        </w:tc>
        <w:tc>
          <w:tcPr>
            <w:tcW w:w="3100" w:type="dxa"/>
            <w:vAlign w:val="bottom"/>
          </w:tcPr>
          <w:p>
            <w:pPr>
              <w:ind w:left="460"/>
              <w:spacing w:after="0"/>
              <w:rPr>
                <w:sz w:val="20"/>
                <w:szCs w:val="20"/>
                <w:color w:val="auto"/>
              </w:rPr>
            </w:pPr>
            <w:r>
              <w:rPr>
                <w:rFonts w:ascii="Arial" w:cs="Arial" w:eastAsia="Arial" w:hAnsi="Arial"/>
                <w:sz w:val="14"/>
                <w:szCs w:val="14"/>
                <w:color w:val="auto"/>
              </w:rPr>
              <w:t>AMENDMENTS</w:t>
            </w:r>
          </w:p>
        </w:tc>
        <w:tc>
          <w:tcPr>
            <w:tcW w:w="6400" w:type="dxa"/>
            <w:vAlign w:val="bottom"/>
          </w:tcPr>
          <w:p>
            <w:pPr>
              <w:jc w:val="right"/>
              <w:spacing w:after="0"/>
              <w:rPr>
                <w:sz w:val="20"/>
                <w:szCs w:val="20"/>
                <w:color w:val="auto"/>
              </w:rPr>
            </w:pPr>
            <w:r>
              <w:rPr>
                <w:rFonts w:ascii="Arial" w:cs="Arial" w:eastAsia="Arial" w:hAnsi="Arial"/>
                <w:sz w:val="14"/>
                <w:szCs w:val="14"/>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340"/>
          </w:cols>
          <w:pgMar w:left="240" w:top="439" w:right="31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4"/>
          <w:szCs w:val="14"/>
          <w:b w:val="1"/>
          <w:bCs w:val="1"/>
          <w:color w:val="auto"/>
        </w:rPr>
        <w:t>SECOND AMENDED AND RESTATED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BYLAWS 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KRATOS DEFENSE &amp; SECURITY SOLUTIONS, INC.</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Offices</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1.1</w:t>
      </w:r>
      <w:r>
        <w:rPr>
          <w:sz w:val="20"/>
          <w:szCs w:val="20"/>
          <w:color w:val="auto"/>
        </w:rPr>
        <w:tab/>
      </w:r>
      <w:r>
        <w:rPr>
          <w:rFonts w:ascii="Arial" w:cs="Arial" w:eastAsia="Arial" w:hAnsi="Arial"/>
          <w:sz w:val="12"/>
          <w:szCs w:val="12"/>
          <w:b w:val="1"/>
          <w:bCs w:val="1"/>
          <w:color w:val="auto"/>
        </w:rPr>
        <w:t>Registered Office.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registered office of the corporation in the State of Delaware shall be in the City of Dover, County of Kent.</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1.2</w:t>
      </w:r>
      <w:r>
        <w:rPr>
          <w:sz w:val="20"/>
          <w:szCs w:val="20"/>
          <w:color w:val="auto"/>
        </w:rPr>
        <w:tab/>
      </w:r>
      <w:r>
        <w:rPr>
          <w:rFonts w:ascii="Arial" w:cs="Arial" w:eastAsia="Arial" w:hAnsi="Arial"/>
          <w:sz w:val="12"/>
          <w:szCs w:val="12"/>
          <w:b w:val="1"/>
          <w:bCs w:val="1"/>
          <w:color w:val="auto"/>
        </w:rPr>
        <w:t>Other Offices.</w:t>
      </w:r>
    </w:p>
    <w:p>
      <w:pPr>
        <w:spacing w:after="0" w:line="174" w:lineRule="exact"/>
        <w:rPr>
          <w:sz w:val="20"/>
          <w:szCs w:val="20"/>
          <w:color w:val="auto"/>
        </w:rPr>
      </w:pPr>
    </w:p>
    <w:p>
      <w:pPr>
        <w:ind w:right="100" w:firstLine="497"/>
        <w:spacing w:after="0" w:line="267" w:lineRule="auto"/>
        <w:rPr>
          <w:sz w:val="20"/>
          <w:szCs w:val="20"/>
          <w:color w:val="auto"/>
        </w:rPr>
      </w:pPr>
      <w:r>
        <w:rPr>
          <w:rFonts w:ascii="Arial" w:cs="Arial" w:eastAsia="Arial" w:hAnsi="Arial"/>
          <w:sz w:val="14"/>
          <w:szCs w:val="14"/>
          <w:color w:val="auto"/>
        </w:rPr>
        <w:t>The corporation may also have and maintain offices at such other places both within and without the State of Delaware as the Board of Directors may from time to time determine or the business of the corporation may require.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Stockholders’ Meetings</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2.1</w:t>
      </w:r>
      <w:r>
        <w:rPr>
          <w:sz w:val="20"/>
          <w:szCs w:val="20"/>
          <w:color w:val="auto"/>
        </w:rPr>
        <w:tab/>
      </w:r>
      <w:r>
        <w:rPr>
          <w:rFonts w:ascii="Arial" w:cs="Arial" w:eastAsia="Arial" w:hAnsi="Arial"/>
          <w:sz w:val="12"/>
          <w:szCs w:val="12"/>
          <w:b w:val="1"/>
          <w:bCs w:val="1"/>
          <w:color w:val="auto"/>
        </w:rPr>
        <w:t>Place of Meetings.</w:t>
      </w:r>
    </w:p>
    <w:p>
      <w:pPr>
        <w:spacing w:after="0" w:line="174" w:lineRule="exact"/>
        <w:rPr>
          <w:sz w:val="20"/>
          <w:szCs w:val="20"/>
          <w:color w:val="auto"/>
        </w:rPr>
      </w:pPr>
    </w:p>
    <w:p>
      <w:pPr>
        <w:ind w:right="60" w:firstLine="500"/>
        <w:spacing w:after="0" w:line="286" w:lineRule="auto"/>
        <w:tabs>
          <w:tab w:leader="none" w:pos="788" w:val="left"/>
        </w:tabs>
        <w:numPr>
          <w:ilvl w:val="1"/>
          <w:numId w:val="105"/>
        </w:numPr>
        <w:rPr>
          <w:rFonts w:ascii="Arial" w:cs="Arial" w:eastAsia="Arial" w:hAnsi="Arial"/>
          <w:sz w:val="13"/>
          <w:szCs w:val="13"/>
          <w:color w:val="auto"/>
        </w:rPr>
      </w:pPr>
      <w:r>
        <w:rPr>
          <w:rFonts w:ascii="Arial" w:cs="Arial" w:eastAsia="Arial" w:hAnsi="Arial"/>
          <w:sz w:val="13"/>
          <w:szCs w:val="13"/>
          <w:color w:val="auto"/>
        </w:rPr>
        <w:t>Meetings of the stockholders of the corporation shall be held at such place, either within or without the State of Delaware, as may be designated from time to time by the Board of Directors, or, if not so designated, then at the office of the corporation required to be maintained pursuant to Section 1.2 of Article I hereof. The Board of Directors may, in its sole discretion, determine that the meeting shall not be held at any place, but may instead be held solely by means of remote communication as authorized by paragraph (b) of this Section 2.1.</w:t>
      </w:r>
    </w:p>
    <w:p>
      <w:pPr>
        <w:spacing w:after="0" w:line="128" w:lineRule="exact"/>
        <w:rPr>
          <w:rFonts w:ascii="Arial" w:cs="Arial" w:eastAsia="Arial" w:hAnsi="Arial"/>
          <w:sz w:val="13"/>
          <w:szCs w:val="13"/>
          <w:color w:val="auto"/>
        </w:rPr>
      </w:pPr>
    </w:p>
    <w:p>
      <w:pPr>
        <w:ind w:right="160" w:firstLine="500"/>
        <w:spacing w:after="0" w:line="267" w:lineRule="auto"/>
        <w:tabs>
          <w:tab w:leader="none" w:pos="796" w:val="left"/>
        </w:tabs>
        <w:numPr>
          <w:ilvl w:val="1"/>
          <w:numId w:val="105"/>
        </w:numPr>
        <w:rPr>
          <w:rFonts w:ascii="Arial" w:cs="Arial" w:eastAsia="Arial" w:hAnsi="Arial"/>
          <w:sz w:val="14"/>
          <w:szCs w:val="14"/>
          <w:color w:val="auto"/>
        </w:rPr>
      </w:pPr>
      <w:r>
        <w:rPr>
          <w:rFonts w:ascii="Arial" w:cs="Arial" w:eastAsia="Arial" w:hAnsi="Arial"/>
          <w:sz w:val="14"/>
          <w:szCs w:val="14"/>
          <w:color w:val="auto"/>
        </w:rPr>
        <w:t>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138" w:lineRule="exact"/>
        <w:rPr>
          <w:rFonts w:ascii="Arial" w:cs="Arial" w:eastAsia="Arial" w:hAnsi="Arial"/>
          <w:sz w:val="14"/>
          <w:szCs w:val="14"/>
          <w:color w:val="auto"/>
        </w:rPr>
      </w:pPr>
    </w:p>
    <w:p>
      <w:pPr>
        <w:ind w:left="1300" w:hanging="303"/>
        <w:spacing w:after="0"/>
        <w:tabs>
          <w:tab w:leader="none" w:pos="1300" w:val="left"/>
        </w:tabs>
        <w:numPr>
          <w:ilvl w:val="2"/>
          <w:numId w:val="105"/>
        </w:numPr>
        <w:rPr>
          <w:rFonts w:ascii="Arial" w:cs="Arial" w:eastAsia="Arial" w:hAnsi="Arial"/>
          <w:sz w:val="14"/>
          <w:szCs w:val="14"/>
          <w:color w:val="auto"/>
        </w:rPr>
      </w:pPr>
      <w:r>
        <w:rPr>
          <w:rFonts w:ascii="Arial" w:cs="Arial" w:eastAsia="Arial" w:hAnsi="Arial"/>
          <w:sz w:val="14"/>
          <w:szCs w:val="14"/>
          <w:color w:val="auto"/>
        </w:rPr>
        <w:t>Participate in a meeting of stockholders; and</w:t>
      </w:r>
    </w:p>
    <w:p>
      <w:pPr>
        <w:spacing w:after="0" w:line="170" w:lineRule="exact"/>
        <w:rPr>
          <w:rFonts w:ascii="Arial" w:cs="Arial" w:eastAsia="Arial" w:hAnsi="Arial"/>
          <w:sz w:val="14"/>
          <w:szCs w:val="14"/>
          <w:color w:val="auto"/>
        </w:rPr>
      </w:pPr>
    </w:p>
    <w:p>
      <w:pPr>
        <w:ind w:left="1300" w:hanging="303"/>
        <w:spacing w:after="0"/>
        <w:tabs>
          <w:tab w:leader="none" w:pos="1300" w:val="left"/>
        </w:tabs>
        <w:numPr>
          <w:ilvl w:val="2"/>
          <w:numId w:val="105"/>
        </w:numPr>
        <w:rPr>
          <w:rFonts w:ascii="Arial" w:cs="Arial" w:eastAsia="Arial" w:hAnsi="Arial"/>
          <w:sz w:val="12"/>
          <w:szCs w:val="12"/>
          <w:color w:val="auto"/>
        </w:rPr>
      </w:pPr>
      <w:r>
        <w:rPr>
          <w:rFonts w:ascii="Arial" w:cs="Arial" w:eastAsia="Arial" w:hAnsi="Arial"/>
          <w:sz w:val="12"/>
          <w:szCs w:val="12"/>
          <w:color w:val="auto"/>
        </w:rPr>
        <w:t>Be deemed present in person and vote at a meeting of stockholders whether such meeting is to be held at a designated place or solely by means of remote communication, provided that</w:t>
      </w:r>
    </w:p>
    <w:p>
      <w:pPr>
        <w:spacing w:after="0" w:line="36" w:lineRule="exact"/>
        <w:rPr>
          <w:rFonts w:ascii="Arial" w:cs="Arial" w:eastAsia="Arial" w:hAnsi="Arial"/>
          <w:sz w:val="12"/>
          <w:szCs w:val="12"/>
          <w:color w:val="auto"/>
        </w:rPr>
      </w:pPr>
    </w:p>
    <w:p>
      <w:pPr>
        <w:ind w:left="220" w:hanging="217"/>
        <w:spacing w:after="0"/>
        <w:tabs>
          <w:tab w:leader="none" w:pos="2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corporation shall implement reasonable measures to verify that each person deemed present and permitted to vote at the meeting by means of remote communication is a stockholder or proxyholder,</w:t>
      </w:r>
    </w:p>
    <w:p>
      <w:pPr>
        <w:spacing w:after="0" w:line="27" w:lineRule="exact"/>
        <w:rPr>
          <w:rFonts w:ascii="Arial" w:cs="Arial" w:eastAsia="Arial" w:hAnsi="Arial"/>
          <w:sz w:val="12"/>
          <w:szCs w:val="12"/>
          <w:color w:val="auto"/>
        </w:rPr>
      </w:pPr>
    </w:p>
    <w:p>
      <w:pPr>
        <w:ind w:right="20" w:firstLine="3"/>
        <w:spacing w:after="0" w:line="250" w:lineRule="auto"/>
        <w:tabs>
          <w:tab w:leader="none" w:pos="21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 or other action shall be maintained by the corporation.</w:t>
      </w:r>
    </w:p>
    <w:p>
      <w:pPr>
        <w:spacing w:after="0" w:line="150" w:lineRule="exact"/>
        <w:rPr>
          <w:rFonts w:ascii="Arial" w:cs="Arial" w:eastAsia="Arial" w:hAnsi="Arial"/>
          <w:sz w:val="14"/>
          <w:szCs w:val="14"/>
          <w:color w:val="auto"/>
        </w:rPr>
      </w:pPr>
    </w:p>
    <w:p>
      <w:pPr>
        <w:ind w:right="480" w:firstLine="500"/>
        <w:spacing w:after="0" w:line="267" w:lineRule="auto"/>
        <w:tabs>
          <w:tab w:leader="none" w:pos="788" w:val="left"/>
        </w:tabs>
        <w:numPr>
          <w:ilvl w:val="1"/>
          <w:numId w:val="106"/>
        </w:numPr>
        <w:rPr>
          <w:rFonts w:ascii="Arial" w:cs="Arial" w:eastAsia="Arial" w:hAnsi="Arial"/>
          <w:sz w:val="14"/>
          <w:szCs w:val="14"/>
          <w:color w:val="auto"/>
        </w:rPr>
      </w:pPr>
      <w:r>
        <w:rPr>
          <w:rFonts w:ascii="Arial" w:cs="Arial" w:eastAsia="Arial" w:hAnsi="Arial"/>
          <w:sz w:val="14"/>
          <w:szCs w:val="14"/>
          <w:color w:val="auto"/>
        </w:rPr>
        <w:t>For purposes of this Section 2.1, “remote communication” shall include (1) telephone or other voice communications and (2) electronic mail or other form of written or visual electronic communications or transmission.</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2.2</w:t>
      </w:r>
      <w:r>
        <w:rPr>
          <w:sz w:val="20"/>
          <w:szCs w:val="20"/>
          <w:color w:val="auto"/>
        </w:rPr>
        <w:tab/>
      </w:r>
      <w:r>
        <w:rPr>
          <w:rFonts w:ascii="Arial" w:cs="Arial" w:eastAsia="Arial" w:hAnsi="Arial"/>
          <w:sz w:val="12"/>
          <w:szCs w:val="12"/>
          <w:b w:val="1"/>
          <w:bCs w:val="1"/>
          <w:color w:val="auto"/>
        </w:rPr>
        <w:t>Annual Meetings.</w:t>
      </w:r>
    </w:p>
    <w:p>
      <w:pPr>
        <w:spacing w:after="0" w:line="174" w:lineRule="exact"/>
        <w:rPr>
          <w:sz w:val="20"/>
          <w:szCs w:val="20"/>
          <w:color w:val="auto"/>
        </w:rPr>
      </w:pPr>
    </w:p>
    <w:p>
      <w:pPr>
        <w:ind w:right="80" w:firstLine="497"/>
        <w:spacing w:after="0" w:line="267" w:lineRule="auto"/>
        <w:rPr>
          <w:sz w:val="20"/>
          <w:szCs w:val="20"/>
          <w:color w:val="auto"/>
        </w:rPr>
      </w:pPr>
      <w:r>
        <w:rPr>
          <w:rFonts w:ascii="Arial" w:cs="Arial" w:eastAsia="Arial" w:hAnsi="Arial"/>
          <w:sz w:val="14"/>
          <w:szCs w:val="14"/>
          <w:color w:val="auto"/>
        </w:rPr>
        <w:t>The annual meetings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2.3</w:t>
      </w:r>
      <w:r>
        <w:rPr>
          <w:sz w:val="20"/>
          <w:szCs w:val="20"/>
          <w:color w:val="auto"/>
        </w:rPr>
        <w:tab/>
      </w:r>
      <w:r>
        <w:rPr>
          <w:rFonts w:ascii="Arial" w:cs="Arial" w:eastAsia="Arial" w:hAnsi="Arial"/>
          <w:sz w:val="12"/>
          <w:szCs w:val="12"/>
          <w:b w:val="1"/>
          <w:bCs w:val="1"/>
          <w:color w:val="auto"/>
        </w:rPr>
        <w:t>Special Meetings.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Special meetings of stockholders of the corporation may be called only by the Board of Directors pursuant to a resolution adopted by a majority of the total number of directors then in office.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477" w:right="219" w:bottom="1440" w:gutter="0" w:footer="0" w:header="0"/>
        </w:sectPr>
      </w:pPr>
    </w:p>
    <w:bookmarkStart w:id="163" w:name="page164"/>
    <w:bookmarkEnd w:id="163"/>
    <w:p>
      <w:pPr>
        <w:spacing w:after="0"/>
        <w:tabs>
          <w:tab w:leader="none" w:pos="760" w:val="left"/>
        </w:tabs>
        <w:rPr>
          <w:sz w:val="20"/>
          <w:szCs w:val="20"/>
          <w:color w:val="auto"/>
        </w:rPr>
      </w:pPr>
      <w:r>
        <w:rPr>
          <w:rFonts w:ascii="Arial" w:cs="Arial" w:eastAsia="Arial" w:hAnsi="Arial"/>
          <w:sz w:val="14"/>
          <w:szCs w:val="14"/>
          <w:b w:val="1"/>
          <w:bCs w:val="1"/>
          <w:color w:val="auto"/>
        </w:rPr>
        <w:t>Section 2.4</w:t>
      </w:r>
      <w:r>
        <w:rPr>
          <w:sz w:val="20"/>
          <w:szCs w:val="20"/>
          <w:color w:val="auto"/>
        </w:rPr>
        <w:tab/>
      </w:r>
      <w:r>
        <w:rPr>
          <w:rFonts w:ascii="Arial" w:cs="Arial" w:eastAsia="Arial" w:hAnsi="Arial"/>
          <w:sz w:val="12"/>
          <w:szCs w:val="12"/>
          <w:b w:val="1"/>
          <w:bCs w:val="1"/>
          <w:color w:val="auto"/>
        </w:rPr>
        <w:t>Notice of Meetings.</w:t>
      </w:r>
    </w:p>
    <w:p>
      <w:pPr>
        <w:spacing w:after="0" w:line="174" w:lineRule="exact"/>
        <w:rPr>
          <w:sz w:val="20"/>
          <w:szCs w:val="20"/>
          <w:color w:val="auto"/>
        </w:rPr>
      </w:pPr>
    </w:p>
    <w:p>
      <w:pPr>
        <w:ind w:firstLine="500"/>
        <w:spacing w:after="0" w:line="286" w:lineRule="auto"/>
        <w:tabs>
          <w:tab w:leader="none" w:pos="788" w:val="left"/>
        </w:tabs>
        <w:numPr>
          <w:ilvl w:val="0"/>
          <w:numId w:val="107"/>
        </w:numPr>
        <w:rPr>
          <w:rFonts w:ascii="Arial" w:cs="Arial" w:eastAsia="Arial" w:hAnsi="Arial"/>
          <w:sz w:val="13"/>
          <w:szCs w:val="13"/>
          <w:color w:val="auto"/>
        </w:rPr>
      </w:pPr>
      <w:r>
        <w:rPr>
          <w:rFonts w:ascii="Arial" w:cs="Arial" w:eastAsia="Arial" w:hAnsi="Arial"/>
          <w:sz w:val="13"/>
          <w:szCs w:val="13"/>
          <w:color w:val="auto"/>
        </w:rPr>
        <w:t>Except as otherwise provided by law or the Certificate of Incorporation, written notice of each meeting of stockholders, specifying the place, if any, date and hour and purpose or purposes of the meeting, and the means of remote communication, if any, by which stockholders and proxyholders may be deemed to be present in person and vote at such meeting, shall be given not less than 10 nor more than 60 days before the date of the meeting to each stockholder entitled to vote thereat, directed to his address as it appears upon the books of the corporation.</w:t>
      </w:r>
    </w:p>
    <w:p>
      <w:pPr>
        <w:spacing w:after="0" w:line="128" w:lineRule="exact"/>
        <w:rPr>
          <w:rFonts w:ascii="Arial" w:cs="Arial" w:eastAsia="Arial" w:hAnsi="Arial"/>
          <w:sz w:val="13"/>
          <w:szCs w:val="13"/>
          <w:color w:val="auto"/>
        </w:rPr>
      </w:pPr>
    </w:p>
    <w:p>
      <w:pPr>
        <w:ind w:right="520" w:firstLine="500"/>
        <w:spacing w:after="0" w:line="352" w:lineRule="auto"/>
        <w:tabs>
          <w:tab w:leader="none" w:pos="796"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If at any meeting action is proposed to be taken which, if taken, would entitle stockholders fulfilling the requirements of section 262(d) of the Delaware General Corporation Law to an appraisal of the fair value of their shares, the notice of such meeting shall contain a statement of that purpose and to that effect and shall be accompanied by a copy of that statutory section.</w:t>
      </w:r>
    </w:p>
    <w:p>
      <w:pPr>
        <w:spacing w:after="0" w:line="92" w:lineRule="exact"/>
        <w:rPr>
          <w:rFonts w:ascii="Arial" w:cs="Arial" w:eastAsia="Arial" w:hAnsi="Arial"/>
          <w:sz w:val="12"/>
          <w:szCs w:val="12"/>
          <w:color w:val="auto"/>
        </w:rPr>
      </w:pPr>
    </w:p>
    <w:p>
      <w:pPr>
        <w:jc w:val="both"/>
        <w:ind w:right="180" w:firstLine="500"/>
        <w:spacing w:after="0" w:line="253" w:lineRule="auto"/>
        <w:tabs>
          <w:tab w:leader="none" w:pos="786" w:val="left"/>
        </w:tabs>
        <w:numPr>
          <w:ilvl w:val="0"/>
          <w:numId w:val="107"/>
        </w:numPr>
        <w:rPr>
          <w:rFonts w:ascii="Arial" w:cs="Arial" w:eastAsia="Arial" w:hAnsi="Arial"/>
          <w:sz w:val="14"/>
          <w:szCs w:val="14"/>
          <w:color w:val="auto"/>
        </w:rPr>
      </w:pPr>
      <w:r>
        <w:rPr>
          <w:rFonts w:ascii="Arial" w:cs="Arial" w:eastAsia="Arial" w:hAnsi="Arial"/>
          <w:sz w:val="14"/>
          <w:szCs w:val="14"/>
          <w:color w:val="auto"/>
        </w:rPr>
        <w:t>When a meeting is adjourned to another time or place, notice need not be given of the adjourned meeting if the time, place, if any, thereof, and the means of remote communication, if any, by which stockholders and proxyholders may be deemed to be present in person and vote at such adjourned meeting, are announced at the meeting at which the adjournment is taken unless the adjournment is for more than 30 days, or unless after the adjournment a new record date is fixed for the adjourned meeting, in which event a notice of the adjourned meeting shall be given to each stockholder of record entitled to vote at the meeting.</w:t>
      </w:r>
    </w:p>
    <w:p>
      <w:pPr>
        <w:spacing w:after="0" w:line="149" w:lineRule="exact"/>
        <w:rPr>
          <w:rFonts w:ascii="Arial" w:cs="Arial" w:eastAsia="Arial" w:hAnsi="Arial"/>
          <w:sz w:val="14"/>
          <w:szCs w:val="14"/>
          <w:color w:val="auto"/>
        </w:rPr>
      </w:pPr>
    </w:p>
    <w:p>
      <w:pPr>
        <w:ind w:right="100" w:firstLine="500"/>
        <w:spacing w:after="0" w:line="257" w:lineRule="auto"/>
        <w:tabs>
          <w:tab w:leader="none" w:pos="796"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Notice of the time, place and purpose of any meeting of stockholders may be waived in writing, either before or after such meeting, and, to the extent permitted by law, will be waived by any stockholder by his attendance thereat, in person or by proxy. Any stockholder so waiving notice of such meeting shall be bound by the proceedings of any such meeting in all respects as if due notice thereof had been given.</w:t>
      </w:r>
    </w:p>
    <w:p>
      <w:pPr>
        <w:spacing w:after="0" w:line="145" w:lineRule="exact"/>
        <w:rPr>
          <w:rFonts w:ascii="Arial" w:cs="Arial" w:eastAsia="Arial" w:hAnsi="Arial"/>
          <w:sz w:val="14"/>
          <w:szCs w:val="14"/>
          <w:color w:val="auto"/>
        </w:rPr>
      </w:pPr>
    </w:p>
    <w:p>
      <w:pPr>
        <w:ind w:right="40" w:firstLine="500"/>
        <w:spacing w:after="0" w:line="294" w:lineRule="auto"/>
        <w:tabs>
          <w:tab w:leader="none" w:pos="786" w:val="left"/>
        </w:tabs>
        <w:numPr>
          <w:ilvl w:val="0"/>
          <w:numId w:val="107"/>
        </w:numPr>
        <w:rPr>
          <w:rFonts w:ascii="Arial" w:cs="Arial" w:eastAsia="Arial" w:hAnsi="Arial"/>
          <w:sz w:val="12"/>
          <w:szCs w:val="12"/>
          <w:color w:val="auto"/>
        </w:rPr>
      </w:pPr>
      <w:r>
        <w:rPr>
          <w:rFonts w:ascii="Arial" w:cs="Arial" w:eastAsia="Arial" w:hAnsi="Arial"/>
          <w:sz w:val="12"/>
          <w:szCs w:val="12"/>
          <w:color w:val="auto"/>
        </w:rPr>
        <w:t>Without limiting the manner by which notice otherwise may be given effectively to stockholders, any notice to stockholders given by the corporation under any provision of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subparagraph (e) shall be deemed given: (1) if by facsimile telecommunication,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2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2.5</w:t>
      </w:r>
      <w:r>
        <w:rPr>
          <w:sz w:val="20"/>
          <w:szCs w:val="20"/>
          <w:color w:val="auto"/>
        </w:rPr>
        <w:tab/>
      </w:r>
      <w:r>
        <w:rPr>
          <w:rFonts w:ascii="Arial" w:cs="Arial" w:eastAsia="Arial" w:hAnsi="Arial"/>
          <w:sz w:val="12"/>
          <w:szCs w:val="12"/>
          <w:b w:val="1"/>
          <w:bCs w:val="1"/>
          <w:color w:val="auto"/>
        </w:rPr>
        <w:t>Quorum and Voting.</w:t>
      </w:r>
    </w:p>
    <w:p>
      <w:pPr>
        <w:spacing w:after="0" w:line="174" w:lineRule="exact"/>
        <w:rPr>
          <w:sz w:val="20"/>
          <w:szCs w:val="20"/>
          <w:color w:val="auto"/>
        </w:rPr>
      </w:pPr>
    </w:p>
    <w:p>
      <w:pPr>
        <w:ind w:firstLine="500"/>
        <w:spacing w:after="0" w:line="274" w:lineRule="auto"/>
        <w:tabs>
          <w:tab w:leader="none" w:pos="78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At all meetings of stockholders except where otherwise provided by law, the Certificate of Incorporation or these Bylaws, the presence, in person or by proxy duly authorized, of the holders of a majority of the outstanding shares of stock entitled to vote shall constitute a quorum for the transaction of business. Shares, the voting of which at said meeting have been enjoined, or which for any reason cannot be lawfully voted at such meeting, shall not be counted to determine a quorum at said meeting. In the absence of a quorum, any meeting of stockholders may be adjourned, from time to time, by vote of the holders of a majority of the shares represented thereat, but no other business shall be transacted at such meeting. At such adjourned meeting at which a quorum is present or represented, any business may be transacted which might have been transacted at the original meeting. The stockholders present at a duly called or convened meeting at which a quorum is present may continue to transact business until adjournment, notwithstanding the withdrawal of enough stockholders to leave less than a quorum.</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477" w:right="219" w:bottom="1440" w:gutter="0" w:footer="0" w:header="0"/>
        </w:sectPr>
      </w:pPr>
    </w:p>
    <w:bookmarkStart w:id="164" w:name="page165"/>
    <w:bookmarkEnd w:id="164"/>
    <w:p>
      <w:pPr>
        <w:ind w:right="220" w:firstLine="500"/>
        <w:spacing w:after="0" w:line="267" w:lineRule="auto"/>
        <w:tabs>
          <w:tab w:leader="none" w:pos="79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Except as otherwise provided by law, the Certificate of Incorporation or these Bylaws, all action taken by the holders of a majority of the voting power represented at any meeting at which a quorum is present shall be valid and binding upon the corporation.</w:t>
      </w:r>
    </w:p>
    <w:p>
      <w:pPr>
        <w:spacing w:after="0" w:line="138" w:lineRule="exact"/>
        <w:rPr>
          <w:rFonts w:ascii="Arial" w:cs="Arial" w:eastAsia="Arial" w:hAnsi="Arial"/>
          <w:sz w:val="14"/>
          <w:szCs w:val="14"/>
          <w:color w:val="auto"/>
        </w:rPr>
      </w:pPr>
    </w:p>
    <w:p>
      <w:pPr>
        <w:ind w:firstLine="500"/>
        <w:spacing w:after="0" w:line="257" w:lineRule="auto"/>
        <w:tabs>
          <w:tab w:leader="none" w:pos="78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of shares of such class or classes present in person or represented by proxy at the meeting shall be the act of such class.</w:t>
      </w:r>
    </w:p>
    <w:p>
      <w:pPr>
        <w:spacing w:after="0" w:line="14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2.6</w:t>
      </w:r>
      <w:r>
        <w:rPr>
          <w:sz w:val="20"/>
          <w:szCs w:val="20"/>
          <w:color w:val="auto"/>
        </w:rPr>
        <w:tab/>
      </w:r>
      <w:r>
        <w:rPr>
          <w:rFonts w:ascii="Arial" w:cs="Arial" w:eastAsia="Arial" w:hAnsi="Arial"/>
          <w:sz w:val="12"/>
          <w:szCs w:val="12"/>
          <w:b w:val="1"/>
          <w:bCs w:val="1"/>
          <w:color w:val="auto"/>
        </w:rPr>
        <w:t>Voting Rights.</w:t>
      </w:r>
    </w:p>
    <w:p>
      <w:pPr>
        <w:spacing w:after="0" w:line="174" w:lineRule="exact"/>
        <w:rPr>
          <w:sz w:val="20"/>
          <w:szCs w:val="20"/>
          <w:color w:val="auto"/>
        </w:rPr>
      </w:pPr>
    </w:p>
    <w:p>
      <w:pPr>
        <w:ind w:firstLine="500"/>
        <w:spacing w:after="0" w:line="253" w:lineRule="auto"/>
        <w:tabs>
          <w:tab w:leader="none" w:pos="788"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Except as otherwise provided by law, only persons in whose names shares entitled to vote stand on the stock records of the corporation on the record date for determining the stockholders entitled to vote at said meeting shall be entitled to vote at such meeting. Shares standing in the names of two or more persons shall be voted or represented in accordance with the determination of the majority of such persons, or, if only one of such persons is present in person or represented by proxy, such person shall have the right to vote such shares and such shares shall be deemed to be represented for the purpose of determining a quorum.</w:t>
      </w:r>
    </w:p>
    <w:p>
      <w:pPr>
        <w:spacing w:after="0" w:line="149" w:lineRule="exact"/>
        <w:rPr>
          <w:rFonts w:ascii="Arial" w:cs="Arial" w:eastAsia="Arial" w:hAnsi="Arial"/>
          <w:sz w:val="14"/>
          <w:szCs w:val="14"/>
          <w:color w:val="auto"/>
        </w:rPr>
      </w:pPr>
    </w:p>
    <w:p>
      <w:pPr>
        <w:ind w:right="40" w:firstLine="500"/>
        <w:spacing w:after="0" w:line="253" w:lineRule="auto"/>
        <w:tabs>
          <w:tab w:leader="none" w:pos="79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Every person entitled to vote or to execute consents shall have the right to do so either in person or by an agent or agents authorized by a written proxy executed by such person or his duly authorized agent, which proxy shall be filed with the Secretary of the corporation at or before the meeting at which it is to be used. Said proxy so appointed need not be a stockholder. No proxy shall be voted on after three (3) years from its date unless the proxy provides for a longer period. Unless and until voted, every proxy shall be revocable at the pleasure of the person who executed it or of his legal representatives or assigns, except in those cases where an irrevocable proxy permitted by statute has been given.</w:t>
      </w:r>
    </w:p>
    <w:p>
      <w:pPr>
        <w:spacing w:after="0" w:line="149" w:lineRule="exact"/>
        <w:rPr>
          <w:rFonts w:ascii="Arial" w:cs="Arial" w:eastAsia="Arial" w:hAnsi="Arial"/>
          <w:sz w:val="14"/>
          <w:szCs w:val="14"/>
          <w:color w:val="auto"/>
        </w:rPr>
      </w:pPr>
    </w:p>
    <w:p>
      <w:pPr>
        <w:ind w:right="200" w:firstLine="500"/>
        <w:spacing w:after="0" w:line="267" w:lineRule="auto"/>
        <w:tabs>
          <w:tab w:leader="none" w:pos="78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Without limiting the manner in which a stockholder may authorize another person or persons to act for him as proxy pursuant to subsection (b) of this section, the following shall constitute a valid means by which a stockholder may grant such authority:</w:t>
      </w:r>
    </w:p>
    <w:p>
      <w:pPr>
        <w:spacing w:after="0" w:line="138" w:lineRule="exact"/>
        <w:rPr>
          <w:rFonts w:ascii="Arial" w:cs="Arial" w:eastAsia="Arial" w:hAnsi="Arial"/>
          <w:sz w:val="14"/>
          <w:szCs w:val="14"/>
          <w:color w:val="auto"/>
        </w:rPr>
      </w:pPr>
    </w:p>
    <w:p>
      <w:pPr>
        <w:ind w:right="440" w:firstLine="997"/>
        <w:spacing w:after="0" w:line="352" w:lineRule="auto"/>
        <w:tabs>
          <w:tab w:leader="none" w:pos="1285" w:val="left"/>
        </w:tabs>
        <w:numPr>
          <w:ilvl w:val="1"/>
          <w:numId w:val="110"/>
        </w:numPr>
        <w:rPr>
          <w:rFonts w:ascii="Arial" w:cs="Arial" w:eastAsia="Arial" w:hAnsi="Arial"/>
          <w:sz w:val="12"/>
          <w:szCs w:val="12"/>
          <w:color w:val="auto"/>
        </w:rPr>
      </w:pPr>
      <w:r>
        <w:rPr>
          <w:rFonts w:ascii="Arial" w:cs="Arial" w:eastAsia="Arial" w:hAnsi="Arial"/>
          <w:sz w:val="12"/>
          <w:szCs w:val="12"/>
          <w:color w:val="auto"/>
        </w:rPr>
        <w:t>A stockholder may execute a writing authorizing another person or persons to act for him as proxy. Execution may be accomplished by the stockholder or his authorized officer, director, employee or agent signing such writing or causing his or her signature to be affixed to such writing by any reasonable means including, but not limited to, by facsimile signature.</w:t>
      </w:r>
    </w:p>
    <w:p>
      <w:pPr>
        <w:spacing w:after="0" w:line="92" w:lineRule="exact"/>
        <w:rPr>
          <w:rFonts w:ascii="Arial" w:cs="Arial" w:eastAsia="Arial" w:hAnsi="Arial"/>
          <w:sz w:val="12"/>
          <w:szCs w:val="12"/>
          <w:color w:val="auto"/>
        </w:rPr>
      </w:pPr>
    </w:p>
    <w:p>
      <w:pPr>
        <w:ind w:right="80" w:firstLine="997"/>
        <w:spacing w:after="0" w:line="250" w:lineRule="auto"/>
        <w:tabs>
          <w:tab w:leader="none" w:pos="1285" w:val="left"/>
        </w:tabs>
        <w:numPr>
          <w:ilvl w:val="1"/>
          <w:numId w:val="110"/>
        </w:numPr>
        <w:rPr>
          <w:rFonts w:ascii="Arial" w:cs="Arial" w:eastAsia="Arial" w:hAnsi="Arial"/>
          <w:sz w:val="14"/>
          <w:szCs w:val="14"/>
          <w:color w:val="auto"/>
        </w:rPr>
      </w:pPr>
      <w:r>
        <w:rPr>
          <w:rFonts w:ascii="Arial" w:cs="Arial" w:eastAsia="Arial" w:hAnsi="Arial"/>
          <w:sz w:val="14"/>
          <w:szCs w:val="14"/>
          <w:color w:val="auto"/>
        </w:rPr>
        <w:t>A stockholder may authorize another person or persons to act for him as proxy by transmitting or authorizing the transmission of a telephone or other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telephone or other means of electronic transmission must either set forth or be submitted with information from which it can be determined that the telephone or other electronic transmission was authorized by the stockholder. Such authorization can be established by the signature of the stockholder on the proxy, either in writing or by a signature stamp or facsimile signature, or by a number or symbol from which the identity of the stockholder can be determined, or by any other procedure deemed appropriate by the inspectors or other persons making the determination as to due authorization. If it is determined that such electronic transmissions are valid, the inspectors or, if there are no inspectors, such other persons making that determination shall specify the information upon which they relied.</w:t>
      </w:r>
    </w:p>
    <w:p>
      <w:pPr>
        <w:spacing w:after="0" w:line="151" w:lineRule="exact"/>
        <w:rPr>
          <w:rFonts w:ascii="Arial" w:cs="Arial" w:eastAsia="Arial" w:hAnsi="Arial"/>
          <w:sz w:val="14"/>
          <w:szCs w:val="14"/>
          <w:color w:val="auto"/>
        </w:rPr>
      </w:pPr>
    </w:p>
    <w:p>
      <w:pPr>
        <w:jc w:val="both"/>
        <w:ind w:right="200" w:firstLine="500"/>
        <w:spacing w:after="0" w:line="257" w:lineRule="auto"/>
        <w:tabs>
          <w:tab w:leader="none" w:pos="788"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Any copy, facsimile telecommunication or other reliable reproduction of the writing or transmission created pursuant to subsection (c) of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4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2.7</w:t>
      </w:r>
      <w:r>
        <w:rPr>
          <w:sz w:val="20"/>
          <w:szCs w:val="20"/>
          <w:color w:val="auto"/>
        </w:rPr>
        <w:tab/>
      </w:r>
      <w:r>
        <w:rPr>
          <w:rFonts w:ascii="Arial" w:cs="Arial" w:eastAsia="Arial" w:hAnsi="Arial"/>
          <w:sz w:val="12"/>
          <w:szCs w:val="12"/>
          <w:b w:val="1"/>
          <w:bCs w:val="1"/>
          <w:color w:val="auto"/>
        </w:rPr>
        <w:t>Voting Procedures and Inspectors of Elections.</w:t>
      </w:r>
    </w:p>
    <w:p>
      <w:pPr>
        <w:spacing w:after="0" w:line="174" w:lineRule="exact"/>
        <w:rPr>
          <w:sz w:val="20"/>
          <w:szCs w:val="20"/>
          <w:color w:val="auto"/>
        </w:rPr>
      </w:pPr>
    </w:p>
    <w:p>
      <w:pPr>
        <w:ind w:right="120" w:firstLine="500"/>
        <w:spacing w:after="0" w:line="253" w:lineRule="auto"/>
        <w:tabs>
          <w:tab w:leader="none" w:pos="78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duties, shall take and sign an oath faithfully to execute the duties of inspector with strict impartiality and according to the best of his ability.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481" w:right="219" w:bottom="1440" w:gutter="0" w:footer="0" w:header="0"/>
        </w:sectPr>
      </w:pPr>
    </w:p>
    <w:bookmarkStart w:id="165" w:name="page166"/>
    <w:bookmarkEnd w:id="165"/>
    <w:p>
      <w:pPr>
        <w:ind w:left="800" w:hanging="300"/>
        <w:spacing w:after="0"/>
        <w:tabs>
          <w:tab w:leader="none" w:pos="80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The inspectors shall (i) ascertain the number of shares outstanding and the voting power of each, (ii) determine the shares represented at a meeting and the validity of proxies and ballots,</w:t>
      </w:r>
    </w:p>
    <w:p>
      <w:pPr>
        <w:spacing w:after="0" w:line="36" w:lineRule="exact"/>
        <w:rPr>
          <w:rFonts w:ascii="Arial" w:cs="Arial" w:eastAsia="Arial" w:hAnsi="Arial"/>
          <w:sz w:val="12"/>
          <w:szCs w:val="12"/>
          <w:color w:val="auto"/>
        </w:rPr>
      </w:pPr>
    </w:p>
    <w:p>
      <w:pPr>
        <w:ind w:firstLine="3"/>
        <w:spacing w:after="0" w:line="250" w:lineRule="auto"/>
        <w:tabs>
          <w:tab w:leader="none" w:pos="24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50" w:lineRule="exact"/>
        <w:rPr>
          <w:rFonts w:ascii="Arial" w:cs="Arial" w:eastAsia="Arial" w:hAnsi="Arial"/>
          <w:sz w:val="14"/>
          <w:szCs w:val="14"/>
          <w:color w:val="auto"/>
        </w:rPr>
      </w:pPr>
    </w:p>
    <w:p>
      <w:pPr>
        <w:ind w:right="120" w:firstLine="500"/>
        <w:spacing w:after="0" w:line="352" w:lineRule="auto"/>
        <w:tabs>
          <w:tab w:leader="none" w:pos="786" w:val="left"/>
        </w:tabs>
        <w:numPr>
          <w:ilvl w:val="1"/>
          <w:numId w:val="113"/>
        </w:numPr>
        <w:rPr>
          <w:rFonts w:ascii="Arial" w:cs="Arial" w:eastAsia="Arial" w:hAnsi="Arial"/>
          <w:sz w:val="12"/>
          <w:szCs w:val="12"/>
          <w:color w:val="auto"/>
        </w:rPr>
      </w:pPr>
      <w:r>
        <w:rPr>
          <w:rFonts w:ascii="Arial" w:cs="Arial" w:eastAsia="Arial" w:hAnsi="Arial"/>
          <w:sz w:val="12"/>
          <w:szCs w:val="12"/>
          <w:color w:val="auto"/>
        </w:rPr>
        <w:t>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92" w:lineRule="exact"/>
        <w:rPr>
          <w:rFonts w:ascii="Arial" w:cs="Arial" w:eastAsia="Arial" w:hAnsi="Arial"/>
          <w:sz w:val="12"/>
          <w:szCs w:val="12"/>
          <w:color w:val="auto"/>
        </w:rPr>
      </w:pPr>
    </w:p>
    <w:p>
      <w:pPr>
        <w:ind w:right="40" w:firstLine="500"/>
        <w:spacing w:after="0" w:line="272" w:lineRule="auto"/>
        <w:tabs>
          <w:tab w:leader="none" w:pos="796" w:val="left"/>
        </w:tabs>
        <w:numPr>
          <w:ilvl w:val="1"/>
          <w:numId w:val="113"/>
        </w:numPr>
        <w:rPr>
          <w:rFonts w:ascii="Arial" w:cs="Arial" w:eastAsia="Arial" w:hAnsi="Arial"/>
          <w:sz w:val="13"/>
          <w:szCs w:val="13"/>
          <w:color w:val="auto"/>
        </w:rPr>
      </w:pPr>
      <w:r>
        <w:rPr>
          <w:rFonts w:ascii="Arial" w:cs="Arial" w:eastAsia="Arial" w:hAnsi="Arial"/>
          <w:sz w:val="13"/>
          <w:szCs w:val="13"/>
          <w:color w:val="auto"/>
        </w:rPr>
        <w:t>In determining the validity and counting of proxies and ballots, the inspectors shall be limited to an examination of the proxies, any envelopes submitted with those proxies, any information provided in accordance with Sections 211(e) or 212(c)(2) of the Delaware General Corporation Law, or any information provided pursuant to Section 211(a)(2)(B)(i) or (iii) thereof,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subsection (b)(v) of this section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2.8</w:t>
      </w:r>
      <w:r>
        <w:rPr>
          <w:sz w:val="20"/>
          <w:szCs w:val="20"/>
          <w:color w:val="auto"/>
        </w:rPr>
        <w:tab/>
      </w:r>
      <w:r>
        <w:rPr>
          <w:rFonts w:ascii="Arial" w:cs="Arial" w:eastAsia="Arial" w:hAnsi="Arial"/>
          <w:sz w:val="12"/>
          <w:szCs w:val="12"/>
          <w:b w:val="1"/>
          <w:bCs w:val="1"/>
          <w:color w:val="auto"/>
        </w:rPr>
        <w:t>List of Stockholders.</w:t>
      </w:r>
    </w:p>
    <w:p>
      <w:pPr>
        <w:spacing w:after="0" w:line="174" w:lineRule="exact"/>
        <w:rPr>
          <w:sz w:val="20"/>
          <w:szCs w:val="20"/>
          <w:color w:val="auto"/>
        </w:rPr>
      </w:pPr>
    </w:p>
    <w:p>
      <w:pPr>
        <w:ind w:right="60" w:firstLine="497"/>
        <w:spacing w:after="0" w:line="297" w:lineRule="auto"/>
        <w:rPr>
          <w:sz w:val="20"/>
          <w:szCs w:val="20"/>
          <w:color w:val="auto"/>
        </w:rPr>
      </w:pPr>
      <w:r>
        <w:rPr>
          <w:rFonts w:ascii="Arial" w:cs="Arial" w:eastAsia="Arial" w:hAnsi="Arial"/>
          <w:sz w:val="12"/>
          <w:szCs w:val="12"/>
          <w:color w:val="auto"/>
        </w:rPr>
        <w:t>The officer who has charge of the stock ledger of the corporation shall prepare and make, at least ten days before every meeting of stockholders, a complete list of the stockholders entitled to vote at said meeting, arranged in alphabetical order, showing the address of and the number of shares registered in the name of each stockholder. The corporation need not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2.9</w:t>
      </w:r>
      <w:r>
        <w:rPr>
          <w:sz w:val="20"/>
          <w:szCs w:val="20"/>
          <w:color w:val="auto"/>
        </w:rPr>
        <w:tab/>
      </w:r>
      <w:r>
        <w:rPr>
          <w:rFonts w:ascii="Arial" w:cs="Arial" w:eastAsia="Arial" w:hAnsi="Arial"/>
          <w:sz w:val="12"/>
          <w:szCs w:val="12"/>
          <w:b w:val="1"/>
          <w:bCs w:val="1"/>
          <w:color w:val="auto"/>
        </w:rPr>
        <w:t>Stockholder Proposals at Annual or Special Meetings.</w:t>
      </w:r>
    </w:p>
    <w:p>
      <w:pPr>
        <w:spacing w:after="0" w:line="174" w:lineRule="exact"/>
        <w:rPr>
          <w:sz w:val="20"/>
          <w:szCs w:val="20"/>
          <w:color w:val="auto"/>
        </w:rPr>
      </w:pPr>
    </w:p>
    <w:p>
      <w:pPr>
        <w:ind w:firstLine="497"/>
        <w:spacing w:after="0" w:line="270" w:lineRule="auto"/>
        <w:rPr>
          <w:sz w:val="20"/>
          <w:szCs w:val="20"/>
          <w:color w:val="auto"/>
        </w:rPr>
      </w:pPr>
      <w:r>
        <w:rPr>
          <w:rFonts w:ascii="Arial" w:cs="Arial" w:eastAsia="Arial" w:hAnsi="Arial"/>
          <w:sz w:val="13"/>
          <w:szCs w:val="13"/>
          <w:color w:val="auto"/>
        </w:rPr>
        <w:t>At an annual or special meeting of the stockholders, only such business shall be conducted as shall have been properly brought before the meeting. To be properly brought before a meeting, business must be specified in the notice of meeting (or any supplement thereto) given by or at the direction of the Board of Directors, otherwise properly brought before the meeting by or at the direction of the Board of Directors, or otherwise properly brought before the meeting by a stockholder, but, in the case of a special meeting, if and only if the notice of the meeting provides for business to be brought before the meeting by a stockholder. In addition to any other applicable requirements for business to be properly brought before a meeting by a stockholder, whether or not the stockholder is seeking to have a proposal included in the corporation’s proxy statement or information statement under any applicable rule of the Securities and Exchange Commission (the “SEC”), including, but not limited to, Regulation 14A or Regulation 14C under the Securities and Exchange Act of 1934, as amended (the “Exchange Act”), the stockholder must have given timely notice thereof in writing to the Secretary of the corporation. To be timely, a stockholder’s notice must be delivered to or mailed and received at the principal executive offices of the corporation not less than 120 days prior to the date on which the corporation first mailed its proxy materials (or, in the absence of proxy materials, its notice of the meeting) for the previous year’s annual meeting of stockholders (or not later than the tenth day following the date on which the corporation mails the notice of meeting for the current year if during the prior year the corporation did not hold an annual meeting or if the date of the annual meeting was changed more than 30 days from the prior year, or in the event of a special meeting).</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481" w:right="219" w:bottom="1440" w:gutter="0" w:footer="0" w:header="0"/>
        </w:sectPr>
      </w:pPr>
    </w:p>
    <w:bookmarkStart w:id="166" w:name="page167"/>
    <w:bookmarkEnd w:id="166"/>
    <w:p>
      <w:pPr>
        <w:ind w:right="20" w:firstLine="497"/>
        <w:spacing w:after="0" w:line="268" w:lineRule="auto"/>
        <w:rPr>
          <w:sz w:val="20"/>
          <w:szCs w:val="20"/>
          <w:color w:val="auto"/>
        </w:rPr>
      </w:pPr>
      <w:r>
        <w:rPr>
          <w:rFonts w:ascii="Arial" w:cs="Arial" w:eastAsia="Arial" w:hAnsi="Arial"/>
          <w:sz w:val="13"/>
          <w:szCs w:val="13"/>
          <w:color w:val="auto"/>
        </w:rPr>
        <w:t>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record address of the stockholder proposing such business, (iii) the class and number of shares of the corporation which are beneficially owned by the stockholder, (iv) any material interest of the stockholder in such business, (v) as to the stockholder giving the notice and any Stockholder Associated Person (as defined below), whether and the extent to which any hedging or other transaction or series of transactions has been entered into by or on behalf of, or any other agreement, arrangement or understanding (including, but not limited to, any short position or any borrowing or lending of shares of stock) has been made, the effect or intent of which is to mitigate loss or increase profit to or manage the risk or benefit of stock price changes for, or to increase or decrease the voting power of, such stockholder or any such Stockholder Associated Person with respect to any share of stock of the corporation (each, a “Relevant Hedge Transaction”), and (vi) as to the stockholder giving the notice and any Stockholder Associated Person, to the extent not set forth pursuant to the immediately preceding clause, (a) whether and the extent to which such stockholder or Stockholder Associated Person has direct or indirect beneficial ownership of any option, warrant, convertible security, stock appreciation right, or similar right with an exercise or conversion privilege or a settlement payment or mechanism at a price related to any class or series of shares of the corporation, whether or not such instrument or right shall be subject to settlement in the underlying class or series of capital stock of the corporation or otherwise, or any other direct or indirect opportunity to profit or share in any profit derived from any increase or decrease in the value of shares of the corporation (a “Derivative Instrument”), (b) any rights to dividends on the shares of the corporation owned beneficially by such stockholder that are separated or separable from the underlying shares of the corporation, (c) any proportionate interest in shares of the corporation or Derivative Instruments held, directly or indirectly, by a general or limited partnership in which such stockholder is a general partner or, directly or indirectly, beneficially owns an interest in a general partner and (d)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10 days after the record date for the meeting to disclose such ownership as of the record date).</w:t>
      </w:r>
    </w:p>
    <w:p>
      <w:pPr>
        <w:spacing w:after="0" w:line="145" w:lineRule="exact"/>
        <w:rPr>
          <w:sz w:val="20"/>
          <w:szCs w:val="20"/>
          <w:color w:val="auto"/>
        </w:rPr>
      </w:pPr>
    </w:p>
    <w:p>
      <w:pPr>
        <w:jc w:val="both"/>
        <w:ind w:right="360" w:firstLine="497"/>
        <w:spacing w:after="0" w:line="257" w:lineRule="auto"/>
        <w:rPr>
          <w:sz w:val="20"/>
          <w:szCs w:val="20"/>
          <w:color w:val="auto"/>
        </w:rPr>
      </w:pPr>
      <w:r>
        <w:rPr>
          <w:rFonts w:ascii="Arial" w:cs="Arial" w:eastAsia="Arial" w:hAnsi="Arial"/>
          <w:sz w:val="14"/>
          <w:szCs w:val="14"/>
          <w:color w:val="auto"/>
        </w:rPr>
        <w:t>For purposes of this Section 2.9 and Section 2.10, “Stockholder Associated Person” of any stockholder shall mean (i) any person controlling or controlled by,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45" w:lineRule="exact"/>
        <w:rPr>
          <w:sz w:val="20"/>
          <w:szCs w:val="20"/>
          <w:color w:val="auto"/>
        </w:rPr>
      </w:pPr>
    </w:p>
    <w:p>
      <w:pPr>
        <w:jc w:val="both"/>
        <w:ind w:right="120" w:firstLine="497"/>
        <w:spacing w:after="0" w:line="352" w:lineRule="auto"/>
        <w:rPr>
          <w:sz w:val="20"/>
          <w:szCs w:val="20"/>
          <w:color w:val="auto"/>
        </w:rPr>
      </w:pPr>
      <w:r>
        <w:rPr>
          <w:rFonts w:ascii="Arial" w:cs="Arial" w:eastAsia="Arial" w:hAnsi="Arial"/>
          <w:sz w:val="12"/>
          <w:szCs w:val="12"/>
          <w:color w:val="auto"/>
        </w:rPr>
        <w:t>Notwithstanding anything in the Bylaws to the contrary, no business shall be conducted at the annual meeting except in accordance with the procedures set forth in Section 2.1 and this Section 2.9, provided, however, that nothing in this Section 2.9 shall be deemed to preclude discussion by any stockholder of any business properly brought before the annual meeting in accordance with said procedure.</w:t>
      </w:r>
    </w:p>
    <w:p>
      <w:pPr>
        <w:spacing w:after="0" w:line="92" w:lineRule="exact"/>
        <w:rPr>
          <w:sz w:val="20"/>
          <w:szCs w:val="20"/>
          <w:color w:val="auto"/>
        </w:rPr>
      </w:pPr>
    </w:p>
    <w:p>
      <w:pPr>
        <w:ind w:right="180" w:firstLine="497"/>
        <w:spacing w:after="0" w:line="352" w:lineRule="auto"/>
        <w:rPr>
          <w:sz w:val="20"/>
          <w:szCs w:val="20"/>
          <w:color w:val="auto"/>
        </w:rPr>
      </w:pPr>
      <w:r>
        <w:rPr>
          <w:rFonts w:ascii="Arial" w:cs="Arial" w:eastAsia="Arial" w:hAnsi="Arial"/>
          <w:sz w:val="12"/>
          <w:szCs w:val="12"/>
          <w:color w:val="auto"/>
        </w:rPr>
        <w:t>The Chairman of an annual meeting shall, if the facts warrant, determine and declare to the meeting that business was not properly brought before the meeting in accordance with the provisions of Section 2.1 and this Section 2.9, and if he should so determine he shall so declare to the meeting, and any such business not properly brought before the meeting shall not be transacted.</w:t>
      </w:r>
    </w:p>
    <w:p>
      <w:pPr>
        <w:spacing w:after="0" w:line="92" w:lineRule="exact"/>
        <w:rPr>
          <w:sz w:val="20"/>
          <w:szCs w:val="20"/>
          <w:color w:val="auto"/>
        </w:rPr>
      </w:pPr>
    </w:p>
    <w:p>
      <w:pPr>
        <w:ind w:right="440" w:firstLine="497"/>
        <w:spacing w:after="0" w:line="267" w:lineRule="auto"/>
        <w:rPr>
          <w:sz w:val="20"/>
          <w:szCs w:val="20"/>
          <w:color w:val="auto"/>
        </w:rPr>
      </w:pPr>
      <w:r>
        <w:rPr>
          <w:rFonts w:ascii="Arial" w:cs="Arial" w:eastAsia="Arial" w:hAnsi="Arial"/>
          <w:sz w:val="14"/>
          <w:szCs w:val="14"/>
          <w:color w:val="auto"/>
        </w:rPr>
        <w:t>Nothing in this Section 2.9 shall affect the right of a stockholder to request inclusion of a proposal in the corporation’s proxy statement or information statement to the extent that such right is provided by an applicable rule of the SEC.</w:t>
      </w:r>
    </w:p>
    <w:p>
      <w:pPr>
        <w:spacing w:after="0" w:line="135"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Section 2.10</w:t>
      </w:r>
      <w:r>
        <w:rPr>
          <w:sz w:val="20"/>
          <w:szCs w:val="20"/>
          <w:color w:val="auto"/>
        </w:rPr>
        <w:tab/>
      </w:r>
      <w:r>
        <w:rPr>
          <w:rFonts w:ascii="Arial" w:cs="Arial" w:eastAsia="Arial" w:hAnsi="Arial"/>
          <w:sz w:val="12"/>
          <w:szCs w:val="12"/>
          <w:b w:val="1"/>
          <w:bCs w:val="1"/>
          <w:color w:val="auto"/>
        </w:rPr>
        <w:t>Nominations of Persons for Election to the Board of Directors.</w:t>
      </w:r>
    </w:p>
    <w:p>
      <w:pPr>
        <w:spacing w:after="0" w:line="174" w:lineRule="exact"/>
        <w:rPr>
          <w:sz w:val="20"/>
          <w:szCs w:val="20"/>
          <w:color w:val="auto"/>
        </w:rPr>
      </w:pPr>
    </w:p>
    <w:p>
      <w:pPr>
        <w:ind w:firstLine="497"/>
        <w:spacing w:after="0" w:line="297" w:lineRule="auto"/>
        <w:rPr>
          <w:sz w:val="20"/>
          <w:szCs w:val="20"/>
          <w:color w:val="auto"/>
        </w:rPr>
      </w:pPr>
      <w:r>
        <w:rPr>
          <w:rFonts w:ascii="Arial" w:cs="Arial" w:eastAsia="Arial" w:hAnsi="Arial"/>
          <w:sz w:val="12"/>
          <w:szCs w:val="12"/>
          <w:color w:val="auto"/>
        </w:rPr>
        <w:t>In addition to any other applicable requirements, only persons who meet the qualifications set forth in Section 3.2 of these Bylaws and are nominated in accordance with the following procedures shall be eligible for election as directors. Nominations of persons for election to the Board of Directors of the corporation may be made by or at the direction of the Board of Directors, by any nominating committee or person appointed by the Board of Directors or by any stockholder of the corporation entitled to vote for the election of directors at the meeting who complies with the notice procedures set forth in this Section 2.10. Such nominations, other than those made by or at the direction of the Board of Directors, shall be made pursuant to timely notice in writing to the Secretary of the corporation, which shall be the exclusive means for a stockholder to make nominations whether or not the stockholder is seeking to have a proposal included in the corporation’s proxy statement or information statement under an applicable rule of the SEC, including, but not limited to, Regulation 14A or Regulation 14C under the Exchange Act. To be timely, a stockholder’s notice must be delivered to or mailed and received at the principal executive offices of the corporation, not less than 120 days prior to the date on which the corporation first mailed its proxy materials (or, in the absence of proxy materials, its notice of the meeting) for the previous year’s annual meeting of stockholders (or not later than the tenth day following the date on which the corporation mails the notice of meeting for the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481" w:right="219" w:bottom="1440" w:gutter="0" w:footer="0" w:header="0"/>
        </w:sectPr>
      </w:pPr>
    </w:p>
    <w:bookmarkStart w:id="167" w:name="page168"/>
    <w:bookmarkEnd w:id="167"/>
    <w:p>
      <w:pPr>
        <w:ind w:right="500"/>
        <w:spacing w:after="0" w:line="352" w:lineRule="auto"/>
        <w:rPr>
          <w:sz w:val="20"/>
          <w:szCs w:val="20"/>
          <w:color w:val="auto"/>
        </w:rPr>
      </w:pPr>
      <w:r>
        <w:rPr>
          <w:rFonts w:ascii="Arial" w:cs="Arial" w:eastAsia="Arial" w:hAnsi="Arial"/>
          <w:sz w:val="12"/>
          <w:szCs w:val="12"/>
          <w:color w:val="auto"/>
        </w:rPr>
        <w:t>current year if during the prior year the corporation did not hold an annual meeting or if the date of the annual meeting was changed more than 30 days from the prior year), or, in the case of a special meeting, not more than 90 days prior to such meeting nor less than the later of 70 days prior to such meeting or ten days following the day on which the date of such meeting was first announced.</w:t>
      </w:r>
    </w:p>
    <w:p>
      <w:pPr>
        <w:spacing w:after="0" w:line="92" w:lineRule="exact"/>
        <w:rPr>
          <w:sz w:val="20"/>
          <w:szCs w:val="20"/>
          <w:color w:val="auto"/>
        </w:rPr>
      </w:pPr>
    </w:p>
    <w:p>
      <w:pPr>
        <w:ind w:right="140" w:firstLine="497"/>
        <w:spacing w:after="0" w:line="268" w:lineRule="auto"/>
        <w:rPr>
          <w:sz w:val="20"/>
          <w:szCs w:val="20"/>
          <w:color w:val="auto"/>
        </w:rPr>
      </w:pPr>
      <w:r>
        <w:rPr>
          <w:rFonts w:ascii="Arial" w:cs="Arial" w:eastAsia="Arial" w:hAnsi="Arial"/>
          <w:sz w:val="13"/>
          <w:szCs w:val="13"/>
          <w:color w:val="auto"/>
        </w:rPr>
        <w:t>Such stockholder’s notice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the corporation which are beneficially owned by the person, and (iv) any other information relating to the person that is required to be disclosed in solicitations for proxies for election of directors pursuant to Regulation 14A under the Exchange Act; (b) as to the stockholder giving the notice, (i) the name and record address of the stockholder, and (ii) the class and number of shares of the corporation which are beneficially owned by the stockholder; (c) as to the stockholder giving the notice and any Stockholder Associated Person (as defined in Section 2.9), to the extent not set forth pursuant to the immediately preceding clause, whether and the extent to which any Relevant Hedge Transaction (as defined in Section 2.9) has been entered into, and (d) as to the stockholder giving the notice and any Stockholder Associated Person, (1) whether and the extent to which any Derivative Instrument (as defined in Section 2.9) is directly or indirectly beneficially owned, (2) any rights to dividends on the shares of the corporation owned beneficially by such stockholder that are separated or separable from the underlying shares of the corporation, (3) any proportionate interest in shares of the corporation or Derivative Instruments held, directly or indirectly, by a general or limited partnership in which such stockholder is a general partner or, directly or indirectly, beneficially owns an interest in a general partner and (4)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10 days after the record date for the meeting to disclose such ownership as of the record date). Such stockholder’s notice shall include, with respect to each nominee for election or reelection to the Board of Directors, a completed and signed questionnaire, representation and agreement as required by Section 2.12 of these Bylaws.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These provisions shall not apply to nomination of any persons entitled to be separately elected by holders of preferred stock.</w:t>
      </w:r>
    </w:p>
    <w:p>
      <w:pPr>
        <w:spacing w:after="0" w:line="145" w:lineRule="exact"/>
        <w:rPr>
          <w:sz w:val="20"/>
          <w:szCs w:val="20"/>
          <w:color w:val="auto"/>
        </w:rPr>
      </w:pPr>
    </w:p>
    <w:p>
      <w:pPr>
        <w:ind w:right="480" w:firstLine="497"/>
        <w:spacing w:after="0" w:line="267" w:lineRule="auto"/>
        <w:rPr>
          <w:sz w:val="20"/>
          <w:szCs w:val="20"/>
          <w:color w:val="auto"/>
        </w:rPr>
      </w:pPr>
      <w:r>
        <w:rPr>
          <w:rFonts w:ascii="Arial" w:cs="Arial" w:eastAsia="Arial" w:hAnsi="Arial"/>
          <w:sz w:val="14"/>
          <w:szCs w:val="14"/>
          <w:color w:val="auto"/>
        </w:rPr>
        <w:t>The Chairman of the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39" w:lineRule="exact"/>
        <w:rPr>
          <w:sz w:val="20"/>
          <w:szCs w:val="20"/>
          <w:color w:val="auto"/>
        </w:rPr>
      </w:pPr>
    </w:p>
    <w:p>
      <w:pPr>
        <w:ind w:right="40" w:firstLine="497"/>
        <w:spacing w:after="0" w:line="252" w:lineRule="auto"/>
        <w:rPr>
          <w:sz w:val="20"/>
          <w:szCs w:val="20"/>
          <w:color w:val="auto"/>
        </w:rPr>
      </w:pPr>
      <w:r>
        <w:rPr>
          <w:rFonts w:ascii="Arial" w:cs="Arial" w:eastAsia="Arial" w:hAnsi="Arial"/>
          <w:sz w:val="14"/>
          <w:szCs w:val="14"/>
          <w:color w:val="auto"/>
        </w:rPr>
        <w:t>The provisions of this Section 2.10 with respect to stockholder notices of intent to nominate a candidate for election to the Board of Directors shall not apply to a prospective nomination as to which a notice of intent for the stockholder to receive access to the form of proxy and proxy statement of the Board of Directors of the corporation is received in accordance with Exchange Act Rule 14a-11 to the extent, and only to the extent, that it is not feasible to comply with both requirements or the effectiveness of this Section 2.10 to such prospective nomination is as a matter of law superseded by Rule 14a-11. If notice is provided under Rule 14a-11 and the effectiveness of this Section 2.10 to a prospective nomination is superseded in part by Rule 14a-11, the notifying stockholder shall continue to comply with the requirements of this Section 2.10 that have not been superseded.</w:t>
      </w:r>
    </w:p>
    <w:p>
      <w:pPr>
        <w:spacing w:after="0" w:line="145"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Section 2.11</w:t>
      </w:r>
      <w:r>
        <w:rPr>
          <w:sz w:val="20"/>
          <w:szCs w:val="20"/>
          <w:color w:val="auto"/>
        </w:rPr>
        <w:tab/>
      </w:r>
      <w:r>
        <w:rPr>
          <w:rFonts w:ascii="Arial" w:cs="Arial" w:eastAsia="Arial" w:hAnsi="Arial"/>
          <w:sz w:val="12"/>
          <w:szCs w:val="12"/>
          <w:b w:val="1"/>
          <w:bCs w:val="1"/>
          <w:color w:val="auto"/>
        </w:rPr>
        <w:t>Action Without Meeting.</w:t>
      </w:r>
    </w:p>
    <w:p>
      <w:pPr>
        <w:spacing w:after="0" w:line="174" w:lineRule="exact"/>
        <w:rPr>
          <w:sz w:val="20"/>
          <w:szCs w:val="20"/>
          <w:color w:val="auto"/>
        </w:rPr>
      </w:pPr>
    </w:p>
    <w:p>
      <w:pPr>
        <w:ind w:right="320" w:firstLine="497"/>
        <w:spacing w:after="0" w:line="267" w:lineRule="auto"/>
        <w:rPr>
          <w:sz w:val="20"/>
          <w:szCs w:val="20"/>
          <w:color w:val="auto"/>
        </w:rPr>
      </w:pPr>
      <w:r>
        <w:rPr>
          <w:rFonts w:ascii="Arial" w:cs="Arial" w:eastAsia="Arial" w:hAnsi="Arial"/>
          <w:sz w:val="14"/>
          <w:szCs w:val="14"/>
          <w:color w:val="auto"/>
        </w:rPr>
        <w:t>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35"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Section 2.12</w:t>
      </w:r>
      <w:r>
        <w:rPr>
          <w:sz w:val="20"/>
          <w:szCs w:val="20"/>
          <w:color w:val="auto"/>
        </w:rPr>
        <w:tab/>
      </w:r>
      <w:r>
        <w:rPr>
          <w:rFonts w:ascii="Arial" w:cs="Arial" w:eastAsia="Arial" w:hAnsi="Arial"/>
          <w:sz w:val="12"/>
          <w:szCs w:val="12"/>
          <w:b w:val="1"/>
          <w:bCs w:val="1"/>
          <w:color w:val="auto"/>
        </w:rPr>
        <w:t>Submission of Questionnaire, Representation and Agreement.</w:t>
      </w:r>
    </w:p>
    <w:p>
      <w:pPr>
        <w:spacing w:after="0" w:line="174" w:lineRule="exact"/>
        <w:rPr>
          <w:sz w:val="20"/>
          <w:szCs w:val="20"/>
          <w:color w:val="auto"/>
        </w:rPr>
      </w:pPr>
    </w:p>
    <w:p>
      <w:pPr>
        <w:ind w:firstLine="497"/>
        <w:spacing w:after="0" w:line="252" w:lineRule="auto"/>
        <w:rPr>
          <w:sz w:val="20"/>
          <w:szCs w:val="20"/>
          <w:color w:val="auto"/>
        </w:rPr>
      </w:pPr>
      <w:r>
        <w:rPr>
          <w:rFonts w:ascii="Arial" w:cs="Arial" w:eastAsia="Arial" w:hAnsi="Arial"/>
          <w:sz w:val="14"/>
          <w:szCs w:val="14"/>
          <w:color w:val="auto"/>
        </w:rPr>
        <w:t>To be eligible to be a nominee for election or reelection to the Board of Directors, a person must deliver (in accordance with the time periods prescribed for delivery of notice under Section 2.10 of these Bylaws) to the Secretary, at the principal executive offices of the corporation, a written questionnaire with respect to the background and qualification of such person and the background of any other person or entity on whose behalf his nomination is being made (which questionnaire shall be provided by the Secretary upon written request), and a written representation and agreement (in the form provided by the Secretary upon written request) that such person (a) is not and will not become a party to any agreement, arrangement or understanding with, and has not given any commitment or assurance to, any person or entity as to how such person, if elected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481" w:right="219" w:bottom="1440" w:gutter="0" w:footer="0" w:header="0"/>
        </w:sectPr>
      </w:pPr>
    </w:p>
    <w:bookmarkStart w:id="168" w:name="page169"/>
    <w:bookmarkEnd w:id="168"/>
    <w:p>
      <w:pPr>
        <w:ind w:right="100"/>
        <w:spacing w:after="0" w:line="279" w:lineRule="auto"/>
        <w:rPr>
          <w:sz w:val="20"/>
          <w:szCs w:val="20"/>
          <w:color w:val="auto"/>
        </w:rPr>
      </w:pPr>
      <w:r>
        <w:rPr>
          <w:rFonts w:ascii="Arial" w:cs="Arial" w:eastAsia="Arial" w:hAnsi="Arial"/>
          <w:sz w:val="13"/>
          <w:szCs w:val="13"/>
          <w:color w:val="auto"/>
        </w:rPr>
        <w:t>as a director of the corporation, will act or vote on any issue or question that has not been disclosed to the corporation,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except to the extent specifically identified therein, would be in compliance, if elected as a director of the corporation, and will comply, with all applicable corporate governance, conflict of interest, confidentiality and trading policies and guidelines applicable to directors of the corporation publicly disclosed to the date of such representation.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Directors</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3.1</w:t>
      </w:r>
      <w:r>
        <w:rPr>
          <w:sz w:val="20"/>
          <w:szCs w:val="20"/>
          <w:color w:val="auto"/>
        </w:rPr>
        <w:tab/>
      </w:r>
      <w:r>
        <w:rPr>
          <w:rFonts w:ascii="Arial" w:cs="Arial" w:eastAsia="Arial" w:hAnsi="Arial"/>
          <w:sz w:val="12"/>
          <w:szCs w:val="12"/>
          <w:b w:val="1"/>
          <w:bCs w:val="1"/>
          <w:color w:val="auto"/>
        </w:rPr>
        <w:t>Number and Term of Office.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number of directors shall be fixed from time to time by the Board of Directors pursuant to a resolution adopted by a majority of the total number of directors then in office.</w:t>
      </w:r>
    </w:p>
    <w:p>
      <w:pPr>
        <w:spacing w:after="0" w:line="170" w:lineRule="exact"/>
        <w:rPr>
          <w:sz w:val="20"/>
          <w:szCs w:val="20"/>
          <w:color w:val="auto"/>
        </w:rPr>
      </w:pPr>
    </w:p>
    <w:p>
      <w:pPr>
        <w:ind w:right="120" w:firstLine="497"/>
        <w:spacing w:after="0" w:line="306" w:lineRule="auto"/>
        <w:rPr>
          <w:sz w:val="20"/>
          <w:szCs w:val="20"/>
          <w:color w:val="auto"/>
        </w:rPr>
      </w:pPr>
      <w:r>
        <w:rPr>
          <w:rFonts w:ascii="Arial" w:cs="Arial" w:eastAsia="Arial" w:hAnsi="Arial"/>
          <w:sz w:val="13"/>
          <w:szCs w:val="13"/>
          <w:color w:val="auto"/>
        </w:rPr>
        <w:t>Except as provided in Section 3.3 of this Article III, the directors shall be elected by a plurality vote of the shares represented in person or by proxy, at the stockholders annual meeting in each year and entitled to vote on the election of directors. Elected directors shall hold office until the next annual meeting and until their successors shall be duly elected and qualified.</w:t>
      </w:r>
    </w:p>
    <w:p>
      <w:pPr>
        <w:spacing w:after="0" w:line="112"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3.2</w:t>
      </w:r>
      <w:r>
        <w:rPr>
          <w:sz w:val="20"/>
          <w:szCs w:val="20"/>
          <w:color w:val="auto"/>
        </w:rPr>
        <w:tab/>
      </w:r>
      <w:r>
        <w:rPr>
          <w:rFonts w:ascii="Arial" w:cs="Arial" w:eastAsia="Arial" w:hAnsi="Arial"/>
          <w:sz w:val="12"/>
          <w:szCs w:val="12"/>
          <w:b w:val="1"/>
          <w:bCs w:val="1"/>
          <w:color w:val="auto"/>
        </w:rPr>
        <w:t>Powers of the Board of Directors and Director Qualifications.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powers of the corporation shall be exercised, its business conducted and its property controlled by or under the direction of the Board of Directors.</w:t>
      </w:r>
    </w:p>
    <w:p>
      <w:pPr>
        <w:spacing w:after="0" w:line="170" w:lineRule="exact"/>
        <w:rPr>
          <w:sz w:val="20"/>
          <w:szCs w:val="20"/>
          <w:color w:val="auto"/>
        </w:rPr>
      </w:pPr>
    </w:p>
    <w:p>
      <w:pPr>
        <w:ind w:right="20" w:firstLine="497"/>
        <w:spacing w:after="0" w:line="251" w:lineRule="auto"/>
        <w:rPr>
          <w:sz w:val="20"/>
          <w:szCs w:val="20"/>
          <w:color w:val="auto"/>
        </w:rPr>
      </w:pPr>
      <w:r>
        <w:rPr>
          <w:rFonts w:ascii="Arial" w:cs="Arial" w:eastAsia="Arial" w:hAnsi="Arial"/>
          <w:sz w:val="14"/>
          <w:szCs w:val="14"/>
          <w:color w:val="auto"/>
        </w:rPr>
        <w:t>To be eligible for election or appointment to the Board of Directors, an individual must (a) be at least 21 years of age, (b) have the ability to be present, in person, at all regular and special meetings of the Board of Directors, and (c) either (i) have substantial relevant experience in the national defense and security industry or (ii) have, or be able to obtain, a U.S. government issued security clearance relevant to the business of the corporation. In addition to the foregoing, no person shall be eligible for election or appointment to the Board of Directors if such person has been convicted of a crime involving dishonesty or breach of trust or if such person is currently charged with the commission of or participation in such a crime. Directors need not be stockholders. Any individual that is deteremined by the nominating committee of the Board of Directors to have met all of the qualifications set forth in this Section 3.2, shall be be deemed to be so qualified as a director of the corporation for all purposes under these Bylaws.</w:t>
      </w:r>
    </w:p>
    <w:p>
      <w:pPr>
        <w:spacing w:after="0" w:line="14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3.3</w:t>
      </w:r>
      <w:r>
        <w:rPr>
          <w:sz w:val="20"/>
          <w:szCs w:val="20"/>
          <w:color w:val="auto"/>
        </w:rPr>
        <w:tab/>
      </w:r>
      <w:r>
        <w:rPr>
          <w:rFonts w:ascii="Arial" w:cs="Arial" w:eastAsia="Arial" w:hAnsi="Arial"/>
          <w:sz w:val="10"/>
          <w:szCs w:val="10"/>
          <w:b w:val="1"/>
          <w:bCs w:val="1"/>
          <w:color w:val="auto"/>
        </w:rPr>
        <w:t>Vacancies.</w:t>
      </w:r>
    </w:p>
    <w:p>
      <w:pPr>
        <w:spacing w:after="0" w:line="174" w:lineRule="exact"/>
        <w:rPr>
          <w:sz w:val="20"/>
          <w:szCs w:val="20"/>
          <w:color w:val="auto"/>
        </w:rPr>
      </w:pPr>
    </w:p>
    <w:p>
      <w:pPr>
        <w:ind w:firstLine="497"/>
        <w:spacing w:after="0" w:line="309" w:lineRule="auto"/>
        <w:rPr>
          <w:sz w:val="20"/>
          <w:szCs w:val="20"/>
          <w:color w:val="auto"/>
        </w:rPr>
      </w:pPr>
      <w:r>
        <w:rPr>
          <w:rFonts w:ascii="Arial" w:cs="Arial" w:eastAsia="Arial" w:hAnsi="Arial"/>
          <w:sz w:val="12"/>
          <w:szCs w:val="12"/>
          <w:color w:val="auto"/>
        </w:rPr>
        <w:t>Vacancies and newly created directorships resulting from any increase in the authorized number of directors may be filled by a majority of the directors then in office, although less than a quorum, or by a sole remaining director, and each director so elected shall hold office for the unexpired portion of the term of the director whose place shall be vacant and until his successor shall have been duly elected and qualified. A vacancy in the Board of Directors shall be deemed to exist under this section in the case of the death, removal or resignation of any director, or if the stockholders fail at any meeting of stockholders at which directors are to be elected (including any meeting referred to in Section 3.4 below) to elect the number of directors then constituting the whole Board.</w:t>
      </w:r>
    </w:p>
    <w:p>
      <w:pPr>
        <w:spacing w:after="0" w:line="11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3.4</w:t>
      </w:r>
      <w:r>
        <w:rPr>
          <w:sz w:val="20"/>
          <w:szCs w:val="20"/>
          <w:color w:val="auto"/>
        </w:rPr>
        <w:tab/>
      </w:r>
      <w:r>
        <w:rPr>
          <w:rFonts w:ascii="Arial" w:cs="Arial" w:eastAsia="Arial" w:hAnsi="Arial"/>
          <w:sz w:val="12"/>
          <w:szCs w:val="12"/>
          <w:b w:val="1"/>
          <w:bCs w:val="1"/>
          <w:color w:val="auto"/>
        </w:rPr>
        <w:t>Resignations and Removals.</w:t>
      </w:r>
    </w:p>
    <w:p>
      <w:pPr>
        <w:spacing w:after="0" w:line="174" w:lineRule="exact"/>
        <w:rPr>
          <w:sz w:val="20"/>
          <w:szCs w:val="20"/>
          <w:color w:val="auto"/>
        </w:rPr>
      </w:pPr>
    </w:p>
    <w:p>
      <w:pPr>
        <w:ind w:right="80" w:firstLine="500"/>
        <w:spacing w:after="0" w:line="252" w:lineRule="auto"/>
        <w:tabs>
          <w:tab w:leader="none" w:pos="781"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Any director may resign at any time by delivering his resignation to the Secretary in writing or by electronic transmission,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481" w:right="239" w:bottom="1440" w:gutter="0" w:footer="0" w:header="0"/>
        </w:sectPr>
      </w:pPr>
    </w:p>
    <w:bookmarkStart w:id="169" w:name="page170"/>
    <w:bookmarkEnd w:id="169"/>
    <w:p>
      <w:pPr>
        <w:ind w:right="120" w:firstLine="500"/>
        <w:spacing w:after="0" w:line="267" w:lineRule="auto"/>
        <w:tabs>
          <w:tab w:leader="none" w:pos="78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At a special meeting of stockholders called for the purpose in the manner hereinabove provided, the Board of Directors or any individual director may be removed from office, with or without cause, and a new director or directors elected by a vote of stockholders holding a majority of the outstanding shares entitled to vote at an election of directors.</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3.5</w:t>
      </w:r>
      <w:r>
        <w:rPr>
          <w:sz w:val="20"/>
          <w:szCs w:val="20"/>
          <w:color w:val="auto"/>
        </w:rPr>
        <w:tab/>
      </w:r>
      <w:r>
        <w:rPr>
          <w:rFonts w:ascii="Arial" w:cs="Arial" w:eastAsia="Arial" w:hAnsi="Arial"/>
          <w:sz w:val="12"/>
          <w:szCs w:val="12"/>
          <w:b w:val="1"/>
          <w:bCs w:val="1"/>
          <w:color w:val="auto"/>
        </w:rPr>
        <w:t>Meetings.</w:t>
      </w:r>
    </w:p>
    <w:p>
      <w:pPr>
        <w:spacing w:after="0" w:line="174" w:lineRule="exact"/>
        <w:rPr>
          <w:sz w:val="20"/>
          <w:szCs w:val="20"/>
          <w:color w:val="auto"/>
        </w:rPr>
      </w:pPr>
    </w:p>
    <w:p>
      <w:pPr>
        <w:ind w:right="80" w:firstLine="500"/>
        <w:spacing w:after="0" w:line="257" w:lineRule="auto"/>
        <w:tabs>
          <w:tab w:leader="none" w:pos="78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annual meeting of the Board of Directors shall be held immediately after the annual stockholders’ meeting and at the place where such meeting is held or at the place announced by the Chairman at such meeting. No notice of an annual meeting of the Board of Directors shall be necessary, and such meeting shall be held for the purpose of electing officers and transacting such other business as may lawfully come before it.</w:t>
      </w:r>
    </w:p>
    <w:p>
      <w:pPr>
        <w:spacing w:after="0" w:line="145" w:lineRule="exact"/>
        <w:rPr>
          <w:rFonts w:ascii="Arial" w:cs="Arial" w:eastAsia="Arial" w:hAnsi="Arial"/>
          <w:sz w:val="14"/>
          <w:szCs w:val="14"/>
          <w:color w:val="auto"/>
        </w:rPr>
      </w:pPr>
    </w:p>
    <w:p>
      <w:pPr>
        <w:jc w:val="both"/>
        <w:ind w:right="120" w:firstLine="500"/>
        <w:spacing w:after="0" w:line="257" w:lineRule="auto"/>
        <w:tabs>
          <w:tab w:leader="none" w:pos="79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Except as hereinafter otherwise provided, regular meetings of the Board of Directors shall be held in the office of the corporation required to be maintained pursuant to Section 1.2 of Article I hereof. Regular meetings of the Board of Directors may also be held at any place, within or without the State of Delaware, which has been designated by resolutions of the Board of Directors or the written consent of all directors.</w:t>
      </w:r>
    </w:p>
    <w:p>
      <w:pPr>
        <w:spacing w:after="0" w:line="145" w:lineRule="exact"/>
        <w:rPr>
          <w:rFonts w:ascii="Arial" w:cs="Arial" w:eastAsia="Arial" w:hAnsi="Arial"/>
          <w:sz w:val="14"/>
          <w:szCs w:val="14"/>
          <w:color w:val="auto"/>
        </w:rPr>
      </w:pPr>
    </w:p>
    <w:p>
      <w:pPr>
        <w:ind w:right="80" w:firstLine="500"/>
        <w:spacing w:after="0" w:line="267" w:lineRule="auto"/>
        <w:tabs>
          <w:tab w:leader="none" w:pos="78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Special meetings of the Board of Directors may be held at any time and place within or without the State of Delaware whenever called by the Chairman of the Board or, if there is no Chairman of the Board, by the Chief Executive Officer, or by any of the directors.</w:t>
      </w:r>
    </w:p>
    <w:p>
      <w:pPr>
        <w:spacing w:after="0" w:line="138" w:lineRule="exact"/>
        <w:rPr>
          <w:rFonts w:ascii="Arial" w:cs="Arial" w:eastAsia="Arial" w:hAnsi="Arial"/>
          <w:sz w:val="14"/>
          <w:szCs w:val="14"/>
          <w:color w:val="auto"/>
        </w:rPr>
      </w:pPr>
    </w:p>
    <w:p>
      <w:pPr>
        <w:jc w:val="both"/>
        <w:ind w:firstLine="500"/>
        <w:spacing w:after="0" w:line="257" w:lineRule="auto"/>
        <w:tabs>
          <w:tab w:leader="none" w:pos="793" w:val="left"/>
        </w:tabs>
        <w:numPr>
          <w:ilvl w:val="0"/>
          <w:numId w:val="116"/>
        </w:numPr>
        <w:rPr>
          <w:rFonts w:ascii="Arial" w:cs="Arial" w:eastAsia="Arial" w:hAnsi="Arial"/>
          <w:sz w:val="14"/>
          <w:szCs w:val="14"/>
          <w:color w:val="auto"/>
        </w:rPr>
      </w:pPr>
      <w:r>
        <w:rPr>
          <w:rFonts w:ascii="Arial" w:cs="Arial" w:eastAsia="Arial" w:hAnsi="Arial"/>
          <w:sz w:val="14"/>
          <w:szCs w:val="14"/>
          <w:color w:val="auto"/>
        </w:rPr>
        <w:t>Written notice of the time and place of all regular and special meetings of the Board of Directors shall be delivered personally to each director or sent by facsimile transmission or other form of electronic transmission at least 24 hours before the start of the meeting, or sent by first class mail at least 120 hours before the start of the meeting. Notice of any meeting may be waived in writing at any time before or after the meeting and will be waived by any director by attendance thereat.</w:t>
      </w:r>
    </w:p>
    <w:p>
      <w:pPr>
        <w:spacing w:after="0" w:line="14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3.6</w:t>
      </w:r>
      <w:r>
        <w:rPr>
          <w:sz w:val="20"/>
          <w:szCs w:val="20"/>
          <w:color w:val="auto"/>
        </w:rPr>
        <w:tab/>
      </w:r>
      <w:r>
        <w:rPr>
          <w:rFonts w:ascii="Arial" w:cs="Arial" w:eastAsia="Arial" w:hAnsi="Arial"/>
          <w:sz w:val="12"/>
          <w:szCs w:val="12"/>
          <w:b w:val="1"/>
          <w:bCs w:val="1"/>
          <w:color w:val="auto"/>
        </w:rPr>
        <w:t>Quorum and Voting.</w:t>
      </w:r>
    </w:p>
    <w:p>
      <w:pPr>
        <w:spacing w:after="0" w:line="174" w:lineRule="exact"/>
        <w:rPr>
          <w:sz w:val="20"/>
          <w:szCs w:val="20"/>
          <w:color w:val="auto"/>
        </w:rPr>
      </w:pPr>
    </w:p>
    <w:p>
      <w:pPr>
        <w:ind w:right="120" w:firstLine="500"/>
        <w:spacing w:after="0" w:line="257" w:lineRule="auto"/>
        <w:tabs>
          <w:tab w:leader="none" w:pos="781"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 quorum of the Board of Directors shall consist of a majority of the total number of directors then in office, but not less than one;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45" w:lineRule="exact"/>
        <w:rPr>
          <w:rFonts w:ascii="Arial" w:cs="Arial" w:eastAsia="Arial" w:hAnsi="Arial"/>
          <w:sz w:val="14"/>
          <w:szCs w:val="14"/>
          <w:color w:val="auto"/>
        </w:rPr>
      </w:pPr>
    </w:p>
    <w:p>
      <w:pPr>
        <w:ind w:right="100" w:firstLine="500"/>
        <w:spacing w:after="0" w:line="267" w:lineRule="auto"/>
        <w:tabs>
          <w:tab w:leader="none" w:pos="788"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At each meeting of the Board at which a quorum is present, all questions and business shall be determined by a vote of a majority of the directors present, unless a different vote be required by law, the Certificate of Incorporation, or these Bylaws.</w:t>
      </w:r>
    </w:p>
    <w:p>
      <w:pPr>
        <w:spacing w:after="0" w:line="138" w:lineRule="exact"/>
        <w:rPr>
          <w:rFonts w:ascii="Arial" w:cs="Arial" w:eastAsia="Arial" w:hAnsi="Arial"/>
          <w:sz w:val="14"/>
          <w:szCs w:val="14"/>
          <w:color w:val="auto"/>
        </w:rPr>
      </w:pPr>
    </w:p>
    <w:p>
      <w:pPr>
        <w:ind w:right="140" w:firstLine="500"/>
        <w:spacing w:after="0" w:line="267" w:lineRule="auto"/>
        <w:tabs>
          <w:tab w:leader="none" w:pos="781"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member of the Board of Directors, or of any committee thereof, may participate in a meeting by means of conference telephone or other communication equipment by means of which all persons participating in the meeting can hear each other, and participation in a meeting by such means shall constitute presence in person at such meeting.</w:t>
      </w:r>
    </w:p>
    <w:p>
      <w:pPr>
        <w:spacing w:after="0" w:line="138" w:lineRule="exact"/>
        <w:rPr>
          <w:rFonts w:ascii="Arial" w:cs="Arial" w:eastAsia="Arial" w:hAnsi="Arial"/>
          <w:sz w:val="14"/>
          <w:szCs w:val="14"/>
          <w:color w:val="auto"/>
        </w:rPr>
      </w:pPr>
    </w:p>
    <w:p>
      <w:pPr>
        <w:ind w:right="200" w:firstLine="500"/>
        <w:spacing w:after="0" w:line="286" w:lineRule="auto"/>
        <w:tabs>
          <w:tab w:leader="none" w:pos="79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transactions of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or a consent to holding such meeting, or an approval of the minutes thereof. All such waivers, consents or approvals shall be filed with the corporate records or made a part of the minutes of the meeting.</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3.7</w:t>
      </w:r>
      <w:r>
        <w:rPr>
          <w:sz w:val="20"/>
          <w:szCs w:val="20"/>
          <w:color w:val="auto"/>
        </w:rPr>
        <w:tab/>
      </w:r>
      <w:r>
        <w:rPr>
          <w:rFonts w:ascii="Arial" w:cs="Arial" w:eastAsia="Arial" w:hAnsi="Arial"/>
          <w:sz w:val="12"/>
          <w:szCs w:val="12"/>
          <w:b w:val="1"/>
          <w:bCs w:val="1"/>
          <w:color w:val="auto"/>
        </w:rPr>
        <w:t>Action Without Meeting.</w:t>
      </w:r>
    </w:p>
    <w:p>
      <w:pPr>
        <w:spacing w:after="0" w:line="174" w:lineRule="exact"/>
        <w:rPr>
          <w:sz w:val="20"/>
          <w:szCs w:val="20"/>
          <w:color w:val="auto"/>
        </w:rPr>
      </w:pPr>
    </w:p>
    <w:p>
      <w:pPr>
        <w:ind w:right="40" w:firstLine="497"/>
        <w:spacing w:after="0" w:line="286" w:lineRule="auto"/>
        <w:rPr>
          <w:sz w:val="20"/>
          <w:szCs w:val="20"/>
          <w:color w:val="auto"/>
        </w:rPr>
      </w:pPr>
      <w:r>
        <w:rPr>
          <w:rFonts w:ascii="Arial" w:cs="Arial" w:eastAsia="Arial" w:hAnsi="Arial"/>
          <w:sz w:val="13"/>
          <w:szCs w:val="13"/>
          <w:color w:val="auto"/>
        </w:rPr>
        <w:t>Any action required or permitted to be taken at any meeting of the Board of Directors or of any committee thereof may be taken without a meeting, if all members of the Board or of such committee, as the case may be, consent thereto in writing or by electronic transmission, and such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3.8</w:t>
      </w:r>
      <w:r>
        <w:rPr>
          <w:sz w:val="20"/>
          <w:szCs w:val="20"/>
          <w:color w:val="auto"/>
        </w:rPr>
        <w:tab/>
      </w:r>
      <w:r>
        <w:rPr>
          <w:rFonts w:ascii="Arial" w:cs="Arial" w:eastAsia="Arial" w:hAnsi="Arial"/>
          <w:sz w:val="12"/>
          <w:szCs w:val="12"/>
          <w:b w:val="1"/>
          <w:bCs w:val="1"/>
          <w:color w:val="auto"/>
        </w:rPr>
        <w:t>Fees and Compensation.</w:t>
      </w:r>
    </w:p>
    <w:p>
      <w:pPr>
        <w:spacing w:after="0" w:line="174" w:lineRule="exact"/>
        <w:rPr>
          <w:sz w:val="20"/>
          <w:szCs w:val="20"/>
          <w:color w:val="auto"/>
        </w:rPr>
      </w:pPr>
    </w:p>
    <w:p>
      <w:pPr>
        <w:ind w:right="160" w:firstLine="497"/>
        <w:spacing w:after="0" w:line="267" w:lineRule="auto"/>
        <w:rPr>
          <w:sz w:val="20"/>
          <w:szCs w:val="20"/>
          <w:color w:val="auto"/>
        </w:rPr>
      </w:pPr>
      <w:r>
        <w:rPr>
          <w:rFonts w:ascii="Arial" w:cs="Arial" w:eastAsia="Arial" w:hAnsi="Arial"/>
          <w:sz w:val="14"/>
          <w:szCs w:val="14"/>
          <w:color w:val="auto"/>
        </w:rPr>
        <w:t>Directors and members of committees may receive such compensation, if any, for their services, and such reimbursement for expenses, as may be fixed or determined by resolution of the Board of Directors.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481" w:right="219" w:bottom="1440" w:gutter="0" w:footer="0" w:header="0"/>
        </w:sectPr>
      </w:pPr>
    </w:p>
    <w:bookmarkStart w:id="170" w:name="page171"/>
    <w:bookmarkEnd w:id="170"/>
    <w:p>
      <w:pPr>
        <w:spacing w:after="0"/>
        <w:tabs>
          <w:tab w:leader="none" w:pos="760" w:val="left"/>
        </w:tabs>
        <w:rPr>
          <w:sz w:val="20"/>
          <w:szCs w:val="20"/>
          <w:color w:val="auto"/>
        </w:rPr>
      </w:pPr>
      <w:r>
        <w:rPr>
          <w:rFonts w:ascii="Arial" w:cs="Arial" w:eastAsia="Arial" w:hAnsi="Arial"/>
          <w:sz w:val="14"/>
          <w:szCs w:val="14"/>
          <w:b w:val="1"/>
          <w:bCs w:val="1"/>
          <w:color w:val="auto"/>
        </w:rPr>
        <w:t>Section 3.9</w:t>
      </w:r>
      <w:r>
        <w:rPr>
          <w:sz w:val="20"/>
          <w:szCs w:val="20"/>
          <w:color w:val="auto"/>
        </w:rPr>
        <w:tab/>
      </w:r>
      <w:r>
        <w:rPr>
          <w:rFonts w:ascii="Arial" w:cs="Arial" w:eastAsia="Arial" w:hAnsi="Arial"/>
          <w:sz w:val="12"/>
          <w:szCs w:val="12"/>
          <w:b w:val="1"/>
          <w:bCs w:val="1"/>
          <w:color w:val="auto"/>
        </w:rPr>
        <w:t>Committees.</w:t>
      </w:r>
    </w:p>
    <w:p>
      <w:pPr>
        <w:spacing w:after="0" w:line="170" w:lineRule="exact"/>
        <w:rPr>
          <w:sz w:val="20"/>
          <w:szCs w:val="20"/>
          <w:color w:val="auto"/>
        </w:rPr>
      </w:pPr>
    </w:p>
    <w:p>
      <w:pPr>
        <w:ind w:right="80" w:firstLine="500"/>
        <w:spacing w:after="0" w:line="255" w:lineRule="auto"/>
        <w:tabs>
          <w:tab w:leader="none" w:pos="788" w:val="left"/>
        </w:tabs>
        <w:numPr>
          <w:ilvl w:val="0"/>
          <w:numId w:val="118"/>
        </w:numPr>
        <w:rPr>
          <w:rFonts w:ascii="Arial" w:cs="Arial" w:eastAsia="Arial" w:hAnsi="Arial"/>
          <w:sz w:val="14"/>
          <w:szCs w:val="14"/>
          <w:color w:val="auto"/>
        </w:rPr>
      </w:pPr>
      <w:r>
        <w:rPr>
          <w:rFonts w:ascii="Arial" w:cs="Arial" w:eastAsia="Arial" w:hAnsi="Arial"/>
          <w:sz w:val="14"/>
          <w:szCs w:val="14"/>
          <w:b w:val="1"/>
          <w:bCs w:val="1"/>
          <w:color w:val="auto"/>
        </w:rPr>
        <w:t>Executive Committee</w:t>
      </w:r>
      <w:r>
        <w:rPr>
          <w:rFonts w:ascii="Arial" w:cs="Arial" w:eastAsia="Arial" w:hAnsi="Arial"/>
          <w:sz w:val="14"/>
          <w:szCs w:val="14"/>
          <w:color w:val="auto"/>
        </w:rPr>
        <w:t>: The Board of Directors may appoint an Executive Committee of not less than one member, each of whom shall be a director. The Executive Committee, to the extent</w:t>
      </w:r>
      <w:r>
        <w:rPr>
          <w:rFonts w:ascii="Arial" w:cs="Arial" w:eastAsia="Arial" w:hAnsi="Arial"/>
          <w:sz w:val="14"/>
          <w:szCs w:val="14"/>
          <w:b w:val="1"/>
          <w:bCs w:val="1"/>
          <w:color w:val="auto"/>
        </w:rPr>
        <w:t xml:space="preserve"> </w:t>
      </w:r>
      <w:r>
        <w:rPr>
          <w:rFonts w:ascii="Arial" w:cs="Arial" w:eastAsia="Arial" w:hAnsi="Arial"/>
          <w:sz w:val="14"/>
          <w:szCs w:val="14"/>
          <w:color w:val="auto"/>
        </w:rPr>
        <w:t>permitted by law, shall have and may exercise when the Board of Directors is not in session all powers of the Board in the management of the business and affairs of the corporation, except such committee shall not have the power or authority to amend these Bylaws or to approve or recommend to the stockholders any action which must be submitted to stockholders for approval under the General Corporation Law.</w:t>
      </w:r>
    </w:p>
    <w:p>
      <w:pPr>
        <w:spacing w:after="0" w:line="144" w:lineRule="exact"/>
        <w:rPr>
          <w:rFonts w:ascii="Arial" w:cs="Arial" w:eastAsia="Arial" w:hAnsi="Arial"/>
          <w:sz w:val="14"/>
          <w:szCs w:val="14"/>
          <w:color w:val="auto"/>
        </w:rPr>
      </w:pPr>
    </w:p>
    <w:p>
      <w:pPr>
        <w:ind w:firstLine="500"/>
        <w:spacing w:after="0" w:line="260" w:lineRule="auto"/>
        <w:tabs>
          <w:tab w:leader="none" w:pos="796" w:val="left"/>
        </w:tabs>
        <w:numPr>
          <w:ilvl w:val="0"/>
          <w:numId w:val="118"/>
        </w:numPr>
        <w:rPr>
          <w:rFonts w:ascii="Arial" w:cs="Arial" w:eastAsia="Arial" w:hAnsi="Arial"/>
          <w:sz w:val="14"/>
          <w:szCs w:val="14"/>
          <w:color w:val="auto"/>
        </w:rPr>
      </w:pPr>
      <w:r>
        <w:rPr>
          <w:rFonts w:ascii="Arial" w:cs="Arial" w:eastAsia="Arial" w:hAnsi="Arial"/>
          <w:sz w:val="14"/>
          <w:szCs w:val="14"/>
          <w:b w:val="1"/>
          <w:bCs w:val="1"/>
          <w:color w:val="auto"/>
        </w:rPr>
        <w:t>Other Committees</w:t>
      </w:r>
      <w:r>
        <w:rPr>
          <w:rFonts w:ascii="Arial" w:cs="Arial" w:eastAsia="Arial" w:hAnsi="Arial"/>
          <w:sz w:val="14"/>
          <w:szCs w:val="14"/>
          <w:color w:val="auto"/>
        </w:rPr>
        <w:t>: The Board of Directors may from time to time appoint such other committees as may be permitted by law. Such other committees appointed by the Board of Directors shall</w:t>
      </w:r>
      <w:r>
        <w:rPr>
          <w:rFonts w:ascii="Arial" w:cs="Arial" w:eastAsia="Arial" w:hAnsi="Arial"/>
          <w:sz w:val="14"/>
          <w:szCs w:val="14"/>
          <w:b w:val="1"/>
          <w:bCs w:val="1"/>
          <w:color w:val="auto"/>
        </w:rPr>
        <w:t xml:space="preserve"> </w:t>
      </w:r>
      <w:r>
        <w:rPr>
          <w:rFonts w:ascii="Arial" w:cs="Arial" w:eastAsia="Arial" w:hAnsi="Arial"/>
          <w:sz w:val="14"/>
          <w:szCs w:val="14"/>
          <w:color w:val="auto"/>
        </w:rPr>
        <w:t>have such powers and perform such duties as may be prescribed by the resolution or resolutions creating such committee, but in no event shall any such committee have the powers denied to the Executive Committee in these Bylaws.</w:t>
      </w:r>
    </w:p>
    <w:p>
      <w:pPr>
        <w:spacing w:after="0" w:line="139" w:lineRule="exact"/>
        <w:rPr>
          <w:rFonts w:ascii="Arial" w:cs="Arial" w:eastAsia="Arial" w:hAnsi="Arial"/>
          <w:sz w:val="14"/>
          <w:szCs w:val="14"/>
          <w:color w:val="auto"/>
        </w:rPr>
      </w:pPr>
    </w:p>
    <w:p>
      <w:pPr>
        <w:ind w:right="80" w:firstLine="500"/>
        <w:spacing w:after="0" w:line="250" w:lineRule="auto"/>
        <w:tabs>
          <w:tab w:leader="none" w:pos="788" w:val="left"/>
        </w:tabs>
        <w:numPr>
          <w:ilvl w:val="0"/>
          <w:numId w:val="118"/>
        </w:numPr>
        <w:rPr>
          <w:rFonts w:ascii="Arial" w:cs="Arial" w:eastAsia="Arial" w:hAnsi="Arial"/>
          <w:sz w:val="14"/>
          <w:szCs w:val="14"/>
          <w:color w:val="auto"/>
        </w:rPr>
      </w:pPr>
      <w:r>
        <w:rPr>
          <w:rFonts w:ascii="Arial" w:cs="Arial" w:eastAsia="Arial" w:hAnsi="Arial"/>
          <w:sz w:val="14"/>
          <w:szCs w:val="14"/>
          <w:b w:val="1"/>
          <w:bCs w:val="1"/>
          <w:color w:val="auto"/>
        </w:rPr>
        <w:t>Term</w:t>
      </w:r>
      <w:r>
        <w:rPr>
          <w:rFonts w:ascii="Arial" w:cs="Arial" w:eastAsia="Arial" w:hAnsi="Arial"/>
          <w:sz w:val="14"/>
          <w:szCs w:val="14"/>
          <w:color w:val="auto"/>
        </w:rPr>
        <w:t>: The terms of members of all committees of the Board of Directors shall expire on the date of the next annual meeting of the Board of Directors following their appointment; 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that they shall continue in office until their successors are appointed. The Board, subject to the provisions of subsections (a) or (b) of this Section 3.9, may at any time increase or decrease the number of members of a committee or terminate the existence of a committee; provided that no committee shall consist of less than one member. The membership of a committee member shall terminate on the date of his death or voluntary resignation, but the Board may at any time for any reason remove any individual committee member and the Board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49" w:lineRule="exact"/>
        <w:rPr>
          <w:rFonts w:ascii="Arial" w:cs="Arial" w:eastAsia="Arial" w:hAnsi="Arial"/>
          <w:sz w:val="14"/>
          <w:szCs w:val="14"/>
          <w:color w:val="auto"/>
        </w:rPr>
      </w:pPr>
    </w:p>
    <w:p>
      <w:pPr>
        <w:ind w:firstLine="500"/>
        <w:spacing w:after="0" w:line="272" w:lineRule="auto"/>
        <w:tabs>
          <w:tab w:leader="none" w:pos="796" w:val="left"/>
        </w:tabs>
        <w:numPr>
          <w:ilvl w:val="0"/>
          <w:numId w:val="118"/>
        </w:numPr>
        <w:rPr>
          <w:rFonts w:ascii="Arial" w:cs="Arial" w:eastAsia="Arial" w:hAnsi="Arial"/>
          <w:sz w:val="13"/>
          <w:szCs w:val="13"/>
          <w:color w:val="auto"/>
        </w:rPr>
      </w:pPr>
      <w:r>
        <w:rPr>
          <w:rFonts w:ascii="Arial" w:cs="Arial" w:eastAsia="Arial" w:hAnsi="Arial"/>
          <w:sz w:val="13"/>
          <w:szCs w:val="13"/>
          <w:b w:val="1"/>
          <w:bCs w:val="1"/>
          <w:color w:val="auto"/>
        </w:rPr>
        <w:t>Meetings</w:t>
      </w:r>
      <w:r>
        <w:rPr>
          <w:rFonts w:ascii="Arial" w:cs="Arial" w:eastAsia="Arial" w:hAnsi="Arial"/>
          <w:sz w:val="13"/>
          <w:szCs w:val="13"/>
          <w:color w:val="auto"/>
        </w:rPr>
        <w:t>: Unless the Board of Directors shall otherwise provide, regular meetings of the Executive Committee or any other committee appointed pursuant to this Section 3.9 shall be held at</w:t>
      </w:r>
      <w:r>
        <w:rPr>
          <w:rFonts w:ascii="Arial" w:cs="Arial" w:eastAsia="Arial" w:hAnsi="Arial"/>
          <w:sz w:val="13"/>
          <w:szCs w:val="13"/>
          <w:b w:val="1"/>
          <w:bCs w:val="1"/>
          <w:color w:val="auto"/>
        </w:rPr>
        <w:t xml:space="preserve"> </w:t>
      </w:r>
      <w:r>
        <w:rPr>
          <w:rFonts w:ascii="Arial" w:cs="Arial" w:eastAsia="Arial" w:hAnsi="Arial"/>
          <w:sz w:val="13"/>
          <w:szCs w:val="13"/>
          <w:color w:val="auto"/>
        </w:rPr>
        <w:t>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the principal office of the corporation required to be maintained pursuant to Section 1.2 of Article I hereof; or at any place which has been designated from time to time by resolution of such committee or by written consent of all members thereof,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after the meeting and will be waived by any director by attendance thereat.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36"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Section 3.10</w:t>
      </w:r>
      <w:r>
        <w:rPr>
          <w:sz w:val="20"/>
          <w:szCs w:val="20"/>
          <w:color w:val="auto"/>
        </w:rPr>
        <w:tab/>
      </w:r>
      <w:r>
        <w:rPr>
          <w:rFonts w:ascii="Arial" w:cs="Arial" w:eastAsia="Arial" w:hAnsi="Arial"/>
          <w:sz w:val="12"/>
          <w:szCs w:val="12"/>
          <w:b w:val="1"/>
          <w:bCs w:val="1"/>
          <w:color w:val="auto"/>
        </w:rPr>
        <w:t>Service on other Boards.</w:t>
      </w:r>
    </w:p>
    <w:p>
      <w:pPr>
        <w:spacing w:after="0" w:line="174" w:lineRule="exact"/>
        <w:rPr>
          <w:sz w:val="20"/>
          <w:szCs w:val="20"/>
          <w:color w:val="auto"/>
        </w:rPr>
      </w:pPr>
    </w:p>
    <w:p>
      <w:pPr>
        <w:ind w:right="220" w:firstLine="497"/>
        <w:spacing w:after="0" w:line="267" w:lineRule="auto"/>
        <w:rPr>
          <w:sz w:val="20"/>
          <w:szCs w:val="20"/>
          <w:color w:val="auto"/>
        </w:rPr>
      </w:pPr>
      <w:r>
        <w:rPr>
          <w:rFonts w:ascii="Arial" w:cs="Arial" w:eastAsia="Arial" w:hAnsi="Arial"/>
          <w:sz w:val="14"/>
          <w:szCs w:val="14"/>
          <w:color w:val="auto"/>
        </w:rPr>
        <w:t>Each member of the corporation’s Board of Directors, including the corporation’s Chief Executive Officer, shall be subject to specific limits on outside board memberships as set forth in a policy adopted by the Board of Directors.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Officers</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4.1</w:t>
      </w:r>
      <w:r>
        <w:rPr>
          <w:sz w:val="20"/>
          <w:szCs w:val="20"/>
          <w:color w:val="auto"/>
        </w:rPr>
        <w:tab/>
      </w:r>
      <w:r>
        <w:rPr>
          <w:rFonts w:ascii="Arial" w:cs="Arial" w:eastAsia="Arial" w:hAnsi="Arial"/>
          <w:sz w:val="12"/>
          <w:szCs w:val="12"/>
          <w:b w:val="1"/>
          <w:bCs w:val="1"/>
          <w:color w:val="auto"/>
        </w:rPr>
        <w:t>Officers Designated.</w:t>
      </w:r>
    </w:p>
    <w:p>
      <w:pPr>
        <w:spacing w:after="0" w:line="174" w:lineRule="exact"/>
        <w:rPr>
          <w:sz w:val="20"/>
          <w:szCs w:val="20"/>
          <w:color w:val="auto"/>
        </w:rPr>
      </w:pPr>
    </w:p>
    <w:p>
      <w:pPr>
        <w:ind w:right="260" w:firstLine="497"/>
        <w:spacing w:after="0" w:line="279" w:lineRule="auto"/>
        <w:rPr>
          <w:sz w:val="20"/>
          <w:szCs w:val="20"/>
          <w:color w:val="auto"/>
        </w:rPr>
      </w:pPr>
      <w:r>
        <w:rPr>
          <w:rFonts w:ascii="Arial" w:cs="Arial" w:eastAsia="Arial" w:hAnsi="Arial"/>
          <w:sz w:val="13"/>
          <w:szCs w:val="13"/>
          <w:color w:val="auto"/>
        </w:rPr>
        <w:t>The officers of the corporation shall be a Chief Executive Officer, President, Chief Financial Officer and Secretary. The Board of Directors or the President may also appoint a Chairman of the Board, one or more Vice-Presidents, assistant secretaries and such other officers and agents with such powers and duties as it or he shall deem necessary. The order of the seniority of the Vice- Presidents shall be in the order of their nomination unless otherwise determined by the Board of Directors. The Board of Directors may assign such additional titles to one or more of the officers as they shall deem appropriate. Any one person may hold any number of offices of the corporation at any one time unless specifically prohibited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40"/>
          </w:cols>
          <w:pgMar w:left="220" w:top="477" w:right="23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color w:val="auto"/>
        </w:rPr>
        <w:t>therefrom by law. The salaries and other compensation of the officers of the corporation shall be fixed by or in the manner designated by the Board of Directors.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4.2</w:t>
      </w:r>
      <w:r>
        <w:rPr>
          <w:sz w:val="20"/>
          <w:szCs w:val="20"/>
          <w:color w:val="auto"/>
        </w:rPr>
        <w:tab/>
      </w:r>
      <w:r>
        <w:rPr>
          <w:rFonts w:ascii="Arial" w:cs="Arial" w:eastAsia="Arial" w:hAnsi="Arial"/>
          <w:sz w:val="12"/>
          <w:szCs w:val="12"/>
          <w:b w:val="1"/>
          <w:bCs w:val="1"/>
          <w:color w:val="auto"/>
        </w:rPr>
        <w:t>Tenure and Duties of Officers.</w:t>
      </w:r>
    </w:p>
    <w:p>
      <w:pPr>
        <w:spacing w:after="0" w:line="170" w:lineRule="exact"/>
        <w:rPr>
          <w:sz w:val="20"/>
          <w:szCs w:val="20"/>
          <w:color w:val="auto"/>
        </w:rPr>
      </w:pPr>
    </w:p>
    <w:p>
      <w:pPr>
        <w:jc w:val="both"/>
        <w:ind w:right="60" w:firstLine="500"/>
        <w:spacing w:after="0" w:line="260" w:lineRule="auto"/>
        <w:tabs>
          <w:tab w:leader="none" w:pos="788" w:val="left"/>
        </w:tabs>
        <w:numPr>
          <w:ilvl w:val="0"/>
          <w:numId w:val="119"/>
        </w:numPr>
        <w:rPr>
          <w:rFonts w:ascii="Arial" w:cs="Arial" w:eastAsia="Arial" w:hAnsi="Arial"/>
          <w:sz w:val="14"/>
          <w:szCs w:val="14"/>
          <w:color w:val="auto"/>
        </w:rPr>
      </w:pPr>
      <w:r>
        <w:rPr>
          <w:rFonts w:ascii="Arial" w:cs="Arial" w:eastAsia="Arial" w:hAnsi="Arial"/>
          <w:sz w:val="14"/>
          <w:szCs w:val="14"/>
          <w:b w:val="1"/>
          <w:bCs w:val="1"/>
          <w:color w:val="auto"/>
        </w:rPr>
        <w:t>General</w:t>
      </w:r>
      <w:r>
        <w:rPr>
          <w:rFonts w:ascii="Arial" w:cs="Arial" w:eastAsia="Arial" w:hAnsi="Arial"/>
          <w:sz w:val="14"/>
          <w:szCs w:val="14"/>
          <w:color w:val="auto"/>
        </w:rPr>
        <w:t>: All officers shall hold office at the pleasure of the Board of Directors and until their successors shall have been duly elected and qualified, unless sooner removed. Any officer elected</w:t>
      </w:r>
      <w:r>
        <w:rPr>
          <w:rFonts w:ascii="Arial" w:cs="Arial" w:eastAsia="Arial" w:hAnsi="Arial"/>
          <w:sz w:val="14"/>
          <w:szCs w:val="14"/>
          <w:b w:val="1"/>
          <w:bCs w:val="1"/>
          <w:color w:val="auto"/>
        </w:rPr>
        <w:t xml:space="preserve"> </w:t>
      </w:r>
      <w:r>
        <w:rPr>
          <w:rFonts w:ascii="Arial" w:cs="Arial" w:eastAsia="Arial" w:hAnsi="Arial"/>
          <w:sz w:val="14"/>
          <w:szCs w:val="14"/>
          <w:color w:val="auto"/>
        </w:rPr>
        <w:t>or appointed by the Board of Directors may be removed at any time by the Board of Directors. If the office of any officer becomes vacant for any reason, the vacancy may be filled by the Board of Directors. Nothing in these Bylaws shall be construed as creating any kind of contractual right to employment with the corporation.</w:t>
      </w:r>
    </w:p>
    <w:p>
      <w:pPr>
        <w:spacing w:after="0" w:line="139" w:lineRule="exact"/>
        <w:rPr>
          <w:rFonts w:ascii="Arial" w:cs="Arial" w:eastAsia="Arial" w:hAnsi="Arial"/>
          <w:sz w:val="14"/>
          <w:szCs w:val="14"/>
          <w:color w:val="auto"/>
        </w:rPr>
      </w:pPr>
    </w:p>
    <w:p>
      <w:pPr>
        <w:ind w:right="340" w:firstLine="500"/>
        <w:spacing w:after="0" w:line="359" w:lineRule="auto"/>
        <w:tabs>
          <w:tab w:leader="none" w:pos="796" w:val="left"/>
        </w:tabs>
        <w:numPr>
          <w:ilvl w:val="0"/>
          <w:numId w:val="119"/>
        </w:numPr>
        <w:rPr>
          <w:rFonts w:ascii="Arial" w:cs="Arial" w:eastAsia="Arial" w:hAnsi="Arial"/>
          <w:sz w:val="12"/>
          <w:szCs w:val="12"/>
          <w:color w:val="auto"/>
        </w:rPr>
      </w:pPr>
      <w:r>
        <w:rPr>
          <w:rFonts w:ascii="Arial" w:cs="Arial" w:eastAsia="Arial" w:hAnsi="Arial"/>
          <w:sz w:val="12"/>
          <w:szCs w:val="12"/>
          <w:b w:val="1"/>
          <w:bCs w:val="1"/>
          <w:color w:val="auto"/>
        </w:rPr>
        <w:t>Duties of the Chairman of the Board of Directors</w:t>
      </w:r>
      <w:r>
        <w:rPr>
          <w:rFonts w:ascii="Arial" w:cs="Arial" w:eastAsia="Arial" w:hAnsi="Arial"/>
          <w:sz w:val="12"/>
          <w:szCs w:val="12"/>
          <w:color w:val="auto"/>
        </w:rPr>
        <w:t>: The Chairman of the Board of Directors (if there be such an officer appointed) when present shall preside at all meetings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stockholders and the Board of Directors. The Chairman of the Board of Directors shall perform such other duties and have such other powers as the Board of Directors shall designate from time to time.</w:t>
      </w:r>
    </w:p>
    <w:p>
      <w:pPr>
        <w:spacing w:after="0" w:line="84" w:lineRule="exact"/>
        <w:rPr>
          <w:rFonts w:ascii="Arial" w:cs="Arial" w:eastAsia="Arial" w:hAnsi="Arial"/>
          <w:sz w:val="12"/>
          <w:szCs w:val="12"/>
          <w:color w:val="auto"/>
        </w:rPr>
      </w:pPr>
    </w:p>
    <w:p>
      <w:pPr>
        <w:ind w:right="140" w:firstLine="500"/>
        <w:spacing w:after="0" w:line="255" w:lineRule="auto"/>
        <w:tabs>
          <w:tab w:leader="none" w:pos="788" w:val="left"/>
        </w:tabs>
        <w:numPr>
          <w:ilvl w:val="0"/>
          <w:numId w:val="119"/>
        </w:numPr>
        <w:rPr>
          <w:rFonts w:ascii="Arial" w:cs="Arial" w:eastAsia="Arial" w:hAnsi="Arial"/>
          <w:sz w:val="14"/>
          <w:szCs w:val="14"/>
          <w:color w:val="auto"/>
        </w:rPr>
      </w:pPr>
      <w:r>
        <w:rPr>
          <w:rFonts w:ascii="Arial" w:cs="Arial" w:eastAsia="Arial" w:hAnsi="Arial"/>
          <w:sz w:val="14"/>
          <w:szCs w:val="14"/>
          <w:b w:val="1"/>
          <w:bCs w:val="1"/>
          <w:color w:val="auto"/>
        </w:rPr>
        <w:t>Duties of the Chief Executive Officer</w:t>
      </w:r>
      <w:r>
        <w:rPr>
          <w:rFonts w:ascii="Arial" w:cs="Arial" w:eastAsia="Arial" w:hAnsi="Arial"/>
          <w:sz w:val="14"/>
          <w:szCs w:val="14"/>
          <w:color w:val="auto"/>
        </w:rPr>
        <w:t>: Unless provided otherwise by a resolution adopted by the Board of Directors, the Chief Executive Officer (i) shall have general active management of</w:t>
      </w:r>
      <w:r>
        <w:rPr>
          <w:rFonts w:ascii="Arial" w:cs="Arial" w:eastAsia="Arial" w:hAnsi="Arial"/>
          <w:sz w:val="14"/>
          <w:szCs w:val="14"/>
          <w:b w:val="1"/>
          <w:bCs w:val="1"/>
          <w:color w:val="auto"/>
        </w:rPr>
        <w:t xml:space="preserve"> </w:t>
      </w:r>
      <w:r>
        <w:rPr>
          <w:rFonts w:ascii="Arial" w:cs="Arial" w:eastAsia="Arial" w:hAnsi="Arial"/>
          <w:sz w:val="14"/>
          <w:szCs w:val="14"/>
          <w:color w:val="auto"/>
        </w:rPr>
        <w:t>the business of the Corporation; (ii) shall, in the absence of the Chairman of the Board of Directors, preside at all meetings of the stockholders and Board of Directors; (iii) shall see that all orders and resolutions of the Board are carried into effect; (iv) may maintain records of and certify proceedings of the Board and stockholders; and (v) shall perform such other duties as may from time to time be assigned by the Board of Directors.</w:t>
      </w:r>
    </w:p>
    <w:p>
      <w:pPr>
        <w:spacing w:after="0" w:line="144" w:lineRule="exact"/>
        <w:rPr>
          <w:rFonts w:ascii="Arial" w:cs="Arial" w:eastAsia="Arial" w:hAnsi="Arial"/>
          <w:sz w:val="14"/>
          <w:szCs w:val="14"/>
          <w:color w:val="auto"/>
        </w:rPr>
      </w:pPr>
    </w:p>
    <w:p>
      <w:pPr>
        <w:ind w:right="60" w:firstLine="500"/>
        <w:spacing w:after="0" w:line="273" w:lineRule="auto"/>
        <w:tabs>
          <w:tab w:leader="none" w:pos="796" w:val="left"/>
        </w:tabs>
        <w:numPr>
          <w:ilvl w:val="0"/>
          <w:numId w:val="119"/>
        </w:numPr>
        <w:rPr>
          <w:rFonts w:ascii="Arial" w:cs="Arial" w:eastAsia="Arial" w:hAnsi="Arial"/>
          <w:sz w:val="14"/>
          <w:szCs w:val="14"/>
          <w:color w:val="auto"/>
        </w:rPr>
      </w:pPr>
      <w:r>
        <w:rPr>
          <w:rFonts w:ascii="Arial" w:cs="Arial" w:eastAsia="Arial" w:hAnsi="Arial"/>
          <w:sz w:val="14"/>
          <w:szCs w:val="14"/>
          <w:b w:val="1"/>
          <w:bCs w:val="1"/>
          <w:color w:val="auto"/>
        </w:rPr>
        <w:t>Duties of President</w:t>
      </w:r>
      <w:r>
        <w:rPr>
          <w:rFonts w:ascii="Arial" w:cs="Arial" w:eastAsia="Arial" w:hAnsi="Arial"/>
          <w:sz w:val="14"/>
          <w:szCs w:val="14"/>
          <w:color w:val="auto"/>
        </w:rPr>
        <w:t>: Unless otherwise determined by the Board, the President shall be the Chief Executive Officer of the Corporation. If an officer other than the President is designated Chief</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 the President shall perform such duties as may from time to time be assigned by the Board of Directors or the Chief Executive Officer.</w:t>
      </w:r>
    </w:p>
    <w:p>
      <w:pPr>
        <w:spacing w:after="0" w:line="130" w:lineRule="exact"/>
        <w:rPr>
          <w:rFonts w:ascii="Arial" w:cs="Arial" w:eastAsia="Arial" w:hAnsi="Arial"/>
          <w:sz w:val="14"/>
          <w:szCs w:val="14"/>
          <w:color w:val="auto"/>
        </w:rPr>
      </w:pPr>
    </w:p>
    <w:p>
      <w:pPr>
        <w:ind w:right="20" w:firstLine="500"/>
        <w:spacing w:after="0" w:line="275" w:lineRule="auto"/>
        <w:tabs>
          <w:tab w:leader="none" w:pos="788" w:val="left"/>
        </w:tabs>
        <w:numPr>
          <w:ilvl w:val="0"/>
          <w:numId w:val="119"/>
        </w:numPr>
        <w:rPr>
          <w:rFonts w:ascii="Arial" w:cs="Arial" w:eastAsia="Arial" w:hAnsi="Arial"/>
          <w:sz w:val="13"/>
          <w:szCs w:val="13"/>
          <w:color w:val="auto"/>
        </w:rPr>
      </w:pPr>
      <w:r>
        <w:rPr>
          <w:rFonts w:ascii="Arial" w:cs="Arial" w:eastAsia="Arial" w:hAnsi="Arial"/>
          <w:sz w:val="13"/>
          <w:szCs w:val="13"/>
          <w:b w:val="1"/>
          <w:bCs w:val="1"/>
          <w:color w:val="auto"/>
        </w:rPr>
        <w:t>Duties of Chief Financial Officer</w:t>
      </w:r>
      <w:r>
        <w:rPr>
          <w:rFonts w:ascii="Arial" w:cs="Arial" w:eastAsia="Arial" w:hAnsi="Arial"/>
          <w:sz w:val="13"/>
          <w:szCs w:val="13"/>
          <w:color w:val="auto"/>
        </w:rPr>
        <w:t>: The Chief Financial Officer shall keep or cause to be kept the books of account of the corporation in a thorough and proper manner, and shall render</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statements of the financial affairs of the corporation in such form and as often as required by the Board of Directors or the Chief Executive Officer. The Chief Financial Officer, subject to the order of the Board of Directors, shall have the custody of all funds and securities of the corporation. The Chief Financial Officer shall perform all other duties commonly incident to his office and shall perform such other duties and have such other powers as the Board of Directors or the President shall designate from time to time. The Chief Executive Officer may direct any Vice-President to assume and perform the duties of the Chief Financial Officer in the absence or disability of the Chief Financial Officer, and each such Vice-President shall perform such other duties and have such other powers as the Board of Directors or the President shall designate from time to time. The Chief Financial Officer shall be the Treasurer of the corporation.</w:t>
      </w:r>
    </w:p>
    <w:p>
      <w:pPr>
        <w:spacing w:after="0" w:line="131" w:lineRule="exact"/>
        <w:rPr>
          <w:rFonts w:ascii="Arial" w:cs="Arial" w:eastAsia="Arial" w:hAnsi="Arial"/>
          <w:sz w:val="13"/>
          <w:szCs w:val="13"/>
          <w:color w:val="auto"/>
        </w:rPr>
      </w:pPr>
    </w:p>
    <w:p>
      <w:pPr>
        <w:ind w:right="140" w:firstLine="500"/>
        <w:spacing w:after="0" w:line="260" w:lineRule="auto"/>
        <w:tabs>
          <w:tab w:leader="none" w:pos="773" w:val="left"/>
        </w:tabs>
        <w:numPr>
          <w:ilvl w:val="0"/>
          <w:numId w:val="119"/>
        </w:numPr>
        <w:rPr>
          <w:rFonts w:ascii="Arial" w:cs="Arial" w:eastAsia="Arial" w:hAnsi="Arial"/>
          <w:sz w:val="14"/>
          <w:szCs w:val="14"/>
          <w:color w:val="auto"/>
        </w:rPr>
      </w:pPr>
      <w:r>
        <w:rPr>
          <w:rFonts w:ascii="Arial" w:cs="Arial" w:eastAsia="Arial" w:hAnsi="Arial"/>
          <w:sz w:val="14"/>
          <w:szCs w:val="14"/>
          <w:b w:val="1"/>
          <w:bCs w:val="1"/>
          <w:color w:val="auto"/>
        </w:rPr>
        <w:t>Duties of Vice-Presidents</w:t>
      </w:r>
      <w:r>
        <w:rPr>
          <w:rFonts w:ascii="Arial" w:cs="Arial" w:eastAsia="Arial" w:hAnsi="Arial"/>
          <w:sz w:val="14"/>
          <w:szCs w:val="14"/>
          <w:color w:val="auto"/>
        </w:rPr>
        <w:t>: The Vice-Presidents, in the order of their seniority, may assume and perform the duties of the Chief Executive Officer in the absence or disability of the Chief</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 or whenever the office of the Chief Executive Officer is vacant. The Vice-Presidents shall perform such other duties and have such other powers as the Board of Directors or the President shall designate from time to time.</w:t>
      </w:r>
    </w:p>
    <w:p>
      <w:pPr>
        <w:spacing w:after="0" w:line="139" w:lineRule="exact"/>
        <w:rPr>
          <w:rFonts w:ascii="Arial" w:cs="Arial" w:eastAsia="Arial" w:hAnsi="Arial"/>
          <w:sz w:val="14"/>
          <w:szCs w:val="14"/>
          <w:color w:val="auto"/>
        </w:rPr>
      </w:pPr>
    </w:p>
    <w:p>
      <w:pPr>
        <w:ind w:firstLine="500"/>
        <w:spacing w:after="0" w:line="277" w:lineRule="auto"/>
        <w:tabs>
          <w:tab w:leader="none" w:pos="796" w:val="left"/>
        </w:tabs>
        <w:numPr>
          <w:ilvl w:val="0"/>
          <w:numId w:val="119"/>
        </w:numPr>
        <w:rPr>
          <w:rFonts w:ascii="Arial" w:cs="Arial" w:eastAsia="Arial" w:hAnsi="Arial"/>
          <w:sz w:val="13"/>
          <w:szCs w:val="13"/>
          <w:color w:val="auto"/>
        </w:rPr>
      </w:pPr>
      <w:r>
        <w:rPr>
          <w:rFonts w:ascii="Arial" w:cs="Arial" w:eastAsia="Arial" w:hAnsi="Arial"/>
          <w:sz w:val="13"/>
          <w:szCs w:val="13"/>
          <w:b w:val="1"/>
          <w:bCs w:val="1"/>
          <w:color w:val="auto"/>
        </w:rPr>
        <w:t>Duties of Secretary</w:t>
      </w:r>
      <w:r>
        <w:rPr>
          <w:rFonts w:ascii="Arial" w:cs="Arial" w:eastAsia="Arial" w:hAnsi="Arial"/>
          <w:sz w:val="13"/>
          <w:szCs w:val="13"/>
          <w:color w:val="auto"/>
        </w:rPr>
        <w:t>: The Secretary shall attend all meetings of the stockholders and of the Board of Directors and any committee thereof, and shall record all acts and proceedings thereof in the</w:t>
      </w:r>
      <w:r>
        <w:rPr>
          <w:rFonts w:ascii="Arial" w:cs="Arial" w:eastAsia="Arial" w:hAnsi="Arial"/>
          <w:sz w:val="13"/>
          <w:szCs w:val="13"/>
          <w:b w:val="1"/>
          <w:bCs w:val="1"/>
          <w:color w:val="auto"/>
        </w:rPr>
        <w:t xml:space="preserve"> </w:t>
      </w:r>
      <w:r>
        <w:rPr>
          <w:rFonts w:ascii="Arial" w:cs="Arial" w:eastAsia="Arial" w:hAnsi="Arial"/>
          <w:sz w:val="13"/>
          <w:szCs w:val="13"/>
          <w:color w:val="auto"/>
        </w:rPr>
        <w:t>minute book of the corporation, which may be maintained in either paper or electronic form. The Secretary shall give notice, in conformity with these Bylaws, of all meetings of the stockholders and of all meetings of the Board of Directors and any Committee thereof requiring notice. The Secretary shall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such other duties and have such other powers as the Board of Directors or the President shall designate from time to time.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481" w:right="21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4"/>
          <w:szCs w:val="14"/>
          <w:b w:val="1"/>
          <w:bCs w:val="1"/>
          <w:color w:val="auto"/>
        </w:rPr>
        <w:t>ARTICLE 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Execution of Corporate Instruments, and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Voting of Securities Owned by the Corporation</w:t>
      </w:r>
    </w:p>
    <w:p>
      <w:pPr>
        <w:spacing w:after="0" w:line="15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5.1</w:t>
      </w:r>
      <w:r>
        <w:rPr>
          <w:sz w:val="20"/>
          <w:szCs w:val="20"/>
          <w:color w:val="auto"/>
        </w:rPr>
        <w:tab/>
      </w:r>
      <w:r>
        <w:rPr>
          <w:rFonts w:ascii="Arial" w:cs="Arial" w:eastAsia="Arial" w:hAnsi="Arial"/>
          <w:sz w:val="12"/>
          <w:szCs w:val="12"/>
          <w:b w:val="1"/>
          <w:bCs w:val="1"/>
          <w:color w:val="auto"/>
        </w:rPr>
        <w:t>Execution of Corporate Instruments.</w:t>
      </w:r>
    </w:p>
    <w:p>
      <w:pPr>
        <w:spacing w:after="0" w:line="174" w:lineRule="exact"/>
        <w:rPr>
          <w:sz w:val="20"/>
          <w:szCs w:val="20"/>
          <w:color w:val="auto"/>
        </w:rPr>
      </w:pPr>
    </w:p>
    <w:p>
      <w:pPr>
        <w:ind w:right="140" w:firstLine="500"/>
        <w:spacing w:after="0" w:line="306" w:lineRule="auto"/>
        <w:tabs>
          <w:tab w:leader="none" w:pos="786"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Board of Directors may in its discretion determine the method and designate the signatory officer or officers, or other person or persons, to execute any corporate instrument or document, or to sign the corporate name without limitation, except where otherwise provided by law, and such execution or signature shall be binding upon the corporation.</w:t>
      </w:r>
    </w:p>
    <w:p>
      <w:pPr>
        <w:spacing w:after="0" w:line="115" w:lineRule="exact"/>
        <w:rPr>
          <w:rFonts w:ascii="Arial" w:cs="Arial" w:eastAsia="Arial" w:hAnsi="Arial"/>
          <w:sz w:val="13"/>
          <w:szCs w:val="13"/>
          <w:color w:val="auto"/>
        </w:rPr>
      </w:pPr>
    </w:p>
    <w:p>
      <w:pPr>
        <w:ind w:right="40" w:firstLine="500"/>
        <w:spacing w:after="0" w:line="252" w:lineRule="auto"/>
        <w:tabs>
          <w:tab w:leader="none" w:pos="79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Unless otherwise specifically determined by the Board of Directors or otherwise required by law, formal contracts of the corporation,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(if there be such an officer appointed) or by the Chief Executive Officer; such documents may also be executed by any Vice-President and by the Secretary, any assistant secretary or Chief Financial Officer. All other instruments and documents requiring the corporate signature but not requiring the corporate seal may be executed as aforesaid or in such other manner as may be directed by the Board of Directors.</w:t>
      </w:r>
    </w:p>
    <w:p>
      <w:pPr>
        <w:spacing w:after="0" w:line="148" w:lineRule="exact"/>
        <w:rPr>
          <w:rFonts w:ascii="Arial" w:cs="Arial" w:eastAsia="Arial" w:hAnsi="Arial"/>
          <w:sz w:val="14"/>
          <w:szCs w:val="14"/>
          <w:color w:val="auto"/>
        </w:rPr>
      </w:pPr>
    </w:p>
    <w:p>
      <w:pPr>
        <w:ind w:right="280" w:firstLine="500"/>
        <w:spacing w:after="0" w:line="267" w:lineRule="auto"/>
        <w:tabs>
          <w:tab w:leader="none" w:pos="78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38" w:lineRule="exact"/>
        <w:rPr>
          <w:rFonts w:ascii="Arial" w:cs="Arial" w:eastAsia="Arial" w:hAnsi="Arial"/>
          <w:sz w:val="14"/>
          <w:szCs w:val="14"/>
          <w:color w:val="auto"/>
        </w:rPr>
      </w:pPr>
    </w:p>
    <w:p>
      <w:pPr>
        <w:ind w:left="800" w:hanging="300"/>
        <w:spacing w:after="0"/>
        <w:tabs>
          <w:tab w:leader="none" w:pos="8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Execution of any corporate instrument may be effected in such form, either manual, facsimile or electronic signature, as may be authorized by the Board of Directors.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5.2</w:t>
      </w:r>
      <w:r>
        <w:rPr>
          <w:sz w:val="20"/>
          <w:szCs w:val="20"/>
          <w:color w:val="auto"/>
        </w:rPr>
        <w:tab/>
      </w:r>
      <w:r>
        <w:rPr>
          <w:rFonts w:ascii="Arial" w:cs="Arial" w:eastAsia="Arial" w:hAnsi="Arial"/>
          <w:sz w:val="12"/>
          <w:szCs w:val="12"/>
          <w:b w:val="1"/>
          <w:bCs w:val="1"/>
          <w:color w:val="auto"/>
        </w:rPr>
        <w:t>Voting of Securities Owned by Corporation.</w:t>
      </w:r>
    </w:p>
    <w:p>
      <w:pPr>
        <w:spacing w:after="0" w:line="174" w:lineRule="exact"/>
        <w:rPr>
          <w:sz w:val="20"/>
          <w:szCs w:val="20"/>
          <w:color w:val="auto"/>
        </w:rPr>
      </w:pPr>
    </w:p>
    <w:p>
      <w:pPr>
        <w:ind w:right="20" w:firstLine="497"/>
        <w:spacing w:after="0" w:line="257" w:lineRule="auto"/>
        <w:rPr>
          <w:sz w:val="20"/>
          <w:szCs w:val="20"/>
          <w:color w:val="auto"/>
        </w:rPr>
      </w:pPr>
      <w:r>
        <w:rPr>
          <w:rFonts w:ascii="Arial" w:cs="Arial" w:eastAsia="Arial" w:hAnsi="Arial"/>
          <w:sz w:val="14"/>
          <w:szCs w:val="14"/>
          <w:color w:val="auto"/>
        </w:rPr>
        <w:t>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(if there be such an officer appointed), or by the Chief Executive Officer, the President, or by any Vice-President.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Shares of Stock</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6.1</w:t>
      </w:r>
      <w:r>
        <w:rPr>
          <w:sz w:val="20"/>
          <w:szCs w:val="20"/>
          <w:color w:val="auto"/>
        </w:rPr>
        <w:tab/>
      </w:r>
      <w:r>
        <w:rPr>
          <w:rFonts w:ascii="Arial" w:cs="Arial" w:eastAsia="Arial" w:hAnsi="Arial"/>
          <w:sz w:val="12"/>
          <w:szCs w:val="12"/>
          <w:b w:val="1"/>
          <w:bCs w:val="1"/>
          <w:color w:val="auto"/>
        </w:rPr>
        <w:t>Form and Execution of Certificates.</w:t>
      </w:r>
    </w:p>
    <w:p>
      <w:pPr>
        <w:spacing w:after="0" w:line="174" w:lineRule="exact"/>
        <w:rPr>
          <w:sz w:val="20"/>
          <w:szCs w:val="20"/>
          <w:color w:val="auto"/>
        </w:rPr>
      </w:pPr>
    </w:p>
    <w:p>
      <w:pPr>
        <w:ind w:firstLine="497"/>
        <w:spacing w:after="0" w:line="269" w:lineRule="auto"/>
        <w:rPr>
          <w:sz w:val="20"/>
          <w:szCs w:val="20"/>
          <w:color w:val="auto"/>
        </w:rPr>
      </w:pPr>
      <w:r>
        <w:rPr>
          <w:rFonts w:ascii="Arial" w:cs="Arial" w:eastAsia="Arial" w:hAnsi="Arial"/>
          <w:sz w:val="13"/>
          <w:szCs w:val="13"/>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Chairman of the Board (if there be such an officer appointed), or by the President or any Vice-President and by the Chief Financial Officer or the Secretary or assistant secretary, certifying the number of shares owned by him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Delaware General Corporation Law,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477" w:right="219" w:bottom="1440" w:gutter="0" w:footer="0" w:header="0"/>
        </w:sectPr>
      </w:pPr>
    </w:p>
    <w:bookmarkStart w:id="173" w:name="page174"/>
    <w:bookmarkEnd w:id="173"/>
    <w:p>
      <w:pPr>
        <w:spacing w:after="0"/>
        <w:tabs>
          <w:tab w:leader="none" w:pos="760" w:val="left"/>
        </w:tabs>
        <w:rPr>
          <w:sz w:val="20"/>
          <w:szCs w:val="20"/>
          <w:color w:val="auto"/>
        </w:rPr>
      </w:pPr>
      <w:r>
        <w:rPr>
          <w:rFonts w:ascii="Arial" w:cs="Arial" w:eastAsia="Arial" w:hAnsi="Arial"/>
          <w:sz w:val="14"/>
          <w:szCs w:val="14"/>
          <w:b w:val="1"/>
          <w:bCs w:val="1"/>
          <w:color w:val="auto"/>
        </w:rPr>
        <w:t>Section 6.2</w:t>
      </w:r>
      <w:r>
        <w:rPr>
          <w:sz w:val="20"/>
          <w:szCs w:val="20"/>
          <w:color w:val="auto"/>
        </w:rPr>
        <w:tab/>
      </w:r>
      <w:r>
        <w:rPr>
          <w:rFonts w:ascii="Arial" w:cs="Arial" w:eastAsia="Arial" w:hAnsi="Arial"/>
          <w:sz w:val="12"/>
          <w:szCs w:val="12"/>
          <w:b w:val="1"/>
          <w:bCs w:val="1"/>
          <w:color w:val="auto"/>
        </w:rPr>
        <w:t>Lost Certificates.</w:t>
      </w:r>
    </w:p>
    <w:p>
      <w:pPr>
        <w:spacing w:after="0" w:line="174"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color w:val="auto"/>
        </w:rPr>
        <w:t>The Board of Directors may direct a new certificate or certificates (or uncertificated shares in lieu of a new certificate)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(or uncertificated shares in lieu of a new certificate), the Board of Directors may, in its discretion and as a condition precedent to the issuance thereof, require the owner of such lost or destroyed certificate or certificates, or his legal representative, to indemnify the corporation in such manner as it shall require and/or to give the corporation a surety bond in such form and amount as it may direct as indemnity against any claim that may be made against the corporation with respect to the certificate alleged to have been lost or destroyed.</w:t>
      </w:r>
    </w:p>
    <w:p>
      <w:pPr>
        <w:spacing w:after="0" w:line="13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6.3</w:t>
      </w:r>
      <w:r>
        <w:rPr>
          <w:sz w:val="20"/>
          <w:szCs w:val="20"/>
          <w:color w:val="auto"/>
        </w:rPr>
        <w:tab/>
      </w:r>
      <w:r>
        <w:rPr>
          <w:rFonts w:ascii="Arial" w:cs="Arial" w:eastAsia="Arial" w:hAnsi="Arial"/>
          <w:sz w:val="12"/>
          <w:szCs w:val="12"/>
          <w:b w:val="1"/>
          <w:bCs w:val="1"/>
          <w:color w:val="auto"/>
        </w:rPr>
        <w:t>Transfers.</w:t>
      </w:r>
    </w:p>
    <w:p>
      <w:pPr>
        <w:spacing w:after="0" w:line="174" w:lineRule="exact"/>
        <w:rPr>
          <w:sz w:val="20"/>
          <w:szCs w:val="20"/>
          <w:color w:val="auto"/>
        </w:rPr>
      </w:pPr>
    </w:p>
    <w:p>
      <w:pPr>
        <w:ind w:right="340" w:firstLine="497"/>
        <w:spacing w:after="0" w:line="306" w:lineRule="auto"/>
        <w:rPr>
          <w:sz w:val="20"/>
          <w:szCs w:val="20"/>
          <w:color w:val="auto"/>
        </w:rPr>
      </w:pPr>
      <w:r>
        <w:rPr>
          <w:rFonts w:ascii="Arial" w:cs="Arial" w:eastAsia="Arial" w:hAnsi="Arial"/>
          <w:sz w:val="13"/>
          <w:szCs w:val="13"/>
          <w:color w:val="auto"/>
        </w:rPr>
        <w:t>Transfers of record of shares of stock of the corporation shall be made only upon its books by the holders thereof, in person or by attorney duly authorized, who shall furnish proper evidence of authority to transfer, and in the case of stock represented by a certificate, upon the surrender of a certificate or certificates for a like number of shares, properly endorsed.</w:t>
      </w:r>
    </w:p>
    <w:p>
      <w:pPr>
        <w:spacing w:after="0" w:line="112"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6.4</w:t>
      </w:r>
      <w:r>
        <w:rPr>
          <w:sz w:val="20"/>
          <w:szCs w:val="20"/>
          <w:color w:val="auto"/>
        </w:rPr>
        <w:tab/>
      </w:r>
      <w:r>
        <w:rPr>
          <w:rFonts w:ascii="Arial" w:cs="Arial" w:eastAsia="Arial" w:hAnsi="Arial"/>
          <w:sz w:val="12"/>
          <w:szCs w:val="12"/>
          <w:b w:val="1"/>
          <w:bCs w:val="1"/>
          <w:color w:val="auto"/>
        </w:rPr>
        <w:t>Fixing Record Dates.</w:t>
      </w:r>
    </w:p>
    <w:p>
      <w:pPr>
        <w:spacing w:after="0" w:line="174" w:lineRule="exact"/>
        <w:rPr>
          <w:sz w:val="20"/>
          <w:szCs w:val="20"/>
          <w:color w:val="auto"/>
        </w:rPr>
      </w:pPr>
    </w:p>
    <w:p>
      <w:pPr>
        <w:ind w:right="60" w:firstLine="500"/>
        <w:spacing w:after="0" w:line="251" w:lineRule="auto"/>
        <w:tabs>
          <w:tab w:leader="none" w:pos="788"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date on which the meeting is held. A determination of stockholders of record entitled notice of or to vote at a meeting of stockholders shall apply to any adjournment of the meeting; provided, however, that the Board of Directors may fix a new record date for the adjourned meeting.</w:t>
      </w:r>
    </w:p>
    <w:p>
      <w:pPr>
        <w:spacing w:after="0" w:line="149" w:lineRule="exact"/>
        <w:rPr>
          <w:rFonts w:ascii="Arial" w:cs="Arial" w:eastAsia="Arial" w:hAnsi="Arial"/>
          <w:sz w:val="14"/>
          <w:szCs w:val="14"/>
          <w:color w:val="auto"/>
        </w:rPr>
      </w:pPr>
    </w:p>
    <w:p>
      <w:pPr>
        <w:jc w:val="both"/>
        <w:ind w:right="140" w:firstLine="500"/>
        <w:spacing w:after="0" w:line="279" w:lineRule="auto"/>
        <w:tabs>
          <w:tab w:leader="none" w:pos="796" w:val="left"/>
        </w:tabs>
        <w:numPr>
          <w:ilvl w:val="0"/>
          <w:numId w:val="121"/>
        </w:numPr>
        <w:rPr>
          <w:rFonts w:ascii="Arial" w:cs="Arial" w:eastAsia="Arial" w:hAnsi="Arial"/>
          <w:sz w:val="13"/>
          <w:szCs w:val="13"/>
          <w:color w:val="auto"/>
        </w:rPr>
      </w:pPr>
      <w:r>
        <w:rPr>
          <w:rFonts w:ascii="Arial" w:cs="Arial" w:eastAsia="Arial" w:hAnsi="Arial"/>
          <w:sz w:val="13"/>
          <w:szCs w:val="13"/>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29"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6.5</w:t>
      </w:r>
      <w:r>
        <w:rPr>
          <w:sz w:val="20"/>
          <w:szCs w:val="20"/>
          <w:color w:val="auto"/>
        </w:rPr>
        <w:tab/>
      </w:r>
      <w:r>
        <w:rPr>
          <w:rFonts w:ascii="Arial" w:cs="Arial" w:eastAsia="Arial" w:hAnsi="Arial"/>
          <w:sz w:val="12"/>
          <w:szCs w:val="12"/>
          <w:b w:val="1"/>
          <w:bCs w:val="1"/>
          <w:color w:val="auto"/>
        </w:rPr>
        <w:t>Registered Stockholders.</w:t>
      </w:r>
    </w:p>
    <w:p>
      <w:pPr>
        <w:spacing w:after="0" w:line="174" w:lineRule="exact"/>
        <w:rPr>
          <w:sz w:val="20"/>
          <w:szCs w:val="20"/>
          <w:color w:val="auto"/>
        </w:rPr>
      </w:pPr>
    </w:p>
    <w:p>
      <w:pPr>
        <w:ind w:right="140" w:firstLine="497"/>
        <w:spacing w:after="0" w:line="257" w:lineRule="auto"/>
        <w:rPr>
          <w:sz w:val="20"/>
          <w:szCs w:val="20"/>
          <w:color w:val="auto"/>
        </w:rPr>
      </w:pPr>
      <w:r>
        <w:rPr>
          <w:rFonts w:ascii="Arial" w:cs="Arial" w:eastAsia="Arial" w:hAnsi="Arial"/>
          <w:sz w:val="14"/>
          <w:szCs w:val="14"/>
          <w:color w:val="auto"/>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 Securities of the Corporation</w:t>
      </w:r>
    </w:p>
    <w:p>
      <w:pPr>
        <w:spacing w:after="0" w:line="174" w:lineRule="exact"/>
        <w:rPr>
          <w:sz w:val="20"/>
          <w:szCs w:val="20"/>
          <w:color w:val="auto"/>
        </w:rPr>
      </w:pPr>
    </w:p>
    <w:p>
      <w:pPr>
        <w:ind w:right="60" w:firstLine="497"/>
        <w:spacing w:after="0" w:line="298" w:lineRule="auto"/>
        <w:rPr>
          <w:sz w:val="20"/>
          <w:szCs w:val="20"/>
          <w:color w:val="auto"/>
        </w:rPr>
      </w:pPr>
      <w:r>
        <w:rPr>
          <w:rFonts w:ascii="Arial" w:cs="Arial" w:eastAsia="Arial" w:hAnsi="Arial"/>
          <w:sz w:val="12"/>
          <w:szCs w:val="12"/>
          <w:color w:val="auto"/>
        </w:rPr>
        <w:t>All bonds, debentures and other corporate securities of the corporation, other than stock certificates, may be signed by the Chairman of the Board (if there be such an officer appointed), or the President or any Vice-President or such other person as may be authorized by the Board of Directors and the corporate seal impressed thereon or a facsimile of such seal imprinted thereon and attested by the signature of the Secretary or an assistant secretary, or the Chief Financial Officer; provided, however, that where any such bond, debenture or other corporate security shall be authenticated by the manual signature of a trustee under an indenture pursuant to which such bond, debenture or other corporate security shall be issued, the signature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Chief Financial Officer,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477" w:right="219" w:bottom="1440" w:gutter="0" w:footer="0" w:header="0"/>
        </w:sectPr>
      </w:pPr>
    </w:p>
    <w:bookmarkStart w:id="174" w:name="page175"/>
    <w:bookmarkEnd w:id="174"/>
    <w:p>
      <w:pPr>
        <w:ind w:right="380"/>
        <w:spacing w:after="0" w:line="257" w:lineRule="auto"/>
        <w:rPr>
          <w:sz w:val="20"/>
          <w:szCs w:val="20"/>
          <w:color w:val="auto"/>
        </w:rPr>
      </w:pPr>
      <w:r>
        <w:rPr>
          <w:rFonts w:ascii="Arial" w:cs="Arial" w:eastAsia="Arial" w:hAnsi="Arial"/>
          <w:sz w:val="14"/>
          <w:szCs w:val="14"/>
          <w:color w:val="auto"/>
        </w:rPr>
        <w:t>has ceased to be an officer of the corporation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Corporate Seal</w:t>
      </w:r>
    </w:p>
    <w:p>
      <w:pPr>
        <w:spacing w:after="0" w:line="174" w:lineRule="exact"/>
        <w:rPr>
          <w:sz w:val="20"/>
          <w:szCs w:val="20"/>
          <w:color w:val="auto"/>
        </w:rPr>
      </w:pPr>
    </w:p>
    <w:p>
      <w:pPr>
        <w:ind w:right="160" w:firstLine="497"/>
        <w:spacing w:after="0" w:line="267" w:lineRule="auto"/>
        <w:rPr>
          <w:sz w:val="20"/>
          <w:szCs w:val="20"/>
          <w:color w:val="auto"/>
        </w:rPr>
      </w:pPr>
      <w:r>
        <w:rPr>
          <w:rFonts w:ascii="Arial" w:cs="Arial" w:eastAsia="Arial" w:hAnsi="Arial"/>
          <w:sz w:val="14"/>
          <w:szCs w:val="14"/>
          <w:color w:val="auto"/>
        </w:rPr>
        <w:t>The corporate seal shall consist of a die bearing the name of the corporation and the state and date of its incorporation. Said seal may be used by causing it or a facsimile thereof to be impressed or affixed or reproduced or otherwise.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of Officers, Directors, Employees and Agents</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9.1</w:t>
      </w:r>
      <w:r>
        <w:rPr>
          <w:sz w:val="20"/>
          <w:szCs w:val="20"/>
          <w:color w:val="auto"/>
        </w:rPr>
        <w:tab/>
      </w:r>
      <w:r>
        <w:rPr>
          <w:rFonts w:ascii="Arial" w:cs="Arial" w:eastAsia="Arial" w:hAnsi="Arial"/>
          <w:sz w:val="12"/>
          <w:szCs w:val="12"/>
          <w:b w:val="1"/>
          <w:bCs w:val="1"/>
          <w:color w:val="auto"/>
        </w:rPr>
        <w:t>Right to Indemnification.</w:t>
      </w:r>
    </w:p>
    <w:p>
      <w:pPr>
        <w:spacing w:after="0" w:line="174" w:lineRule="exact"/>
        <w:rPr>
          <w:sz w:val="20"/>
          <w:szCs w:val="20"/>
          <w:color w:val="auto"/>
        </w:rPr>
      </w:pPr>
    </w:p>
    <w:p>
      <w:pPr>
        <w:ind w:firstLine="497"/>
        <w:spacing w:after="0" w:line="269" w:lineRule="auto"/>
        <w:rPr>
          <w:sz w:val="20"/>
          <w:szCs w:val="20"/>
          <w:color w:val="auto"/>
        </w:rPr>
      </w:pPr>
      <w:r>
        <w:rPr>
          <w:rFonts w:ascii="Arial" w:cs="Arial" w:eastAsia="Arial" w:hAnsi="Arial"/>
          <w:sz w:val="13"/>
          <w:szCs w:val="13"/>
          <w:color w:val="auto"/>
        </w:rPr>
        <w:t>Each person who was or is a party or is threatened to be made a party to or is involved (as a party, witness, or otherwise), in any threatened, pending, or completed action, suit, or proceeding, whether civil, criminal, administrative, or investigative (hereinafter a “Proceeding”), by reason of the fact that he, or a person of whom 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service with respect to employee benefit plans, whether the basis of the Proceeding is alleged action in an official capacity as a director, officer, employee, or agent or in any other capacity while serving as a director, officer, employee, or agent (hereafter an “Agent”), shall be indemnified and held harmless by the corporation to the fullest extent authorized by the Delaware General Corporation Law, as the same exists or may hereafter be amended or interpreted (but, in the case of any such amendment or interpretation, only to the extent that such amendment or interpretation permits the corporation to provide broader indemnification rights than were permitted prior thereto) against all expenses, liability, and loss (including attorneys’ fees, judgments, fines, ERISA excise taxes or penalties, and amounts paid or to be paid in settlement, and any interest, assessments, or other charges imposed thereon, and any federal, state, local, or foreign taxes imposed on any Agent as a result of the actual or deemed receipt of any payments under this Article) reasonably incurred or suffered by such person in connection with investigating, defending, being a witness in, or participating in (including on appeal), or preparing for any of the foregoing in, any Proceeding (hereinafter “Expenses”); provided, however, that except as to actions to enforce indemnification rights pursuant to Section 9.3 of this Article, the corporation shall indemnify any Agent seeking indemnification in connection with a Proceeding (or part thereof) initiated by such person only if the Proceeding (or part thereof) was authorized by the Board of Directors of the corporation. The right to indemnification conferred in this Article shall be a contract right.</w:t>
      </w:r>
    </w:p>
    <w:p>
      <w:pPr>
        <w:spacing w:after="0" w:line="139"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9.2</w:t>
      </w:r>
      <w:r>
        <w:rPr>
          <w:sz w:val="20"/>
          <w:szCs w:val="20"/>
          <w:color w:val="auto"/>
        </w:rPr>
        <w:tab/>
      </w:r>
      <w:r>
        <w:rPr>
          <w:rFonts w:ascii="Arial" w:cs="Arial" w:eastAsia="Arial" w:hAnsi="Arial"/>
          <w:sz w:val="12"/>
          <w:szCs w:val="12"/>
          <w:b w:val="1"/>
          <w:bCs w:val="1"/>
          <w:color w:val="auto"/>
        </w:rPr>
        <w:t>Authority to Advance Expenses.</w:t>
      </w:r>
    </w:p>
    <w:p>
      <w:pPr>
        <w:spacing w:after="0" w:line="174" w:lineRule="exact"/>
        <w:rPr>
          <w:sz w:val="20"/>
          <w:szCs w:val="20"/>
          <w:color w:val="auto"/>
        </w:rPr>
      </w:pPr>
    </w:p>
    <w:p>
      <w:pPr>
        <w:ind w:firstLine="497"/>
        <w:spacing w:after="0" w:line="276" w:lineRule="auto"/>
        <w:rPr>
          <w:sz w:val="20"/>
          <w:szCs w:val="20"/>
          <w:color w:val="auto"/>
        </w:rPr>
      </w:pPr>
      <w:r>
        <w:rPr>
          <w:rFonts w:ascii="Arial" w:cs="Arial" w:eastAsia="Arial" w:hAnsi="Arial"/>
          <w:sz w:val="13"/>
          <w:szCs w:val="13"/>
          <w:color w:val="auto"/>
        </w:rPr>
        <w:t>Expenses incurred by an officer or director (acting in his capacity as such) in defending a Proceeding shall be paid by the corporation in advance of the final disposition of such Proceeding, provided, however, that if required by the Delaware General Corporation Law, as amended, such Expenses shall be advanced only upon delivery to the corporation of an undertaking by or on behalf of such director or officer to repay such amount if it shall ultimately be determined that he is not entitled to be indemnified by the corporation as authorized in this Article or otherwise. Expenses incurred by other Agents of the corporation (or by the directors or officers not acting in their capacity as such, including service with respect to employee benefit plans) may be advanced upon such terms and conditions as the Board of Directors deems appropriate. Any obligation to reimburse the corporation for Expense advances shall be unsecured and no interest shall be charged thereon.</w:t>
      </w:r>
    </w:p>
    <w:p>
      <w:pPr>
        <w:spacing w:after="0" w:line="13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9.3</w:t>
      </w:r>
      <w:r>
        <w:rPr>
          <w:sz w:val="20"/>
          <w:szCs w:val="20"/>
          <w:color w:val="auto"/>
        </w:rPr>
        <w:tab/>
      </w:r>
      <w:r>
        <w:rPr>
          <w:rFonts w:ascii="Arial" w:cs="Arial" w:eastAsia="Arial" w:hAnsi="Arial"/>
          <w:sz w:val="12"/>
          <w:szCs w:val="12"/>
          <w:b w:val="1"/>
          <w:bCs w:val="1"/>
          <w:color w:val="auto"/>
        </w:rPr>
        <w:t>Right of Claimant to Bring Suit.</w:t>
      </w:r>
    </w:p>
    <w:p>
      <w:pPr>
        <w:spacing w:after="0" w:line="174" w:lineRule="exact"/>
        <w:rPr>
          <w:sz w:val="20"/>
          <w:szCs w:val="20"/>
          <w:color w:val="auto"/>
        </w:rPr>
      </w:pPr>
    </w:p>
    <w:p>
      <w:pPr>
        <w:jc w:val="both"/>
        <w:ind w:right="20" w:firstLine="497"/>
        <w:spacing w:after="0" w:line="304" w:lineRule="auto"/>
        <w:rPr>
          <w:sz w:val="20"/>
          <w:szCs w:val="20"/>
          <w:color w:val="auto"/>
        </w:rPr>
      </w:pPr>
      <w:r>
        <w:rPr>
          <w:rFonts w:ascii="Arial" w:cs="Arial" w:eastAsia="Arial" w:hAnsi="Arial"/>
          <w:sz w:val="12"/>
          <w:szCs w:val="12"/>
          <w:color w:val="auto"/>
        </w:rPr>
        <w:t>If a claim under Section 9.1 or 9.2 of this Article is not paid in full by the corporation within ninety (90)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Delaware General Corporation Law for the corporation to indemnify the claimant for the amount claimed. The burden of proving such a defense shall be on the corporation. Neither the failure of the corporation (including its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481" w:right="219" w:bottom="1440" w:gutter="0" w:footer="0" w:header="0"/>
        </w:sectPr>
      </w:pPr>
    </w:p>
    <w:bookmarkStart w:id="175" w:name="page176"/>
    <w:bookmarkEnd w:id="175"/>
    <w:p>
      <w:pPr>
        <w:ind w:right="260"/>
        <w:spacing w:after="0" w:line="253" w:lineRule="auto"/>
        <w:rPr>
          <w:sz w:val="20"/>
          <w:szCs w:val="20"/>
          <w:color w:val="auto"/>
        </w:rPr>
      </w:pPr>
      <w:r>
        <w:rPr>
          <w:rFonts w:ascii="Arial" w:cs="Arial" w:eastAsia="Arial" w:hAnsi="Arial"/>
          <w:sz w:val="14"/>
          <w:szCs w:val="14"/>
          <w:color w:val="auto"/>
        </w:rPr>
        <w:t>Board of Directors, independent legal counsel, or its stockholders) to have made a determination prior to the commencement of such action that indemnification of the claimant is proper under the circumstances because he has met the applicable standard of conduct set forth in the Delaware General Corporation Law, nor an actual determination by the corporation (including its Board of Directors, independent legal counsel, or its stockholders) that the claimant had not met such applicable standard of conduct, shall be a defense to the action or create a presumption that claimant has not met the applicable standard of conduct.</w:t>
      </w:r>
    </w:p>
    <w:p>
      <w:pPr>
        <w:spacing w:after="0" w:line="14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9.4</w:t>
      </w:r>
      <w:r>
        <w:rPr>
          <w:sz w:val="20"/>
          <w:szCs w:val="20"/>
          <w:color w:val="auto"/>
        </w:rPr>
        <w:tab/>
      </w:r>
      <w:r>
        <w:rPr>
          <w:rFonts w:ascii="Arial" w:cs="Arial" w:eastAsia="Arial" w:hAnsi="Arial"/>
          <w:sz w:val="12"/>
          <w:szCs w:val="12"/>
          <w:b w:val="1"/>
          <w:bCs w:val="1"/>
          <w:color w:val="auto"/>
        </w:rPr>
        <w:t>Provisions Nonexclusive.</w:t>
      </w:r>
    </w:p>
    <w:p>
      <w:pPr>
        <w:spacing w:after="0" w:line="174" w:lineRule="exact"/>
        <w:rPr>
          <w:sz w:val="20"/>
          <w:szCs w:val="20"/>
          <w:color w:val="auto"/>
        </w:rPr>
      </w:pPr>
    </w:p>
    <w:p>
      <w:pPr>
        <w:ind w:firstLine="497"/>
        <w:spacing w:after="0" w:line="286" w:lineRule="auto"/>
        <w:rPr>
          <w:sz w:val="20"/>
          <w:szCs w:val="20"/>
          <w:color w:val="auto"/>
        </w:rPr>
      </w:pPr>
      <w:r>
        <w:rPr>
          <w:rFonts w:ascii="Arial" w:cs="Arial" w:eastAsia="Arial" w:hAnsi="Arial"/>
          <w:sz w:val="13"/>
          <w:szCs w:val="13"/>
          <w:color w:val="auto"/>
        </w:rPr>
        <w:t>The rights conferred on any person by this Article shall not be exclusive of any other rights that such person may have or hereafter acquire under any statute, provision of the Certificate of Incorporation, agreement, vote of stockholders or disinterested directors, or otherwise, both as to action in an official capacity and as to action in another capacity while holding such office. To the extent that any provision of the Certificate, agreement, or vote of the stockholders or disinterested directors is inconsistent with these Bylaws, the provision, agreement, or vote shall take precedence.</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9.5</w:t>
      </w:r>
      <w:r>
        <w:rPr>
          <w:sz w:val="20"/>
          <w:szCs w:val="20"/>
          <w:color w:val="auto"/>
        </w:rPr>
        <w:tab/>
      </w:r>
      <w:r>
        <w:rPr>
          <w:rFonts w:ascii="Arial" w:cs="Arial" w:eastAsia="Arial" w:hAnsi="Arial"/>
          <w:sz w:val="12"/>
          <w:szCs w:val="12"/>
          <w:b w:val="1"/>
          <w:bCs w:val="1"/>
          <w:color w:val="auto"/>
        </w:rPr>
        <w:t>Authority to Insure.</w:t>
      </w:r>
    </w:p>
    <w:p>
      <w:pPr>
        <w:spacing w:after="0" w:line="174" w:lineRule="exact"/>
        <w:rPr>
          <w:sz w:val="20"/>
          <w:szCs w:val="20"/>
          <w:color w:val="auto"/>
        </w:rPr>
      </w:pPr>
    </w:p>
    <w:p>
      <w:pPr>
        <w:ind w:firstLine="497"/>
        <w:spacing w:after="0" w:line="267" w:lineRule="auto"/>
        <w:rPr>
          <w:sz w:val="20"/>
          <w:szCs w:val="20"/>
          <w:color w:val="auto"/>
        </w:rPr>
      </w:pPr>
      <w:r>
        <w:rPr>
          <w:rFonts w:ascii="Arial" w:cs="Arial" w:eastAsia="Arial" w:hAnsi="Arial"/>
          <w:sz w:val="14"/>
          <w:szCs w:val="14"/>
          <w:color w:val="auto"/>
        </w:rPr>
        <w:t>The corporation may purchase and maintain insurance to protect itself and any Agent against any Expense, whether or not the corporation would have the power to indemnify the Agent against such Expense under applicable law or the provisions of this Article.</w:t>
      </w:r>
    </w:p>
    <w:p>
      <w:pPr>
        <w:spacing w:after="0" w:line="135"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9.6</w:t>
      </w:r>
      <w:r>
        <w:rPr>
          <w:sz w:val="20"/>
          <w:szCs w:val="20"/>
          <w:color w:val="auto"/>
        </w:rPr>
        <w:tab/>
      </w:r>
      <w:r>
        <w:rPr>
          <w:rFonts w:ascii="Arial" w:cs="Arial" w:eastAsia="Arial" w:hAnsi="Arial"/>
          <w:sz w:val="12"/>
          <w:szCs w:val="12"/>
          <w:b w:val="1"/>
          <w:bCs w:val="1"/>
          <w:color w:val="auto"/>
        </w:rPr>
        <w:t>Survival of Rights.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rights provided by this Article shall continue as to a person who has ceased to be an Agent and shall inure to the benefit of the heirs, executors, and administrators of such a person.</w:t>
      </w:r>
    </w:p>
    <w:p>
      <w:pPr>
        <w:spacing w:after="0" w:line="178"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9.7</w:t>
      </w:r>
      <w:r>
        <w:rPr>
          <w:sz w:val="20"/>
          <w:szCs w:val="20"/>
          <w:color w:val="auto"/>
        </w:rPr>
        <w:tab/>
      </w:r>
      <w:r>
        <w:rPr>
          <w:rFonts w:ascii="Arial" w:cs="Arial" w:eastAsia="Arial" w:hAnsi="Arial"/>
          <w:sz w:val="12"/>
          <w:szCs w:val="12"/>
          <w:b w:val="1"/>
          <w:bCs w:val="1"/>
          <w:color w:val="auto"/>
        </w:rPr>
        <w:t>Settlement of Claims.</w:t>
      </w:r>
    </w:p>
    <w:p>
      <w:pPr>
        <w:spacing w:after="0" w:line="174" w:lineRule="exact"/>
        <w:rPr>
          <w:sz w:val="20"/>
          <w:szCs w:val="20"/>
          <w:color w:val="auto"/>
        </w:rPr>
      </w:pPr>
    </w:p>
    <w:p>
      <w:pPr>
        <w:ind w:right="80" w:firstLine="497"/>
        <w:spacing w:after="0" w:line="352" w:lineRule="auto"/>
        <w:rPr>
          <w:sz w:val="20"/>
          <w:szCs w:val="20"/>
          <w:color w:val="auto"/>
        </w:rPr>
      </w:pPr>
      <w:r>
        <w:rPr>
          <w:rFonts w:ascii="Arial" w:cs="Arial" w:eastAsia="Arial" w:hAnsi="Arial"/>
          <w:sz w:val="12"/>
          <w:szCs w:val="12"/>
          <w:color w:val="auto"/>
        </w:rPr>
        <w:t>The corporation shall not be liable to indemnify any Agent under this Article (a) for any amounts paid in settlement of any action or claim effected without the corporation’s written consent, which consent shall not be unreasonably withheld; or (b) for any judicial award if the corporation was not given a reasonable and timely opportunity, at its expense, to participate in the defense of such action.</w:t>
      </w:r>
    </w:p>
    <w:p>
      <w:pPr>
        <w:spacing w:after="0" w:line="88"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9.8</w:t>
      </w:r>
      <w:r>
        <w:rPr>
          <w:sz w:val="20"/>
          <w:szCs w:val="20"/>
          <w:color w:val="auto"/>
        </w:rPr>
        <w:tab/>
      </w:r>
      <w:r>
        <w:rPr>
          <w:rFonts w:ascii="Arial" w:cs="Arial" w:eastAsia="Arial" w:hAnsi="Arial"/>
          <w:sz w:val="12"/>
          <w:szCs w:val="12"/>
          <w:b w:val="1"/>
          <w:bCs w:val="1"/>
          <w:color w:val="auto"/>
        </w:rPr>
        <w:t>Effect of Amendment.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Any amendment, repeal, or modification of this Article shall not adversely affect any right or protection of any Agent existing at the time of such amendment, repeal, or modification.</w:t>
      </w:r>
    </w:p>
    <w:p>
      <w:pPr>
        <w:spacing w:after="0" w:line="178"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Section 9.9</w:t>
      </w:r>
      <w:r>
        <w:rPr>
          <w:sz w:val="20"/>
          <w:szCs w:val="20"/>
          <w:color w:val="auto"/>
        </w:rPr>
        <w:tab/>
      </w:r>
      <w:r>
        <w:rPr>
          <w:rFonts w:ascii="Arial" w:cs="Arial" w:eastAsia="Arial" w:hAnsi="Arial"/>
          <w:sz w:val="12"/>
          <w:szCs w:val="12"/>
          <w:b w:val="1"/>
          <w:bCs w:val="1"/>
          <w:color w:val="auto"/>
        </w:rPr>
        <w:t>Subrogation.</w:t>
      </w:r>
    </w:p>
    <w:p>
      <w:pPr>
        <w:spacing w:after="0" w:line="174" w:lineRule="exact"/>
        <w:rPr>
          <w:sz w:val="20"/>
          <w:szCs w:val="20"/>
          <w:color w:val="auto"/>
        </w:rPr>
      </w:pPr>
    </w:p>
    <w:p>
      <w:pPr>
        <w:ind w:right="160" w:firstLine="497"/>
        <w:spacing w:after="0" w:line="352" w:lineRule="auto"/>
        <w:rPr>
          <w:sz w:val="20"/>
          <w:szCs w:val="20"/>
          <w:color w:val="auto"/>
        </w:rPr>
      </w:pPr>
      <w:r>
        <w:rPr>
          <w:rFonts w:ascii="Arial" w:cs="Arial" w:eastAsia="Arial" w:hAnsi="Arial"/>
          <w:sz w:val="12"/>
          <w:szCs w:val="12"/>
          <w:color w:val="auto"/>
        </w:rPr>
        <w:t>In the event of payment under this Article, the corporation shall be subrogated to the extent of such payment to all of the rights of recovery of the Agent, who shall execute all papers required and shall do everything that may be necessary to secure such rights, including the execution of such documents necessary to enable the corporation effectively to bring suit to enforce such rights.</w:t>
      </w:r>
    </w:p>
    <w:p>
      <w:pPr>
        <w:spacing w:after="0" w:line="88"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Section 9.10</w:t>
      </w:r>
      <w:r>
        <w:rPr>
          <w:sz w:val="20"/>
          <w:szCs w:val="20"/>
          <w:color w:val="auto"/>
        </w:rPr>
        <w:tab/>
      </w:r>
      <w:r>
        <w:rPr>
          <w:rFonts w:ascii="Arial" w:cs="Arial" w:eastAsia="Arial" w:hAnsi="Arial"/>
          <w:sz w:val="12"/>
          <w:szCs w:val="12"/>
          <w:b w:val="1"/>
          <w:bCs w:val="1"/>
          <w:color w:val="auto"/>
        </w:rPr>
        <w:t>No Duplication of Payments.</w:t>
      </w:r>
    </w:p>
    <w:p>
      <w:pPr>
        <w:spacing w:after="0" w:line="174" w:lineRule="exact"/>
        <w:rPr>
          <w:sz w:val="20"/>
          <w:szCs w:val="20"/>
          <w:color w:val="auto"/>
        </w:rPr>
      </w:pPr>
    </w:p>
    <w:p>
      <w:pPr>
        <w:ind w:right="260" w:firstLine="497"/>
        <w:spacing w:after="0" w:line="267" w:lineRule="auto"/>
        <w:rPr>
          <w:sz w:val="20"/>
          <w:szCs w:val="20"/>
          <w:color w:val="auto"/>
        </w:rPr>
      </w:pPr>
      <w:r>
        <w:rPr>
          <w:rFonts w:ascii="Arial" w:cs="Arial" w:eastAsia="Arial" w:hAnsi="Arial"/>
          <w:sz w:val="14"/>
          <w:szCs w:val="14"/>
          <w:color w:val="auto"/>
        </w:rPr>
        <w:t>The corporation shall not be liable under this Article to make any payment in connection with any claim made against the Agent to the extent the Agent has otherwise actually received payment (under any insurance policy, agreement, vote, or otherwise) of the amounts otherwise indemnifiable hereunder.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10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Notices</w:t>
      </w:r>
    </w:p>
    <w:p>
      <w:pPr>
        <w:spacing w:after="0" w:line="174" w:lineRule="exact"/>
        <w:rPr>
          <w:sz w:val="20"/>
          <w:szCs w:val="20"/>
          <w:color w:val="auto"/>
        </w:rPr>
      </w:pPr>
    </w:p>
    <w:p>
      <w:pPr>
        <w:ind w:right="40" w:firstLine="497"/>
        <w:spacing w:after="0" w:line="253" w:lineRule="auto"/>
        <w:rPr>
          <w:sz w:val="20"/>
          <w:szCs w:val="20"/>
          <w:color w:val="auto"/>
        </w:rPr>
      </w:pPr>
      <w:r>
        <w:rPr>
          <w:rFonts w:ascii="Arial" w:cs="Arial" w:eastAsia="Arial" w:hAnsi="Arial"/>
          <w:sz w:val="14"/>
          <w:szCs w:val="14"/>
          <w:color w:val="auto"/>
        </w:rPr>
        <w:t>Whenever, under any provisions of these Bylaws, notice is required to be given to any stockholder, the same shall be given either (1) in writing, timely and duly deposited in the United States Mail, postage prepaid, and addressed to his last known post office address as shown by the stock record of the corporation or its transfer agent, or (2) by a means of electronic transmission that satisfies the requirements of Section 2.4(e) of these Bylaws, and has been consented to by the stockholder to whom the notice is given. Any notice required to be given to any director may be given by either of the methods hereinabove</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20" w:top="481" w:right="279" w:bottom="1440" w:gutter="0" w:footer="0" w:header="0"/>
        </w:sectPr>
      </w:pPr>
    </w:p>
    <w:bookmarkStart w:id="176" w:name="page177"/>
    <w:bookmarkEnd w:id="176"/>
    <w:p>
      <w:pPr>
        <w:spacing w:after="0" w:line="292" w:lineRule="auto"/>
        <w:rPr>
          <w:sz w:val="20"/>
          <w:szCs w:val="20"/>
          <w:color w:val="auto"/>
        </w:rPr>
      </w:pPr>
      <w:r>
        <w:rPr>
          <w:rFonts w:ascii="Arial" w:cs="Arial" w:eastAsia="Arial" w:hAnsi="Arial"/>
          <w:sz w:val="12"/>
          <w:szCs w:val="12"/>
          <w:color w:val="auto"/>
        </w:rPr>
        <w:t>stated, except that such notice other than one which is delivered personally, shall be sent to such address or (in the case of electronic communication) such e-mail address, facsimile telephone number or other form of electronic address as such director shall have filed in writing or by electronic communication with the Secretary of the corporation, or, in the absence of such filing, to the last known post office address of such director. If no address of a stockholder or director be known, such notice may be sent to the office of the corporation required to be maintained pursuant to Section 1.2 of Article I hereof. An affidavit of mailing, executed by a duly authorized and competent employee of the corporation or its transfer agent appointed with respect to the class of stock affected, specifying the name and address or the names and addresses of the stockholder or stockholders, director or directors, to whom any such notice or notices was or were given, and the time and method of giving the same, shall be conclusive evidence of the statements therein contained. All notices given by mail, as above provided, shall be deemed to have been given as at the time of mailing and all notices given by means of electronic transmission shall be deemed to have been given as at the sending time recorded by the electronic transmission equipment operator transmitting the same. It shall not be necessary that the same method of giving notice be employed in respect of all directors, but one permissible method may be employed in respect of any one or more, and any other permissible method or methods may be employed in respect of any other or others.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a stockholder or such director to receive such notice. Whenever any notice is required to be given under the provisions of the statutes or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11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Amendments</w:t>
      </w:r>
    </w:p>
    <w:p>
      <w:pPr>
        <w:spacing w:after="0" w:line="174" w:lineRule="exact"/>
        <w:rPr>
          <w:sz w:val="20"/>
          <w:szCs w:val="20"/>
          <w:color w:val="auto"/>
        </w:rPr>
      </w:pPr>
    </w:p>
    <w:p>
      <w:pPr>
        <w:ind w:right="200" w:firstLine="497"/>
        <w:spacing w:after="0" w:line="253" w:lineRule="auto"/>
        <w:rPr>
          <w:sz w:val="20"/>
          <w:szCs w:val="20"/>
          <w:color w:val="auto"/>
        </w:rPr>
      </w:pPr>
      <w:r>
        <w:rPr>
          <w:rFonts w:ascii="Arial" w:cs="Arial" w:eastAsia="Arial" w:hAnsi="Arial"/>
          <w:sz w:val="14"/>
          <w:szCs w:val="14"/>
          <w:color w:val="auto"/>
        </w:rPr>
        <w:t>These Bylaws may be repealed, altered or amended or new Bylaws adopted at any meeting of the stockholders, either annual or special, by the affirmative vote of at least sixty-six and two-thirds percent (66-2/3%) of the stock entitled to vote at such meeting, unless a larger vote is required by these Bylaws or the Certificate of Incorporation. The Board of Directors shall also have the authority to repeal, alter or amend these Bylaws or adopt new Bylaws by unanimous written consent or at any annual, regular, or special meeting by the affirmative vote of a majority of the whole number of directors, subject to the power of the stockholders to change or repeal such Bylaws.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12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Forum for Certain Actions</w:t>
      </w:r>
    </w:p>
    <w:p>
      <w:pPr>
        <w:spacing w:after="0" w:line="174" w:lineRule="exact"/>
        <w:rPr>
          <w:sz w:val="20"/>
          <w:szCs w:val="20"/>
          <w:color w:val="auto"/>
        </w:rPr>
      </w:pPr>
    </w:p>
    <w:p>
      <w:pPr>
        <w:ind w:right="40"/>
        <w:spacing w:after="0" w:line="274" w:lineRule="auto"/>
        <w:rPr>
          <w:sz w:val="20"/>
          <w:szCs w:val="20"/>
          <w:color w:val="auto"/>
        </w:rPr>
      </w:pPr>
      <w:r>
        <w:rPr>
          <w:rFonts w:ascii="Arial" w:cs="Arial" w:eastAsia="Arial" w:hAnsi="Arial"/>
          <w:sz w:val="13"/>
          <w:szCs w:val="13"/>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Delaware General Corporation Law or the Amended and Restated Certificate of Incorporation or Bylaws, or (iv) any action involving the internal affairs doctrine shall be the Court of Chancery of the State of Delaware or, if the Court of Chancery determines it does not have jurisdiction, in another state or the federal court located within the State of Delaware, in all cases subject to the court’s having personal jurisdiction over the indispensable parties named as defendants. Any person or entity purchasing or otherwise acquiring any interest in shares of capital stock of the corporation shall be deemed to have notice of and consented to the provisions of this Article XII.</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0"/>
          </w:cols>
          <w:pgMar w:left="220" w:top="481" w:right="239" w:bottom="1440"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299085</wp:posOffset>
            </wp:positionV>
            <wp:extent cx="7223760" cy="5236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3760" cy="5236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417830</wp:posOffset>
            </wp:positionV>
            <wp:extent cx="7223760" cy="5236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3760" cy="5236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b w:val="1"/>
          <w:bCs w:val="1"/>
          <w:color w:val="auto"/>
        </w:rPr>
        <w:t>Exhibit 21.1</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3960" w:type="dxa"/>
            <w:vAlign w:val="bottom"/>
          </w:tcPr>
          <w:p>
            <w:pPr>
              <w:spacing w:after="0"/>
              <w:rPr>
                <w:sz w:val="15"/>
                <w:szCs w:val="15"/>
                <w:color w:val="auto"/>
              </w:rPr>
            </w:pPr>
          </w:p>
        </w:tc>
        <w:tc>
          <w:tcPr>
            <w:tcW w:w="7120" w:type="dxa"/>
            <w:vAlign w:val="bottom"/>
            <w:gridSpan w:val="2"/>
          </w:tcPr>
          <w:p>
            <w:pPr>
              <w:ind w:left="1000"/>
              <w:spacing w:after="0"/>
              <w:rPr>
                <w:sz w:val="20"/>
                <w:szCs w:val="20"/>
                <w:color w:val="auto"/>
              </w:rPr>
            </w:pPr>
            <w:r>
              <w:rPr>
                <w:rFonts w:ascii="Arial" w:cs="Arial" w:eastAsia="Arial" w:hAnsi="Arial"/>
                <w:sz w:val="14"/>
                <w:szCs w:val="14"/>
                <w:b w:val="1"/>
                <w:bCs w:val="1"/>
                <w:color w:val="auto"/>
              </w:rPr>
              <w:t>List of Subsidiaries</w:t>
            </w:r>
          </w:p>
        </w:tc>
      </w:tr>
      <w:tr>
        <w:trPr>
          <w:trHeight w:val="571"/>
        </w:trPr>
        <w:tc>
          <w:tcPr>
            <w:tcW w:w="3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r>
        <w:trPr>
          <w:trHeight w:val="199"/>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Ai Metrix, Inc.</w:t>
            </w:r>
          </w:p>
        </w:tc>
        <w:tc>
          <w:tcPr>
            <w:tcW w:w="1600" w:type="dxa"/>
            <w:vAlign w:val="bottom"/>
            <w:tcBorders>
              <w:bottom w:val="single" w:sz="8" w:color="auto"/>
              <w:right w:val="single" w:sz="8" w:color="auto"/>
            </w:tcBorders>
          </w:tcPr>
          <w:p>
            <w:pPr>
              <w:spacing w:after="0"/>
              <w:rPr>
                <w:sz w:val="17"/>
                <w:szCs w:val="17"/>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Airorlite Communications,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New Jersey</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Avtec Systems,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Virginia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BSC Partners, LLC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New York</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Charleston Marine Containers,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Composite Engineering,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California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Kratos Systems and Solutions,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Virginia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Dallastown Realty I, LLC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Dallastown Realty II, LLC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Defense Systems, Incorporated</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Virginia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DEI Services Corporation</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Florida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DFI Realty, LLC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Florida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Digital Fusion Solutions,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Florida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Digital Fusion,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Diversified Security Solutions,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New York</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DTI Associates,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Virginia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General Microwave Israel (1987) Ltd.</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Israel</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General Microwave Israel Corporation</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General Microwave Corporation</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New York</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Gichner Europe Limited</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United Kingdom</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Gichner Systems Group,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Gichner Systems International,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Haverstick Consulting,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Indiana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Haverstick Government Solutions,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Ohio</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Henry Bros. Electronics,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California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Henry Bros. Electronics,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Colorado</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Henry Bros. Electronics,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Henry Bros. Electronics,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New Jersey</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Henry Bros. Electronics, LLC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Arizona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GMI Eyal Ltd.</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Israel</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HGS Holdings,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Indiana</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Kratos Holdings UK Ltd.</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United Kingdom</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Kratos Integral Systems International Ltd.</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United Kingdom</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Kratos Integral Systems Europe S.A.S.</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France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JMA Associates,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KPSS Government Solutions,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Kratos Defense &amp; Rocket Support Services, Inc.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3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Kratos Integral Holdings, LLC</w:t>
            </w:r>
          </w:p>
        </w:tc>
        <w:tc>
          <w:tcPr>
            <w:tcW w:w="1600" w:type="dxa"/>
            <w:vAlign w:val="bottom"/>
            <w:tcBorders>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Maryland</w:t>
            </w:r>
          </w:p>
        </w:tc>
      </w:tr>
    </w:tbl>
    <w:p>
      <w:pPr>
        <w:sectPr>
          <w:pgSz w:w="11900" w:h="16838" w:orient="portrait"/>
          <w:cols w:equalWidth="0" w:num="1">
            <w:col w:w="11260"/>
          </w:cols>
          <w:pgMar w:left="420" w:top="135" w:right="219" w:bottom="1440" w:gutter="0" w:footer="0" w:header="0"/>
        </w:sectPr>
      </w:pPr>
    </w:p>
    <w:bookmarkStart w:id="181" w:name="page182"/>
    <w:bookmarkEnd w:id="1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5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Integral Systems International, Inc.</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California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Networks,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Norway AS</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Norway</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Public Safety &amp; Security Solutions,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Saudi Arabia, Ltd.</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Saudi Arabia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Southeast,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Georgia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Southwest L.P.</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Texas</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Technology &amp; Training Solutions,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California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Texas,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Texas</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Unmanned Systems Solutions,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Kratos Space &amp; Missile Defense Systems,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Carlsbad ISI,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Maryland</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LVDM,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Nevada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Madison Research Corporation</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Alabama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Micro Systems,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Florida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MSI Acquisition Corp.</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National Safe of California,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California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Polexis,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California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Reality Based IT Services Ltd.</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Maryland</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RealTime Logic,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Colorado</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Rocket Support Services, LLC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Indiana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SAT Corporation</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California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Satguard AS</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Norway</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SCT Acquisition, LLC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SCT Real Estate, LLC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SecureInfo Corporation</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Shadow 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California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Shadow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California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Summit Research Corporation</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Alabama</w:t>
            </w:r>
          </w:p>
        </w:tc>
      </w:tr>
      <w:tr>
        <w:trPr>
          <w:trHeight w:val="208"/>
        </w:trPr>
        <w:tc>
          <w:tcPr>
            <w:tcW w:w="5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WFI NMC Corp.</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Delaware</w:t>
            </w:r>
          </w:p>
        </w:tc>
      </w:tr>
    </w:tbl>
    <w:p>
      <w:pPr>
        <w:sectPr>
          <w:pgSz w:w="11900" w:h="16838" w:orient="portrait"/>
          <w:cols w:equalWidth="0" w:num="1">
            <w:col w:w="11080"/>
          </w:cols>
          <w:pgMar w:left="420" w:top="409" w:right="399" w:bottom="1440" w:gutter="0" w:footer="0" w:header="0"/>
        </w:sectPr>
      </w:pPr>
    </w:p>
    <w:bookmarkStart w:id="182" w:name="page183"/>
    <w:bookmarkEnd w:id="182"/>
    <w:p>
      <w:pPr>
        <w:jc w:val="right"/>
        <w:spacing w:after="0"/>
        <w:rPr>
          <w:sz w:val="20"/>
          <w:szCs w:val="20"/>
          <w:color w:val="auto"/>
        </w:rPr>
      </w:pPr>
      <w:r>
        <w:rPr>
          <w:rFonts w:ascii="Arial" w:cs="Arial" w:eastAsia="Arial" w:hAnsi="Arial"/>
          <w:sz w:val="14"/>
          <w:szCs w:val="14"/>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74"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color w:val="auto"/>
        </w:rPr>
        <w:t>We consent to the incorporation by reference in Registration Statement Nos. 333-53014, 333-71618, 333-74108, and 333-198266 on Form S-3, Registration Statement Nos. 333-150165, 333-155604, 333-167840, 333-174745, 333-174760, 333-177493, and 333-198265 on Form S-4, and Registration Statement Nos. 333-54818, 333-71702, 333-90455, 333-91852, 333-116903, 333-124957, 333-127060, 333-155317, 333-157826, 333-167839, 333-171257, 333-173383, 333-177494, 333-179977, 333-182910, 333-191156, 333-198268, and 333-206620 on Form S-8 of our report dated February 27, 2017, relating to the consolidated financial statements of Kratos Defense &amp; Security Solutions, Inc. (the “Company”), and the effectiveness of the Company's internal control over financial reporting, appearing in this Annual Report on Form 10-K of the Company for the fiscal year ended December 25, 2016.</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/s/ </w:t>
      </w:r>
      <w:r>
        <w:rPr>
          <w:rFonts w:ascii="Arial" w:cs="Arial" w:eastAsia="Arial" w:hAnsi="Arial"/>
          <w:sz w:val="14"/>
          <w:szCs w:val="14"/>
          <w:color w:val="auto"/>
        </w:rPr>
        <w:t>DELOITTE &amp; TOUCHE LLP</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February 27, 2017</w:t>
      </w:r>
    </w:p>
    <w:p>
      <w:pPr>
        <w:sectPr>
          <w:pgSz w:w="11900" w:h="16838" w:orient="portrait"/>
          <w:cols w:equalWidth="0" w:num="1">
            <w:col w:w="11460"/>
          </w:cols>
          <w:pgMar w:left="220" w:top="125" w:right="2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I, Eric M. DeMarco, certify that:</w:t>
      </w:r>
    </w:p>
    <w:p>
      <w:pPr>
        <w:spacing w:after="0" w:line="152" w:lineRule="exact"/>
        <w:rPr>
          <w:sz w:val="20"/>
          <w:szCs w:val="20"/>
          <w:color w:val="auto"/>
        </w:rPr>
      </w:pPr>
    </w:p>
    <w:p>
      <w:pPr>
        <w:ind w:left="500" w:hanging="497"/>
        <w:spacing w:after="0"/>
        <w:tabs>
          <w:tab w:leader="none" w:pos="5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Kratos Defense &amp; Security Solutions, Inc.;</w:t>
      </w:r>
    </w:p>
    <w:p>
      <w:pPr>
        <w:spacing w:after="0" w:line="16" w:lineRule="exact"/>
        <w:rPr>
          <w:rFonts w:ascii="Arial" w:cs="Arial" w:eastAsia="Arial" w:hAnsi="Arial"/>
          <w:sz w:val="12"/>
          <w:szCs w:val="12"/>
          <w:color w:val="auto"/>
        </w:rPr>
      </w:pPr>
    </w:p>
    <w:p>
      <w:pPr>
        <w:ind w:left="500" w:right="500" w:hanging="497"/>
        <w:spacing w:after="0" w:line="252" w:lineRule="auto"/>
        <w:tabs>
          <w:tab w:leader="none" w:pos="5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00" w:right="80" w:hanging="497"/>
        <w:spacing w:after="0" w:line="252" w:lineRule="auto"/>
        <w:tabs>
          <w:tab w:leader="none" w:pos="5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140" w:hanging="497"/>
        <w:spacing w:after="0" w:line="267" w:lineRule="auto"/>
        <w:tabs>
          <w:tab w:leader="none" w:pos="5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2"/>
          <w:szCs w:val="12"/>
          <w:color w:val="auto"/>
        </w:rPr>
      </w:pPr>
    </w:p>
    <w:p>
      <w:pPr>
        <w:ind w:left="1000" w:right="40" w:hanging="500"/>
        <w:spacing w:after="0" w:line="260" w:lineRule="auto"/>
        <w:tabs>
          <w:tab w:leader="none" w:pos="100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00" w:right="100" w:hanging="500"/>
        <w:spacing w:after="0" w:line="252" w:lineRule="auto"/>
        <w:tabs>
          <w:tab w:leader="none" w:pos="100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00" w:hanging="500"/>
        <w:spacing w:after="0" w:line="252" w:lineRule="auto"/>
        <w:tabs>
          <w:tab w:leader="none" w:pos="100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00" w:right="40" w:hanging="500"/>
        <w:spacing w:after="0" w:line="267" w:lineRule="auto"/>
        <w:tabs>
          <w:tab w:leader="none" w:pos="1031" w:val="left"/>
        </w:tabs>
        <w:numPr>
          <w:ilvl w:val="1"/>
          <w:numId w:val="12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2"/>
          <w:szCs w:val="12"/>
          <w:color w:val="auto"/>
        </w:rPr>
      </w:pPr>
    </w:p>
    <w:p>
      <w:pPr>
        <w:ind w:left="500" w:right="60" w:hanging="497"/>
        <w:spacing w:after="0" w:line="284" w:lineRule="auto"/>
        <w:tabs>
          <w:tab w:leader="none" w:pos="5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2"/>
          <w:szCs w:val="12"/>
          <w:color w:val="auto"/>
        </w:rPr>
      </w:pPr>
    </w:p>
    <w:p>
      <w:pPr>
        <w:ind w:left="1000" w:right="20" w:hanging="500"/>
        <w:spacing w:after="0" w:line="260" w:lineRule="auto"/>
        <w:tabs>
          <w:tab w:leader="none" w:pos="100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00" w:hanging="500"/>
        <w:spacing w:after="0"/>
        <w:tabs>
          <w:tab w:leader="none" w:pos="100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27, 2017</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KRATOS DEFENSE &amp; SECURITY SOLUTIONS, INC.</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28575</wp:posOffset>
            </wp:positionV>
            <wp:extent cx="351091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10915" cy="6350"/>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Eric M. DeMarco</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Chief Executive Officer, President</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460"/>
          </w:cols>
          <w:pgMar w:left="220" w:top="481" w:right="2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2"/>
          <w:szCs w:val="12"/>
          <w:b w:val="1"/>
          <w:bCs w:val="1"/>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I, Deanna H. Lund, certify that:</w:t>
      </w:r>
    </w:p>
    <w:p>
      <w:pPr>
        <w:spacing w:after="0" w:line="158" w:lineRule="exact"/>
        <w:rPr>
          <w:sz w:val="20"/>
          <w:szCs w:val="20"/>
          <w:color w:val="auto"/>
        </w:rPr>
      </w:pPr>
    </w:p>
    <w:p>
      <w:pPr>
        <w:ind w:left="500" w:hanging="497"/>
        <w:spacing w:after="0"/>
        <w:tabs>
          <w:tab w:leader="none" w:pos="500" w:val="left"/>
        </w:tabs>
        <w:numPr>
          <w:ilvl w:val="0"/>
          <w:numId w:val="123"/>
        </w:numPr>
        <w:rPr>
          <w:rFonts w:ascii="Arial" w:cs="Arial" w:eastAsia="Arial" w:hAnsi="Arial"/>
          <w:sz w:val="14"/>
          <w:szCs w:val="14"/>
          <w:color w:val="auto"/>
        </w:rPr>
      </w:pPr>
      <w:r>
        <w:rPr>
          <w:rFonts w:ascii="Arial" w:cs="Arial" w:eastAsia="Arial" w:hAnsi="Arial"/>
          <w:sz w:val="12"/>
          <w:szCs w:val="12"/>
          <w:color w:val="auto"/>
        </w:rPr>
        <w:t>I have reviewed this Annual report on Form 10-K of Kratos Defense &amp; Security Solutions, Inc.;</w:t>
      </w:r>
    </w:p>
    <w:p>
      <w:pPr>
        <w:spacing w:after="0" w:line="8" w:lineRule="exact"/>
        <w:rPr>
          <w:rFonts w:ascii="Arial" w:cs="Arial" w:eastAsia="Arial" w:hAnsi="Arial"/>
          <w:sz w:val="14"/>
          <w:szCs w:val="14"/>
          <w:color w:val="auto"/>
        </w:rPr>
      </w:pPr>
    </w:p>
    <w:p>
      <w:pPr>
        <w:ind w:left="500" w:right="500" w:hanging="497"/>
        <w:spacing w:after="0" w:line="258" w:lineRule="auto"/>
        <w:tabs>
          <w:tab w:leader="none" w:pos="500" w:val="left"/>
        </w:tabs>
        <w:numPr>
          <w:ilvl w:val="0"/>
          <w:numId w:val="123"/>
        </w:numPr>
        <w:rPr>
          <w:rFonts w:ascii="Arial" w:cs="Arial" w:eastAsia="Arial" w:hAnsi="Arial"/>
          <w:sz w:val="14"/>
          <w:szCs w:val="14"/>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4"/>
          <w:szCs w:val="14"/>
          <w:color w:val="auto"/>
        </w:rPr>
      </w:pPr>
    </w:p>
    <w:p>
      <w:pPr>
        <w:ind w:left="500" w:right="80" w:hanging="497"/>
        <w:spacing w:after="0" w:line="258" w:lineRule="auto"/>
        <w:tabs>
          <w:tab w:leader="none" w:pos="500" w:val="left"/>
        </w:tabs>
        <w:numPr>
          <w:ilvl w:val="0"/>
          <w:numId w:val="123"/>
        </w:numPr>
        <w:rPr>
          <w:rFonts w:ascii="Arial" w:cs="Arial" w:eastAsia="Arial" w:hAnsi="Arial"/>
          <w:sz w:val="14"/>
          <w:szCs w:val="14"/>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Arial" w:cs="Arial" w:eastAsia="Arial" w:hAnsi="Arial"/>
          <w:sz w:val="14"/>
          <w:szCs w:val="14"/>
          <w:color w:val="auto"/>
        </w:rPr>
      </w:pPr>
    </w:p>
    <w:p>
      <w:pPr>
        <w:ind w:left="500" w:right="140" w:hanging="497"/>
        <w:spacing w:after="0" w:line="280" w:lineRule="auto"/>
        <w:tabs>
          <w:tab w:leader="none" w:pos="500" w:val="left"/>
        </w:tabs>
        <w:numPr>
          <w:ilvl w:val="0"/>
          <w:numId w:val="123"/>
        </w:numPr>
        <w:rPr>
          <w:rFonts w:ascii="Arial" w:cs="Arial" w:eastAsia="Arial" w:hAnsi="Arial"/>
          <w:sz w:val="14"/>
          <w:szCs w:val="14"/>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4"/>
          <w:szCs w:val="14"/>
          <w:color w:val="auto"/>
        </w:rPr>
      </w:pPr>
    </w:p>
    <w:p>
      <w:pPr>
        <w:ind w:left="1000" w:right="40" w:hanging="500"/>
        <w:spacing w:after="0" w:line="258" w:lineRule="auto"/>
        <w:tabs>
          <w:tab w:leader="none" w:pos="1000" w:val="left"/>
        </w:tabs>
        <w:numPr>
          <w:ilvl w:val="1"/>
          <w:numId w:val="123"/>
        </w:numPr>
        <w:rPr>
          <w:rFonts w:ascii="Arial" w:cs="Arial" w:eastAsia="Arial" w:hAnsi="Arial"/>
          <w:sz w:val="14"/>
          <w:szCs w:val="14"/>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Arial" w:cs="Arial" w:eastAsia="Arial" w:hAnsi="Arial"/>
          <w:sz w:val="14"/>
          <w:szCs w:val="14"/>
          <w:color w:val="auto"/>
        </w:rPr>
      </w:pPr>
    </w:p>
    <w:p>
      <w:pPr>
        <w:ind w:left="1000" w:right="100" w:hanging="500"/>
        <w:spacing w:after="0" w:line="258" w:lineRule="auto"/>
        <w:tabs>
          <w:tab w:leader="none" w:pos="1000" w:val="left"/>
        </w:tabs>
        <w:numPr>
          <w:ilvl w:val="1"/>
          <w:numId w:val="123"/>
        </w:numPr>
        <w:rPr>
          <w:rFonts w:ascii="Arial" w:cs="Arial" w:eastAsia="Arial" w:hAnsi="Arial"/>
          <w:sz w:val="14"/>
          <w:szCs w:val="14"/>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Arial" w:cs="Arial" w:eastAsia="Arial" w:hAnsi="Arial"/>
          <w:sz w:val="14"/>
          <w:szCs w:val="14"/>
          <w:color w:val="auto"/>
        </w:rPr>
      </w:pPr>
    </w:p>
    <w:p>
      <w:pPr>
        <w:ind w:left="1000" w:hanging="500"/>
        <w:spacing w:after="0" w:line="258" w:lineRule="auto"/>
        <w:tabs>
          <w:tab w:leader="none" w:pos="1000" w:val="left"/>
        </w:tabs>
        <w:numPr>
          <w:ilvl w:val="1"/>
          <w:numId w:val="123"/>
        </w:numPr>
        <w:rPr>
          <w:rFonts w:ascii="Arial" w:cs="Arial" w:eastAsia="Arial" w:hAnsi="Arial"/>
          <w:sz w:val="14"/>
          <w:szCs w:val="14"/>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4"/>
          <w:szCs w:val="14"/>
          <w:color w:val="auto"/>
        </w:rPr>
      </w:pPr>
    </w:p>
    <w:p>
      <w:pPr>
        <w:ind w:left="1000" w:right="40" w:hanging="500"/>
        <w:spacing w:after="0" w:line="280" w:lineRule="auto"/>
        <w:tabs>
          <w:tab w:leader="none" w:pos="1031" w:val="left"/>
        </w:tabs>
        <w:numPr>
          <w:ilvl w:val="1"/>
          <w:numId w:val="123"/>
        </w:numPr>
        <w:rPr>
          <w:rFonts w:ascii="Arial" w:cs="Arial" w:eastAsia="Arial" w:hAnsi="Arial"/>
          <w:sz w:val="14"/>
          <w:szCs w:val="14"/>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4"/>
          <w:szCs w:val="14"/>
          <w:color w:val="auto"/>
        </w:rPr>
      </w:pPr>
    </w:p>
    <w:p>
      <w:pPr>
        <w:ind w:left="500" w:right="60" w:hanging="497"/>
        <w:spacing w:after="0" w:line="280" w:lineRule="auto"/>
        <w:tabs>
          <w:tab w:leader="none" w:pos="500" w:val="left"/>
        </w:tabs>
        <w:numPr>
          <w:ilvl w:val="0"/>
          <w:numId w:val="123"/>
        </w:numPr>
        <w:rPr>
          <w:rFonts w:ascii="Arial" w:cs="Arial" w:eastAsia="Arial" w:hAnsi="Arial"/>
          <w:sz w:val="14"/>
          <w:szCs w:val="14"/>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4"/>
          <w:szCs w:val="14"/>
          <w:color w:val="auto"/>
        </w:rPr>
      </w:pPr>
    </w:p>
    <w:p>
      <w:pPr>
        <w:ind w:left="1000" w:right="20" w:hanging="500"/>
        <w:spacing w:after="0" w:line="258" w:lineRule="auto"/>
        <w:tabs>
          <w:tab w:leader="none" w:pos="1000" w:val="left"/>
        </w:tabs>
        <w:numPr>
          <w:ilvl w:val="1"/>
          <w:numId w:val="123"/>
        </w:numPr>
        <w:rPr>
          <w:rFonts w:ascii="Arial" w:cs="Arial" w:eastAsia="Arial" w:hAnsi="Arial"/>
          <w:sz w:val="14"/>
          <w:szCs w:val="14"/>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4"/>
          <w:szCs w:val="14"/>
          <w:color w:val="auto"/>
        </w:rPr>
      </w:pPr>
    </w:p>
    <w:p>
      <w:pPr>
        <w:ind w:left="1000" w:hanging="500"/>
        <w:spacing w:after="0"/>
        <w:tabs>
          <w:tab w:leader="none" w:pos="1000" w:val="left"/>
        </w:tabs>
        <w:numPr>
          <w:ilvl w:val="1"/>
          <w:numId w:val="123"/>
        </w:numPr>
        <w:rPr>
          <w:rFonts w:ascii="Arial" w:cs="Arial" w:eastAsia="Arial" w:hAnsi="Arial"/>
          <w:sz w:val="14"/>
          <w:szCs w:val="14"/>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27, 2017</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KRATOS DEFENSE &amp; SECURITY SOLUTIONS, INC.</w:t>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2"/>
          <w:szCs w:val="12"/>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28575</wp:posOffset>
            </wp:positionV>
            <wp:extent cx="351091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10915" cy="6350"/>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Deanna H. Lund</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Executive Vice President, Chief Financial Officer</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(Principal Financial Officer)</w:t>
      </w:r>
    </w:p>
    <w:p>
      <w:pPr>
        <w:sectPr>
          <w:pgSz w:w="11900" w:h="16838" w:orient="portrait"/>
          <w:cols w:equalWidth="0" w:num="1">
            <w:col w:w="11460"/>
          </w:cols>
          <w:pgMar w:left="220" w:top="481" w:right="2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142" w:lineRule="exact"/>
        <w:rPr>
          <w:sz w:val="20"/>
          <w:szCs w:val="20"/>
          <w:color w:val="auto"/>
        </w:rPr>
      </w:pPr>
    </w:p>
    <w:p>
      <w:pPr>
        <w:ind w:right="360" w:firstLine="497"/>
        <w:spacing w:after="0" w:line="284" w:lineRule="auto"/>
        <w:rPr>
          <w:sz w:val="20"/>
          <w:szCs w:val="20"/>
          <w:color w:val="auto"/>
        </w:rPr>
      </w:pPr>
      <w:r>
        <w:rPr>
          <w:rFonts w:ascii="Arial" w:cs="Arial" w:eastAsia="Arial" w:hAnsi="Arial"/>
          <w:sz w:val="12"/>
          <w:szCs w:val="12"/>
          <w:color w:val="auto"/>
        </w:rPr>
        <w:t>In connection with the accompanying Annual Report of Kratos Defense &amp; Security Solutions, Inc. (the “Company”) on Form 10-K for the year ended December 25, 2016 (the “Report”), I, Eric M. DeMarco, Chief Executive Officer of the Company, certify, pursuant to 18 U.S.C. Section 1350, as adopted pursuant to Section 906 of the Sarbanes-Oxley Act of 2002, that:</w:t>
      </w:r>
    </w:p>
    <w:p>
      <w:pPr>
        <w:spacing w:after="0" w:line="108" w:lineRule="exact"/>
        <w:rPr>
          <w:sz w:val="20"/>
          <w:szCs w:val="20"/>
          <w:color w:val="auto"/>
        </w:rPr>
      </w:pPr>
    </w:p>
    <w:p>
      <w:pPr>
        <w:ind w:left="1000" w:hanging="500"/>
        <w:spacing w:after="0"/>
        <w:tabs>
          <w:tab w:leader="none" w:pos="100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6" w:lineRule="exact"/>
        <w:rPr>
          <w:rFonts w:ascii="Arial" w:cs="Arial" w:eastAsia="Arial" w:hAnsi="Arial"/>
          <w:sz w:val="12"/>
          <w:szCs w:val="12"/>
          <w:color w:val="auto"/>
        </w:rPr>
      </w:pPr>
    </w:p>
    <w:p>
      <w:pPr>
        <w:ind w:left="1020" w:hanging="520"/>
        <w:spacing w:after="0"/>
        <w:tabs>
          <w:tab w:leader="none" w:pos="10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27, 2017</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KRATOS DEFENSE &amp; SECURITY SOLUTIONS, INC.</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2"/>
          <w:szCs w:val="12"/>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28575</wp:posOffset>
            </wp:positionV>
            <wp:extent cx="362267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22675" cy="63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Eric M. DeMarco</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Chief Executive Officer, President</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460"/>
          </w:cols>
          <w:pgMar w:left="220" w:top="481" w:right="2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142" w:lineRule="exact"/>
        <w:rPr>
          <w:sz w:val="20"/>
          <w:szCs w:val="20"/>
          <w:color w:val="auto"/>
        </w:rPr>
      </w:pPr>
    </w:p>
    <w:p>
      <w:pPr>
        <w:ind w:right="420" w:firstLine="497"/>
        <w:spacing w:after="0" w:line="284" w:lineRule="auto"/>
        <w:rPr>
          <w:sz w:val="20"/>
          <w:szCs w:val="20"/>
          <w:color w:val="auto"/>
        </w:rPr>
      </w:pPr>
      <w:r>
        <w:rPr>
          <w:rFonts w:ascii="Arial" w:cs="Arial" w:eastAsia="Arial" w:hAnsi="Arial"/>
          <w:sz w:val="12"/>
          <w:szCs w:val="12"/>
          <w:color w:val="auto"/>
        </w:rPr>
        <w:t>In connection with the accompanying Annual Report of Kratos Defense &amp; Security Solutions, Inc. (the “Company”) on Form 10-K for the year ended December 25, 2016 (the “Report”), I, Deanna H. Lund, Chief Financial Officer of the Company, certify, pursuant to 18 U.S.C. Section 1350, as adopted pursuant to Section 906 of the Sarbanes-Oxley Act of 2002, that:</w:t>
      </w:r>
    </w:p>
    <w:p>
      <w:pPr>
        <w:spacing w:after="0" w:line="108" w:lineRule="exact"/>
        <w:rPr>
          <w:sz w:val="20"/>
          <w:szCs w:val="20"/>
          <w:color w:val="auto"/>
        </w:rPr>
      </w:pPr>
    </w:p>
    <w:p>
      <w:pPr>
        <w:ind w:left="1000" w:hanging="500"/>
        <w:spacing w:after="0"/>
        <w:tabs>
          <w:tab w:leader="none" w:pos="10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6" w:lineRule="exact"/>
        <w:rPr>
          <w:rFonts w:ascii="Arial" w:cs="Arial" w:eastAsia="Arial" w:hAnsi="Arial"/>
          <w:sz w:val="12"/>
          <w:szCs w:val="12"/>
          <w:color w:val="auto"/>
        </w:rPr>
      </w:pPr>
    </w:p>
    <w:p>
      <w:pPr>
        <w:ind w:left="1020" w:hanging="520"/>
        <w:spacing w:after="0"/>
        <w:tabs>
          <w:tab w:leader="none" w:pos="10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27, 2017</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KRATOS DEFENSE &amp; SECURITY SOLUTIONS, INC.</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28575</wp:posOffset>
            </wp:positionV>
            <wp:extent cx="362267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2675" cy="63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Deanna H. Lund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Executive Vice President, Chief Financial Officer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(Principal Financial Officer)</w:t>
      </w:r>
    </w:p>
    <w:sectPr>
      <w:pgSz w:w="11900" w:h="16838" w:orient="portrait"/>
      <w:cols w:equalWidth="0" w:num="1">
        <w:col w:w="11460"/>
      </w:cols>
      <w:pgMar w:left="220" w:top="48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1)"/>
      <w:numFmt w:val="decimal"/>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1)"/>
      <w:numFmt w:val="decimal"/>
      <w:start w:val="1"/>
    </w:lvl>
  </w:abstractNum>
  <w:abstractNum w:abstractNumId="19">
    <w:nsid w:val="168E121F"/>
    <w:multiLevelType w:val="hybridMultilevel"/>
    <w:lvl w:ilvl="0">
      <w:lvlJc w:val="left"/>
      <w:lvlText w:val="(%1)"/>
      <w:numFmt w:val="decimal"/>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1)"/>
      <w:numFmt w:val="lowerLetter"/>
      <w:start w:val="3"/>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lowerLetter"/>
      <w:start w:val="2"/>
    </w:lvl>
  </w:abstractNum>
  <w:abstractNum w:abstractNumId="28">
    <w:nsid w:val="11447B73"/>
    <w:multiLevelType w:val="hybridMultilevel"/>
    <w:lvl w:ilvl="0">
      <w:lvlJc w:val="left"/>
      <w:lvlText w:val="(%1)"/>
      <w:numFmt w:val="lowerLetter"/>
      <w:start w:val="4"/>
    </w:lvl>
  </w:abstractNum>
  <w:abstractNum w:abstractNumId="29">
    <w:nsid w:val="42963E5A"/>
    <w:multiLevelType w:val="hybridMultilevel"/>
    <w:lvl w:ilvl="0">
      <w:lvlJc w:val="left"/>
      <w:lvlText w:val="(%1)"/>
      <w:numFmt w:val="lowerLetter"/>
      <w:start w:val="5"/>
    </w:lvl>
  </w:abstractNum>
  <w:abstractNum w:abstractNumId="30">
    <w:nsid w:val="A0382C5"/>
    <w:multiLevelType w:val="hybridMultilevel"/>
    <w:lvl w:ilvl="0">
      <w:lvlJc w:val="left"/>
      <w:lvlText w:val="(%1)"/>
      <w:numFmt w:val="decimal"/>
      <w:start w:val="2"/>
    </w:lvl>
  </w:abstractNum>
  <w:abstractNum w:abstractNumId="31">
    <w:nsid w:val="8F2B15E"/>
    <w:multiLevelType w:val="hybridMultilevel"/>
    <w:lvl w:ilvl="0">
      <w:lvlJc w:val="left"/>
      <w:lvlText w:val="(%1)"/>
      <w:numFmt w:val="decimal"/>
      <w:start w:val="1"/>
    </w:lvl>
  </w:abstractNum>
  <w:abstractNum w:abstractNumId="32">
    <w:nsid w:val="1A32234B"/>
    <w:multiLevelType w:val="hybridMultilevel"/>
    <w:lvl w:ilvl="0">
      <w:lvlJc w:val="left"/>
      <w:lvlText w:val="(%1)"/>
      <w:numFmt w:val="decimal"/>
      <w:start w:val="5"/>
    </w:lvl>
  </w:abstractNum>
  <w:abstractNum w:abstractNumId="33">
    <w:nsid w:val="3B0FD379"/>
    <w:multiLevelType w:val="hybridMultilevel"/>
    <w:lvl w:ilvl="0">
      <w:lvlJc w:val="left"/>
      <w:lvlText w:val="(%1)"/>
      <w:numFmt w:val="lowerLetter"/>
      <w:start w:val="6"/>
    </w:lvl>
  </w:abstractNum>
  <w:abstractNum w:abstractNumId="34">
    <w:nsid w:val="68EB2F63"/>
    <w:multiLevelType w:val="hybridMultilevel"/>
    <w:lvl w:ilvl="0">
      <w:lvlJc w:val="left"/>
      <w:lvlText w:val="(%1)"/>
      <w:numFmt w:val="lowerLetter"/>
      <w:start w:val="8"/>
    </w:lvl>
  </w:abstractNum>
  <w:abstractNum w:abstractNumId="35">
    <w:nsid w:val="4962813B"/>
    <w:multiLevelType w:val="hybridMultilevel"/>
    <w:lvl w:ilvl="0">
      <w:lvlJc w:val="left"/>
      <w:lvlText w:val="(%1)"/>
      <w:numFmt w:val="lowerRoman"/>
      <w:start w:val="1"/>
    </w:lvl>
  </w:abstractNum>
  <w:abstractNum w:abstractNumId="36">
    <w:nsid w:val="60B6DF70"/>
    <w:multiLevelType w:val="hybridMultilevel"/>
    <w:lvl w:ilvl="0">
      <w:lvlJc w:val="left"/>
      <w:lvlText w:val="(%1)"/>
      <w:numFmt w:val="lowerLetter"/>
      <w:start w:val="11"/>
    </w:lvl>
  </w:abstractNum>
  <w:abstractNum w:abstractNumId="37">
    <w:nsid w:val="6A5EE64"/>
    <w:multiLevelType w:val="hybridMultilevel"/>
    <w:lvl w:ilvl="0">
      <w:lvlJc w:val="left"/>
      <w:lvlText w:val="(%1)"/>
      <w:numFmt w:val="lowerLetter"/>
      <w:start w:val="12"/>
    </w:lvl>
  </w:abstractNum>
  <w:abstractNum w:abstractNumId="38">
    <w:nsid w:val="14330624"/>
    <w:multiLevelType w:val="hybridMultilevel"/>
    <w:lvl w:ilvl="0">
      <w:lvlJc w:val="left"/>
      <w:lvlText w:val="(%1)"/>
      <w:numFmt w:val="lowerLetter"/>
      <w:start w:val="13"/>
    </w:lvl>
  </w:abstractNum>
  <w:abstractNum w:abstractNumId="39">
    <w:nsid w:val="7FFFCA11"/>
    <w:multiLevelType w:val="hybridMultilevel"/>
    <w:lvl w:ilvl="0">
      <w:lvlJc w:val="left"/>
      <w:lvlText w:val="(%1)"/>
      <w:numFmt w:val="lowerLetter"/>
      <w:start w:val="14"/>
    </w:lvl>
  </w:abstractNum>
  <w:abstractNum w:abstractNumId="40">
    <w:nsid w:val="1A27709E"/>
    <w:multiLevelType w:val="hybridMultilevel"/>
    <w:lvl w:ilvl="0">
      <w:lvlJc w:val="left"/>
      <w:lvlText w:val="(%1)"/>
      <w:numFmt w:val="lowerLetter"/>
      <w:start w:val="16"/>
    </w:lvl>
  </w:abstractNum>
  <w:abstractNum w:abstractNumId="41">
    <w:nsid w:val="71EA1109"/>
    <w:multiLevelType w:val="hybridMultilevel"/>
    <w:lvl w:ilvl="0">
      <w:lvlJc w:val="left"/>
      <w:lvlText w:val="(%1)"/>
      <w:numFmt w:val="lowerLetter"/>
      <w:start w:val="17"/>
    </w:lvl>
  </w:abstractNum>
  <w:abstractNum w:abstractNumId="42">
    <w:nsid w:val="100F59DC"/>
    <w:multiLevelType w:val="hybridMultilevel"/>
    <w:lvl w:ilvl="0">
      <w:lvlJc w:val="left"/>
      <w:lvlText w:val="(%1)"/>
      <w:numFmt w:val="lowerLetter"/>
      <w:start w:val="19"/>
    </w:lvl>
  </w:abstractNum>
  <w:abstractNum w:abstractNumId="43">
    <w:nsid w:val="7FB7E0AA"/>
    <w:multiLevelType w:val="hybridMultilevel"/>
    <w:lvl w:ilvl="0">
      <w:lvlJc w:val="left"/>
      <w:lvlText w:val="(%1)"/>
      <w:numFmt w:val="lowerLetter"/>
      <w:start w:val="1"/>
    </w:lvl>
  </w:abstractNum>
  <w:abstractNum w:abstractNumId="44">
    <w:nsid w:val="6EB5BD4"/>
    <w:multiLevelType w:val="hybridMultilevel"/>
    <w:lvl w:ilvl="0">
      <w:lvlJc w:val="left"/>
      <w:lvlText w:val="(%1)"/>
      <w:numFmt w:val="lowerLetter"/>
      <w:start w:val="2"/>
    </w:lvl>
  </w:abstractNum>
  <w:abstractNum w:abstractNumId="45">
    <w:nsid w:val="6F6DD9AC"/>
    <w:multiLevelType w:val="hybridMultilevel"/>
    <w:lvl w:ilvl="0">
      <w:lvlJc w:val="left"/>
      <w:lvlText w:val="(%1)"/>
      <w:numFmt w:val="lowerLetter"/>
      <w:start w:val="1"/>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1)"/>
      <w:numFmt w:val="lowerLetter"/>
      <w:start w:val="3"/>
    </w:lvl>
  </w:abstractNum>
  <w:abstractNum w:abstractNumId="48">
    <w:nsid w:val="76272110"/>
    <w:multiLevelType w:val="hybridMultilevel"/>
    <w:lvl w:ilvl="0">
      <w:lvlJc w:val="left"/>
      <w:lvlText w:val="(%1)"/>
      <w:numFmt w:val="decimal"/>
      <w:start w:val="3"/>
    </w:lvl>
  </w:abstractNum>
  <w:abstractNum w:abstractNumId="49">
    <w:nsid w:val="4C04A8AF"/>
    <w:multiLevelType w:val="hybridMultilevel"/>
    <w:lvl w:ilvl="0">
      <w:lvlJc w:val="left"/>
      <w:lvlText w:val="%1."/>
      <w:numFmt w:val="decimal"/>
      <w:start w:val="1"/>
    </w:lvl>
  </w:abstractNum>
  <w:abstractNum w:abstractNumId="50">
    <w:nsid w:val="1716703B"/>
    <w:multiLevelType w:val="hybridMultilevel"/>
    <w:lvl w:ilvl="0">
      <w:lvlJc w:val="left"/>
      <w:lvlText w:val="%1."/>
      <w:numFmt w:val="decimal"/>
      <w:start w:val="4"/>
    </w:lvl>
  </w:abstractNum>
  <w:abstractNum w:abstractNumId="51">
    <w:nsid w:val="14E17E33"/>
    <w:multiLevelType w:val="hybridMultilevel"/>
    <w:lvl w:ilvl="0">
      <w:lvlJc w:val="left"/>
      <w:lvlText w:val="%1."/>
      <w:numFmt w:val="decimal"/>
      <w:start w:val="2"/>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Roman"/>
      <w:start w:val="1"/>
    </w:lvl>
  </w:abstractNum>
  <w:abstractNum w:abstractNumId="54">
    <w:nsid w:val="68EBC550"/>
    <w:multiLevelType w:val="hybridMultilevel"/>
    <w:lvl w:ilvl="0">
      <w:lvlJc w:val="left"/>
      <w:lvlText w:val="(%1)"/>
      <w:numFmt w:val="lowerLetter"/>
      <w:start w:val="1"/>
    </w:lvl>
  </w:abstractNum>
  <w:abstractNum w:abstractNumId="55">
    <w:nsid w:val="2DF6D648"/>
    <w:multiLevelType w:val="hybridMultilevel"/>
    <w:lvl w:ilvl="0">
      <w:lvlJc w:val="left"/>
      <w:lvlText w:val="(%1)"/>
      <w:numFmt w:val="lowerLetter"/>
      <w:start w:val="3"/>
    </w:lvl>
  </w:abstractNum>
  <w:abstractNum w:abstractNumId="56">
    <w:nsid w:val="46B7D447"/>
    <w:multiLevelType w:val="hybridMultilevel"/>
    <w:lvl w:ilvl="0">
      <w:lvlJc w:val="left"/>
      <w:lvlText w:val="(%1)"/>
      <w:numFmt w:val="lowerRoman"/>
      <w:start w:val="1"/>
    </w:lvl>
  </w:abstractNum>
  <w:abstractNum w:abstractNumId="57">
    <w:nsid w:val="4A2AC315"/>
    <w:multiLevelType w:val="hybridMultilevel"/>
    <w:lvl w:ilvl="0">
      <w:lvlJc w:val="left"/>
      <w:lvlText w:val="(%1)"/>
      <w:numFmt w:val="lowerLetter"/>
      <w:start w:val="6"/>
    </w:lvl>
  </w:abstractNum>
  <w:abstractNum w:abstractNumId="58">
    <w:nsid w:val="39EE015C"/>
    <w:multiLevelType w:val="hybridMultilevel"/>
    <w:lvl w:ilvl="0">
      <w:lvlJc w:val="left"/>
      <w:lvlText w:val="(%1)"/>
      <w:numFmt w:val="lowerRoman"/>
      <w:start w:val="1"/>
    </w:lvl>
  </w:abstractNum>
  <w:abstractNum w:abstractNumId="59">
    <w:nsid w:val="57FC4FBB"/>
    <w:multiLevelType w:val="hybridMultilevel"/>
    <w:lvl w:ilvl="0">
      <w:lvlJc w:val="left"/>
      <w:lvlText w:val="(%1)"/>
      <w:numFmt w:val="lowerLetter"/>
      <w:start w:val="1"/>
    </w:lvl>
  </w:abstractNum>
  <w:abstractNum w:abstractNumId="60">
    <w:nsid w:val="CC1016F"/>
    <w:multiLevelType w:val="hybridMultilevel"/>
    <w:lvl w:ilvl="0">
      <w:lvlJc w:val="left"/>
      <w:lvlText w:val="(%1)"/>
      <w:numFmt w:val="lowerLetter"/>
      <w:start w:val="2"/>
    </w:lvl>
  </w:abstractNum>
  <w:abstractNum w:abstractNumId="61">
    <w:nsid w:val="43F18422"/>
    <w:multiLevelType w:val="hybridMultilevel"/>
    <w:lvl w:ilvl="0">
      <w:lvlJc w:val="left"/>
      <w:lvlText w:val="(%1)"/>
      <w:numFmt w:val="lowerLetter"/>
      <w:start w:val="1"/>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1"/>
    </w:lvl>
  </w:abstractNum>
  <w:abstractNum w:abstractNumId="64">
    <w:nsid w:val="7F01579B"/>
    <w:multiLevelType w:val="hybridMultilevel"/>
    <w:lvl w:ilvl="0">
      <w:lvlJc w:val="left"/>
      <w:lvlText w:val="(%1)"/>
      <w:numFmt w:val="lowerLetter"/>
      <w:start w:val="3"/>
    </w:lvl>
  </w:abstractNum>
  <w:abstractNum w:abstractNumId="65">
    <w:nsid w:val="49DA307D"/>
    <w:multiLevelType w:val="hybridMultilevel"/>
    <w:lvl w:ilvl="0">
      <w:lvlJc w:val="left"/>
      <w:lvlText w:val="(%1)"/>
      <w:numFmt w:val="lowerRoman"/>
      <w:start w:val="1"/>
    </w:lvl>
  </w:abstractNum>
  <w:abstractNum w:abstractNumId="66">
    <w:nsid w:val="7055A5F5"/>
    <w:multiLevelType w:val="hybridMultilevel"/>
    <w:lvl w:ilvl="0">
      <w:lvlJc w:val="left"/>
      <w:lvlText w:val="(%1)"/>
      <w:numFmt w:val="lowerLetter"/>
      <w:start w:val="1"/>
    </w:lvl>
  </w:abstractNum>
  <w:abstractNum w:abstractNumId="67">
    <w:nsid w:val="5FB8370B"/>
    <w:multiLevelType w:val="hybridMultilevel"/>
    <w:lvl w:ilvl="0">
      <w:lvlJc w:val="left"/>
      <w:lvlText w:val="(%1)"/>
      <w:numFmt w:val="lowerLetter"/>
      <w:start w:val="3"/>
    </w:lvl>
  </w:abstractNum>
  <w:abstractNum w:abstractNumId="68">
    <w:nsid w:val="50801EE1"/>
    <w:multiLevelType w:val="hybridMultilevel"/>
    <w:lvl w:ilvl="0">
      <w:lvlJc w:val="left"/>
      <w:lvlText w:val="(%1)"/>
      <w:numFmt w:val="lowerRoman"/>
      <w:start w:val="1"/>
    </w:lvl>
  </w:abstractNum>
  <w:abstractNum w:abstractNumId="69">
    <w:nsid w:val="488AC1A"/>
    <w:multiLevelType w:val="hybridMultilevel"/>
    <w:lvl w:ilvl="0">
      <w:lvlJc w:val="left"/>
      <w:lvlText w:val="(%1)"/>
      <w:numFmt w:val="lowerRoman"/>
      <w:start w:val="1"/>
    </w:lvl>
  </w:abstractNum>
  <w:abstractNum w:abstractNumId="70">
    <w:nsid w:val="5FB8011C"/>
    <w:multiLevelType w:val="hybridMultilevel"/>
    <w:lvl w:ilvl="0">
      <w:lvlJc w:val="left"/>
      <w:lvlText w:val="(%1)"/>
      <w:numFmt w:val="lowerLetter"/>
      <w:start w:val="1"/>
    </w:lvl>
  </w:abstractNum>
  <w:abstractNum w:abstractNumId="71">
    <w:nsid w:val="6AA78F7F"/>
    <w:multiLevelType w:val="hybridMultilevel"/>
    <w:lvl w:ilvl="0">
      <w:lvlJc w:val="left"/>
      <w:lvlText w:val="(%1)"/>
      <w:numFmt w:val="lowerLetter"/>
      <w:start w:val="2"/>
    </w:lvl>
  </w:abstractNum>
  <w:abstractNum w:abstractNumId="72">
    <w:nsid w:val="7672BD23"/>
    <w:multiLevelType w:val="hybridMultilevel"/>
    <w:lvl w:ilvl="0">
      <w:lvlJc w:val="left"/>
      <w:lvlText w:val="(%1)"/>
      <w:numFmt w:val="lowerLetter"/>
      <w:start w:val="1"/>
    </w:lvl>
  </w:abstractNum>
  <w:abstractNum w:abstractNumId="73">
    <w:nsid w:val="6FC75AF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4">
    <w:nsid w:val="6A5F7029"/>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75">
    <w:nsid w:val="7D5E18F8"/>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76">
    <w:nsid w:val="5F3534A4"/>
    <w:multiLevelType w:val="hybridMultilevel"/>
    <w:lvl w:ilvl="0">
      <w:lvlJc w:val="left"/>
      <w:lvlText w:val="%1."/>
      <w:numFmt w:val="decimal"/>
      <w:start w:val="6"/>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1)"/>
      <w:numFmt w:val="lowerLetter"/>
      <w:start w:val="1"/>
    </w:lvl>
  </w:abstractNum>
  <w:abstractNum w:abstractNumId="79">
    <w:nsid w:val="555C55B5"/>
    <w:multiLevelType w:val="hybridMultilevel"/>
    <w:lvl w:ilvl="0">
      <w:lvlJc w:val="left"/>
      <w:lvlText w:val="(%1)"/>
      <w:numFmt w:val="lowerLetter"/>
      <w:start w:val="3"/>
    </w:lvl>
  </w:abstractNum>
  <w:abstractNum w:abstractNumId="80">
    <w:nsid w:val="3FA62ACA"/>
    <w:multiLevelType w:val="hybridMultilevel"/>
    <w:lvl w:ilvl="0">
      <w:lvlJc w:val="left"/>
      <w:lvlText w:val="(%1)"/>
      <w:numFmt w:val="lowerRoman"/>
      <w:start w:val="1"/>
    </w:lvl>
  </w:abstractNum>
  <w:abstractNum w:abstractNumId="81">
    <w:nsid w:val="14FCE74E"/>
    <w:multiLevelType w:val="hybridMultilevel"/>
    <w:lvl w:ilvl="0">
      <w:lvlJc w:val="left"/>
      <w:lvlText w:val="(%1)"/>
      <w:numFmt w:val="lowerLetter"/>
      <w:start w:val="1"/>
    </w:lvl>
  </w:abstractNum>
  <w:abstractNum w:abstractNumId="82">
    <w:nsid w:val="6A3DD3E8"/>
    <w:multiLevelType w:val="hybridMultilevel"/>
    <w:lvl w:ilvl="0">
      <w:lvlJc w:val="left"/>
      <w:lvlText w:val="(%1)"/>
      <w:numFmt w:val="lowerLetter"/>
      <w:start w:val="3"/>
    </w:lvl>
  </w:abstractNum>
  <w:abstractNum w:abstractNumId="83">
    <w:nsid w:val="71C91298"/>
    <w:multiLevelType w:val="hybridMultilevel"/>
    <w:lvl w:ilvl="0">
      <w:lvlJc w:val="left"/>
      <w:lvlText w:val="(%1)"/>
      <w:numFmt w:val="lowerRoman"/>
      <w:start w:val="1"/>
    </w:lvl>
  </w:abstractNum>
  <w:abstractNum w:abstractNumId="84">
    <w:nsid w:val="9DAF632"/>
    <w:multiLevelType w:val="hybridMultilevel"/>
    <w:lvl w:ilvl="0">
      <w:lvlJc w:val="left"/>
      <w:lvlText w:val="(%1)"/>
      <w:numFmt w:val="lowerRoman"/>
      <w:start w:val="1"/>
    </w:lvl>
  </w:abstractNum>
  <w:abstractNum w:abstractNumId="85">
    <w:nsid w:val="53299938"/>
    <w:multiLevelType w:val="hybridMultilevel"/>
    <w:lvl w:ilvl="0">
      <w:lvlJc w:val="left"/>
      <w:lvlText w:val="(%1)"/>
      <w:numFmt w:val="lowerLetter"/>
      <w:start w:val="1"/>
    </w:lvl>
  </w:abstractNum>
  <w:abstractNum w:abstractNumId="86">
    <w:nsid w:val="1FBFE8E0"/>
    <w:multiLevelType w:val="hybridMultilevel"/>
    <w:lvl w:ilvl="0">
      <w:lvlJc w:val="left"/>
      <w:lvlText w:val="(%1)"/>
      <w:numFmt w:val="lowerLetter"/>
      <w:start w:val="2"/>
    </w:lvl>
  </w:abstractNum>
  <w:abstractNum w:abstractNumId="87">
    <w:nsid w:val="5092CA79"/>
    <w:multiLevelType w:val="hybridMultilevel"/>
    <w:lvl w:ilvl="0">
      <w:lvlJc w:val="left"/>
      <w:lvlText w:val="(%1)"/>
      <w:numFmt w:val="lowerLetter"/>
      <w:start w:val="1"/>
    </w:lvl>
  </w:abstractNum>
  <w:abstractNum w:abstractNumId="88">
    <w:nsid w:val="1D545C4D"/>
    <w:multiLevelType w:val="hybridMultilevel"/>
    <w:lvl w:ilvl="0">
      <w:lvlJc w:val="left"/>
      <w:lvlText w:val="%1."/>
      <w:numFmt w:val="decimal"/>
      <w:start w:val="2"/>
    </w:lvl>
  </w:abstractNum>
  <w:abstractNum w:abstractNumId="89">
    <w:nsid w:val="59ADEA3D"/>
    <w:multiLevelType w:val="hybridMultilevel"/>
    <w:lvl w:ilvl="0">
      <w:lvlJc w:val="left"/>
      <w:lvlText w:val="(%1)"/>
      <w:numFmt w:val="upperLetter"/>
      <w:start w:val="1"/>
    </w:lvl>
  </w:abstractNum>
  <w:abstractNum w:abstractNumId="90">
    <w:nsid w:val="288F1A34"/>
    <w:multiLevelType w:val="hybridMultilevel"/>
    <w:lvl w:ilvl="0">
      <w:lvlJc w:val="left"/>
      <w:lvlText w:val="%1"/>
      <w:numFmt w:val="decimal"/>
      <w:start w:val="1"/>
    </w:lvl>
    <w:lvl w:ilvl="1">
      <w:lvlJc w:val="left"/>
      <w:lvlText w:val="(%2)"/>
      <w:numFmt w:val="upperLetter"/>
      <w:start w:val="2"/>
    </w:lvl>
  </w:abstractNum>
  <w:abstractNum w:abstractNumId="91">
    <w:nsid w:val="2A155DBC"/>
    <w:multiLevelType w:val="hybridMultilevel"/>
    <w:lvl w:ilvl="0">
      <w:lvlJc w:val="left"/>
      <w:lvlText w:val="%1."/>
      <w:numFmt w:val="decimal"/>
      <w:start w:val="3"/>
    </w:lvl>
    <w:lvl w:ilvl="1">
      <w:lvlJc w:val="left"/>
      <w:lvlText w:val="%2"/>
      <w:numFmt w:val="upperLetter"/>
      <w:start w:val="1"/>
    </w:lvl>
  </w:abstractNum>
  <w:abstractNum w:abstractNumId="92">
    <w:nsid w:val="1D9F6E5F"/>
    <w:multiLevelType w:val="hybridMultilevel"/>
    <w:lvl w:ilvl="0">
      <w:lvlJc w:val="left"/>
      <w:lvlText w:val="%1."/>
      <w:numFmt w:val="decimal"/>
      <w:start w:val="4"/>
    </w:lvl>
  </w:abstractNum>
  <w:abstractNum w:abstractNumId="93">
    <w:nsid w:val="97E1B4E"/>
    <w:multiLevelType w:val="hybridMultilevel"/>
    <w:lvl w:ilvl="0">
      <w:lvlJc w:val="left"/>
      <w:lvlText w:val="(%1)"/>
      <w:numFmt w:val="upperLetter"/>
      <w:start w:val="2"/>
    </w:lvl>
  </w:abstractNum>
  <w:abstractNum w:abstractNumId="94">
    <w:nsid w:val="51088277"/>
    <w:multiLevelType w:val="hybridMultilevel"/>
    <w:lvl w:ilvl="0">
      <w:lvlJc w:val="left"/>
      <w:lvlText w:val="%1."/>
      <w:numFmt w:val="decimal"/>
      <w:start w:val="6"/>
    </w:lvl>
  </w:abstractNum>
  <w:abstractNum w:abstractNumId="95">
    <w:nsid w:val="1CA0C5FA"/>
    <w:multiLevelType w:val="hybridMultilevel"/>
    <w:lvl w:ilvl="0">
      <w:lvlJc w:val="left"/>
      <w:lvlText w:val="%1."/>
      <w:numFmt w:val="decimal"/>
      <w:start w:val="7"/>
    </w:lvl>
  </w:abstractNum>
  <w:abstractNum w:abstractNumId="96">
    <w:nsid w:val="53584BCB"/>
    <w:multiLevelType w:val="hybridMultilevel"/>
    <w:lvl w:ilvl="0">
      <w:lvlJc w:val="left"/>
      <w:lvlText w:val="%1."/>
      <w:numFmt w:val="decimal"/>
      <w:start w:val="9"/>
    </w:lvl>
  </w:abstractNum>
  <w:abstractNum w:abstractNumId="97">
    <w:nsid w:val="415E286C"/>
    <w:multiLevelType w:val="hybridMultilevel"/>
    <w:lvl w:ilvl="0">
      <w:lvlJc w:val="left"/>
      <w:lvlText w:val="%1."/>
      <w:numFmt w:val="decimal"/>
      <w:start w:val="11"/>
    </w:lvl>
    <w:lvl w:ilvl="1">
      <w:lvlJc w:val="left"/>
      <w:lvlText w:val="(%2)"/>
      <w:numFmt w:val="upperLetter"/>
      <w:start w:val="1"/>
    </w:lvl>
  </w:abstractNum>
  <w:abstractNum w:abstractNumId="98">
    <w:nsid w:val="7C58FD05"/>
    <w:multiLevelType w:val="hybridMultilevel"/>
    <w:lvl w:ilvl="0">
      <w:lvlJc w:val="left"/>
      <w:lvlText w:val="%1"/>
      <w:numFmt w:val="decimal"/>
      <w:start w:val="1"/>
    </w:lvl>
    <w:lvl w:ilvl="1">
      <w:lvlJc w:val="left"/>
      <w:lvlText w:val="%2."/>
      <w:numFmt w:val="decimal"/>
      <w:start w:val="1"/>
    </w:lvl>
  </w:abstractNum>
  <w:abstractNum w:abstractNumId="99">
    <w:nsid w:val="23D86AAC"/>
    <w:multiLevelType w:val="hybridMultilevel"/>
    <w:lvl w:ilvl="0">
      <w:lvlJc w:val="left"/>
      <w:lvlText w:val="%1."/>
      <w:numFmt w:val="decimal"/>
      <w:start w:val="1"/>
    </w:lvl>
    <w:lvl w:ilvl="1">
      <w:lvlJc w:val="left"/>
      <w:lvlText w:val="%2"/>
      <w:numFmt w:val="decimal"/>
      <w:start w:val="1"/>
    </w:lvl>
  </w:abstractNum>
  <w:abstractNum w:abstractNumId="100">
    <w:nsid w:val="45E6D486"/>
    <w:multiLevelType w:val="hybridMultilevel"/>
    <w:lvl w:ilvl="0">
      <w:lvlJc w:val="left"/>
      <w:lvlText w:val="%1."/>
      <w:numFmt w:val="decimal"/>
      <w:start w:val="2"/>
    </w:lvl>
  </w:abstractNum>
  <w:abstractNum w:abstractNumId="101">
    <w:nsid w:val="5C10FE21"/>
    <w:multiLevelType w:val="hybridMultilevel"/>
    <w:lvl w:ilvl="0">
      <w:lvlJc w:val="left"/>
      <w:lvlText w:val="%1."/>
      <w:numFmt w:val="decimal"/>
      <w:start w:val="1"/>
    </w:lvl>
  </w:abstractNum>
  <w:abstractNum w:abstractNumId="102">
    <w:nsid w:val="E7FFA2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3">
    <w:nsid w:val="3C5991AA"/>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104">
    <w:nsid w:val="4BD8591A"/>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105">
    <w:nsid w:val="78DF6A55"/>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06">
    <w:nsid w:val="39B7AAA2"/>
    <w:multiLevelType w:val="hybridMultilevel"/>
    <w:lvl w:ilvl="0">
      <w:lvlJc w:val="left"/>
      <w:lvlText w:val="(%1)"/>
      <w:numFmt w:val="lowerLetter"/>
      <w:start w:val="1"/>
    </w:lvl>
  </w:abstractNum>
  <w:abstractNum w:abstractNumId="107">
    <w:nsid w:val="2B0D8DBE"/>
    <w:multiLevelType w:val="hybridMultilevel"/>
    <w:lvl w:ilvl="0">
      <w:lvlJc w:val="left"/>
      <w:lvlText w:val="(%1)"/>
      <w:numFmt w:val="lowerLetter"/>
      <w:start w:val="1"/>
    </w:lvl>
  </w:abstractNum>
  <w:abstractNum w:abstractNumId="108">
    <w:nsid w:val="6C80EC70"/>
    <w:multiLevelType w:val="hybridMultilevel"/>
    <w:lvl w:ilvl="0">
      <w:lvlJc w:val="left"/>
      <w:lvlText w:val="(%1)"/>
      <w:numFmt w:val="lowerLetter"/>
      <w:start w:val="2"/>
    </w:lvl>
  </w:abstractNum>
  <w:abstractNum w:abstractNumId="109">
    <w:nsid w:val="379E21B5"/>
    <w:multiLevelType w:val="hybridMultilevel"/>
    <w:lvl w:ilvl="0">
      <w:lvlJc w:val="left"/>
      <w:lvlText w:val="(%1)"/>
      <w:numFmt w:val="lowerLetter"/>
      <w:start w:val="1"/>
    </w:lvl>
    <w:lvl w:ilvl="1">
      <w:lvlJc w:val="left"/>
      <w:lvlText w:val="(%2)"/>
      <w:numFmt w:val="decimal"/>
      <w:start w:val="1"/>
    </w:lvl>
  </w:abstractNum>
  <w:abstractNum w:abstractNumId="110">
    <w:nsid w:val="69E373"/>
    <w:multiLevelType w:val="hybridMultilevel"/>
    <w:lvl w:ilvl="0">
      <w:lvlJc w:val="left"/>
      <w:lvlText w:val="(%1)"/>
      <w:numFmt w:val="lowerLetter"/>
      <w:start w:val="1"/>
    </w:lvl>
  </w:abstractNum>
  <w:abstractNum w:abstractNumId="111">
    <w:nsid w:val="2C27173B"/>
    <w:multiLevelType w:val="hybridMultilevel"/>
    <w:lvl w:ilvl="0">
      <w:lvlJc w:val="left"/>
      <w:lvlText w:val="%1"/>
      <w:numFmt w:val="lowerLetter"/>
      <w:start w:val="1"/>
    </w:lvl>
    <w:lvl w:ilvl="1">
      <w:lvlJc w:val="left"/>
      <w:lvlText w:val="(%2)"/>
      <w:numFmt w:val="lowerLetter"/>
      <w:start w:val="2"/>
    </w:lvl>
  </w:abstractNum>
  <w:abstractNum w:abstractNumId="112">
    <w:nsid w:val="4C9B0904"/>
    <w:multiLevelType w:val="hybridMultilevel"/>
    <w:lvl w:ilvl="0">
      <w:lvlJc w:val="left"/>
      <w:lvlText w:val="(%1)"/>
      <w:numFmt w:val="lowerLetter"/>
      <w:start w:val="61"/>
    </w:lvl>
    <w:lvl w:ilvl="1">
      <w:lvlJc w:val="left"/>
      <w:lvlText w:val="(%2)"/>
      <w:numFmt w:val="lowerLetter"/>
      <w:start w:val="3"/>
    </w:lvl>
  </w:abstractNum>
  <w:abstractNum w:abstractNumId="113">
    <w:nsid w:val="6AA7B75C"/>
    <w:multiLevelType w:val="hybridMultilevel"/>
    <w:lvl w:ilvl="0">
      <w:lvlJc w:val="left"/>
      <w:lvlText w:val="(%1)"/>
      <w:numFmt w:val="lowerLetter"/>
      <w:start w:val="1"/>
    </w:lvl>
  </w:abstractNum>
  <w:abstractNum w:abstractNumId="114">
    <w:nsid w:val="1DF029D3"/>
    <w:multiLevelType w:val="hybridMultilevel"/>
    <w:lvl w:ilvl="0">
      <w:lvlJc w:val="left"/>
      <w:lvlText w:val="(%1)"/>
      <w:numFmt w:val="lowerLetter"/>
      <w:start w:val="2"/>
    </w:lvl>
  </w:abstractNum>
  <w:abstractNum w:abstractNumId="115">
    <w:nsid w:val="5675FF36"/>
    <w:multiLevelType w:val="hybridMultilevel"/>
    <w:lvl w:ilvl="0">
      <w:lvlJc w:val="left"/>
      <w:lvlText w:val="(%1)"/>
      <w:numFmt w:val="lowerLetter"/>
      <w:start w:val="1"/>
    </w:lvl>
  </w:abstractNum>
  <w:abstractNum w:abstractNumId="116">
    <w:nsid w:val="3DD15094"/>
    <w:multiLevelType w:val="hybridMultilevel"/>
    <w:lvl w:ilvl="0">
      <w:lvlJc w:val="left"/>
      <w:lvlText w:val="(%1)"/>
      <w:numFmt w:val="lowerLetter"/>
      <w:start w:val="1"/>
    </w:lvl>
  </w:abstractNum>
  <w:abstractNum w:abstractNumId="117">
    <w:nsid w:val="3DB012B3"/>
    <w:multiLevelType w:val="hybridMultilevel"/>
    <w:lvl w:ilvl="0">
      <w:lvlJc w:val="left"/>
      <w:lvlText w:val="(%1)"/>
      <w:numFmt w:val="lowerLetter"/>
      <w:start w:val="1"/>
    </w:lvl>
  </w:abstractNum>
  <w:abstractNum w:abstractNumId="118">
    <w:nsid w:val="2708C9AF"/>
    <w:multiLevelType w:val="hybridMultilevel"/>
    <w:lvl w:ilvl="0">
      <w:lvlJc w:val="left"/>
      <w:lvlText w:val="(%1)"/>
      <w:numFmt w:val="lowerLetter"/>
      <w:start w:val="1"/>
    </w:lvl>
  </w:abstractNum>
  <w:abstractNum w:abstractNumId="119">
    <w:nsid w:val="5B25ACE2"/>
    <w:multiLevelType w:val="hybridMultilevel"/>
    <w:lvl w:ilvl="0">
      <w:lvlJc w:val="left"/>
      <w:lvlText w:val="(%1)"/>
      <w:numFmt w:val="lowerLetter"/>
      <w:start w:val="1"/>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lvl w:ilvl="1">
      <w:lvlJc w:val="left"/>
      <w:lvlText w:val="(%2)"/>
      <w:numFmt w:val="lowerLetter"/>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2019-12-29T08:58:13Z</dcterms:created>
  <dcterms:modified xsi:type="dcterms:W3CDTF">2019-12-29T08:58:13Z</dcterms:modified>
</cp:coreProperties>
</file>